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73AAB3" w14:textId="77777777" w:rsidR="006C302F" w:rsidRPr="0058349C" w:rsidRDefault="00C41FB4" w:rsidP="00C41FB4">
      <w:pPr>
        <w:spacing w:after="0" w:line="240" w:lineRule="auto"/>
        <w:ind w:firstLine="284"/>
        <w:jc w:val="center"/>
        <w:rPr>
          <w:rFonts w:ascii="Garamond" w:hAnsi="Garamond"/>
          <w:b/>
          <w:sz w:val="24"/>
          <w:szCs w:val="24"/>
          <w:lang w:val="sq-AL"/>
        </w:rPr>
      </w:pPr>
      <w:r w:rsidRPr="0058349C">
        <w:rPr>
          <w:rFonts w:ascii="Garamond" w:hAnsi="Garamond"/>
          <w:b/>
          <w:sz w:val="24"/>
          <w:szCs w:val="24"/>
          <w:lang w:val="sq-AL"/>
        </w:rPr>
        <w:t>VENDI</w:t>
      </w:r>
      <w:r w:rsidR="006C302F" w:rsidRPr="0058349C">
        <w:rPr>
          <w:rFonts w:ascii="Garamond" w:hAnsi="Garamond"/>
          <w:b/>
          <w:sz w:val="24"/>
          <w:szCs w:val="24"/>
          <w:lang w:val="sq-AL"/>
        </w:rPr>
        <w:t>M</w:t>
      </w:r>
    </w:p>
    <w:p w14:paraId="0773AAB4" w14:textId="5AC197EF" w:rsidR="006C302F" w:rsidRPr="0058349C" w:rsidRDefault="00016A96" w:rsidP="00C41FB4">
      <w:pPr>
        <w:spacing w:after="0" w:line="240" w:lineRule="auto"/>
        <w:ind w:firstLine="284"/>
        <w:jc w:val="center"/>
        <w:rPr>
          <w:rFonts w:ascii="Garamond" w:hAnsi="Garamond"/>
          <w:b/>
          <w:sz w:val="24"/>
          <w:szCs w:val="24"/>
          <w:lang w:val="sq-AL"/>
        </w:rPr>
      </w:pPr>
      <w:r w:rsidRPr="0058349C">
        <w:rPr>
          <w:rFonts w:ascii="Garamond" w:hAnsi="Garamond"/>
          <w:b/>
          <w:sz w:val="24"/>
          <w:szCs w:val="24"/>
          <w:lang w:val="sq-AL"/>
        </w:rPr>
        <w:t>Nr.</w:t>
      </w:r>
      <w:r w:rsidR="001E5A41" w:rsidRPr="0058349C">
        <w:rPr>
          <w:rFonts w:ascii="Garamond" w:hAnsi="Garamond"/>
          <w:b/>
          <w:sz w:val="24"/>
          <w:szCs w:val="24"/>
          <w:lang w:val="sq-AL"/>
        </w:rPr>
        <w:t xml:space="preserve"> </w:t>
      </w:r>
      <w:r w:rsidR="00C41FB4" w:rsidRPr="0058349C">
        <w:rPr>
          <w:rFonts w:ascii="Garamond" w:hAnsi="Garamond"/>
          <w:b/>
          <w:sz w:val="24"/>
          <w:szCs w:val="24"/>
          <w:lang w:val="sq-AL"/>
        </w:rPr>
        <w:t>460</w:t>
      </w:r>
      <w:r w:rsidR="006C302F" w:rsidRPr="0058349C">
        <w:rPr>
          <w:rFonts w:ascii="Garamond" w:hAnsi="Garamond"/>
          <w:b/>
          <w:sz w:val="24"/>
          <w:szCs w:val="24"/>
          <w:lang w:val="sq-AL"/>
        </w:rPr>
        <w:t xml:space="preserve">, datë </w:t>
      </w:r>
      <w:r w:rsidR="00C41FB4" w:rsidRPr="0058349C">
        <w:rPr>
          <w:rFonts w:ascii="Garamond" w:hAnsi="Garamond"/>
          <w:b/>
          <w:sz w:val="24"/>
          <w:szCs w:val="24"/>
          <w:lang w:val="sq-AL"/>
        </w:rPr>
        <w:t>29.6.2022</w:t>
      </w:r>
    </w:p>
    <w:p w14:paraId="0773AAB5" w14:textId="77777777" w:rsidR="009761D3" w:rsidRPr="0058349C" w:rsidRDefault="009761D3" w:rsidP="00C41FB4">
      <w:pPr>
        <w:spacing w:after="0" w:line="240" w:lineRule="auto"/>
        <w:ind w:firstLine="284"/>
        <w:jc w:val="center"/>
        <w:rPr>
          <w:rFonts w:ascii="Garamond" w:hAnsi="Garamond"/>
          <w:b/>
          <w:sz w:val="24"/>
          <w:szCs w:val="24"/>
          <w:lang w:val="sq-AL"/>
        </w:rPr>
      </w:pPr>
    </w:p>
    <w:p w14:paraId="0773AAB6" w14:textId="402EB16F" w:rsidR="00545638" w:rsidRPr="0058349C" w:rsidRDefault="006C302F" w:rsidP="00C41FB4">
      <w:pPr>
        <w:spacing w:after="0" w:line="240" w:lineRule="auto"/>
        <w:ind w:firstLine="284"/>
        <w:jc w:val="center"/>
        <w:rPr>
          <w:rFonts w:ascii="Garamond" w:hAnsi="Garamond"/>
          <w:b/>
          <w:sz w:val="24"/>
          <w:szCs w:val="24"/>
          <w:lang w:val="sq-AL"/>
        </w:rPr>
      </w:pPr>
      <w:r w:rsidRPr="0058349C">
        <w:rPr>
          <w:rFonts w:ascii="Garamond" w:hAnsi="Garamond"/>
          <w:b/>
          <w:sz w:val="24"/>
          <w:szCs w:val="24"/>
          <w:lang w:val="sq-AL"/>
        </w:rPr>
        <w:t>PËR</w:t>
      </w:r>
      <w:r w:rsidR="00C41FB4" w:rsidRPr="0058349C">
        <w:rPr>
          <w:rFonts w:ascii="Garamond" w:hAnsi="Garamond"/>
          <w:b/>
          <w:sz w:val="24"/>
          <w:szCs w:val="24"/>
          <w:lang w:val="sq-AL"/>
        </w:rPr>
        <w:t xml:space="preserve"> </w:t>
      </w:r>
      <w:r w:rsidR="00DE090C" w:rsidRPr="0058349C">
        <w:rPr>
          <w:rFonts w:ascii="Garamond" w:hAnsi="Garamond"/>
          <w:b/>
          <w:sz w:val="24"/>
          <w:szCs w:val="24"/>
          <w:lang w:val="sq-AL"/>
        </w:rPr>
        <w:t xml:space="preserve">MIRATIMIN E STRATEGJISË </w:t>
      </w:r>
      <w:r w:rsidR="00D679A0" w:rsidRPr="0058349C">
        <w:rPr>
          <w:rFonts w:ascii="Garamond" w:hAnsi="Garamond"/>
          <w:b/>
          <w:sz w:val="24"/>
          <w:szCs w:val="24"/>
          <w:lang w:val="sq-AL"/>
        </w:rPr>
        <w:t>SË</w:t>
      </w:r>
      <w:r w:rsidR="00DE090C" w:rsidRPr="0058349C">
        <w:rPr>
          <w:rFonts w:ascii="Garamond" w:hAnsi="Garamond"/>
          <w:b/>
          <w:sz w:val="24"/>
          <w:szCs w:val="24"/>
          <w:lang w:val="sq-AL"/>
        </w:rPr>
        <w:t xml:space="preserve"> BUJQËSISË, ZHVILLIMIT RURAL DHE PESHKIMIT</w:t>
      </w:r>
      <w:r w:rsidR="0058349C">
        <w:rPr>
          <w:rFonts w:ascii="Garamond" w:hAnsi="Garamond"/>
          <w:b/>
          <w:sz w:val="24"/>
          <w:szCs w:val="24"/>
          <w:lang w:val="sq-AL"/>
        </w:rPr>
        <w:t>,</w:t>
      </w:r>
      <w:r w:rsidR="00DE090C" w:rsidRPr="0058349C">
        <w:rPr>
          <w:rFonts w:ascii="Garamond" w:hAnsi="Garamond"/>
          <w:b/>
          <w:sz w:val="24"/>
          <w:szCs w:val="24"/>
          <w:lang w:val="sq-AL"/>
        </w:rPr>
        <w:t xml:space="preserve"> </w:t>
      </w:r>
      <w:r w:rsidR="00612507" w:rsidRPr="0058349C">
        <w:rPr>
          <w:rFonts w:ascii="Garamond" w:hAnsi="Garamond"/>
          <w:b/>
          <w:sz w:val="24"/>
          <w:szCs w:val="24"/>
          <w:lang w:val="sq-AL"/>
        </w:rPr>
        <w:t>2021–2027</w:t>
      </w:r>
    </w:p>
    <w:p w14:paraId="0773AAB7" w14:textId="77777777" w:rsidR="00C20984" w:rsidRPr="0058349C" w:rsidRDefault="00C20984" w:rsidP="00C41FB4">
      <w:pPr>
        <w:spacing w:after="0" w:line="240" w:lineRule="auto"/>
        <w:ind w:firstLine="284"/>
        <w:jc w:val="both"/>
        <w:rPr>
          <w:rFonts w:ascii="Garamond" w:hAnsi="Garamond"/>
          <w:sz w:val="24"/>
          <w:szCs w:val="24"/>
          <w:lang w:val="sq-AL"/>
        </w:rPr>
      </w:pPr>
    </w:p>
    <w:p w14:paraId="0773AAB8" w14:textId="0BB5E601" w:rsidR="009761D3" w:rsidRPr="0058349C" w:rsidRDefault="009C4EBB" w:rsidP="001E5A41">
      <w:pPr>
        <w:spacing w:after="0" w:line="240" w:lineRule="auto"/>
        <w:ind w:firstLine="284"/>
        <w:jc w:val="both"/>
        <w:rPr>
          <w:rFonts w:ascii="Garamond" w:hAnsi="Garamond"/>
          <w:sz w:val="24"/>
          <w:szCs w:val="24"/>
          <w:lang w:val="sq-AL"/>
        </w:rPr>
      </w:pPr>
      <w:r w:rsidRPr="0058349C">
        <w:rPr>
          <w:rFonts w:ascii="Garamond" w:hAnsi="Garamond"/>
          <w:sz w:val="24"/>
          <w:szCs w:val="24"/>
          <w:lang w:val="sq-AL"/>
        </w:rPr>
        <w:t xml:space="preserve">Në mbështetje të nenit </w:t>
      </w:r>
      <w:r w:rsidR="006C302F" w:rsidRPr="0058349C">
        <w:rPr>
          <w:rFonts w:ascii="Garamond" w:hAnsi="Garamond"/>
          <w:sz w:val="24"/>
          <w:szCs w:val="24"/>
          <w:lang w:val="sq-AL"/>
        </w:rPr>
        <w:t>100 të Kushtetutës</w:t>
      </w:r>
      <w:r w:rsidR="00016A96" w:rsidRPr="0058349C">
        <w:rPr>
          <w:rFonts w:ascii="Garamond" w:hAnsi="Garamond"/>
          <w:sz w:val="24"/>
          <w:szCs w:val="24"/>
          <w:lang w:val="sq-AL"/>
        </w:rPr>
        <w:t xml:space="preserve"> dhe të</w:t>
      </w:r>
      <w:r w:rsidR="00256518" w:rsidRPr="0058349C">
        <w:rPr>
          <w:rFonts w:ascii="Garamond" w:hAnsi="Garamond"/>
          <w:sz w:val="24"/>
          <w:szCs w:val="24"/>
          <w:lang w:val="sq-AL"/>
        </w:rPr>
        <w:t xml:space="preserve"> </w:t>
      </w:r>
      <w:r w:rsidR="00900156" w:rsidRPr="0058349C">
        <w:rPr>
          <w:rFonts w:ascii="Garamond" w:hAnsi="Garamond"/>
          <w:sz w:val="24"/>
          <w:szCs w:val="24"/>
          <w:lang w:val="sq-AL"/>
        </w:rPr>
        <w:t>nenit 4</w:t>
      </w:r>
      <w:r w:rsidR="009761D3" w:rsidRPr="0058349C">
        <w:rPr>
          <w:rFonts w:ascii="Garamond" w:hAnsi="Garamond"/>
          <w:sz w:val="24"/>
          <w:szCs w:val="24"/>
          <w:lang w:val="sq-AL"/>
        </w:rPr>
        <w:t>,</w:t>
      </w:r>
      <w:r w:rsidR="00625B5E" w:rsidRPr="0058349C">
        <w:rPr>
          <w:rFonts w:ascii="Garamond" w:hAnsi="Garamond"/>
          <w:sz w:val="24"/>
          <w:szCs w:val="24"/>
          <w:lang w:val="sq-AL"/>
        </w:rPr>
        <w:t xml:space="preserve"> t</w:t>
      </w:r>
      <w:r w:rsidR="00900156" w:rsidRPr="0058349C">
        <w:rPr>
          <w:rFonts w:ascii="Garamond" w:hAnsi="Garamond"/>
          <w:sz w:val="24"/>
          <w:szCs w:val="24"/>
          <w:lang w:val="sq-AL"/>
        </w:rPr>
        <w:t>ë</w:t>
      </w:r>
      <w:r w:rsidR="00016A96" w:rsidRPr="0058349C">
        <w:rPr>
          <w:rFonts w:ascii="Garamond" w:hAnsi="Garamond"/>
          <w:sz w:val="24"/>
          <w:szCs w:val="24"/>
          <w:lang w:val="sq-AL"/>
        </w:rPr>
        <w:t xml:space="preserve"> l</w:t>
      </w:r>
      <w:r w:rsidR="00625B5E" w:rsidRPr="0058349C">
        <w:rPr>
          <w:rFonts w:ascii="Garamond" w:hAnsi="Garamond"/>
          <w:sz w:val="24"/>
          <w:szCs w:val="24"/>
          <w:lang w:val="sq-AL"/>
        </w:rPr>
        <w:t xml:space="preserve">igjit </w:t>
      </w:r>
      <w:r w:rsidR="00016A96" w:rsidRPr="0058349C">
        <w:rPr>
          <w:rFonts w:ascii="Garamond" w:hAnsi="Garamond"/>
          <w:sz w:val="24"/>
          <w:szCs w:val="24"/>
          <w:lang w:val="sq-AL"/>
        </w:rPr>
        <w:t>nr.</w:t>
      </w:r>
      <w:r w:rsidR="001E5A41" w:rsidRPr="0058349C">
        <w:rPr>
          <w:rFonts w:ascii="Garamond" w:hAnsi="Garamond"/>
          <w:sz w:val="24"/>
          <w:szCs w:val="24"/>
          <w:lang w:val="sq-AL"/>
        </w:rPr>
        <w:t xml:space="preserve"> </w:t>
      </w:r>
      <w:r w:rsidR="00625B5E" w:rsidRPr="0058349C">
        <w:rPr>
          <w:rFonts w:ascii="Garamond" w:hAnsi="Garamond"/>
          <w:sz w:val="24"/>
          <w:szCs w:val="24"/>
          <w:lang w:val="sq-AL"/>
        </w:rPr>
        <w:t>9817</w:t>
      </w:r>
      <w:r w:rsidR="00900156" w:rsidRPr="0058349C">
        <w:rPr>
          <w:rFonts w:ascii="Garamond" w:hAnsi="Garamond"/>
          <w:sz w:val="24"/>
          <w:szCs w:val="24"/>
          <w:lang w:val="sq-AL"/>
        </w:rPr>
        <w:t>,</w:t>
      </w:r>
      <w:r w:rsidR="00CF7694" w:rsidRPr="0058349C">
        <w:rPr>
          <w:rFonts w:ascii="Garamond" w:hAnsi="Garamond"/>
          <w:sz w:val="24"/>
          <w:szCs w:val="24"/>
          <w:lang w:val="sq-AL"/>
        </w:rPr>
        <w:t xml:space="preserve"> </w:t>
      </w:r>
      <w:r w:rsidR="00900156" w:rsidRPr="0058349C">
        <w:rPr>
          <w:rFonts w:ascii="Garamond" w:hAnsi="Garamond"/>
          <w:sz w:val="24"/>
          <w:szCs w:val="24"/>
          <w:lang w:val="sq-AL"/>
        </w:rPr>
        <w:t>datë 22.10.2007</w:t>
      </w:r>
      <w:r w:rsidR="00016A96" w:rsidRPr="0058349C">
        <w:rPr>
          <w:rFonts w:ascii="Garamond" w:hAnsi="Garamond"/>
          <w:sz w:val="24"/>
          <w:szCs w:val="24"/>
          <w:lang w:val="sq-AL"/>
        </w:rPr>
        <w:t>,</w:t>
      </w:r>
      <w:r w:rsidR="00D56192" w:rsidRPr="0058349C">
        <w:rPr>
          <w:rFonts w:ascii="Garamond" w:hAnsi="Garamond"/>
          <w:sz w:val="24"/>
          <w:szCs w:val="24"/>
          <w:lang w:val="sq-AL"/>
        </w:rPr>
        <w:t xml:space="preserve"> </w:t>
      </w:r>
      <w:r w:rsidR="00664693" w:rsidRPr="0058349C">
        <w:rPr>
          <w:rFonts w:ascii="Garamond" w:hAnsi="Garamond"/>
          <w:sz w:val="24"/>
          <w:szCs w:val="24"/>
          <w:lang w:val="sq-AL"/>
        </w:rPr>
        <w:t>“</w:t>
      </w:r>
      <w:r w:rsidR="00D56192" w:rsidRPr="0058349C">
        <w:rPr>
          <w:rFonts w:ascii="Garamond" w:hAnsi="Garamond"/>
          <w:sz w:val="24"/>
          <w:szCs w:val="24"/>
          <w:lang w:val="sq-AL"/>
        </w:rPr>
        <w:t>Për</w:t>
      </w:r>
      <w:r w:rsidR="00625B5E" w:rsidRPr="0058349C">
        <w:rPr>
          <w:rFonts w:ascii="Garamond" w:hAnsi="Garamond"/>
          <w:sz w:val="24"/>
          <w:szCs w:val="24"/>
          <w:lang w:val="sq-AL"/>
        </w:rPr>
        <w:t xml:space="preserve"> bujq</w:t>
      </w:r>
      <w:r w:rsidR="00900156" w:rsidRPr="0058349C">
        <w:rPr>
          <w:rFonts w:ascii="Garamond" w:hAnsi="Garamond"/>
          <w:sz w:val="24"/>
          <w:szCs w:val="24"/>
          <w:lang w:val="sq-AL"/>
        </w:rPr>
        <w:t>ë</w:t>
      </w:r>
      <w:r w:rsidR="00625B5E" w:rsidRPr="0058349C">
        <w:rPr>
          <w:rFonts w:ascii="Garamond" w:hAnsi="Garamond"/>
          <w:sz w:val="24"/>
          <w:szCs w:val="24"/>
          <w:lang w:val="sq-AL"/>
        </w:rPr>
        <w:t>sin</w:t>
      </w:r>
      <w:r w:rsidR="00900156" w:rsidRPr="0058349C">
        <w:rPr>
          <w:rFonts w:ascii="Garamond" w:hAnsi="Garamond"/>
          <w:sz w:val="24"/>
          <w:szCs w:val="24"/>
          <w:lang w:val="sq-AL"/>
        </w:rPr>
        <w:t>ë</w:t>
      </w:r>
      <w:r w:rsidR="00625B5E" w:rsidRPr="0058349C">
        <w:rPr>
          <w:rFonts w:ascii="Garamond" w:hAnsi="Garamond"/>
          <w:sz w:val="24"/>
          <w:szCs w:val="24"/>
          <w:lang w:val="sq-AL"/>
        </w:rPr>
        <w:t xml:space="preserve"> dhe zhvillimin rural</w:t>
      </w:r>
      <w:r w:rsidR="00664693" w:rsidRPr="0058349C">
        <w:rPr>
          <w:rFonts w:ascii="Garamond" w:hAnsi="Garamond"/>
          <w:sz w:val="24"/>
          <w:szCs w:val="24"/>
          <w:lang w:val="sq-AL"/>
        </w:rPr>
        <w:t>”</w:t>
      </w:r>
      <w:r w:rsidR="00625B5E" w:rsidRPr="0058349C">
        <w:rPr>
          <w:rFonts w:ascii="Garamond" w:hAnsi="Garamond"/>
          <w:sz w:val="24"/>
          <w:szCs w:val="24"/>
          <w:lang w:val="sq-AL"/>
        </w:rPr>
        <w:t xml:space="preserve">, </w:t>
      </w:r>
      <w:r w:rsidR="00D06EEC" w:rsidRPr="0058349C">
        <w:rPr>
          <w:rFonts w:ascii="Garamond" w:hAnsi="Garamond"/>
          <w:sz w:val="24"/>
          <w:szCs w:val="24"/>
          <w:lang w:val="sq-AL"/>
        </w:rPr>
        <w:t>me propozimin e m</w:t>
      </w:r>
      <w:r w:rsidR="006C302F" w:rsidRPr="0058349C">
        <w:rPr>
          <w:rFonts w:ascii="Garamond" w:hAnsi="Garamond"/>
          <w:sz w:val="24"/>
          <w:szCs w:val="24"/>
          <w:lang w:val="sq-AL"/>
        </w:rPr>
        <w:t xml:space="preserve">inistrit të </w:t>
      </w:r>
      <w:r w:rsidR="00625B5E" w:rsidRPr="0058349C">
        <w:rPr>
          <w:rFonts w:ascii="Garamond" w:hAnsi="Garamond"/>
          <w:sz w:val="24"/>
          <w:szCs w:val="24"/>
          <w:lang w:val="sq-AL"/>
        </w:rPr>
        <w:t>Bujq</w:t>
      </w:r>
      <w:r w:rsidR="00900156" w:rsidRPr="0058349C">
        <w:rPr>
          <w:rFonts w:ascii="Garamond" w:hAnsi="Garamond"/>
          <w:sz w:val="24"/>
          <w:szCs w:val="24"/>
          <w:lang w:val="sq-AL"/>
        </w:rPr>
        <w:t>ë</w:t>
      </w:r>
      <w:r w:rsidR="00625B5E" w:rsidRPr="0058349C">
        <w:rPr>
          <w:rFonts w:ascii="Garamond" w:hAnsi="Garamond"/>
          <w:sz w:val="24"/>
          <w:szCs w:val="24"/>
          <w:lang w:val="sq-AL"/>
        </w:rPr>
        <w:t>sis</w:t>
      </w:r>
      <w:r w:rsidR="00900156" w:rsidRPr="0058349C">
        <w:rPr>
          <w:rFonts w:ascii="Garamond" w:hAnsi="Garamond"/>
          <w:sz w:val="24"/>
          <w:szCs w:val="24"/>
          <w:lang w:val="sq-AL"/>
        </w:rPr>
        <w:t>ë</w:t>
      </w:r>
      <w:r w:rsidR="00625B5E" w:rsidRPr="0058349C">
        <w:rPr>
          <w:rFonts w:ascii="Garamond" w:hAnsi="Garamond"/>
          <w:sz w:val="24"/>
          <w:szCs w:val="24"/>
          <w:lang w:val="sq-AL"/>
        </w:rPr>
        <w:t xml:space="preserve"> dhe Zhvillimit Rural</w:t>
      </w:r>
      <w:r w:rsidR="006C302F" w:rsidRPr="0058349C">
        <w:rPr>
          <w:rFonts w:ascii="Garamond" w:hAnsi="Garamond"/>
          <w:sz w:val="24"/>
          <w:szCs w:val="24"/>
          <w:lang w:val="sq-AL"/>
        </w:rPr>
        <w:t>, Këshilli i Ministrave</w:t>
      </w:r>
    </w:p>
    <w:p w14:paraId="0773AAB9" w14:textId="77777777" w:rsidR="00016A96" w:rsidRPr="0058349C" w:rsidRDefault="00016A96" w:rsidP="00C41FB4">
      <w:pPr>
        <w:spacing w:after="0" w:line="240" w:lineRule="auto"/>
        <w:ind w:firstLine="284"/>
        <w:jc w:val="both"/>
        <w:rPr>
          <w:rFonts w:ascii="Garamond" w:hAnsi="Garamond"/>
          <w:sz w:val="24"/>
          <w:szCs w:val="24"/>
          <w:lang w:val="sq-AL"/>
        </w:rPr>
      </w:pPr>
    </w:p>
    <w:p w14:paraId="0773AABA" w14:textId="77777777" w:rsidR="006C302F" w:rsidRPr="0058349C" w:rsidRDefault="00C41FB4" w:rsidP="00C41FB4">
      <w:pPr>
        <w:spacing w:after="0" w:line="240" w:lineRule="auto"/>
        <w:ind w:firstLine="284"/>
        <w:jc w:val="center"/>
        <w:rPr>
          <w:rFonts w:ascii="Garamond" w:hAnsi="Garamond"/>
          <w:sz w:val="24"/>
          <w:szCs w:val="24"/>
          <w:lang w:val="sq-AL"/>
        </w:rPr>
      </w:pPr>
      <w:r w:rsidRPr="0058349C">
        <w:rPr>
          <w:rFonts w:ascii="Garamond" w:hAnsi="Garamond"/>
          <w:sz w:val="24"/>
          <w:szCs w:val="24"/>
          <w:lang w:val="sq-AL"/>
        </w:rPr>
        <w:t>VENDOS</w:t>
      </w:r>
      <w:r w:rsidR="006C302F" w:rsidRPr="0058349C">
        <w:rPr>
          <w:rFonts w:ascii="Garamond" w:hAnsi="Garamond"/>
          <w:sz w:val="24"/>
          <w:szCs w:val="24"/>
          <w:lang w:val="sq-AL"/>
        </w:rPr>
        <w:t>I:</w:t>
      </w:r>
    </w:p>
    <w:p w14:paraId="0773AABB" w14:textId="77777777" w:rsidR="006C302F" w:rsidRPr="0058349C" w:rsidRDefault="006C302F" w:rsidP="00C41FB4">
      <w:pPr>
        <w:spacing w:after="0" w:line="240" w:lineRule="auto"/>
        <w:ind w:firstLine="284"/>
        <w:jc w:val="both"/>
        <w:rPr>
          <w:rFonts w:ascii="Garamond" w:hAnsi="Garamond"/>
          <w:sz w:val="24"/>
          <w:szCs w:val="24"/>
          <w:lang w:val="sq-AL"/>
        </w:rPr>
      </w:pPr>
    </w:p>
    <w:p w14:paraId="0773AABC" w14:textId="49CF184A" w:rsidR="00F947A1" w:rsidRPr="0058349C" w:rsidRDefault="00C41FB4" w:rsidP="00071588">
      <w:pPr>
        <w:pStyle w:val="TEKSTIIII"/>
        <w:rPr>
          <w:lang w:val="sq-AL"/>
        </w:rPr>
      </w:pPr>
      <w:r w:rsidRPr="0058349C">
        <w:rPr>
          <w:lang w:val="sq-AL"/>
        </w:rPr>
        <w:t xml:space="preserve">1. </w:t>
      </w:r>
      <w:r w:rsidR="006C302F" w:rsidRPr="0058349C">
        <w:rPr>
          <w:lang w:val="sq-AL"/>
        </w:rPr>
        <w:t xml:space="preserve">Miratimin e </w:t>
      </w:r>
      <w:r w:rsidR="00545638" w:rsidRPr="0058349C">
        <w:rPr>
          <w:lang w:val="sq-AL"/>
        </w:rPr>
        <w:t xml:space="preserve">Strategjisë </w:t>
      </w:r>
      <w:r w:rsidR="00D679A0" w:rsidRPr="0058349C">
        <w:rPr>
          <w:lang w:val="sq-AL"/>
        </w:rPr>
        <w:t>s</w:t>
      </w:r>
      <w:r w:rsidR="00D75D2F" w:rsidRPr="0058349C">
        <w:rPr>
          <w:lang w:val="sq-AL"/>
        </w:rPr>
        <w:t>ë</w:t>
      </w:r>
      <w:r w:rsidR="00D679A0" w:rsidRPr="0058349C">
        <w:rPr>
          <w:lang w:val="sq-AL"/>
        </w:rPr>
        <w:t xml:space="preserve"> Bujq</w:t>
      </w:r>
      <w:r w:rsidR="00D75D2F" w:rsidRPr="0058349C">
        <w:rPr>
          <w:lang w:val="sq-AL"/>
        </w:rPr>
        <w:t>ë</w:t>
      </w:r>
      <w:r w:rsidR="00D679A0" w:rsidRPr="0058349C">
        <w:rPr>
          <w:lang w:val="sq-AL"/>
        </w:rPr>
        <w:t>sis</w:t>
      </w:r>
      <w:r w:rsidR="00D75D2F" w:rsidRPr="0058349C">
        <w:rPr>
          <w:lang w:val="sq-AL"/>
        </w:rPr>
        <w:t>ë</w:t>
      </w:r>
      <w:r w:rsidR="00D679A0" w:rsidRPr="0058349C">
        <w:rPr>
          <w:lang w:val="sq-AL"/>
        </w:rPr>
        <w:t>, Zhvillimit Rural dhe Peshkimit</w:t>
      </w:r>
      <w:r w:rsidR="00CF7694" w:rsidRPr="0058349C">
        <w:rPr>
          <w:lang w:val="sq-AL"/>
        </w:rPr>
        <w:t xml:space="preserve"> </w:t>
      </w:r>
      <w:r w:rsidR="00612507" w:rsidRPr="0058349C">
        <w:rPr>
          <w:lang w:val="sq-AL"/>
        </w:rPr>
        <w:t>2021–2027</w:t>
      </w:r>
      <w:r w:rsidR="00256518" w:rsidRPr="0058349C">
        <w:rPr>
          <w:lang w:val="sq-AL"/>
        </w:rPr>
        <w:t>, si</w:t>
      </w:r>
      <w:r w:rsidR="001A7C42" w:rsidRPr="0058349C">
        <w:rPr>
          <w:lang w:val="sq-AL"/>
        </w:rPr>
        <w:t>pas tekstit</w:t>
      </w:r>
      <w:r w:rsidR="00016A96" w:rsidRPr="0058349C">
        <w:rPr>
          <w:lang w:val="sq-AL"/>
        </w:rPr>
        <w:t xml:space="preserve"> që i bashkëlidhet</w:t>
      </w:r>
      <w:r w:rsidR="001A7C42" w:rsidRPr="0058349C">
        <w:rPr>
          <w:lang w:val="sq-AL"/>
        </w:rPr>
        <w:t xml:space="preserve"> kë</w:t>
      </w:r>
      <w:r w:rsidR="00F947A1" w:rsidRPr="0058349C">
        <w:rPr>
          <w:lang w:val="sq-AL"/>
        </w:rPr>
        <w:t xml:space="preserve">tij vendimi </w:t>
      </w:r>
      <w:r w:rsidR="00016A96" w:rsidRPr="0058349C">
        <w:rPr>
          <w:lang w:val="sq-AL"/>
        </w:rPr>
        <w:t xml:space="preserve">dhe është </w:t>
      </w:r>
      <w:r w:rsidR="00F947A1" w:rsidRPr="0058349C">
        <w:rPr>
          <w:lang w:val="sq-AL"/>
        </w:rPr>
        <w:t>pjesë përbërëse e tij.</w:t>
      </w:r>
    </w:p>
    <w:p w14:paraId="0773AABD" w14:textId="77777777" w:rsidR="006C302F" w:rsidRPr="0058349C" w:rsidRDefault="00C41FB4" w:rsidP="00071588">
      <w:pPr>
        <w:pStyle w:val="TEKSTIIII"/>
        <w:rPr>
          <w:lang w:val="sq-AL"/>
        </w:rPr>
      </w:pPr>
      <w:r w:rsidRPr="0058349C">
        <w:rPr>
          <w:lang w:val="sq-AL"/>
        </w:rPr>
        <w:t xml:space="preserve">2. </w:t>
      </w:r>
      <w:r w:rsidR="00016A96" w:rsidRPr="0058349C">
        <w:rPr>
          <w:lang w:val="sq-AL"/>
        </w:rPr>
        <w:t>Ngarkohen</w:t>
      </w:r>
      <w:r w:rsidR="00020958" w:rsidRPr="0058349C">
        <w:rPr>
          <w:lang w:val="sq-AL"/>
        </w:rPr>
        <w:t xml:space="preserve"> Ministria e Bujqësisë dhe Zhvillimit Rural dhe Ministria e Financave dhe Ekonomisë</w:t>
      </w:r>
      <w:r w:rsidR="00016A96" w:rsidRPr="0058349C">
        <w:rPr>
          <w:lang w:val="sq-AL"/>
        </w:rPr>
        <w:t xml:space="preserve"> për zbatimin e këtij vendimi</w:t>
      </w:r>
      <w:r w:rsidR="00E33AF1" w:rsidRPr="0058349C">
        <w:rPr>
          <w:lang w:val="sq-AL"/>
        </w:rPr>
        <w:t>.</w:t>
      </w:r>
    </w:p>
    <w:p w14:paraId="0773AABE" w14:textId="77777777" w:rsidR="006C302F" w:rsidRPr="0058349C" w:rsidRDefault="006C302F" w:rsidP="00C41FB4">
      <w:pPr>
        <w:spacing w:after="0" w:line="240" w:lineRule="auto"/>
        <w:ind w:firstLine="284"/>
        <w:jc w:val="both"/>
        <w:rPr>
          <w:rFonts w:ascii="Garamond" w:hAnsi="Garamond"/>
          <w:sz w:val="24"/>
          <w:szCs w:val="24"/>
          <w:lang w:val="sq-AL"/>
        </w:rPr>
      </w:pPr>
      <w:r w:rsidRPr="0058349C">
        <w:rPr>
          <w:rFonts w:ascii="Garamond" w:hAnsi="Garamond"/>
          <w:sz w:val="24"/>
          <w:szCs w:val="24"/>
          <w:lang w:val="sq-AL"/>
        </w:rPr>
        <w:t xml:space="preserve">Ky vendim hyn në fuqi pas botimit në </w:t>
      </w:r>
      <w:r w:rsidR="00016A96" w:rsidRPr="0058349C">
        <w:rPr>
          <w:rFonts w:ascii="Garamond" w:hAnsi="Garamond"/>
          <w:sz w:val="24"/>
          <w:szCs w:val="24"/>
          <w:lang w:val="sq-AL"/>
        </w:rPr>
        <w:t xml:space="preserve">Fletoren </w:t>
      </w:r>
      <w:r w:rsidR="00C41FB4" w:rsidRPr="0058349C">
        <w:rPr>
          <w:rFonts w:ascii="Garamond" w:hAnsi="Garamond"/>
          <w:sz w:val="24"/>
          <w:szCs w:val="24"/>
          <w:lang w:val="sq-AL"/>
        </w:rPr>
        <w:t>Zyrtare</w:t>
      </w:r>
      <w:r w:rsidRPr="0058349C">
        <w:rPr>
          <w:rFonts w:ascii="Garamond" w:hAnsi="Garamond"/>
          <w:sz w:val="24"/>
          <w:szCs w:val="24"/>
          <w:lang w:val="sq-AL"/>
        </w:rPr>
        <w:t>.</w:t>
      </w:r>
    </w:p>
    <w:p w14:paraId="0773AABF" w14:textId="77777777" w:rsidR="006C302F" w:rsidRPr="0058349C" w:rsidRDefault="006C302F" w:rsidP="00C41FB4">
      <w:pPr>
        <w:spacing w:after="0" w:line="240" w:lineRule="auto"/>
        <w:ind w:firstLine="284"/>
        <w:jc w:val="both"/>
        <w:rPr>
          <w:rFonts w:ascii="Garamond" w:hAnsi="Garamond"/>
          <w:sz w:val="24"/>
          <w:szCs w:val="24"/>
          <w:lang w:val="sq-AL"/>
        </w:rPr>
      </w:pPr>
    </w:p>
    <w:p w14:paraId="0773AAC0" w14:textId="77777777" w:rsidR="0041581D" w:rsidRPr="0058349C" w:rsidRDefault="00C41FB4" w:rsidP="00C41FB4">
      <w:pPr>
        <w:spacing w:after="0" w:line="240" w:lineRule="auto"/>
        <w:ind w:firstLine="284"/>
        <w:jc w:val="right"/>
        <w:rPr>
          <w:rFonts w:ascii="Garamond" w:hAnsi="Garamond"/>
          <w:sz w:val="24"/>
          <w:szCs w:val="24"/>
          <w:lang w:val="sq-AL"/>
        </w:rPr>
      </w:pPr>
      <w:r w:rsidRPr="0058349C">
        <w:rPr>
          <w:rFonts w:ascii="Garamond" w:hAnsi="Garamond"/>
          <w:sz w:val="24"/>
          <w:szCs w:val="24"/>
          <w:lang w:val="sq-AL"/>
        </w:rPr>
        <w:t>ZËVENDËSKRYEMINISTËR</w:t>
      </w:r>
    </w:p>
    <w:p w14:paraId="0773AAC1" w14:textId="77777777" w:rsidR="0041581D" w:rsidRPr="0058349C" w:rsidRDefault="00C41FB4" w:rsidP="00C41FB4">
      <w:pPr>
        <w:spacing w:after="0" w:line="240" w:lineRule="auto"/>
        <w:ind w:firstLine="284"/>
        <w:jc w:val="right"/>
        <w:rPr>
          <w:rFonts w:ascii="Garamond" w:hAnsi="Garamond"/>
          <w:b/>
          <w:sz w:val="24"/>
          <w:szCs w:val="24"/>
          <w:lang w:val="sq-AL"/>
        </w:rPr>
      </w:pPr>
      <w:r w:rsidRPr="0058349C">
        <w:rPr>
          <w:rFonts w:ascii="Garamond" w:hAnsi="Garamond"/>
          <w:b/>
          <w:sz w:val="24"/>
          <w:szCs w:val="24"/>
          <w:lang w:val="sq-AL"/>
        </w:rPr>
        <w:t>Arben Ahmetaj</w:t>
      </w:r>
    </w:p>
    <w:p w14:paraId="0773AAC2" w14:textId="77777777" w:rsidR="00071588" w:rsidRPr="0058349C" w:rsidRDefault="00071588" w:rsidP="00071588">
      <w:pPr>
        <w:spacing w:after="0" w:line="240" w:lineRule="auto"/>
        <w:ind w:firstLine="284"/>
        <w:jc w:val="both"/>
        <w:rPr>
          <w:rFonts w:ascii="Garamond" w:hAnsi="Garamond"/>
          <w:b/>
          <w:sz w:val="24"/>
          <w:szCs w:val="24"/>
          <w:lang w:val="sq-AL"/>
        </w:rPr>
      </w:pPr>
    </w:p>
    <w:p w14:paraId="0773AAC3" w14:textId="77777777" w:rsidR="00071588" w:rsidRPr="0058349C" w:rsidRDefault="00071588" w:rsidP="00071588">
      <w:pPr>
        <w:spacing w:after="0" w:line="240" w:lineRule="auto"/>
        <w:ind w:firstLine="284"/>
        <w:jc w:val="center"/>
        <w:rPr>
          <w:rFonts w:ascii="Garamond" w:hAnsi="Garamond"/>
          <w:b/>
          <w:sz w:val="24"/>
          <w:szCs w:val="24"/>
          <w:lang w:val="sq-AL"/>
        </w:rPr>
      </w:pPr>
    </w:p>
    <w:p w14:paraId="0773AAC4" w14:textId="233DCF9A" w:rsidR="00071588" w:rsidRPr="0058349C" w:rsidRDefault="0058349C" w:rsidP="00071588">
      <w:pPr>
        <w:spacing w:after="0" w:line="240" w:lineRule="auto"/>
        <w:ind w:firstLine="284"/>
        <w:jc w:val="center"/>
        <w:rPr>
          <w:rFonts w:ascii="Garamond" w:hAnsi="Garamond"/>
          <w:b/>
          <w:sz w:val="24"/>
          <w:szCs w:val="24"/>
          <w:lang w:val="sq-AL"/>
        </w:rPr>
      </w:pPr>
      <w:r w:rsidRPr="0058349C">
        <w:rPr>
          <w:rFonts w:ascii="Garamond" w:hAnsi="Garamond"/>
          <w:b/>
          <w:sz w:val="24"/>
          <w:szCs w:val="24"/>
          <w:lang w:val="sq-AL"/>
        </w:rPr>
        <w:t>STRATEGJIA E BUJQËSISË, ZHVILLIMIT RURAL DHE PESHKIMIT</w:t>
      </w:r>
      <w:r>
        <w:rPr>
          <w:rFonts w:ascii="Garamond" w:hAnsi="Garamond"/>
          <w:b/>
          <w:sz w:val="24"/>
          <w:szCs w:val="24"/>
          <w:lang w:val="sq-AL"/>
        </w:rPr>
        <w:t>,</w:t>
      </w:r>
      <w:r w:rsidRPr="0058349C">
        <w:rPr>
          <w:rFonts w:ascii="Garamond" w:hAnsi="Garamond"/>
          <w:b/>
          <w:sz w:val="24"/>
          <w:szCs w:val="24"/>
          <w:lang w:val="sq-AL"/>
        </w:rPr>
        <w:t xml:space="preserve"> 2021–2027</w:t>
      </w:r>
    </w:p>
    <w:p w14:paraId="0773AAC5" w14:textId="5027D5B1" w:rsidR="003D6DBD" w:rsidRPr="0058349C" w:rsidRDefault="0058349C" w:rsidP="00071588">
      <w:pPr>
        <w:spacing w:after="0" w:line="240" w:lineRule="auto"/>
        <w:ind w:firstLine="284"/>
        <w:jc w:val="center"/>
        <w:rPr>
          <w:rFonts w:ascii="Garamond" w:hAnsi="Garamond"/>
          <w:b/>
          <w:sz w:val="24"/>
          <w:szCs w:val="24"/>
          <w:lang w:val="sq-AL"/>
        </w:rPr>
      </w:pPr>
      <w:r w:rsidRPr="0058349C">
        <w:rPr>
          <w:rFonts w:ascii="Garamond" w:hAnsi="Garamond"/>
          <w:b/>
          <w:sz w:val="24"/>
          <w:szCs w:val="24"/>
          <w:lang w:val="sq-AL"/>
        </w:rPr>
        <w:t>TIRANË, MAJ 2022</w:t>
      </w:r>
    </w:p>
    <w:p w14:paraId="0773AAC6" w14:textId="77777777" w:rsidR="00071588" w:rsidRPr="0058349C" w:rsidRDefault="00071588" w:rsidP="00071588">
      <w:pPr>
        <w:spacing w:after="0" w:line="240" w:lineRule="auto"/>
        <w:ind w:firstLine="284"/>
        <w:jc w:val="center"/>
        <w:rPr>
          <w:rFonts w:ascii="Garamond" w:hAnsi="Garamond"/>
          <w:b/>
          <w:sz w:val="24"/>
          <w:szCs w:val="24"/>
          <w:lang w:val="sq-AL"/>
        </w:rPr>
      </w:pPr>
    </w:p>
    <w:p w14:paraId="0773AAC7" w14:textId="5436D74E" w:rsidR="00A61C64" w:rsidRPr="0058349C" w:rsidRDefault="00A61C64" w:rsidP="00A61C64">
      <w:pPr>
        <w:pStyle w:val="TEKSTIIII"/>
        <w:rPr>
          <w:lang w:val="sq-AL"/>
        </w:rPr>
      </w:pPr>
      <w:r w:rsidRPr="0058349C">
        <w:rPr>
          <w:lang w:val="sq-AL"/>
        </w:rPr>
        <w:t xml:space="preserve">Tabela e </w:t>
      </w:r>
      <w:r w:rsidR="0058349C" w:rsidRPr="0058349C">
        <w:rPr>
          <w:lang w:val="sq-AL"/>
        </w:rPr>
        <w:t>përmbajtjes</w:t>
      </w:r>
    </w:p>
    <w:p w14:paraId="0773AAC8" w14:textId="5BBE447E" w:rsidR="00A61C64" w:rsidRPr="0058349C" w:rsidRDefault="00A61C64" w:rsidP="004A4E3F">
      <w:pPr>
        <w:pStyle w:val="TEKSTIIII"/>
        <w:rPr>
          <w:lang w:val="sq-AL"/>
        </w:rPr>
      </w:pPr>
      <w:r w:rsidRPr="0058349C">
        <w:rPr>
          <w:lang w:val="sq-AL"/>
        </w:rPr>
        <w:t>1</w:t>
      </w:r>
      <w:r w:rsidR="009F769C">
        <w:rPr>
          <w:lang w:val="sq-AL"/>
        </w:rPr>
        <w:t>.</w:t>
      </w:r>
      <w:r w:rsidRPr="0058349C">
        <w:rPr>
          <w:lang w:val="sq-AL"/>
        </w:rPr>
        <w:t xml:space="preserve"> Pjesa I</w:t>
      </w:r>
      <w:r w:rsidR="004A4E3F">
        <w:rPr>
          <w:lang w:val="sq-AL"/>
        </w:rPr>
        <w:t>:</w:t>
      </w:r>
      <w:r w:rsidRPr="0058349C">
        <w:rPr>
          <w:lang w:val="sq-AL"/>
        </w:rPr>
        <w:t xml:space="preserve"> Konteksti strategjik </w:t>
      </w:r>
    </w:p>
    <w:p w14:paraId="0773AAC9" w14:textId="77777777" w:rsidR="00A61C64" w:rsidRPr="0058349C" w:rsidRDefault="00A61C64" w:rsidP="00A61C64">
      <w:pPr>
        <w:pStyle w:val="TEKSTIIII"/>
        <w:rPr>
          <w:lang w:val="sq-AL"/>
        </w:rPr>
      </w:pPr>
      <w:r w:rsidRPr="0058349C">
        <w:rPr>
          <w:lang w:val="sq-AL"/>
        </w:rPr>
        <w:t xml:space="preserve">1.1 Qëllimi i strategjisë </w:t>
      </w:r>
    </w:p>
    <w:p w14:paraId="0773AACA" w14:textId="77777777" w:rsidR="00A61C64" w:rsidRPr="0058349C" w:rsidRDefault="00A61C64" w:rsidP="00A61C64">
      <w:pPr>
        <w:pStyle w:val="TEKSTIIII"/>
        <w:rPr>
          <w:lang w:val="sq-AL"/>
        </w:rPr>
      </w:pPr>
      <w:r w:rsidRPr="0058349C">
        <w:rPr>
          <w:lang w:val="sq-AL"/>
        </w:rPr>
        <w:t xml:space="preserve">1.2 Metodologjia </w:t>
      </w:r>
    </w:p>
    <w:p w14:paraId="0773AACB" w14:textId="3B5E6C24" w:rsidR="00A61C64" w:rsidRPr="0058349C" w:rsidRDefault="00A61C64" w:rsidP="00A61C64">
      <w:pPr>
        <w:pStyle w:val="TEKSTIIII"/>
        <w:rPr>
          <w:lang w:val="sq-AL"/>
        </w:rPr>
      </w:pPr>
      <w:r w:rsidRPr="0058349C">
        <w:rPr>
          <w:lang w:val="sq-AL"/>
        </w:rPr>
        <w:t xml:space="preserve">1.3 </w:t>
      </w:r>
      <w:r w:rsidR="00CF7694" w:rsidRPr="0058349C">
        <w:rPr>
          <w:lang w:val="sq-AL"/>
        </w:rPr>
        <w:t>Përmbushja e vizionit/</w:t>
      </w:r>
      <w:r w:rsidRPr="0058349C">
        <w:rPr>
          <w:lang w:val="sq-AL"/>
        </w:rPr>
        <w:t>objektivave</w:t>
      </w:r>
      <w:r w:rsidR="00CF7694" w:rsidRPr="0058349C">
        <w:rPr>
          <w:lang w:val="sq-AL"/>
        </w:rPr>
        <w:t xml:space="preserve"> </w:t>
      </w:r>
      <w:r w:rsidRPr="0058349C">
        <w:rPr>
          <w:lang w:val="sq-AL"/>
        </w:rPr>
        <w:t xml:space="preserve">të Strategjisë për Zhvillim dhe Integrim (SKZHI) për Bujqësinë, Zhvillimin Rural dhe Peshkimin </w:t>
      </w:r>
    </w:p>
    <w:p w14:paraId="0773AACC" w14:textId="440699CC" w:rsidR="00A61C64" w:rsidRPr="0058349C" w:rsidRDefault="00A61C64" w:rsidP="00A61C64">
      <w:pPr>
        <w:pStyle w:val="TEKSTIIII"/>
        <w:rPr>
          <w:lang w:val="sq-AL"/>
        </w:rPr>
      </w:pPr>
      <w:r w:rsidRPr="0058349C">
        <w:rPr>
          <w:lang w:val="sq-AL"/>
        </w:rPr>
        <w:t xml:space="preserve">1.4 Objektivat e Qeverisë Shqiptare në programin e periudhës </w:t>
      </w:r>
      <w:r w:rsidR="00612507" w:rsidRPr="0058349C">
        <w:rPr>
          <w:lang w:val="sq-AL"/>
        </w:rPr>
        <w:t>2021–2025</w:t>
      </w:r>
      <w:r w:rsidRPr="0058349C">
        <w:rPr>
          <w:lang w:val="sq-AL"/>
        </w:rPr>
        <w:t xml:space="preserve"> dhe kontributi i SBZHRP 2021</w:t>
      </w:r>
      <w:r w:rsidR="00612507" w:rsidRPr="0058349C">
        <w:rPr>
          <w:lang w:val="sq-AL"/>
        </w:rPr>
        <w:t>–</w:t>
      </w:r>
      <w:r w:rsidRPr="0058349C">
        <w:rPr>
          <w:lang w:val="sq-AL"/>
        </w:rPr>
        <w:t xml:space="preserve">2027 në përmbushjen e tyre </w:t>
      </w:r>
    </w:p>
    <w:p w14:paraId="0773AACD" w14:textId="1264DB0D" w:rsidR="00A61C64" w:rsidRPr="0058349C" w:rsidRDefault="00A61C64" w:rsidP="00A61C64">
      <w:pPr>
        <w:pStyle w:val="TEKSTIIII"/>
        <w:rPr>
          <w:lang w:val="sq-AL"/>
        </w:rPr>
      </w:pPr>
      <w:r w:rsidRPr="0058349C">
        <w:rPr>
          <w:lang w:val="sq-AL"/>
        </w:rPr>
        <w:t xml:space="preserve">1.5 Ndërlidhja me </w:t>
      </w:r>
      <w:r w:rsidR="0058349C" w:rsidRPr="0058349C">
        <w:rPr>
          <w:lang w:val="sq-AL"/>
        </w:rPr>
        <w:t>objektivat për zhvillim të qëndrueshëm dhe agj</w:t>
      </w:r>
      <w:r w:rsidRPr="0058349C">
        <w:rPr>
          <w:lang w:val="sq-AL"/>
        </w:rPr>
        <w:t xml:space="preserve">enda 2030 </w:t>
      </w:r>
    </w:p>
    <w:p w14:paraId="0773AACE" w14:textId="6662C8C9" w:rsidR="00A61C64" w:rsidRPr="0058349C" w:rsidRDefault="00A61C64" w:rsidP="00A61C64">
      <w:pPr>
        <w:pStyle w:val="TEKSTIIII"/>
        <w:rPr>
          <w:lang w:val="sq-AL"/>
        </w:rPr>
      </w:pPr>
      <w:r w:rsidRPr="0058349C">
        <w:rPr>
          <w:lang w:val="sq-AL"/>
        </w:rPr>
        <w:t xml:space="preserve">1.6 Barazia gjinore, të drejtat e pakicave dhe grupet e </w:t>
      </w:r>
      <w:r w:rsidR="0058349C" w:rsidRPr="0058349C">
        <w:rPr>
          <w:lang w:val="sq-AL"/>
        </w:rPr>
        <w:t>cenueshme</w:t>
      </w:r>
      <w:r w:rsidRPr="0058349C">
        <w:rPr>
          <w:lang w:val="sq-AL"/>
        </w:rPr>
        <w:t xml:space="preserve"> </w:t>
      </w:r>
    </w:p>
    <w:p w14:paraId="0773AACF" w14:textId="09970999" w:rsidR="00A61C64" w:rsidRPr="0058349C" w:rsidRDefault="00A61C64" w:rsidP="00A61C64">
      <w:pPr>
        <w:pStyle w:val="TEKSTIIII"/>
        <w:rPr>
          <w:lang w:val="sq-AL"/>
        </w:rPr>
      </w:pPr>
      <w:r w:rsidRPr="0058349C">
        <w:rPr>
          <w:lang w:val="sq-AL"/>
        </w:rPr>
        <w:t>1.7 Ndërlidhja me kuadrin e politikave përkatëse të BE-së</w:t>
      </w:r>
      <w:r w:rsidR="000C430D">
        <w:rPr>
          <w:lang w:val="sq-AL"/>
        </w:rPr>
        <w:t>,</w:t>
      </w:r>
      <w:r w:rsidRPr="0058349C">
        <w:rPr>
          <w:lang w:val="sq-AL"/>
        </w:rPr>
        <w:t xml:space="preserve"> në kuadër të procesit të integrimit </w:t>
      </w:r>
      <w:r w:rsidR="000C430D" w:rsidRPr="0058349C">
        <w:rPr>
          <w:lang w:val="sq-AL"/>
        </w:rPr>
        <w:t xml:space="preserve">evropian </w:t>
      </w:r>
    </w:p>
    <w:p w14:paraId="0773AAD0" w14:textId="2D5673A9" w:rsidR="00A61C64" w:rsidRPr="0058349C" w:rsidRDefault="00A61C64" w:rsidP="00A61C64">
      <w:pPr>
        <w:pStyle w:val="TEKSTIIII"/>
        <w:rPr>
          <w:lang w:val="sq-AL"/>
        </w:rPr>
      </w:pPr>
      <w:r w:rsidRPr="0058349C">
        <w:rPr>
          <w:lang w:val="sq-AL"/>
        </w:rPr>
        <w:t>2</w:t>
      </w:r>
      <w:r w:rsidR="009F769C">
        <w:rPr>
          <w:lang w:val="sq-AL"/>
        </w:rPr>
        <w:t>.</w:t>
      </w:r>
      <w:r w:rsidRPr="0058349C">
        <w:rPr>
          <w:lang w:val="sq-AL"/>
        </w:rPr>
        <w:t xml:space="preserve"> Kuadri ligjor, institucional dhe arritjet kryesore </w:t>
      </w:r>
    </w:p>
    <w:p w14:paraId="0773AAD1" w14:textId="6112C00A" w:rsidR="00A61C64" w:rsidRPr="0058349C" w:rsidRDefault="00A61C64" w:rsidP="00A61C64">
      <w:pPr>
        <w:pStyle w:val="TEKSTIIII"/>
        <w:rPr>
          <w:lang w:val="sq-AL"/>
        </w:rPr>
      </w:pPr>
      <w:r w:rsidRPr="0058349C">
        <w:rPr>
          <w:lang w:val="sq-AL"/>
        </w:rPr>
        <w:t xml:space="preserve">2.1 Kuadri </w:t>
      </w:r>
      <w:r w:rsidR="000C430D" w:rsidRPr="0058349C">
        <w:rPr>
          <w:lang w:val="sq-AL"/>
        </w:rPr>
        <w:t xml:space="preserve">ligjor </w:t>
      </w:r>
    </w:p>
    <w:p w14:paraId="0773AAD2" w14:textId="6D31A547" w:rsidR="00A61C64" w:rsidRPr="0058349C" w:rsidRDefault="00A61C64" w:rsidP="000C430D">
      <w:pPr>
        <w:pStyle w:val="TEKSTIIII"/>
        <w:rPr>
          <w:lang w:val="sq-AL"/>
        </w:rPr>
      </w:pPr>
      <w:r w:rsidRPr="0058349C">
        <w:rPr>
          <w:lang w:val="sq-AL"/>
        </w:rPr>
        <w:t>2.2 Dokumentet strategjik</w:t>
      </w:r>
      <w:r w:rsidR="000C430D">
        <w:rPr>
          <w:lang w:val="sq-AL"/>
        </w:rPr>
        <w:t>e</w:t>
      </w:r>
      <w:r w:rsidRPr="0058349C">
        <w:rPr>
          <w:lang w:val="sq-AL"/>
        </w:rPr>
        <w:t xml:space="preserve"> </w:t>
      </w:r>
    </w:p>
    <w:p w14:paraId="0773AAD3" w14:textId="77777777" w:rsidR="00A61C64" w:rsidRPr="0058349C" w:rsidRDefault="00A61C64" w:rsidP="00A61C64">
      <w:pPr>
        <w:pStyle w:val="TEKSTIIII"/>
        <w:rPr>
          <w:lang w:val="sq-AL"/>
        </w:rPr>
      </w:pPr>
      <w:r w:rsidRPr="0058349C">
        <w:rPr>
          <w:lang w:val="sq-AL"/>
        </w:rPr>
        <w:t xml:space="preserve">2.3 Arritjet dhe mësimet </w:t>
      </w:r>
    </w:p>
    <w:p w14:paraId="0773AAD4" w14:textId="77777777" w:rsidR="00A61C64" w:rsidRPr="0058349C" w:rsidRDefault="00A61C64" w:rsidP="00A61C64">
      <w:pPr>
        <w:pStyle w:val="TEKSTIIII"/>
        <w:rPr>
          <w:lang w:val="sq-AL"/>
        </w:rPr>
      </w:pPr>
      <w:r w:rsidRPr="0058349C">
        <w:rPr>
          <w:lang w:val="sq-AL"/>
        </w:rPr>
        <w:t xml:space="preserve">2.4 Fuqizimi i kapaciteteve të burimeve njerëzore </w:t>
      </w:r>
    </w:p>
    <w:p w14:paraId="0773AAD5" w14:textId="689FE4B9" w:rsidR="00A61C64" w:rsidRPr="0058349C" w:rsidRDefault="00A61C64" w:rsidP="004A4E3F">
      <w:pPr>
        <w:pStyle w:val="TEKSTIIII"/>
        <w:rPr>
          <w:lang w:val="sq-AL"/>
        </w:rPr>
      </w:pPr>
      <w:r w:rsidRPr="0058349C">
        <w:rPr>
          <w:lang w:val="sq-AL"/>
        </w:rPr>
        <w:t>3</w:t>
      </w:r>
      <w:r w:rsidR="009F769C">
        <w:rPr>
          <w:lang w:val="sq-AL"/>
        </w:rPr>
        <w:t>.</w:t>
      </w:r>
      <w:r w:rsidRPr="0058349C">
        <w:rPr>
          <w:lang w:val="sq-AL"/>
        </w:rPr>
        <w:t xml:space="preserve"> Pjesa II</w:t>
      </w:r>
      <w:r w:rsidR="004A4E3F">
        <w:rPr>
          <w:lang w:val="sq-AL"/>
        </w:rPr>
        <w:t>:</w:t>
      </w:r>
      <w:r w:rsidRPr="0058349C">
        <w:rPr>
          <w:lang w:val="sq-AL"/>
        </w:rPr>
        <w:t xml:space="preserve"> Vizioni, politikat, objektivat e përgjithshëm dhe objektivat specifikë </w:t>
      </w:r>
    </w:p>
    <w:p w14:paraId="0773AAD6" w14:textId="77777777" w:rsidR="00A61C64" w:rsidRPr="0058349C" w:rsidRDefault="00A61C64" w:rsidP="00A61C64">
      <w:pPr>
        <w:pStyle w:val="TEKSTIIII"/>
        <w:rPr>
          <w:lang w:val="sq-AL"/>
        </w:rPr>
      </w:pPr>
      <w:r w:rsidRPr="0058349C">
        <w:rPr>
          <w:lang w:val="sq-AL"/>
        </w:rPr>
        <w:t xml:space="preserve">3.1 Situata e përgjithshme në bujqësi dhe zonat rurale </w:t>
      </w:r>
    </w:p>
    <w:p w14:paraId="0773AAD7" w14:textId="77777777" w:rsidR="00A61C64" w:rsidRPr="0058349C" w:rsidRDefault="00A61C64" w:rsidP="00A61C64">
      <w:pPr>
        <w:pStyle w:val="TEKSTIIII"/>
        <w:rPr>
          <w:lang w:val="sq-AL"/>
        </w:rPr>
      </w:pPr>
      <w:r w:rsidRPr="0058349C">
        <w:rPr>
          <w:lang w:val="sq-AL"/>
        </w:rPr>
        <w:t xml:space="preserve">Politikat dhe objektivat e përgjithshëm </w:t>
      </w:r>
    </w:p>
    <w:p w14:paraId="0773AAD8" w14:textId="28A35178" w:rsidR="00A61C64" w:rsidRPr="0058349C" w:rsidRDefault="00A61C64" w:rsidP="004A4E3F">
      <w:pPr>
        <w:pStyle w:val="TEKSTIIII"/>
        <w:rPr>
          <w:lang w:val="sq-AL"/>
        </w:rPr>
      </w:pPr>
      <w:r w:rsidRPr="0058349C">
        <w:rPr>
          <w:lang w:val="sq-AL"/>
        </w:rPr>
        <w:t>Politika 1</w:t>
      </w:r>
      <w:r w:rsidR="004A4E3F">
        <w:rPr>
          <w:lang w:val="sq-AL"/>
        </w:rPr>
        <w:t>:</w:t>
      </w:r>
      <w:r w:rsidRPr="0058349C">
        <w:rPr>
          <w:lang w:val="sq-AL"/>
        </w:rPr>
        <w:t xml:space="preserve"> Zhvillimi i qëndrueshëm i bujqësisë dhe i zonave rurale </w:t>
      </w:r>
    </w:p>
    <w:p w14:paraId="0773AAD9" w14:textId="760A8120" w:rsidR="00A61C64" w:rsidRPr="0058349C" w:rsidRDefault="00A61C64" w:rsidP="004A4E3F">
      <w:pPr>
        <w:pStyle w:val="TEKSTIIII"/>
        <w:rPr>
          <w:lang w:val="sq-AL"/>
        </w:rPr>
      </w:pPr>
      <w:r w:rsidRPr="0058349C">
        <w:rPr>
          <w:lang w:val="sq-AL"/>
        </w:rPr>
        <w:t>Politika 2</w:t>
      </w:r>
      <w:r w:rsidR="004A4E3F">
        <w:rPr>
          <w:lang w:val="sq-AL"/>
        </w:rPr>
        <w:t xml:space="preserve">: </w:t>
      </w:r>
      <w:r w:rsidRPr="0058349C">
        <w:rPr>
          <w:lang w:val="sq-AL"/>
        </w:rPr>
        <w:t>Zhvillimi i qëndrueshëm i peshkimit</w:t>
      </w:r>
      <w:r w:rsidR="00CF7694" w:rsidRPr="0058349C">
        <w:rPr>
          <w:lang w:val="sq-AL"/>
        </w:rPr>
        <w:t xml:space="preserve"> </w:t>
      </w:r>
      <w:r w:rsidRPr="0058349C">
        <w:rPr>
          <w:lang w:val="sq-AL"/>
        </w:rPr>
        <w:t xml:space="preserve">dhe </w:t>
      </w:r>
      <w:r w:rsidR="004A4E3F">
        <w:rPr>
          <w:lang w:val="sq-AL"/>
        </w:rPr>
        <w:t xml:space="preserve">i </w:t>
      </w:r>
      <w:r w:rsidRPr="0058349C">
        <w:rPr>
          <w:lang w:val="sq-AL"/>
        </w:rPr>
        <w:t xml:space="preserve">ekonomisë blu </w:t>
      </w:r>
    </w:p>
    <w:p w14:paraId="0773AADA" w14:textId="08E937B3" w:rsidR="00A61C64" w:rsidRPr="0058349C" w:rsidRDefault="00A61C64" w:rsidP="004A4E3F">
      <w:pPr>
        <w:pStyle w:val="TEKSTIIII"/>
        <w:rPr>
          <w:lang w:val="sq-AL"/>
        </w:rPr>
      </w:pPr>
      <w:r w:rsidRPr="0058349C">
        <w:rPr>
          <w:lang w:val="sq-AL"/>
        </w:rPr>
        <w:t>Politika 3</w:t>
      </w:r>
      <w:r w:rsidR="004A4E3F">
        <w:rPr>
          <w:lang w:val="sq-AL"/>
        </w:rPr>
        <w:t>:</w:t>
      </w:r>
      <w:r w:rsidRPr="0058349C">
        <w:rPr>
          <w:lang w:val="sq-AL"/>
        </w:rPr>
        <w:t xml:space="preserve"> Zhvillimi kapaciteteve administrative dhe institucionale, bashkëpunimi i aktorëve, inovacioni dhe digjitalizimi </w:t>
      </w:r>
    </w:p>
    <w:p w14:paraId="0773AADB" w14:textId="77777777" w:rsidR="00A61C64" w:rsidRPr="0058349C" w:rsidRDefault="00A61C64" w:rsidP="00A61C64">
      <w:pPr>
        <w:pStyle w:val="TEKSTIIII"/>
        <w:rPr>
          <w:lang w:val="sq-AL"/>
        </w:rPr>
      </w:pPr>
      <w:r w:rsidRPr="0058349C">
        <w:rPr>
          <w:lang w:val="sq-AL"/>
        </w:rPr>
        <w:t xml:space="preserve">3.2 Situata në lidhje me politikat respektive </w:t>
      </w:r>
    </w:p>
    <w:p w14:paraId="0773AADC" w14:textId="317E2B2A" w:rsidR="00A61C64" w:rsidRPr="0058349C" w:rsidRDefault="00A61C64" w:rsidP="005E7846">
      <w:pPr>
        <w:pStyle w:val="TEKSTIIII"/>
        <w:rPr>
          <w:lang w:val="sq-AL"/>
        </w:rPr>
      </w:pPr>
      <w:r w:rsidRPr="0058349C">
        <w:rPr>
          <w:lang w:val="sq-AL"/>
        </w:rPr>
        <w:lastRenderedPageBreak/>
        <w:t>3.2.1 Politika 1</w:t>
      </w:r>
      <w:r w:rsidR="005E7846">
        <w:rPr>
          <w:lang w:val="sq-AL"/>
        </w:rPr>
        <w:t>:</w:t>
      </w:r>
      <w:r w:rsidRPr="0058349C">
        <w:rPr>
          <w:lang w:val="sq-AL"/>
        </w:rPr>
        <w:t xml:space="preserve"> </w:t>
      </w:r>
      <w:r w:rsidR="005E7846" w:rsidRPr="0058349C">
        <w:rPr>
          <w:lang w:val="sq-AL"/>
        </w:rPr>
        <w:t xml:space="preserve">Objektivi </w:t>
      </w:r>
      <w:r w:rsidRPr="0058349C">
        <w:rPr>
          <w:lang w:val="sq-AL"/>
        </w:rPr>
        <w:t xml:space="preserve">i përgjithshëm 1: Promovimi i prodhimit të qëndrueshëm dhe </w:t>
      </w:r>
      <w:r w:rsidR="004A4E3F">
        <w:rPr>
          <w:lang w:val="sq-AL"/>
        </w:rPr>
        <w:t xml:space="preserve">i </w:t>
      </w:r>
      <w:r w:rsidRPr="0058349C">
        <w:rPr>
          <w:lang w:val="sq-AL"/>
        </w:rPr>
        <w:t xml:space="preserve">cilësisë së ushqimit nëpërmjet zhvillimit të një sektori konkurrues dhe inovativ agroushqimor </w:t>
      </w:r>
    </w:p>
    <w:p w14:paraId="0773AADD" w14:textId="4EB9865E" w:rsidR="00A61C64" w:rsidRPr="0058349C" w:rsidRDefault="00A61C64" w:rsidP="005E7846">
      <w:pPr>
        <w:pStyle w:val="TEKSTIIII"/>
        <w:rPr>
          <w:lang w:val="sq-AL"/>
        </w:rPr>
      </w:pPr>
      <w:r w:rsidRPr="0058349C">
        <w:rPr>
          <w:lang w:val="sq-AL"/>
        </w:rPr>
        <w:t>3.2.1.1 Politika 1</w:t>
      </w:r>
      <w:r w:rsidR="005E7846">
        <w:rPr>
          <w:lang w:val="sq-AL"/>
        </w:rPr>
        <w:t>:</w:t>
      </w:r>
      <w:r w:rsidRPr="0058349C">
        <w:rPr>
          <w:lang w:val="sq-AL"/>
        </w:rPr>
        <w:t xml:space="preserve"> </w:t>
      </w:r>
      <w:r w:rsidR="005E7846" w:rsidRPr="0058349C">
        <w:rPr>
          <w:lang w:val="sq-AL"/>
        </w:rPr>
        <w:t xml:space="preserve">Objektivi </w:t>
      </w:r>
      <w:r w:rsidRPr="0058349C">
        <w:rPr>
          <w:lang w:val="sq-AL"/>
        </w:rPr>
        <w:t xml:space="preserve">specifik 1: Rritja e qëndrueshmërisë dhe </w:t>
      </w:r>
      <w:r w:rsidR="009F35A2">
        <w:rPr>
          <w:lang w:val="sq-AL"/>
        </w:rPr>
        <w:t xml:space="preserve">e </w:t>
      </w:r>
      <w:r w:rsidRPr="009F35A2">
        <w:rPr>
          <w:lang w:val="sq-AL"/>
        </w:rPr>
        <w:t>reziliencës</w:t>
      </w:r>
      <w:r w:rsidRPr="0058349C">
        <w:rPr>
          <w:lang w:val="sq-AL"/>
        </w:rPr>
        <w:t xml:space="preserve">/elasticitetit të fermave </w:t>
      </w:r>
    </w:p>
    <w:p w14:paraId="0773AADE" w14:textId="393FC231" w:rsidR="00A61C64" w:rsidRPr="0058349C" w:rsidRDefault="00A61C64" w:rsidP="005E7846">
      <w:pPr>
        <w:pStyle w:val="TEKSTIIII"/>
        <w:rPr>
          <w:lang w:val="sq-AL"/>
        </w:rPr>
      </w:pPr>
      <w:r w:rsidRPr="0058349C">
        <w:rPr>
          <w:lang w:val="sq-AL"/>
        </w:rPr>
        <w:t>3.2.1.2 Politika 1</w:t>
      </w:r>
      <w:r w:rsidR="005E7846">
        <w:rPr>
          <w:lang w:val="sq-AL"/>
        </w:rPr>
        <w:t>:</w:t>
      </w:r>
      <w:r w:rsidRPr="0058349C">
        <w:rPr>
          <w:lang w:val="sq-AL"/>
        </w:rPr>
        <w:t xml:space="preserve"> </w:t>
      </w:r>
      <w:r w:rsidR="005E7846" w:rsidRPr="0058349C">
        <w:rPr>
          <w:lang w:val="sq-AL"/>
        </w:rPr>
        <w:t xml:space="preserve">Objektivi </w:t>
      </w:r>
      <w:r w:rsidRPr="0058349C">
        <w:rPr>
          <w:lang w:val="sq-AL"/>
        </w:rPr>
        <w:t xml:space="preserve">specifik 2: Rritja e konkurrueshmërisë dhe </w:t>
      </w:r>
      <w:r w:rsidR="004A4E3F">
        <w:rPr>
          <w:lang w:val="sq-AL"/>
        </w:rPr>
        <w:t xml:space="preserve">e </w:t>
      </w:r>
      <w:r w:rsidRPr="0058349C">
        <w:rPr>
          <w:lang w:val="sq-AL"/>
        </w:rPr>
        <w:t xml:space="preserve">orientimit drejt tregut të sektorit agroushqimor </w:t>
      </w:r>
    </w:p>
    <w:p w14:paraId="0773AADF" w14:textId="316FA241" w:rsidR="00A61C64" w:rsidRPr="0058349C" w:rsidRDefault="00A61C64" w:rsidP="005E7846">
      <w:pPr>
        <w:pStyle w:val="TEKSTIIII"/>
        <w:rPr>
          <w:lang w:val="sq-AL"/>
        </w:rPr>
      </w:pPr>
      <w:r w:rsidRPr="0058349C">
        <w:rPr>
          <w:lang w:val="sq-AL"/>
        </w:rPr>
        <w:t>3.2.1.3 Politika 1</w:t>
      </w:r>
      <w:r w:rsidR="005E7846">
        <w:rPr>
          <w:lang w:val="sq-AL"/>
        </w:rPr>
        <w:t>:</w:t>
      </w:r>
      <w:r w:rsidRPr="0058349C">
        <w:rPr>
          <w:lang w:val="sq-AL"/>
        </w:rPr>
        <w:t xml:space="preserve"> </w:t>
      </w:r>
      <w:r w:rsidR="005E7846" w:rsidRPr="0058349C">
        <w:rPr>
          <w:lang w:val="sq-AL"/>
        </w:rPr>
        <w:t xml:space="preserve">Objektivi </w:t>
      </w:r>
      <w:r w:rsidRPr="0058349C">
        <w:rPr>
          <w:lang w:val="sq-AL"/>
        </w:rPr>
        <w:t>specifik 3: Përmirësimi i reagimit ndaj kërkesave të kon</w:t>
      </w:r>
      <w:r w:rsidR="004A4E3F">
        <w:rPr>
          <w:lang w:val="sq-AL"/>
        </w:rPr>
        <w:t>sumatorëve për ushqim të sigurt</w:t>
      </w:r>
      <w:r w:rsidRPr="0058349C">
        <w:rPr>
          <w:lang w:val="sq-AL"/>
        </w:rPr>
        <w:t xml:space="preserve">, me vlera të larta ushqyese dhe të qëndrueshëm </w:t>
      </w:r>
    </w:p>
    <w:p w14:paraId="0773AAE0" w14:textId="696F0608" w:rsidR="00A61C64" w:rsidRPr="0058349C" w:rsidRDefault="00A61C64" w:rsidP="00A61C64">
      <w:pPr>
        <w:pStyle w:val="TEKSTIIII"/>
        <w:rPr>
          <w:lang w:val="sq-AL"/>
        </w:rPr>
      </w:pPr>
      <w:r w:rsidRPr="0058349C">
        <w:rPr>
          <w:lang w:val="sq-AL"/>
        </w:rPr>
        <w:t xml:space="preserve">Identifikimi i ndërhyrjeve sipas nevojave për mbështetje në kuadër të </w:t>
      </w:r>
      <w:r w:rsidR="004A4E3F" w:rsidRPr="0058349C">
        <w:rPr>
          <w:lang w:val="sq-AL"/>
        </w:rPr>
        <w:t xml:space="preserve">politikës </w:t>
      </w:r>
      <w:r w:rsidRPr="0058349C">
        <w:rPr>
          <w:lang w:val="sq-AL"/>
        </w:rPr>
        <w:t xml:space="preserve">1, </w:t>
      </w:r>
      <w:r w:rsidR="004A4E3F" w:rsidRPr="0058349C">
        <w:rPr>
          <w:lang w:val="sq-AL"/>
        </w:rPr>
        <w:t xml:space="preserve">objektivit </w:t>
      </w:r>
      <w:r w:rsidRPr="0058349C">
        <w:rPr>
          <w:lang w:val="sq-AL"/>
        </w:rPr>
        <w:t xml:space="preserve">të përgjithshëm 1 </w:t>
      </w:r>
    </w:p>
    <w:p w14:paraId="0773AAE1" w14:textId="657906C2" w:rsidR="00A61C64" w:rsidRPr="0058349C" w:rsidRDefault="00A61C64" w:rsidP="005E7846">
      <w:pPr>
        <w:pStyle w:val="TEKSTIIII"/>
        <w:rPr>
          <w:lang w:val="sq-AL"/>
        </w:rPr>
      </w:pPr>
      <w:r w:rsidRPr="0058349C">
        <w:rPr>
          <w:lang w:val="sq-AL"/>
        </w:rPr>
        <w:t>3.2.2 Politika 1</w:t>
      </w:r>
      <w:r w:rsidR="005E7846">
        <w:rPr>
          <w:lang w:val="sq-AL"/>
        </w:rPr>
        <w:t>:</w:t>
      </w:r>
      <w:r w:rsidRPr="0058349C">
        <w:rPr>
          <w:lang w:val="sq-AL"/>
        </w:rPr>
        <w:t xml:space="preserve"> </w:t>
      </w:r>
      <w:r w:rsidR="005E7846" w:rsidRPr="0058349C">
        <w:rPr>
          <w:lang w:val="sq-AL"/>
        </w:rPr>
        <w:t xml:space="preserve">Objektivi </w:t>
      </w:r>
      <w:r w:rsidRPr="0058349C">
        <w:rPr>
          <w:lang w:val="sq-AL"/>
        </w:rPr>
        <w:t xml:space="preserve">i përgjithshëm 2: Menaxhimi i qëndrueshëm i burimeve natyrore dhe veprimeve lidhur me klimën </w:t>
      </w:r>
    </w:p>
    <w:p w14:paraId="0773AAE2" w14:textId="1C83E771" w:rsidR="00A61C64" w:rsidRPr="0058349C" w:rsidRDefault="00A61C64" w:rsidP="005E7846">
      <w:pPr>
        <w:pStyle w:val="TEKSTIIII"/>
        <w:rPr>
          <w:lang w:val="sq-AL"/>
        </w:rPr>
      </w:pPr>
      <w:r w:rsidRPr="0058349C">
        <w:rPr>
          <w:lang w:val="sq-AL"/>
        </w:rPr>
        <w:t>3.2.2.1 Politika 1</w:t>
      </w:r>
      <w:r w:rsidR="005E7846">
        <w:rPr>
          <w:lang w:val="sq-AL"/>
        </w:rPr>
        <w:t>:</w:t>
      </w:r>
      <w:r w:rsidRPr="0058349C">
        <w:rPr>
          <w:lang w:val="sq-AL"/>
        </w:rPr>
        <w:t xml:space="preserve"> </w:t>
      </w:r>
      <w:r w:rsidR="005E7846" w:rsidRPr="0058349C">
        <w:rPr>
          <w:lang w:val="sq-AL"/>
        </w:rPr>
        <w:t xml:space="preserve">Objektivi </w:t>
      </w:r>
      <w:r w:rsidRPr="0058349C">
        <w:rPr>
          <w:lang w:val="sq-AL"/>
        </w:rPr>
        <w:t xml:space="preserve">specifik 4: Kontributi në zbutjen dhe përshtatjen ndaj ndryshimeve klimatike, si dhe në energjinë e rinovueshme </w:t>
      </w:r>
    </w:p>
    <w:p w14:paraId="0773AAE3" w14:textId="7D33D5DC" w:rsidR="00A61C64" w:rsidRPr="0058349C" w:rsidRDefault="00A61C64" w:rsidP="005E7846">
      <w:pPr>
        <w:pStyle w:val="TEKSTIIII"/>
        <w:rPr>
          <w:lang w:val="sq-AL"/>
        </w:rPr>
      </w:pPr>
      <w:r w:rsidRPr="0058349C">
        <w:rPr>
          <w:lang w:val="sq-AL"/>
        </w:rPr>
        <w:t>3.2.2.2 Politika 1</w:t>
      </w:r>
      <w:r w:rsidR="005E7846">
        <w:rPr>
          <w:lang w:val="sq-AL"/>
        </w:rPr>
        <w:t>:</w:t>
      </w:r>
      <w:r w:rsidRPr="0058349C">
        <w:rPr>
          <w:lang w:val="sq-AL"/>
        </w:rPr>
        <w:t xml:space="preserve"> </w:t>
      </w:r>
      <w:r w:rsidR="005E7846" w:rsidRPr="0058349C">
        <w:rPr>
          <w:lang w:val="sq-AL"/>
        </w:rPr>
        <w:t xml:space="preserve">Objektivi </w:t>
      </w:r>
      <w:r w:rsidRPr="0058349C">
        <w:rPr>
          <w:lang w:val="sq-AL"/>
        </w:rPr>
        <w:t xml:space="preserve">specifik 5: Nxitja e menaxhimit të qëndrueshëm dhe të efektshëm të burimeve natyrore </w:t>
      </w:r>
    </w:p>
    <w:p w14:paraId="0773AAE4" w14:textId="4BEC6256" w:rsidR="00A61C64" w:rsidRPr="0058349C" w:rsidRDefault="00A61C64" w:rsidP="005E7846">
      <w:pPr>
        <w:pStyle w:val="TEKSTIIII"/>
        <w:rPr>
          <w:lang w:val="sq-AL"/>
        </w:rPr>
      </w:pPr>
      <w:r w:rsidRPr="0058349C">
        <w:rPr>
          <w:lang w:val="sq-AL"/>
        </w:rPr>
        <w:t>3.2.2.3 Politika 1</w:t>
      </w:r>
      <w:r w:rsidR="005E7846">
        <w:rPr>
          <w:lang w:val="sq-AL"/>
        </w:rPr>
        <w:t>:</w:t>
      </w:r>
      <w:r w:rsidRPr="0058349C">
        <w:rPr>
          <w:lang w:val="sq-AL"/>
        </w:rPr>
        <w:t xml:space="preserve"> </w:t>
      </w:r>
      <w:r w:rsidR="005E7846" w:rsidRPr="0058349C">
        <w:rPr>
          <w:lang w:val="sq-AL"/>
        </w:rPr>
        <w:t xml:space="preserve">Objektivi </w:t>
      </w:r>
      <w:r w:rsidRPr="0058349C">
        <w:rPr>
          <w:lang w:val="sq-AL"/>
        </w:rPr>
        <w:t>specifik 6: Mbrojtja e biodiversitetit, rritja e shërbimeve të ekosistemit dhe rua</w:t>
      </w:r>
      <w:r w:rsidR="004A4E3F">
        <w:rPr>
          <w:lang w:val="sq-AL"/>
        </w:rPr>
        <w:t>jtja e habitateve dhe peizazhit</w:t>
      </w:r>
    </w:p>
    <w:p w14:paraId="0773AAE5" w14:textId="3CF3C570" w:rsidR="00A61C64" w:rsidRPr="0058349C" w:rsidRDefault="00A61C64" w:rsidP="00A61C64">
      <w:pPr>
        <w:pStyle w:val="TEKSTIIII"/>
        <w:rPr>
          <w:lang w:val="sq-AL"/>
        </w:rPr>
      </w:pPr>
      <w:r w:rsidRPr="0058349C">
        <w:rPr>
          <w:lang w:val="sq-AL"/>
        </w:rPr>
        <w:t xml:space="preserve">Identifikimi i ndërhyrjeve sipas nevojave në kuadër të </w:t>
      </w:r>
      <w:r w:rsidR="004A4E3F" w:rsidRPr="0058349C">
        <w:rPr>
          <w:lang w:val="sq-AL"/>
        </w:rPr>
        <w:t xml:space="preserve">politikës 1, objektivit të </w:t>
      </w:r>
      <w:r w:rsidRPr="0058349C">
        <w:rPr>
          <w:lang w:val="sq-AL"/>
        </w:rPr>
        <w:t xml:space="preserve">përgjithshëm 2 </w:t>
      </w:r>
    </w:p>
    <w:p w14:paraId="0773AAE6" w14:textId="038D3C43" w:rsidR="00A61C64" w:rsidRPr="0058349C" w:rsidRDefault="00A61C64" w:rsidP="005E7846">
      <w:pPr>
        <w:pStyle w:val="TEKSTIIII"/>
        <w:rPr>
          <w:lang w:val="sq-AL"/>
        </w:rPr>
      </w:pPr>
      <w:r w:rsidRPr="0058349C">
        <w:rPr>
          <w:lang w:val="sq-AL"/>
        </w:rPr>
        <w:t>3.2.3 Politika 1</w:t>
      </w:r>
      <w:r w:rsidR="005E7846">
        <w:rPr>
          <w:lang w:val="sq-AL"/>
        </w:rPr>
        <w:t>:</w:t>
      </w:r>
      <w:r w:rsidRPr="0058349C">
        <w:rPr>
          <w:lang w:val="sq-AL"/>
        </w:rPr>
        <w:t xml:space="preserve"> </w:t>
      </w:r>
      <w:r w:rsidR="005E7846" w:rsidRPr="0058349C">
        <w:rPr>
          <w:lang w:val="sq-AL"/>
        </w:rPr>
        <w:t xml:space="preserve">Objektivi </w:t>
      </w:r>
      <w:r w:rsidRPr="0058349C">
        <w:rPr>
          <w:lang w:val="sq-AL"/>
        </w:rPr>
        <w:t xml:space="preserve">i përgjithshëm 3: Forcimi i strukturës sociale-ekonomike të zonave rurale </w:t>
      </w:r>
    </w:p>
    <w:p w14:paraId="0773AAE7" w14:textId="272B3766" w:rsidR="00A61C64" w:rsidRPr="0058349C" w:rsidRDefault="00A61C64" w:rsidP="005E7846">
      <w:pPr>
        <w:pStyle w:val="TEKSTIIII"/>
        <w:rPr>
          <w:lang w:val="sq-AL"/>
        </w:rPr>
      </w:pPr>
      <w:r w:rsidRPr="0058349C">
        <w:rPr>
          <w:lang w:val="sq-AL"/>
        </w:rPr>
        <w:t>3.2.3.1 Politika 1</w:t>
      </w:r>
      <w:r w:rsidR="005E7846">
        <w:rPr>
          <w:lang w:val="sq-AL"/>
        </w:rPr>
        <w:t>:</w:t>
      </w:r>
      <w:r w:rsidRPr="0058349C">
        <w:rPr>
          <w:lang w:val="sq-AL"/>
        </w:rPr>
        <w:t xml:space="preserve"> </w:t>
      </w:r>
      <w:r w:rsidR="005E7846" w:rsidRPr="0058349C">
        <w:rPr>
          <w:lang w:val="sq-AL"/>
        </w:rPr>
        <w:t xml:space="preserve">Objektivi </w:t>
      </w:r>
      <w:r w:rsidRPr="0058349C">
        <w:rPr>
          <w:lang w:val="sq-AL"/>
        </w:rPr>
        <w:t>specifik 7: Forcimi i punësimit rural dhe i zhvillimit</w:t>
      </w:r>
      <w:r w:rsidR="00CF7694" w:rsidRPr="0058349C">
        <w:rPr>
          <w:lang w:val="sq-AL"/>
        </w:rPr>
        <w:t xml:space="preserve"> </w:t>
      </w:r>
      <w:r w:rsidRPr="0058349C">
        <w:rPr>
          <w:lang w:val="sq-AL"/>
        </w:rPr>
        <w:t xml:space="preserve">të biznesit </w:t>
      </w:r>
    </w:p>
    <w:p w14:paraId="0773AAE8" w14:textId="5144DFA6" w:rsidR="00A61C64" w:rsidRPr="0058349C" w:rsidRDefault="00A61C64" w:rsidP="005E7846">
      <w:pPr>
        <w:pStyle w:val="TEKSTIIII"/>
        <w:rPr>
          <w:lang w:val="sq-AL"/>
        </w:rPr>
      </w:pPr>
      <w:r w:rsidRPr="0058349C">
        <w:rPr>
          <w:lang w:val="sq-AL"/>
        </w:rPr>
        <w:t>3.2.3.2 Politika 3</w:t>
      </w:r>
      <w:r w:rsidR="005E7846">
        <w:rPr>
          <w:lang w:val="sq-AL"/>
        </w:rPr>
        <w:t>:</w:t>
      </w:r>
      <w:r w:rsidRPr="0058349C">
        <w:rPr>
          <w:lang w:val="sq-AL"/>
        </w:rPr>
        <w:t xml:space="preserve"> </w:t>
      </w:r>
      <w:r w:rsidR="005E7846" w:rsidRPr="0058349C">
        <w:rPr>
          <w:lang w:val="sq-AL"/>
        </w:rPr>
        <w:t xml:space="preserve">Objektivi </w:t>
      </w:r>
      <w:r w:rsidRPr="0058349C">
        <w:rPr>
          <w:lang w:val="sq-AL"/>
        </w:rPr>
        <w:t xml:space="preserve">specifik 8: Forcimi i formimit të kapitalit social për iniciativat e zhvillimit lokal gjithëpërfshirës </w:t>
      </w:r>
    </w:p>
    <w:p w14:paraId="0773AAE9" w14:textId="4EDDCBD5" w:rsidR="00A61C64" w:rsidRPr="0058349C" w:rsidRDefault="00A61C64" w:rsidP="00A61C64">
      <w:pPr>
        <w:pStyle w:val="TEKSTIIII"/>
        <w:rPr>
          <w:lang w:val="sq-AL"/>
        </w:rPr>
      </w:pPr>
      <w:r w:rsidRPr="0058349C">
        <w:rPr>
          <w:lang w:val="sq-AL"/>
        </w:rPr>
        <w:t>Identifikimi i ndërhyrjeve</w:t>
      </w:r>
      <w:r w:rsidR="005E7846">
        <w:rPr>
          <w:lang w:val="sq-AL"/>
        </w:rPr>
        <w:t>,</w:t>
      </w:r>
      <w:r w:rsidRPr="0058349C">
        <w:rPr>
          <w:lang w:val="sq-AL"/>
        </w:rPr>
        <w:t xml:space="preserve"> sipas nevojave në kuadër të politikës 1, objektivit të përgjithshëm 3 46</w:t>
      </w:r>
    </w:p>
    <w:p w14:paraId="0773AAEA" w14:textId="1C88CA0D" w:rsidR="00A61C64" w:rsidRPr="0058349C" w:rsidRDefault="00A61C64" w:rsidP="005E7846">
      <w:pPr>
        <w:pStyle w:val="TEKSTIIII"/>
        <w:rPr>
          <w:lang w:val="sq-AL"/>
        </w:rPr>
      </w:pPr>
      <w:r w:rsidRPr="0058349C">
        <w:rPr>
          <w:lang w:val="sq-AL"/>
        </w:rPr>
        <w:t>3.2.4 Politika 2</w:t>
      </w:r>
      <w:r w:rsidR="005E7846">
        <w:rPr>
          <w:lang w:val="sq-AL"/>
        </w:rPr>
        <w:t>:</w:t>
      </w:r>
      <w:r w:rsidRPr="0058349C">
        <w:rPr>
          <w:lang w:val="sq-AL"/>
        </w:rPr>
        <w:t xml:space="preserve"> </w:t>
      </w:r>
      <w:r w:rsidR="005E7846" w:rsidRPr="0058349C">
        <w:rPr>
          <w:lang w:val="sq-AL"/>
        </w:rPr>
        <w:t xml:space="preserve">Objektivi </w:t>
      </w:r>
      <w:r w:rsidRPr="0058349C">
        <w:rPr>
          <w:lang w:val="sq-AL"/>
        </w:rPr>
        <w:t>i përgjithshëm 4: Nxitja e zhvillimit të qëndrueshëm të peshkimit deta</w:t>
      </w:r>
      <w:r w:rsidR="005E7846">
        <w:rPr>
          <w:lang w:val="sq-AL"/>
        </w:rPr>
        <w:t>r dhe të ujërave të brendshme</w:t>
      </w:r>
    </w:p>
    <w:p w14:paraId="0773AAEB" w14:textId="3A78D153" w:rsidR="00A61C64" w:rsidRPr="0058349C" w:rsidRDefault="00A61C64" w:rsidP="005E7846">
      <w:pPr>
        <w:pStyle w:val="TEKSTIIII"/>
        <w:rPr>
          <w:lang w:val="sq-AL"/>
        </w:rPr>
      </w:pPr>
      <w:r w:rsidRPr="0058349C">
        <w:rPr>
          <w:lang w:val="sq-AL"/>
        </w:rPr>
        <w:t>3.2.4.1 Politika 2</w:t>
      </w:r>
      <w:r w:rsidR="005E7846">
        <w:rPr>
          <w:lang w:val="sq-AL"/>
        </w:rPr>
        <w:t>:</w:t>
      </w:r>
      <w:r w:rsidRPr="0058349C">
        <w:rPr>
          <w:lang w:val="sq-AL"/>
        </w:rPr>
        <w:t xml:space="preserve"> </w:t>
      </w:r>
      <w:r w:rsidR="005E7846" w:rsidRPr="0058349C">
        <w:rPr>
          <w:lang w:val="sq-AL"/>
        </w:rPr>
        <w:t xml:space="preserve">Objektivi </w:t>
      </w:r>
      <w:r w:rsidRPr="0058349C">
        <w:rPr>
          <w:lang w:val="sq-AL"/>
        </w:rPr>
        <w:t xml:space="preserve">specifik 9: Forcimi i akuakulturës dhe </w:t>
      </w:r>
      <w:r w:rsidR="005E7846">
        <w:rPr>
          <w:lang w:val="sq-AL"/>
        </w:rPr>
        <w:t xml:space="preserve">i </w:t>
      </w:r>
      <w:r w:rsidRPr="0058349C">
        <w:rPr>
          <w:lang w:val="sq-AL"/>
        </w:rPr>
        <w:t xml:space="preserve">tregjeve konkurruese dhe të qëndrueshme, si dhe </w:t>
      </w:r>
      <w:r w:rsidR="005E7846">
        <w:rPr>
          <w:lang w:val="sq-AL"/>
        </w:rPr>
        <w:t xml:space="preserve">i </w:t>
      </w:r>
      <w:r w:rsidRPr="0058349C">
        <w:rPr>
          <w:lang w:val="sq-AL"/>
        </w:rPr>
        <w:t>komuniteteve</w:t>
      </w:r>
      <w:r w:rsidR="005E7846">
        <w:rPr>
          <w:lang w:val="sq-AL"/>
        </w:rPr>
        <w:t xml:space="preserve"> bregdetare të qëndrueshme</w:t>
      </w:r>
    </w:p>
    <w:p w14:paraId="0773AAEC" w14:textId="3CBAF2F5" w:rsidR="00A61C64" w:rsidRPr="0058349C" w:rsidRDefault="00A61C64" w:rsidP="005E7846">
      <w:pPr>
        <w:pStyle w:val="TEKSTIIII"/>
        <w:rPr>
          <w:lang w:val="sq-AL"/>
        </w:rPr>
      </w:pPr>
      <w:r w:rsidRPr="0058349C">
        <w:rPr>
          <w:lang w:val="sq-AL"/>
        </w:rPr>
        <w:t>3.2.4.2 Politika 2</w:t>
      </w:r>
      <w:r w:rsidR="005E7846">
        <w:rPr>
          <w:lang w:val="sq-AL"/>
        </w:rPr>
        <w:t>:</w:t>
      </w:r>
      <w:r w:rsidRPr="0058349C">
        <w:rPr>
          <w:lang w:val="sq-AL"/>
        </w:rPr>
        <w:t xml:space="preserve"> </w:t>
      </w:r>
      <w:r w:rsidR="005E7846" w:rsidRPr="0058349C">
        <w:rPr>
          <w:lang w:val="sq-AL"/>
        </w:rPr>
        <w:t xml:space="preserve">Objektivi </w:t>
      </w:r>
      <w:r w:rsidRPr="0058349C">
        <w:rPr>
          <w:lang w:val="sq-AL"/>
        </w:rPr>
        <w:t>specifik 10: Nxitja e peshkimit të qëndrueshëm dhe ruajtja</w:t>
      </w:r>
      <w:r w:rsidR="005E7846">
        <w:rPr>
          <w:lang w:val="sq-AL"/>
        </w:rPr>
        <w:t xml:space="preserve"> e burimeve biologjike detare</w:t>
      </w:r>
    </w:p>
    <w:p w14:paraId="0773AAED" w14:textId="304DA1BA" w:rsidR="00A61C64" w:rsidRPr="0058349C" w:rsidRDefault="00A61C64" w:rsidP="00A61C64">
      <w:pPr>
        <w:pStyle w:val="TEKSTIIII"/>
        <w:rPr>
          <w:lang w:val="sq-AL"/>
        </w:rPr>
      </w:pPr>
      <w:r w:rsidRPr="0058349C">
        <w:rPr>
          <w:lang w:val="sq-AL"/>
        </w:rPr>
        <w:t>Identifikimi i ndërhyrjeve</w:t>
      </w:r>
      <w:r w:rsidR="005E7846">
        <w:rPr>
          <w:lang w:val="sq-AL"/>
        </w:rPr>
        <w:t>,</w:t>
      </w:r>
      <w:r w:rsidRPr="0058349C">
        <w:rPr>
          <w:lang w:val="sq-AL"/>
        </w:rPr>
        <w:t xml:space="preserve"> sipas nevojave</w:t>
      </w:r>
      <w:r w:rsidR="005E7846">
        <w:rPr>
          <w:lang w:val="sq-AL"/>
        </w:rPr>
        <w:t>,</w:t>
      </w:r>
      <w:r w:rsidRPr="0058349C">
        <w:rPr>
          <w:lang w:val="sq-AL"/>
        </w:rPr>
        <w:t xml:space="preserve"> në kuadër të </w:t>
      </w:r>
      <w:r w:rsidR="005E7846" w:rsidRPr="0058349C">
        <w:rPr>
          <w:lang w:val="sq-AL"/>
        </w:rPr>
        <w:t xml:space="preserve">politikës </w:t>
      </w:r>
      <w:r w:rsidRPr="0058349C">
        <w:rPr>
          <w:lang w:val="sq-AL"/>
        </w:rPr>
        <w:t xml:space="preserve">2, </w:t>
      </w:r>
      <w:r w:rsidR="005E7846" w:rsidRPr="0058349C">
        <w:rPr>
          <w:lang w:val="sq-AL"/>
        </w:rPr>
        <w:t xml:space="preserve">objektivit </w:t>
      </w:r>
      <w:r w:rsidRPr="0058349C">
        <w:rPr>
          <w:lang w:val="sq-AL"/>
        </w:rPr>
        <w:t xml:space="preserve">të përgjithshëm 4 </w:t>
      </w:r>
    </w:p>
    <w:p w14:paraId="0773AAEE" w14:textId="40F70B30" w:rsidR="00A61C64" w:rsidRPr="0058349C" w:rsidRDefault="00A61C64" w:rsidP="005E7846">
      <w:pPr>
        <w:pStyle w:val="TEKSTIIII"/>
        <w:rPr>
          <w:lang w:val="sq-AL"/>
        </w:rPr>
      </w:pPr>
      <w:r w:rsidRPr="0058349C">
        <w:rPr>
          <w:lang w:val="sq-AL"/>
        </w:rPr>
        <w:t>Politika 3</w:t>
      </w:r>
      <w:r w:rsidR="005E7846">
        <w:rPr>
          <w:lang w:val="sq-AL"/>
        </w:rPr>
        <w:t xml:space="preserve">: </w:t>
      </w:r>
      <w:r w:rsidR="005E7846" w:rsidRPr="0058349C">
        <w:rPr>
          <w:lang w:val="sq-AL"/>
        </w:rPr>
        <w:t>Objektivat ndërsektorial</w:t>
      </w:r>
      <w:r w:rsidR="005E7846">
        <w:rPr>
          <w:lang w:val="sq-AL"/>
        </w:rPr>
        <w:t>ë</w:t>
      </w:r>
      <w:r w:rsidR="005E7846" w:rsidRPr="0058349C">
        <w:rPr>
          <w:lang w:val="sq-AL"/>
        </w:rPr>
        <w:t xml:space="preserve"> </w:t>
      </w:r>
    </w:p>
    <w:p w14:paraId="0773AAEF" w14:textId="322AE682" w:rsidR="00A61C64" w:rsidRPr="0058349C" w:rsidRDefault="00A61C64" w:rsidP="005E7846">
      <w:pPr>
        <w:pStyle w:val="TEKSTIIII"/>
        <w:rPr>
          <w:lang w:val="sq-AL"/>
        </w:rPr>
      </w:pPr>
      <w:r w:rsidRPr="0058349C">
        <w:rPr>
          <w:lang w:val="sq-AL"/>
        </w:rPr>
        <w:t>3.2.5 Politika 3</w:t>
      </w:r>
      <w:r w:rsidR="005E7846">
        <w:rPr>
          <w:lang w:val="sq-AL"/>
        </w:rPr>
        <w:t>:</w:t>
      </w:r>
      <w:r w:rsidRPr="0058349C">
        <w:rPr>
          <w:lang w:val="sq-AL"/>
        </w:rPr>
        <w:t xml:space="preserve"> Objektivi ndërsektorial 1: Forcimi i kapaciteteve institucionale dhe administrative drejt përafrimit me </w:t>
      </w:r>
      <w:r w:rsidR="00B25257" w:rsidRPr="00B25257">
        <w:rPr>
          <w:i/>
          <w:iCs/>
          <w:lang w:val="sq-AL"/>
        </w:rPr>
        <w:t>acquis</w:t>
      </w:r>
      <w:r w:rsidRPr="0058349C">
        <w:rPr>
          <w:lang w:val="sq-AL"/>
        </w:rPr>
        <w:t xml:space="preserve"> të BE-së </w:t>
      </w:r>
    </w:p>
    <w:p w14:paraId="0773AAF0" w14:textId="6B077260" w:rsidR="00A61C64" w:rsidRPr="0058349C" w:rsidRDefault="00A61C64" w:rsidP="005E7846">
      <w:pPr>
        <w:pStyle w:val="TEKSTIIII"/>
        <w:rPr>
          <w:lang w:val="sq-AL"/>
        </w:rPr>
      </w:pPr>
      <w:r w:rsidRPr="0058349C">
        <w:rPr>
          <w:lang w:val="sq-AL"/>
        </w:rPr>
        <w:t>3.2.6 Politika 3</w:t>
      </w:r>
      <w:r w:rsidR="005E7846">
        <w:rPr>
          <w:lang w:val="sq-AL"/>
        </w:rPr>
        <w:t>:</w:t>
      </w:r>
      <w:r w:rsidRPr="0058349C">
        <w:rPr>
          <w:lang w:val="sq-AL"/>
        </w:rPr>
        <w:t xml:space="preserve"> Objektivi ndërsektorial 2: Transferimi i njohurive dhe</w:t>
      </w:r>
      <w:r w:rsidR="005E7846">
        <w:rPr>
          <w:lang w:val="sq-AL"/>
        </w:rPr>
        <w:t xml:space="preserve"> i</w:t>
      </w:r>
      <w:r w:rsidRPr="0058349C">
        <w:rPr>
          <w:lang w:val="sq-AL"/>
        </w:rPr>
        <w:t xml:space="preserve"> inovacionit </w:t>
      </w:r>
    </w:p>
    <w:p w14:paraId="0773AAF1" w14:textId="1678BAE7" w:rsidR="00A61C64" w:rsidRPr="0058349C" w:rsidRDefault="00A61C64" w:rsidP="005E7846">
      <w:pPr>
        <w:pStyle w:val="TEKSTIIII"/>
        <w:rPr>
          <w:lang w:val="sq-AL"/>
        </w:rPr>
      </w:pPr>
      <w:r w:rsidRPr="0058349C">
        <w:rPr>
          <w:lang w:val="sq-AL"/>
        </w:rPr>
        <w:t>4 Pjesa III</w:t>
      </w:r>
      <w:r w:rsidR="005E7846">
        <w:rPr>
          <w:lang w:val="sq-AL"/>
        </w:rPr>
        <w:t>:</w:t>
      </w:r>
      <w:r w:rsidRPr="0058349C">
        <w:rPr>
          <w:lang w:val="sq-AL"/>
        </w:rPr>
        <w:t xml:space="preserve"> Strategjia dhe </w:t>
      </w:r>
      <w:r w:rsidR="005E7846" w:rsidRPr="0058349C">
        <w:rPr>
          <w:lang w:val="sq-AL"/>
        </w:rPr>
        <w:t>instrumentet</w:t>
      </w:r>
      <w:r w:rsidRPr="0058349C">
        <w:rPr>
          <w:lang w:val="sq-AL"/>
        </w:rPr>
        <w:t xml:space="preserve"> e ndërhyrjes </w:t>
      </w:r>
    </w:p>
    <w:p w14:paraId="0773AAF2" w14:textId="69111B21" w:rsidR="00A61C64" w:rsidRPr="0058349C" w:rsidRDefault="00A61C64" w:rsidP="00A61C64">
      <w:pPr>
        <w:pStyle w:val="TEKSTIIII"/>
        <w:rPr>
          <w:lang w:val="sq-AL"/>
        </w:rPr>
      </w:pPr>
      <w:r w:rsidRPr="0058349C">
        <w:rPr>
          <w:lang w:val="sq-AL"/>
        </w:rPr>
        <w:t>4.1 Strategjia e ndërhyr</w:t>
      </w:r>
      <w:r w:rsidR="005E7846">
        <w:rPr>
          <w:lang w:val="sq-AL"/>
        </w:rPr>
        <w:t>jes në kuadër të SBZHRP-së 2021–</w:t>
      </w:r>
      <w:r w:rsidRPr="0058349C">
        <w:rPr>
          <w:lang w:val="sq-AL"/>
        </w:rPr>
        <w:t xml:space="preserve">2027 </w:t>
      </w:r>
    </w:p>
    <w:p w14:paraId="0773AAF3" w14:textId="55D6728E" w:rsidR="00A61C64" w:rsidRPr="0058349C" w:rsidRDefault="00A61C64" w:rsidP="005E7846">
      <w:pPr>
        <w:pStyle w:val="TEKSTIIII"/>
        <w:rPr>
          <w:lang w:val="sq-AL"/>
        </w:rPr>
      </w:pPr>
      <w:r w:rsidRPr="0058349C">
        <w:rPr>
          <w:lang w:val="sq-AL"/>
        </w:rPr>
        <w:t>4.2 Përshkrimi i instrumenteve dhe</w:t>
      </w:r>
      <w:r w:rsidR="005E7846">
        <w:rPr>
          <w:lang w:val="sq-AL"/>
        </w:rPr>
        <w:t xml:space="preserve"> i </w:t>
      </w:r>
      <w:r w:rsidRPr="0058349C">
        <w:rPr>
          <w:lang w:val="sq-AL"/>
        </w:rPr>
        <w:t>masave të ndërhyrjes së planifikuar</w:t>
      </w:r>
      <w:r w:rsidR="005E7846">
        <w:rPr>
          <w:lang w:val="sq-AL"/>
        </w:rPr>
        <w:t>, në kuadër të SBZHRP</w:t>
      </w:r>
      <w:r w:rsidRPr="0058349C">
        <w:rPr>
          <w:lang w:val="sq-AL"/>
        </w:rPr>
        <w:t xml:space="preserve"> </w:t>
      </w:r>
      <w:r w:rsidR="00612507" w:rsidRPr="0058349C">
        <w:rPr>
          <w:lang w:val="sq-AL"/>
        </w:rPr>
        <w:t>2021–2027</w:t>
      </w:r>
      <w:r w:rsidRPr="0058349C">
        <w:rPr>
          <w:lang w:val="sq-AL"/>
        </w:rPr>
        <w:t xml:space="preserve"> </w:t>
      </w:r>
    </w:p>
    <w:p w14:paraId="0773AAF4" w14:textId="0A9BA004" w:rsidR="00A61C64" w:rsidRPr="0058349C" w:rsidRDefault="00A61C64" w:rsidP="00A61C64">
      <w:pPr>
        <w:pStyle w:val="TEKSTIIII"/>
        <w:rPr>
          <w:lang w:val="sq-AL"/>
        </w:rPr>
      </w:pPr>
      <w:r w:rsidRPr="0058349C">
        <w:rPr>
          <w:lang w:val="sq-AL"/>
        </w:rPr>
        <w:t xml:space="preserve">5 Përshkrimi i sistemit të monitorimit dhe </w:t>
      </w:r>
      <w:r w:rsidR="005E7846">
        <w:rPr>
          <w:lang w:val="sq-AL"/>
        </w:rPr>
        <w:t xml:space="preserve">të </w:t>
      </w:r>
      <w:r w:rsidRPr="0058349C">
        <w:rPr>
          <w:lang w:val="sq-AL"/>
        </w:rPr>
        <w:t xml:space="preserve">vlerësimit </w:t>
      </w:r>
    </w:p>
    <w:p w14:paraId="0773AAF5" w14:textId="504AB188" w:rsidR="00A61C64" w:rsidRPr="0058349C" w:rsidRDefault="00A61C64" w:rsidP="00A61C64">
      <w:pPr>
        <w:pStyle w:val="TEKSTIIII"/>
        <w:rPr>
          <w:lang w:val="sq-AL"/>
        </w:rPr>
      </w:pPr>
      <w:r w:rsidRPr="0058349C">
        <w:rPr>
          <w:lang w:val="sq-AL"/>
        </w:rPr>
        <w:t>6</w:t>
      </w:r>
      <w:r w:rsidR="005E7846">
        <w:rPr>
          <w:lang w:val="sq-AL"/>
        </w:rPr>
        <w:t>.</w:t>
      </w:r>
      <w:r w:rsidRPr="0058349C">
        <w:rPr>
          <w:lang w:val="sq-AL"/>
        </w:rPr>
        <w:t xml:space="preserve"> Anekset </w:t>
      </w:r>
    </w:p>
    <w:p w14:paraId="0773AAF6" w14:textId="264930BE" w:rsidR="00A61C64" w:rsidRPr="0058349C" w:rsidRDefault="00A61C64" w:rsidP="00A61C64">
      <w:pPr>
        <w:pStyle w:val="TEKSTIIII"/>
        <w:rPr>
          <w:lang w:val="sq-AL"/>
        </w:rPr>
      </w:pPr>
      <w:r w:rsidRPr="0058349C">
        <w:rPr>
          <w:lang w:val="sq-AL"/>
        </w:rPr>
        <w:t xml:space="preserve">6.1 Korniza logjike e SBZHRP-së me objektivat dhe treguesit (ndikimi, </w:t>
      </w:r>
      <w:r w:rsidR="005E7846">
        <w:rPr>
          <w:lang w:val="sq-AL"/>
        </w:rPr>
        <w:t xml:space="preserve">rezultati dhe </w:t>
      </w:r>
      <w:r w:rsidR="005E7846" w:rsidRPr="00AA73C9">
        <w:rPr>
          <w:i/>
          <w:iCs/>
          <w:lang w:val="sq-AL"/>
        </w:rPr>
        <w:t>output</w:t>
      </w:r>
      <w:r w:rsidR="00AA73C9">
        <w:rPr>
          <w:lang w:val="sq-AL"/>
        </w:rPr>
        <w:t>-</w:t>
      </w:r>
      <w:r w:rsidR="005E7846">
        <w:rPr>
          <w:lang w:val="sq-AL"/>
        </w:rPr>
        <w:t>i) për 2022–</w:t>
      </w:r>
      <w:r w:rsidRPr="0058349C">
        <w:rPr>
          <w:lang w:val="sq-AL"/>
        </w:rPr>
        <w:t>2027</w:t>
      </w:r>
      <w:r w:rsidR="00AA73C9">
        <w:rPr>
          <w:lang w:val="sq-AL"/>
        </w:rPr>
        <w:t>,</w:t>
      </w:r>
      <w:r w:rsidRPr="0058349C">
        <w:rPr>
          <w:lang w:val="sq-AL"/>
        </w:rPr>
        <w:t xml:space="preserve"> e buxhetuar për periudhën 2022</w:t>
      </w:r>
      <w:r w:rsidR="005E7846">
        <w:rPr>
          <w:lang w:val="sq-AL"/>
        </w:rPr>
        <w:t>–</w:t>
      </w:r>
      <w:r w:rsidRPr="0058349C">
        <w:rPr>
          <w:lang w:val="sq-AL"/>
        </w:rPr>
        <w:t>2</w:t>
      </w:r>
      <w:r w:rsidR="00AA73C9">
        <w:rPr>
          <w:lang w:val="sq-AL"/>
        </w:rPr>
        <w:t>024</w:t>
      </w:r>
    </w:p>
    <w:p w14:paraId="0773AAF7" w14:textId="315781EA" w:rsidR="00A61C64" w:rsidRPr="0058349C" w:rsidRDefault="00A61C64" w:rsidP="005E7846">
      <w:pPr>
        <w:pStyle w:val="TEKSTIIII"/>
        <w:rPr>
          <w:lang w:val="sq-AL"/>
        </w:rPr>
      </w:pPr>
      <w:r w:rsidRPr="0058349C">
        <w:rPr>
          <w:lang w:val="sq-AL"/>
        </w:rPr>
        <w:t xml:space="preserve">6.2 Plani i </w:t>
      </w:r>
      <w:r w:rsidR="00AA73C9" w:rsidRPr="0058349C">
        <w:rPr>
          <w:lang w:val="sq-AL"/>
        </w:rPr>
        <w:t xml:space="preserve">veprimit </w:t>
      </w:r>
      <w:r w:rsidR="00AA73C9">
        <w:rPr>
          <w:lang w:val="sq-AL"/>
        </w:rPr>
        <w:t>i MBZHR</w:t>
      </w:r>
      <w:r w:rsidRPr="0058349C">
        <w:rPr>
          <w:lang w:val="sq-AL"/>
        </w:rPr>
        <w:t xml:space="preserve"> 2022</w:t>
      </w:r>
      <w:r w:rsidR="005E7846">
        <w:rPr>
          <w:lang w:val="sq-AL"/>
        </w:rPr>
        <w:t>–</w:t>
      </w:r>
      <w:r w:rsidRPr="0058349C">
        <w:rPr>
          <w:lang w:val="sq-AL"/>
        </w:rPr>
        <w:t xml:space="preserve">2024 për përgatitjen dhe zbatimin e ndërhyrjeve </w:t>
      </w:r>
    </w:p>
    <w:p w14:paraId="0773AAFB" w14:textId="275B3018" w:rsidR="003330D8" w:rsidRPr="00A860C3" w:rsidRDefault="003330D8" w:rsidP="003330D8">
      <w:pPr>
        <w:pStyle w:val="TEKSTIIII"/>
        <w:rPr>
          <w:lang w:val="sq-AL"/>
        </w:rPr>
      </w:pPr>
      <w:r w:rsidRPr="00A860C3">
        <w:rPr>
          <w:lang w:val="sq-AL"/>
        </w:rPr>
        <w:t xml:space="preserve">Lista e </w:t>
      </w:r>
      <w:r w:rsidR="005E7846" w:rsidRPr="00A860C3">
        <w:rPr>
          <w:lang w:val="sq-AL"/>
        </w:rPr>
        <w:t>tabelave</w:t>
      </w:r>
    </w:p>
    <w:p w14:paraId="0773AAFC" w14:textId="4FA0B24D" w:rsidR="003330D8" w:rsidRPr="0058349C" w:rsidRDefault="003330D8" w:rsidP="003330D8">
      <w:pPr>
        <w:pStyle w:val="TEKSTIIII"/>
        <w:rPr>
          <w:lang w:val="sq-AL"/>
        </w:rPr>
      </w:pPr>
      <w:r w:rsidRPr="00A860C3">
        <w:rPr>
          <w:lang w:val="sq-AL"/>
        </w:rPr>
        <w:t>Tabela 3</w:t>
      </w:r>
      <w:r w:rsidR="009F769C">
        <w:rPr>
          <w:lang w:val="sq-AL"/>
        </w:rPr>
        <w:t>-</w:t>
      </w:r>
      <w:r w:rsidRPr="00A860C3">
        <w:rPr>
          <w:lang w:val="sq-AL"/>
        </w:rPr>
        <w:t>1:</w:t>
      </w:r>
      <w:r w:rsidR="00492C9C" w:rsidRPr="00A860C3">
        <w:rPr>
          <w:lang w:val="sq-AL"/>
        </w:rPr>
        <w:t xml:space="preserve"> </w:t>
      </w:r>
      <w:r w:rsidRPr="00A860C3">
        <w:rPr>
          <w:lang w:val="sq-AL"/>
        </w:rPr>
        <w:t>Toka</w:t>
      </w:r>
      <w:r w:rsidRPr="0058349C">
        <w:rPr>
          <w:lang w:val="sq-AL"/>
        </w:rPr>
        <w:t xml:space="preserve"> bujqësore sipas përdorimit (2019/2020)</w:t>
      </w:r>
      <w:r w:rsidR="00492C9C" w:rsidRPr="0058349C">
        <w:rPr>
          <w:lang w:val="sq-AL"/>
        </w:rPr>
        <w:t xml:space="preserve"> </w:t>
      </w:r>
    </w:p>
    <w:p w14:paraId="0773AAFD" w14:textId="62E506EB" w:rsidR="003330D8" w:rsidRPr="0058349C" w:rsidRDefault="003330D8" w:rsidP="003330D8">
      <w:pPr>
        <w:pStyle w:val="TEKSTIIII"/>
        <w:rPr>
          <w:lang w:val="sq-AL"/>
        </w:rPr>
      </w:pPr>
      <w:r w:rsidRPr="0058349C">
        <w:rPr>
          <w:lang w:val="sq-AL"/>
        </w:rPr>
        <w:t>Tabela 3</w:t>
      </w:r>
      <w:r w:rsidR="009F769C">
        <w:rPr>
          <w:lang w:val="sq-AL"/>
        </w:rPr>
        <w:t>-</w:t>
      </w:r>
      <w:r w:rsidRPr="0058349C">
        <w:rPr>
          <w:lang w:val="sq-AL"/>
        </w:rPr>
        <w:t>2:</w:t>
      </w:r>
      <w:r w:rsidR="00492C9C" w:rsidRPr="0058349C">
        <w:rPr>
          <w:lang w:val="sq-AL"/>
        </w:rPr>
        <w:t xml:space="preserve"> </w:t>
      </w:r>
      <w:r w:rsidRPr="0058349C">
        <w:rPr>
          <w:lang w:val="sq-AL"/>
        </w:rPr>
        <w:t>Sipërf</w:t>
      </w:r>
      <w:r w:rsidR="005E7846">
        <w:rPr>
          <w:lang w:val="sq-AL"/>
        </w:rPr>
        <w:t>aqet e kultivuara në Ha (2015–</w:t>
      </w:r>
      <w:r w:rsidRPr="0058349C">
        <w:rPr>
          <w:lang w:val="sq-AL"/>
        </w:rPr>
        <w:t>2020)</w:t>
      </w:r>
      <w:r w:rsidR="00492C9C" w:rsidRPr="0058349C">
        <w:rPr>
          <w:lang w:val="sq-AL"/>
        </w:rPr>
        <w:t xml:space="preserve"> </w:t>
      </w:r>
    </w:p>
    <w:p w14:paraId="0773AAFE" w14:textId="4615DF90" w:rsidR="003330D8" w:rsidRPr="0058349C" w:rsidRDefault="009F769C" w:rsidP="003330D8">
      <w:pPr>
        <w:pStyle w:val="TEKSTIIII"/>
        <w:rPr>
          <w:lang w:val="sq-AL"/>
        </w:rPr>
      </w:pPr>
      <w:r>
        <w:rPr>
          <w:lang w:val="sq-AL"/>
        </w:rPr>
        <w:t>Tabela 3-</w:t>
      </w:r>
      <w:r w:rsidR="003330D8" w:rsidRPr="0058349C">
        <w:rPr>
          <w:lang w:val="sq-AL"/>
        </w:rPr>
        <w:t>3:</w:t>
      </w:r>
      <w:r w:rsidR="00492C9C" w:rsidRPr="0058349C">
        <w:rPr>
          <w:lang w:val="sq-AL"/>
        </w:rPr>
        <w:t xml:space="preserve"> </w:t>
      </w:r>
      <w:r w:rsidR="003330D8" w:rsidRPr="0058349C">
        <w:rPr>
          <w:lang w:val="sq-AL"/>
        </w:rPr>
        <w:t>Struktura e fermës në sektorin e prodhimit bimor (2019)</w:t>
      </w:r>
    </w:p>
    <w:p w14:paraId="0773AAFF" w14:textId="3D9E6C71" w:rsidR="003330D8" w:rsidRPr="0058349C" w:rsidRDefault="003330D8" w:rsidP="003330D8">
      <w:pPr>
        <w:pStyle w:val="TEKSTIIII"/>
        <w:rPr>
          <w:lang w:val="sq-AL"/>
        </w:rPr>
      </w:pPr>
      <w:r w:rsidRPr="0058349C">
        <w:rPr>
          <w:lang w:val="sq-AL"/>
        </w:rPr>
        <w:lastRenderedPageBreak/>
        <w:t>Tabela 3-4:</w:t>
      </w:r>
      <w:r w:rsidR="00492C9C" w:rsidRPr="0058349C">
        <w:rPr>
          <w:lang w:val="sq-AL"/>
        </w:rPr>
        <w:t xml:space="preserve"> </w:t>
      </w:r>
      <w:r w:rsidRPr="0058349C">
        <w:rPr>
          <w:lang w:val="sq-AL"/>
        </w:rPr>
        <w:t>B</w:t>
      </w:r>
      <w:r w:rsidR="00AA73C9">
        <w:rPr>
          <w:lang w:val="sq-AL"/>
        </w:rPr>
        <w:t>ilanci tregtar në bujqësi (2015–</w:t>
      </w:r>
      <w:r w:rsidRPr="0058349C">
        <w:rPr>
          <w:lang w:val="sq-AL"/>
        </w:rPr>
        <w:t>2020, Shqipëria me të gjitha vendet)</w:t>
      </w:r>
      <w:r w:rsidR="00492C9C" w:rsidRPr="0058349C">
        <w:rPr>
          <w:lang w:val="sq-AL"/>
        </w:rPr>
        <w:t xml:space="preserve"> </w:t>
      </w:r>
    </w:p>
    <w:p w14:paraId="0773AB00" w14:textId="1B49917A" w:rsidR="003330D8" w:rsidRPr="0058349C" w:rsidRDefault="003330D8" w:rsidP="003330D8">
      <w:pPr>
        <w:pStyle w:val="TEKSTIIII"/>
        <w:rPr>
          <w:lang w:val="sq-AL"/>
        </w:rPr>
      </w:pPr>
      <w:r w:rsidRPr="0058349C">
        <w:rPr>
          <w:lang w:val="sq-AL"/>
        </w:rPr>
        <w:t>Tabela 3-5:</w:t>
      </w:r>
      <w:r w:rsidR="00492C9C" w:rsidRPr="0058349C">
        <w:rPr>
          <w:lang w:val="sq-AL"/>
        </w:rPr>
        <w:t xml:space="preserve"> </w:t>
      </w:r>
      <w:r w:rsidRPr="0058349C">
        <w:rPr>
          <w:lang w:val="sq-AL"/>
        </w:rPr>
        <w:t>Vështrim i përgjith</w:t>
      </w:r>
      <w:r w:rsidR="00AA73C9">
        <w:rPr>
          <w:lang w:val="sq-AL"/>
        </w:rPr>
        <w:t>shëm – Mundësitë dhe kërcënimet</w:t>
      </w:r>
    </w:p>
    <w:p w14:paraId="0773AB01" w14:textId="5F2CEF57" w:rsidR="003330D8" w:rsidRPr="0058349C" w:rsidRDefault="003330D8" w:rsidP="003330D8">
      <w:pPr>
        <w:pStyle w:val="TEKSTIIII"/>
        <w:rPr>
          <w:lang w:val="sq-AL"/>
        </w:rPr>
      </w:pPr>
      <w:r w:rsidRPr="0058349C">
        <w:rPr>
          <w:lang w:val="sq-AL"/>
        </w:rPr>
        <w:t>Tabela 3-6:</w:t>
      </w:r>
      <w:r w:rsidR="00492C9C" w:rsidRPr="0058349C">
        <w:rPr>
          <w:lang w:val="sq-AL"/>
        </w:rPr>
        <w:t xml:space="preserve"> </w:t>
      </w:r>
      <w:r w:rsidRPr="0058349C">
        <w:rPr>
          <w:lang w:val="sq-AL"/>
        </w:rPr>
        <w:t>Emetimet e GS</w:t>
      </w:r>
      <w:r w:rsidR="00AA73C9">
        <w:rPr>
          <w:lang w:val="sq-AL"/>
        </w:rPr>
        <w:t>-së nga bujqësia 2014–</w:t>
      </w:r>
      <w:r w:rsidRPr="0058349C">
        <w:rPr>
          <w:lang w:val="sq-AL"/>
        </w:rPr>
        <w:t>2018 (pa emetimet nga përdorimi i tokës dhe ndryshimi i përdorimit të tokës)</w:t>
      </w:r>
    </w:p>
    <w:p w14:paraId="0773AB02" w14:textId="56E6BF75" w:rsidR="003330D8" w:rsidRPr="0058349C" w:rsidRDefault="003330D8" w:rsidP="003330D8">
      <w:pPr>
        <w:pStyle w:val="TEKSTIIII"/>
        <w:rPr>
          <w:lang w:val="sq-AL"/>
        </w:rPr>
      </w:pPr>
      <w:r w:rsidRPr="0058349C">
        <w:rPr>
          <w:lang w:val="sq-AL"/>
        </w:rPr>
        <w:t>Tabela 3-7:</w:t>
      </w:r>
      <w:r w:rsidR="00492C9C" w:rsidRPr="0058349C">
        <w:rPr>
          <w:lang w:val="sq-AL"/>
        </w:rPr>
        <w:t xml:space="preserve"> </w:t>
      </w:r>
      <w:r w:rsidRPr="0058349C">
        <w:rPr>
          <w:lang w:val="sq-AL"/>
        </w:rPr>
        <w:t>Mundësi</w:t>
      </w:r>
      <w:r w:rsidR="00AA73C9">
        <w:rPr>
          <w:lang w:val="sq-AL"/>
        </w:rPr>
        <w:t xml:space="preserve"> – </w:t>
      </w:r>
      <w:r w:rsidRPr="0058349C">
        <w:rPr>
          <w:lang w:val="sq-AL"/>
        </w:rPr>
        <w:t xml:space="preserve">Kërcënime </w:t>
      </w:r>
      <w:r w:rsidR="00AA73C9">
        <w:rPr>
          <w:lang w:val="sq-AL"/>
        </w:rPr>
        <w:t>–</w:t>
      </w:r>
      <w:r w:rsidRPr="0058349C">
        <w:rPr>
          <w:lang w:val="sq-AL"/>
        </w:rPr>
        <w:t xml:space="preserve"> Objektivi i përgjithshëm 2</w:t>
      </w:r>
    </w:p>
    <w:p w14:paraId="0773AB03" w14:textId="55CE7506" w:rsidR="003330D8" w:rsidRPr="0058349C" w:rsidRDefault="003330D8" w:rsidP="003330D8">
      <w:pPr>
        <w:pStyle w:val="TEKSTIIII"/>
        <w:rPr>
          <w:lang w:val="sq-AL"/>
        </w:rPr>
      </w:pPr>
      <w:r w:rsidRPr="0058349C">
        <w:rPr>
          <w:lang w:val="sq-AL"/>
        </w:rPr>
        <w:t>Tabela 3-8:</w:t>
      </w:r>
      <w:r w:rsidR="00492C9C" w:rsidRPr="0058349C">
        <w:rPr>
          <w:lang w:val="sq-AL"/>
        </w:rPr>
        <w:t xml:space="preserve"> </w:t>
      </w:r>
      <w:r w:rsidRPr="0058349C">
        <w:rPr>
          <w:lang w:val="sq-AL"/>
        </w:rPr>
        <w:t>Mundësitë dhe kërcënimet</w:t>
      </w:r>
      <w:r w:rsidR="00AA73C9">
        <w:rPr>
          <w:lang w:val="sq-AL"/>
        </w:rPr>
        <w:t xml:space="preserve"> – </w:t>
      </w:r>
      <w:r w:rsidRPr="0058349C">
        <w:rPr>
          <w:lang w:val="sq-AL"/>
        </w:rPr>
        <w:t>Objektivi i përgjith</w:t>
      </w:r>
      <w:r w:rsidR="00AA73C9">
        <w:rPr>
          <w:lang w:val="sq-AL"/>
        </w:rPr>
        <w:t>sh</w:t>
      </w:r>
      <w:r w:rsidRPr="0058349C">
        <w:rPr>
          <w:lang w:val="sq-AL"/>
        </w:rPr>
        <w:t>ëm 3</w:t>
      </w:r>
    </w:p>
    <w:p w14:paraId="0773AB04" w14:textId="77777777" w:rsidR="003330D8" w:rsidRPr="0058349C" w:rsidRDefault="003330D8" w:rsidP="003330D8">
      <w:pPr>
        <w:pStyle w:val="TEKSTIIII"/>
        <w:rPr>
          <w:lang w:val="sq-AL"/>
        </w:rPr>
      </w:pPr>
      <w:r w:rsidRPr="0058349C">
        <w:rPr>
          <w:lang w:val="sq-AL"/>
        </w:rPr>
        <w:t>Tabela 3-9:</w:t>
      </w:r>
      <w:r w:rsidR="00492C9C" w:rsidRPr="0058349C">
        <w:rPr>
          <w:lang w:val="sq-AL"/>
        </w:rPr>
        <w:t xml:space="preserve"> </w:t>
      </w:r>
      <w:r w:rsidRPr="0058349C">
        <w:rPr>
          <w:lang w:val="sq-AL"/>
        </w:rPr>
        <w:t>Shpërndarja e OMP-ve në Shqipëri viti 2020</w:t>
      </w:r>
      <w:r w:rsidR="00492C9C" w:rsidRPr="0058349C">
        <w:rPr>
          <w:lang w:val="sq-AL"/>
        </w:rPr>
        <w:t xml:space="preserve"> </w:t>
      </w:r>
    </w:p>
    <w:p w14:paraId="0773AB05" w14:textId="594E1FF1" w:rsidR="003330D8" w:rsidRPr="0058349C" w:rsidRDefault="003330D8" w:rsidP="003330D8">
      <w:pPr>
        <w:pStyle w:val="TEKSTIIII"/>
        <w:rPr>
          <w:lang w:val="sq-AL"/>
        </w:rPr>
      </w:pPr>
      <w:r w:rsidRPr="0058349C">
        <w:rPr>
          <w:lang w:val="sq-AL"/>
        </w:rPr>
        <w:t>Tabela 3-10:</w:t>
      </w:r>
      <w:r w:rsidR="00492C9C" w:rsidRPr="0058349C">
        <w:rPr>
          <w:lang w:val="sq-AL"/>
        </w:rPr>
        <w:t xml:space="preserve"> </w:t>
      </w:r>
      <w:r w:rsidRPr="0058349C">
        <w:rPr>
          <w:lang w:val="sq-AL"/>
        </w:rPr>
        <w:t xml:space="preserve">Mundësitë dhe </w:t>
      </w:r>
      <w:r w:rsidR="00AA73C9" w:rsidRPr="0058349C">
        <w:rPr>
          <w:lang w:val="sq-AL"/>
        </w:rPr>
        <w:t xml:space="preserve">kërcënimet </w:t>
      </w:r>
      <w:r w:rsidR="00AA73C9">
        <w:rPr>
          <w:lang w:val="sq-AL"/>
        </w:rPr>
        <w:t>–</w:t>
      </w:r>
      <w:r w:rsidRPr="0058349C">
        <w:rPr>
          <w:lang w:val="sq-AL"/>
        </w:rPr>
        <w:t xml:space="preserve"> Objektivi i përgjithshëm 4</w:t>
      </w:r>
    </w:p>
    <w:p w14:paraId="0773AB06" w14:textId="3EA04F4D" w:rsidR="003330D8" w:rsidRPr="0058349C" w:rsidRDefault="003330D8" w:rsidP="003330D8">
      <w:pPr>
        <w:pStyle w:val="TEKSTIIII"/>
        <w:rPr>
          <w:lang w:val="sq-AL"/>
        </w:rPr>
      </w:pPr>
      <w:r w:rsidRPr="0058349C">
        <w:rPr>
          <w:lang w:val="sq-AL"/>
        </w:rPr>
        <w:t>Tabela 6-1:</w:t>
      </w:r>
      <w:r w:rsidR="00492C9C" w:rsidRPr="0058349C">
        <w:rPr>
          <w:lang w:val="sq-AL"/>
        </w:rPr>
        <w:t xml:space="preserve"> </w:t>
      </w:r>
      <w:r w:rsidRPr="0058349C">
        <w:rPr>
          <w:lang w:val="sq-AL"/>
        </w:rPr>
        <w:t>Korniza logjike në lidhje me objektivin</w:t>
      </w:r>
      <w:r w:rsidR="00CF7694" w:rsidRPr="0058349C">
        <w:rPr>
          <w:lang w:val="sq-AL"/>
        </w:rPr>
        <w:t xml:space="preserve"> </w:t>
      </w:r>
      <w:r w:rsidRPr="0058349C">
        <w:rPr>
          <w:lang w:val="sq-AL"/>
        </w:rPr>
        <w:t>dhe treguesit</w:t>
      </w:r>
      <w:r w:rsidR="00CF7694" w:rsidRPr="0058349C">
        <w:rPr>
          <w:lang w:val="sq-AL"/>
        </w:rPr>
        <w:t xml:space="preserve"> </w:t>
      </w:r>
      <w:r w:rsidR="00AA73C9">
        <w:rPr>
          <w:lang w:val="sq-AL"/>
        </w:rPr>
        <w:t>për 2024–</w:t>
      </w:r>
      <w:r w:rsidRPr="0058349C">
        <w:rPr>
          <w:lang w:val="sq-AL"/>
        </w:rPr>
        <w:t>2027</w:t>
      </w:r>
      <w:r w:rsidR="00CF7694" w:rsidRPr="0058349C">
        <w:rPr>
          <w:lang w:val="sq-AL"/>
        </w:rPr>
        <w:t xml:space="preserve"> </w:t>
      </w:r>
      <w:r w:rsidR="00AA73C9">
        <w:rPr>
          <w:lang w:val="sq-AL"/>
        </w:rPr>
        <w:t>dhe buxhetin për 2022–</w:t>
      </w:r>
      <w:r w:rsidRPr="0058349C">
        <w:rPr>
          <w:lang w:val="sq-AL"/>
        </w:rPr>
        <w:t>2024</w:t>
      </w:r>
    </w:p>
    <w:p w14:paraId="0773AB07" w14:textId="03196667" w:rsidR="003330D8" w:rsidRPr="0058349C" w:rsidRDefault="003330D8" w:rsidP="003330D8">
      <w:pPr>
        <w:pStyle w:val="TEKSTIIII"/>
        <w:rPr>
          <w:lang w:val="sq-AL"/>
        </w:rPr>
      </w:pPr>
      <w:r w:rsidRPr="0058349C">
        <w:rPr>
          <w:lang w:val="sq-AL"/>
        </w:rPr>
        <w:t>Tabela 6 2</w:t>
      </w:r>
      <w:r w:rsidR="00492C9C" w:rsidRPr="0058349C">
        <w:rPr>
          <w:lang w:val="sq-AL"/>
        </w:rPr>
        <w:t xml:space="preserve"> </w:t>
      </w:r>
      <w:r w:rsidRPr="0058349C">
        <w:rPr>
          <w:lang w:val="sq-AL"/>
        </w:rPr>
        <w:t xml:space="preserve">Plani i Veprimit </w:t>
      </w:r>
      <w:r w:rsidR="00AA73C9">
        <w:rPr>
          <w:lang w:val="sq-AL"/>
        </w:rPr>
        <w:t>i MBZHR-së për periudhën 2022–</w:t>
      </w:r>
      <w:r w:rsidRPr="0058349C">
        <w:rPr>
          <w:lang w:val="sq-AL"/>
        </w:rPr>
        <w:t>2024</w:t>
      </w:r>
    </w:p>
    <w:p w14:paraId="0773AB08" w14:textId="77777777" w:rsidR="003330D8" w:rsidRPr="0058349C" w:rsidRDefault="003330D8" w:rsidP="003330D8">
      <w:pPr>
        <w:pStyle w:val="TEKSTIIII"/>
        <w:rPr>
          <w:lang w:val="sq-AL"/>
        </w:rPr>
      </w:pPr>
    </w:p>
    <w:p w14:paraId="0773AB09" w14:textId="3721E3FD" w:rsidR="003330D8" w:rsidRPr="0058349C" w:rsidRDefault="003330D8" w:rsidP="003330D8">
      <w:pPr>
        <w:pStyle w:val="TEKSTIIII"/>
        <w:rPr>
          <w:lang w:val="sq-AL"/>
        </w:rPr>
      </w:pPr>
      <w:r w:rsidRPr="0058349C">
        <w:rPr>
          <w:lang w:val="sq-AL"/>
        </w:rPr>
        <w:t xml:space="preserve">Lista e </w:t>
      </w:r>
      <w:r w:rsidR="00AA73C9" w:rsidRPr="0058349C">
        <w:rPr>
          <w:lang w:val="sq-AL"/>
        </w:rPr>
        <w:t xml:space="preserve">figurave </w:t>
      </w:r>
    </w:p>
    <w:p w14:paraId="0773AB0A" w14:textId="03D89E92" w:rsidR="003330D8" w:rsidRPr="0058349C" w:rsidRDefault="003330D8" w:rsidP="003330D8">
      <w:pPr>
        <w:pStyle w:val="TEKSTIIII"/>
        <w:rPr>
          <w:lang w:val="sq-AL"/>
        </w:rPr>
      </w:pPr>
      <w:r w:rsidRPr="0058349C">
        <w:rPr>
          <w:lang w:val="sq-AL"/>
        </w:rPr>
        <w:t>Figura 2 1:</w:t>
      </w:r>
      <w:r w:rsidR="00492C9C" w:rsidRPr="0058349C">
        <w:rPr>
          <w:lang w:val="sq-AL"/>
        </w:rPr>
        <w:t xml:space="preserve"> </w:t>
      </w:r>
      <w:r w:rsidRPr="0058349C">
        <w:rPr>
          <w:lang w:val="sq-AL"/>
        </w:rPr>
        <w:t>Klasifikimi rural i rajoneve në Shqipëri (</w:t>
      </w:r>
      <w:r w:rsidR="00AA73C9" w:rsidRPr="0058349C">
        <w:rPr>
          <w:lang w:val="sq-AL"/>
        </w:rPr>
        <w:t xml:space="preserve">tipologjia </w:t>
      </w:r>
      <w:r w:rsidRPr="0058349C">
        <w:rPr>
          <w:lang w:val="sq-AL"/>
        </w:rPr>
        <w:t>urbane-rurale e BE-së, rajonet e nivelit NUTS 3)</w:t>
      </w:r>
    </w:p>
    <w:p w14:paraId="0773AB0B" w14:textId="6F1A0C53" w:rsidR="003330D8" w:rsidRPr="0058349C" w:rsidRDefault="003330D8" w:rsidP="00AA73C9">
      <w:pPr>
        <w:pStyle w:val="TEKSTIIII"/>
        <w:rPr>
          <w:lang w:val="sq-AL"/>
        </w:rPr>
      </w:pPr>
      <w:r w:rsidRPr="0058349C">
        <w:rPr>
          <w:lang w:val="sq-AL"/>
        </w:rPr>
        <w:t>Figura 3 1:</w:t>
      </w:r>
      <w:r w:rsidR="00492C9C" w:rsidRPr="0058349C">
        <w:rPr>
          <w:lang w:val="sq-AL"/>
        </w:rPr>
        <w:t xml:space="preserve"> </w:t>
      </w:r>
      <w:r w:rsidRPr="0058349C">
        <w:rPr>
          <w:lang w:val="sq-AL"/>
        </w:rPr>
        <w:t>Ndryshimi i parashikuar i temperaturave mujore për Shqipërinë në vitin 2020</w:t>
      </w:r>
      <w:r w:rsidR="00AA73C9">
        <w:rPr>
          <w:lang w:val="sq-AL"/>
        </w:rPr>
        <w:t>–</w:t>
      </w:r>
      <w:r w:rsidRPr="0058349C">
        <w:rPr>
          <w:lang w:val="sq-AL"/>
        </w:rPr>
        <w:t>2039</w:t>
      </w:r>
    </w:p>
    <w:p w14:paraId="0773AB0C" w14:textId="77777777" w:rsidR="003330D8" w:rsidRPr="0058349C" w:rsidRDefault="003330D8" w:rsidP="003330D8">
      <w:pPr>
        <w:pStyle w:val="TEKSTIIII"/>
        <w:rPr>
          <w:lang w:val="sq-AL"/>
        </w:rPr>
      </w:pPr>
      <w:r w:rsidRPr="0058349C">
        <w:rPr>
          <w:lang w:val="sq-AL"/>
        </w:rPr>
        <w:t>Figura 3 1:</w:t>
      </w:r>
      <w:r w:rsidR="00492C9C" w:rsidRPr="0058349C">
        <w:rPr>
          <w:lang w:val="sq-AL"/>
        </w:rPr>
        <w:t xml:space="preserve"> </w:t>
      </w:r>
      <w:r w:rsidRPr="0058349C">
        <w:rPr>
          <w:lang w:val="sq-AL"/>
        </w:rPr>
        <w:t xml:space="preserve">Punësimi në sektorin e peshkimit </w:t>
      </w:r>
    </w:p>
    <w:p w14:paraId="0773AB0D" w14:textId="2CA17A75" w:rsidR="003330D8" w:rsidRPr="0058349C" w:rsidRDefault="003330D8" w:rsidP="003330D8">
      <w:pPr>
        <w:pStyle w:val="TEKSTIIII"/>
        <w:rPr>
          <w:lang w:val="sq-AL"/>
        </w:rPr>
      </w:pPr>
      <w:r w:rsidRPr="0058349C">
        <w:rPr>
          <w:lang w:val="sq-AL"/>
        </w:rPr>
        <w:t>Figura 3 2:</w:t>
      </w:r>
      <w:r w:rsidR="00492C9C" w:rsidRPr="0058349C">
        <w:rPr>
          <w:lang w:val="sq-AL"/>
        </w:rPr>
        <w:t xml:space="preserve"> </w:t>
      </w:r>
      <w:r w:rsidRPr="0058349C">
        <w:rPr>
          <w:lang w:val="sq-AL"/>
        </w:rPr>
        <w:t>Aktorët e SINJB</w:t>
      </w:r>
      <w:r w:rsidR="00AA73C9">
        <w:rPr>
          <w:lang w:val="sq-AL"/>
        </w:rPr>
        <w:t>-së</w:t>
      </w:r>
      <w:r w:rsidRPr="0058349C">
        <w:rPr>
          <w:lang w:val="sq-AL"/>
        </w:rPr>
        <w:t xml:space="preserve"> në Shqipëri</w:t>
      </w:r>
    </w:p>
    <w:p w14:paraId="0773AB0E" w14:textId="77777777" w:rsidR="003330D8" w:rsidRPr="0058349C" w:rsidRDefault="003330D8" w:rsidP="00A61C64">
      <w:pPr>
        <w:pStyle w:val="TEKSTIIII"/>
        <w:rPr>
          <w:lang w:val="sq-AL"/>
        </w:rPr>
      </w:pPr>
    </w:p>
    <w:p w14:paraId="0773AB0F" w14:textId="77777777" w:rsidR="0073015C" w:rsidRPr="0058349C" w:rsidRDefault="0073015C" w:rsidP="0073015C">
      <w:pPr>
        <w:pStyle w:val="TEKSTIIII"/>
        <w:rPr>
          <w:b/>
          <w:lang w:val="sq-AL"/>
        </w:rPr>
      </w:pPr>
      <w:r w:rsidRPr="0058349C">
        <w:rPr>
          <w:b/>
          <w:lang w:val="sq-AL"/>
        </w:rPr>
        <w:t>Shkurtime</w:t>
      </w:r>
    </w:p>
    <w:p w14:paraId="0773AB10" w14:textId="77777777" w:rsidR="002774F0" w:rsidRPr="0058349C" w:rsidRDefault="002774F0" w:rsidP="0073015C">
      <w:pPr>
        <w:pStyle w:val="TEKSTIIII"/>
        <w:rPr>
          <w:b/>
          <w:lang w:val="sq-AL"/>
        </w:rPr>
      </w:pPr>
    </w:p>
    <w:tbl>
      <w:tblPr>
        <w:tblStyle w:val="TableGrid"/>
        <w:tblW w:w="0" w:type="auto"/>
        <w:tblLook w:val="04A0" w:firstRow="1" w:lastRow="0" w:firstColumn="1" w:lastColumn="0" w:noHBand="0" w:noVBand="1"/>
      </w:tblPr>
      <w:tblGrid>
        <w:gridCol w:w="1458"/>
        <w:gridCol w:w="7829"/>
      </w:tblGrid>
      <w:tr w:rsidR="003B5F32" w:rsidRPr="0058349C" w14:paraId="0773AB13" w14:textId="77777777" w:rsidTr="00C2158F">
        <w:tc>
          <w:tcPr>
            <w:tcW w:w="1458" w:type="dxa"/>
          </w:tcPr>
          <w:p w14:paraId="0773AB11" w14:textId="77777777" w:rsidR="0073015C" w:rsidRPr="0058349C" w:rsidRDefault="0073015C" w:rsidP="0073015C">
            <w:pPr>
              <w:pStyle w:val="TEKSTIIII"/>
              <w:ind w:firstLine="0"/>
              <w:rPr>
                <w:b/>
                <w:sz w:val="20"/>
                <w:szCs w:val="20"/>
                <w:lang w:val="sq-AL"/>
              </w:rPr>
            </w:pPr>
            <w:r w:rsidRPr="0058349C">
              <w:rPr>
                <w:b/>
                <w:sz w:val="20"/>
                <w:szCs w:val="20"/>
                <w:lang w:val="sq-AL"/>
              </w:rPr>
              <w:t>AGJVBP</w:t>
            </w:r>
          </w:p>
        </w:tc>
        <w:tc>
          <w:tcPr>
            <w:tcW w:w="7829" w:type="dxa"/>
          </w:tcPr>
          <w:p w14:paraId="0773AB12" w14:textId="21F81B3D" w:rsidR="0073015C" w:rsidRPr="0058349C" w:rsidRDefault="0073015C" w:rsidP="0073015C">
            <w:pPr>
              <w:pStyle w:val="TEKSTIIII"/>
              <w:ind w:firstLine="0"/>
              <w:rPr>
                <w:bCs/>
                <w:sz w:val="20"/>
                <w:szCs w:val="20"/>
                <w:lang w:val="sq-AL"/>
              </w:rPr>
            </w:pPr>
            <w:r w:rsidRPr="0058349C">
              <w:rPr>
                <w:bCs/>
                <w:sz w:val="20"/>
                <w:szCs w:val="20"/>
                <w:lang w:val="sq-AL"/>
              </w:rPr>
              <w:t xml:space="preserve">Agjenda e </w:t>
            </w:r>
            <w:r w:rsidR="00780E9B" w:rsidRPr="0058349C">
              <w:rPr>
                <w:bCs/>
                <w:sz w:val="20"/>
                <w:szCs w:val="20"/>
                <w:lang w:val="sq-AL"/>
              </w:rPr>
              <w:t xml:space="preserve">gjelbër </w:t>
            </w:r>
            <w:r w:rsidRPr="0058349C">
              <w:rPr>
                <w:bCs/>
                <w:sz w:val="20"/>
                <w:szCs w:val="20"/>
                <w:lang w:val="sq-AL"/>
              </w:rPr>
              <w:t xml:space="preserve">për </w:t>
            </w:r>
            <w:r w:rsidR="00780E9B" w:rsidRPr="0058349C">
              <w:rPr>
                <w:bCs/>
                <w:sz w:val="20"/>
                <w:szCs w:val="20"/>
                <w:lang w:val="sq-AL"/>
              </w:rPr>
              <w:t xml:space="preserve">vendet </w:t>
            </w:r>
            <w:r w:rsidRPr="0058349C">
              <w:rPr>
                <w:bCs/>
                <w:sz w:val="20"/>
                <w:szCs w:val="20"/>
                <w:lang w:val="sq-AL"/>
              </w:rPr>
              <w:t>e Ballkanit Perëndimor</w:t>
            </w:r>
          </w:p>
        </w:tc>
      </w:tr>
      <w:tr w:rsidR="003B5F32" w:rsidRPr="0058349C" w14:paraId="0773AB16" w14:textId="77777777" w:rsidTr="00C2158F">
        <w:tc>
          <w:tcPr>
            <w:tcW w:w="1458" w:type="dxa"/>
          </w:tcPr>
          <w:p w14:paraId="0773AB14" w14:textId="77777777" w:rsidR="0073015C" w:rsidRPr="0058349C" w:rsidRDefault="0073015C" w:rsidP="0073015C">
            <w:pPr>
              <w:pStyle w:val="TEKSTIIII"/>
              <w:ind w:firstLine="0"/>
              <w:rPr>
                <w:b/>
                <w:sz w:val="20"/>
                <w:szCs w:val="20"/>
                <w:lang w:val="sq-AL"/>
              </w:rPr>
            </w:pPr>
            <w:r w:rsidRPr="0058349C">
              <w:rPr>
                <w:b/>
                <w:sz w:val="20"/>
                <w:szCs w:val="20"/>
                <w:lang w:val="sq-AL"/>
              </w:rPr>
              <w:t>AFP</w:t>
            </w:r>
          </w:p>
        </w:tc>
        <w:tc>
          <w:tcPr>
            <w:tcW w:w="7829" w:type="dxa"/>
          </w:tcPr>
          <w:p w14:paraId="0773AB15" w14:textId="4144EA82" w:rsidR="0073015C" w:rsidRPr="0058349C" w:rsidRDefault="0073015C" w:rsidP="0073015C">
            <w:pPr>
              <w:pStyle w:val="TEKSTIIII"/>
              <w:ind w:firstLine="0"/>
              <w:rPr>
                <w:sz w:val="20"/>
                <w:szCs w:val="20"/>
                <w:lang w:val="sq-AL"/>
              </w:rPr>
            </w:pPr>
            <w:r w:rsidRPr="0058349C">
              <w:rPr>
                <w:sz w:val="20"/>
                <w:szCs w:val="20"/>
                <w:lang w:val="sq-AL"/>
              </w:rPr>
              <w:t xml:space="preserve">Arsimimi dhe </w:t>
            </w:r>
            <w:r w:rsidR="00780E9B" w:rsidRPr="0058349C">
              <w:rPr>
                <w:sz w:val="20"/>
                <w:szCs w:val="20"/>
                <w:lang w:val="sq-AL"/>
              </w:rPr>
              <w:t>formimi profesional</w:t>
            </w:r>
          </w:p>
        </w:tc>
      </w:tr>
      <w:tr w:rsidR="003B5F32" w:rsidRPr="0058349C" w14:paraId="0773AB19" w14:textId="77777777" w:rsidTr="00C2158F">
        <w:tc>
          <w:tcPr>
            <w:tcW w:w="1458" w:type="dxa"/>
          </w:tcPr>
          <w:p w14:paraId="0773AB17" w14:textId="77777777" w:rsidR="0073015C" w:rsidRPr="0058349C" w:rsidRDefault="0073015C" w:rsidP="0073015C">
            <w:pPr>
              <w:pStyle w:val="TEKSTIIII"/>
              <w:ind w:firstLine="0"/>
              <w:rPr>
                <w:b/>
                <w:sz w:val="20"/>
                <w:szCs w:val="20"/>
                <w:lang w:val="sq-AL"/>
              </w:rPr>
            </w:pPr>
            <w:r w:rsidRPr="0058349C">
              <w:rPr>
                <w:b/>
                <w:sz w:val="20"/>
                <w:szCs w:val="20"/>
                <w:lang w:val="sq-AL"/>
              </w:rPr>
              <w:t>AM IPARD</w:t>
            </w:r>
          </w:p>
        </w:tc>
        <w:tc>
          <w:tcPr>
            <w:tcW w:w="7829" w:type="dxa"/>
          </w:tcPr>
          <w:p w14:paraId="0773AB18" w14:textId="59AA20FC" w:rsidR="0073015C" w:rsidRPr="0058349C" w:rsidRDefault="0073015C" w:rsidP="0073015C">
            <w:pPr>
              <w:pStyle w:val="TEKSTIIII"/>
              <w:ind w:firstLine="0"/>
              <w:rPr>
                <w:sz w:val="20"/>
                <w:szCs w:val="20"/>
                <w:lang w:val="sq-AL"/>
              </w:rPr>
            </w:pPr>
            <w:r w:rsidRPr="0058349C">
              <w:rPr>
                <w:sz w:val="20"/>
                <w:szCs w:val="20"/>
                <w:shd w:val="clear" w:color="auto" w:fill="FFFFFF"/>
                <w:lang w:val="sq-AL"/>
              </w:rPr>
              <w:t xml:space="preserve">Autoriteti </w:t>
            </w:r>
            <w:r w:rsidR="00780E9B" w:rsidRPr="0058349C">
              <w:rPr>
                <w:sz w:val="20"/>
                <w:szCs w:val="20"/>
                <w:shd w:val="clear" w:color="auto" w:fill="FFFFFF"/>
                <w:lang w:val="sq-AL"/>
              </w:rPr>
              <w:t>menaxhues</w:t>
            </w:r>
            <w:r w:rsidR="00780E9B">
              <w:rPr>
                <w:sz w:val="20"/>
                <w:szCs w:val="20"/>
                <w:shd w:val="clear" w:color="auto" w:fill="FFFFFF"/>
                <w:lang w:val="sq-AL"/>
              </w:rPr>
              <w:t xml:space="preserve"> –</w:t>
            </w:r>
            <w:r w:rsidRPr="0058349C">
              <w:rPr>
                <w:sz w:val="20"/>
                <w:szCs w:val="20"/>
                <w:shd w:val="clear" w:color="auto" w:fill="FFFFFF"/>
                <w:lang w:val="sq-AL"/>
              </w:rPr>
              <w:t xml:space="preserve"> Instrumenti për </w:t>
            </w:r>
            <w:r w:rsidR="00780E9B" w:rsidRPr="0058349C">
              <w:rPr>
                <w:sz w:val="20"/>
                <w:szCs w:val="20"/>
                <w:shd w:val="clear" w:color="auto" w:fill="FFFFFF"/>
                <w:lang w:val="sq-AL"/>
              </w:rPr>
              <w:t>asistencë para aderimit për zhvillim rural</w:t>
            </w:r>
          </w:p>
        </w:tc>
      </w:tr>
      <w:tr w:rsidR="003B5F32" w:rsidRPr="0058349C" w14:paraId="0773AB1C" w14:textId="77777777" w:rsidTr="00C2158F">
        <w:tc>
          <w:tcPr>
            <w:tcW w:w="1458" w:type="dxa"/>
          </w:tcPr>
          <w:p w14:paraId="0773AB1A" w14:textId="77777777" w:rsidR="0073015C" w:rsidRPr="0058349C" w:rsidRDefault="0073015C" w:rsidP="0073015C">
            <w:pPr>
              <w:pStyle w:val="TEKSTIIII"/>
              <w:ind w:firstLine="0"/>
              <w:rPr>
                <w:b/>
                <w:sz w:val="20"/>
                <w:szCs w:val="20"/>
                <w:lang w:val="sq-AL"/>
              </w:rPr>
            </w:pPr>
            <w:r w:rsidRPr="0058349C">
              <w:rPr>
                <w:b/>
                <w:sz w:val="20"/>
                <w:szCs w:val="20"/>
                <w:lang w:val="sq-AL"/>
              </w:rPr>
              <w:t>AKU</w:t>
            </w:r>
          </w:p>
        </w:tc>
        <w:tc>
          <w:tcPr>
            <w:tcW w:w="7829" w:type="dxa"/>
          </w:tcPr>
          <w:p w14:paraId="0773AB1B" w14:textId="77777777" w:rsidR="0073015C" w:rsidRPr="0058349C" w:rsidRDefault="0073015C" w:rsidP="0073015C">
            <w:pPr>
              <w:pStyle w:val="TEKSTIIII"/>
              <w:ind w:firstLine="0"/>
              <w:rPr>
                <w:sz w:val="20"/>
                <w:szCs w:val="20"/>
                <w:lang w:val="sq-AL"/>
              </w:rPr>
            </w:pPr>
            <w:r w:rsidRPr="0058349C">
              <w:rPr>
                <w:sz w:val="20"/>
                <w:szCs w:val="20"/>
                <w:lang w:val="sq-AL"/>
              </w:rPr>
              <w:t>Autoriteti Kombëtar i Ushqimit</w:t>
            </w:r>
          </w:p>
        </w:tc>
      </w:tr>
      <w:tr w:rsidR="003B5F32" w:rsidRPr="0058349C" w14:paraId="0773AB1F" w14:textId="77777777" w:rsidTr="00C2158F">
        <w:tc>
          <w:tcPr>
            <w:tcW w:w="1458" w:type="dxa"/>
          </w:tcPr>
          <w:p w14:paraId="0773AB1D" w14:textId="77777777" w:rsidR="0073015C" w:rsidRPr="0058349C" w:rsidRDefault="0073015C" w:rsidP="0073015C">
            <w:pPr>
              <w:pStyle w:val="TEKSTIIII"/>
              <w:ind w:firstLine="0"/>
              <w:rPr>
                <w:b/>
                <w:sz w:val="20"/>
                <w:szCs w:val="20"/>
                <w:lang w:val="sq-AL"/>
              </w:rPr>
            </w:pPr>
            <w:r w:rsidRPr="0058349C">
              <w:rPr>
                <w:b/>
                <w:sz w:val="20"/>
                <w:szCs w:val="20"/>
                <w:lang w:val="sq-AL"/>
              </w:rPr>
              <w:t>AT</w:t>
            </w:r>
          </w:p>
        </w:tc>
        <w:tc>
          <w:tcPr>
            <w:tcW w:w="7829" w:type="dxa"/>
          </w:tcPr>
          <w:p w14:paraId="0773AB1E" w14:textId="264948C9" w:rsidR="0073015C" w:rsidRPr="0058349C" w:rsidRDefault="0073015C" w:rsidP="0073015C">
            <w:pPr>
              <w:pStyle w:val="TEKSTIIII"/>
              <w:ind w:firstLine="0"/>
              <w:rPr>
                <w:sz w:val="20"/>
                <w:szCs w:val="20"/>
                <w:lang w:val="sq-AL"/>
              </w:rPr>
            </w:pPr>
            <w:r w:rsidRPr="0058349C">
              <w:rPr>
                <w:sz w:val="20"/>
                <w:szCs w:val="20"/>
                <w:lang w:val="sq-AL"/>
              </w:rPr>
              <w:t xml:space="preserve">Asistencë </w:t>
            </w:r>
            <w:r w:rsidR="00780E9B" w:rsidRPr="0058349C">
              <w:rPr>
                <w:sz w:val="20"/>
                <w:szCs w:val="20"/>
                <w:lang w:val="sq-AL"/>
              </w:rPr>
              <w:t>teknike</w:t>
            </w:r>
          </w:p>
        </w:tc>
      </w:tr>
      <w:tr w:rsidR="003B5F32" w:rsidRPr="0058349C" w14:paraId="0773AB22" w14:textId="77777777" w:rsidTr="00C2158F">
        <w:tc>
          <w:tcPr>
            <w:tcW w:w="1458" w:type="dxa"/>
          </w:tcPr>
          <w:p w14:paraId="0773AB20" w14:textId="77777777" w:rsidR="0073015C" w:rsidRPr="0058349C" w:rsidRDefault="0073015C" w:rsidP="0073015C">
            <w:pPr>
              <w:pStyle w:val="TEKSTIIII"/>
              <w:ind w:firstLine="0"/>
              <w:rPr>
                <w:b/>
                <w:sz w:val="20"/>
                <w:szCs w:val="20"/>
                <w:lang w:val="sq-AL"/>
              </w:rPr>
            </w:pPr>
            <w:r w:rsidRPr="0058349C">
              <w:rPr>
                <w:b/>
                <w:sz w:val="20"/>
                <w:szCs w:val="20"/>
                <w:lang w:val="sq-AL"/>
              </w:rPr>
              <w:t>BE</w:t>
            </w:r>
          </w:p>
        </w:tc>
        <w:tc>
          <w:tcPr>
            <w:tcW w:w="7829" w:type="dxa"/>
          </w:tcPr>
          <w:p w14:paraId="0773AB21" w14:textId="77777777" w:rsidR="0073015C" w:rsidRPr="0058349C" w:rsidRDefault="0073015C" w:rsidP="0073015C">
            <w:pPr>
              <w:pStyle w:val="TEKSTIIII"/>
              <w:ind w:firstLine="0"/>
              <w:rPr>
                <w:sz w:val="20"/>
                <w:szCs w:val="20"/>
                <w:lang w:val="sq-AL"/>
              </w:rPr>
            </w:pPr>
            <w:r w:rsidRPr="0058349C">
              <w:rPr>
                <w:sz w:val="20"/>
                <w:szCs w:val="20"/>
                <w:lang w:val="sq-AL"/>
              </w:rPr>
              <w:t>Bashkimi Evropian</w:t>
            </w:r>
          </w:p>
        </w:tc>
      </w:tr>
      <w:tr w:rsidR="003B5F32" w:rsidRPr="0058349C" w14:paraId="0773AB25" w14:textId="77777777" w:rsidTr="00C2158F">
        <w:tc>
          <w:tcPr>
            <w:tcW w:w="1458" w:type="dxa"/>
          </w:tcPr>
          <w:p w14:paraId="0773AB23" w14:textId="77777777" w:rsidR="0073015C" w:rsidRPr="0058349C" w:rsidRDefault="0073015C" w:rsidP="0073015C">
            <w:pPr>
              <w:pStyle w:val="TEKSTIIII"/>
              <w:ind w:firstLine="0"/>
              <w:rPr>
                <w:b/>
                <w:sz w:val="20"/>
                <w:szCs w:val="20"/>
                <w:lang w:val="sq-AL"/>
              </w:rPr>
            </w:pPr>
            <w:r w:rsidRPr="0058349C">
              <w:rPr>
                <w:b/>
                <w:sz w:val="20"/>
                <w:szCs w:val="20"/>
                <w:lang w:val="sq-AL"/>
              </w:rPr>
              <w:t>BB</w:t>
            </w:r>
          </w:p>
        </w:tc>
        <w:tc>
          <w:tcPr>
            <w:tcW w:w="7829" w:type="dxa"/>
          </w:tcPr>
          <w:p w14:paraId="0773AB24" w14:textId="77777777" w:rsidR="0073015C" w:rsidRPr="0058349C" w:rsidRDefault="0073015C" w:rsidP="0073015C">
            <w:pPr>
              <w:pStyle w:val="TEKSTIIII"/>
              <w:ind w:firstLine="0"/>
              <w:rPr>
                <w:sz w:val="20"/>
                <w:szCs w:val="20"/>
                <w:lang w:val="sq-AL"/>
              </w:rPr>
            </w:pPr>
            <w:r w:rsidRPr="0058349C">
              <w:rPr>
                <w:sz w:val="20"/>
                <w:szCs w:val="20"/>
                <w:lang w:val="sq-AL"/>
              </w:rPr>
              <w:t>Banka Botërore</w:t>
            </w:r>
          </w:p>
        </w:tc>
      </w:tr>
      <w:tr w:rsidR="003B5F32" w:rsidRPr="0058349C" w14:paraId="0773AB28" w14:textId="77777777" w:rsidTr="00C2158F">
        <w:tc>
          <w:tcPr>
            <w:tcW w:w="1458" w:type="dxa"/>
          </w:tcPr>
          <w:p w14:paraId="0773AB26" w14:textId="77777777" w:rsidR="0073015C" w:rsidRPr="0058349C" w:rsidRDefault="0073015C" w:rsidP="0073015C">
            <w:pPr>
              <w:pStyle w:val="TEKSTIIII"/>
              <w:ind w:firstLine="0"/>
              <w:rPr>
                <w:b/>
                <w:sz w:val="20"/>
                <w:szCs w:val="20"/>
                <w:lang w:val="sq-AL"/>
              </w:rPr>
            </w:pPr>
            <w:r w:rsidRPr="0058349C">
              <w:rPr>
                <w:b/>
                <w:sz w:val="20"/>
                <w:szCs w:val="20"/>
                <w:lang w:val="sq-AL"/>
              </w:rPr>
              <w:t>BBP</w:t>
            </w:r>
          </w:p>
        </w:tc>
        <w:tc>
          <w:tcPr>
            <w:tcW w:w="7829" w:type="dxa"/>
          </w:tcPr>
          <w:p w14:paraId="0773AB27" w14:textId="7214FFBD" w:rsidR="0073015C" w:rsidRPr="0058349C" w:rsidRDefault="00780E9B" w:rsidP="0073015C">
            <w:pPr>
              <w:pStyle w:val="TEKSTIIII"/>
              <w:ind w:firstLine="0"/>
              <w:rPr>
                <w:sz w:val="20"/>
                <w:szCs w:val="20"/>
                <w:lang w:val="sq-AL"/>
              </w:rPr>
            </w:pPr>
            <w:r>
              <w:rPr>
                <w:sz w:val="20"/>
                <w:szCs w:val="20"/>
                <w:lang w:val="sq-AL"/>
              </w:rPr>
              <w:t>Bioe</w:t>
            </w:r>
            <w:r w:rsidR="0073015C" w:rsidRPr="0058349C">
              <w:rPr>
                <w:sz w:val="20"/>
                <w:szCs w:val="20"/>
                <w:lang w:val="sq-AL"/>
              </w:rPr>
              <w:t xml:space="preserve">konomia e </w:t>
            </w:r>
            <w:r w:rsidRPr="0058349C">
              <w:rPr>
                <w:sz w:val="20"/>
                <w:szCs w:val="20"/>
                <w:lang w:val="sq-AL"/>
              </w:rPr>
              <w:t>bazuar në pyje</w:t>
            </w:r>
          </w:p>
        </w:tc>
      </w:tr>
      <w:tr w:rsidR="003B5F32" w:rsidRPr="0058349C" w14:paraId="0773AB2B" w14:textId="77777777" w:rsidTr="00C2158F">
        <w:tc>
          <w:tcPr>
            <w:tcW w:w="1458" w:type="dxa"/>
          </w:tcPr>
          <w:p w14:paraId="0773AB29" w14:textId="77777777" w:rsidR="0073015C" w:rsidRPr="0058349C" w:rsidRDefault="0073015C" w:rsidP="0073015C">
            <w:pPr>
              <w:pStyle w:val="TEKSTIIII"/>
              <w:ind w:firstLine="0"/>
              <w:rPr>
                <w:b/>
                <w:sz w:val="20"/>
                <w:szCs w:val="20"/>
                <w:lang w:val="sq-AL"/>
              </w:rPr>
            </w:pPr>
            <w:r w:rsidRPr="0058349C">
              <w:rPr>
                <w:rFonts w:eastAsia="Arial"/>
                <w:b/>
                <w:sz w:val="20"/>
                <w:szCs w:val="20"/>
                <w:lang w:val="sq-AL"/>
              </w:rPr>
              <w:t>CEFTA</w:t>
            </w:r>
          </w:p>
        </w:tc>
        <w:tc>
          <w:tcPr>
            <w:tcW w:w="7829" w:type="dxa"/>
          </w:tcPr>
          <w:p w14:paraId="0773AB2A" w14:textId="77777777" w:rsidR="0073015C" w:rsidRPr="0058349C" w:rsidRDefault="0073015C" w:rsidP="0073015C">
            <w:pPr>
              <w:pStyle w:val="TEKSTIIII"/>
              <w:ind w:firstLine="0"/>
              <w:rPr>
                <w:sz w:val="20"/>
                <w:szCs w:val="20"/>
                <w:lang w:val="sq-AL"/>
              </w:rPr>
            </w:pPr>
            <w:r w:rsidRPr="0058349C">
              <w:rPr>
                <w:sz w:val="20"/>
                <w:szCs w:val="20"/>
                <w:shd w:val="clear" w:color="auto" w:fill="FFFFFF"/>
                <w:lang w:val="sq-AL"/>
              </w:rPr>
              <w:t>Marrëveshje e Tregtisë së Lirë për Evropën Qendrore</w:t>
            </w:r>
          </w:p>
        </w:tc>
      </w:tr>
      <w:tr w:rsidR="003B5F32" w:rsidRPr="0058349C" w14:paraId="0773AB2E" w14:textId="77777777" w:rsidTr="00C2158F">
        <w:tc>
          <w:tcPr>
            <w:tcW w:w="1458" w:type="dxa"/>
          </w:tcPr>
          <w:p w14:paraId="0773AB2C" w14:textId="77777777" w:rsidR="0073015C" w:rsidRPr="0058349C" w:rsidRDefault="0073015C" w:rsidP="0073015C">
            <w:pPr>
              <w:pStyle w:val="TEKSTIIII"/>
              <w:ind w:firstLine="0"/>
              <w:rPr>
                <w:b/>
                <w:sz w:val="20"/>
                <w:szCs w:val="20"/>
                <w:lang w:val="sq-AL"/>
              </w:rPr>
            </w:pPr>
            <w:r w:rsidRPr="0058349C">
              <w:rPr>
                <w:b/>
                <w:sz w:val="20"/>
                <w:szCs w:val="20"/>
                <w:lang w:val="sq-AL"/>
              </w:rPr>
              <w:t>DP</w:t>
            </w:r>
          </w:p>
        </w:tc>
        <w:tc>
          <w:tcPr>
            <w:tcW w:w="7829" w:type="dxa"/>
          </w:tcPr>
          <w:p w14:paraId="0773AB2D" w14:textId="77777777" w:rsidR="0073015C" w:rsidRPr="0058349C" w:rsidRDefault="0073015C" w:rsidP="0073015C">
            <w:pPr>
              <w:pStyle w:val="TEKSTIIII"/>
              <w:ind w:firstLine="0"/>
              <w:rPr>
                <w:sz w:val="20"/>
                <w:szCs w:val="20"/>
                <w:lang w:val="sq-AL"/>
              </w:rPr>
            </w:pPr>
            <w:r w:rsidRPr="0058349C">
              <w:rPr>
                <w:rFonts w:eastAsia="Arial"/>
                <w:sz w:val="20"/>
                <w:szCs w:val="20"/>
                <w:lang w:val="sq-AL"/>
              </w:rPr>
              <w:t>Drejtoria e Përgjithshme</w:t>
            </w:r>
          </w:p>
        </w:tc>
      </w:tr>
      <w:tr w:rsidR="003B5F32" w:rsidRPr="0058349C" w14:paraId="0773AB31" w14:textId="77777777" w:rsidTr="00C2158F">
        <w:tc>
          <w:tcPr>
            <w:tcW w:w="1458" w:type="dxa"/>
          </w:tcPr>
          <w:p w14:paraId="0773AB2F" w14:textId="77777777" w:rsidR="0073015C" w:rsidRPr="0058349C" w:rsidRDefault="0073015C" w:rsidP="0073015C">
            <w:pPr>
              <w:pStyle w:val="TEKSTIIII"/>
              <w:ind w:firstLine="0"/>
              <w:rPr>
                <w:b/>
                <w:sz w:val="20"/>
                <w:szCs w:val="20"/>
                <w:lang w:val="sq-AL"/>
              </w:rPr>
            </w:pPr>
            <w:r w:rsidRPr="0058349C">
              <w:rPr>
                <w:b/>
                <w:sz w:val="20"/>
                <w:szCs w:val="20"/>
                <w:lang w:val="sq-AL"/>
              </w:rPr>
              <w:t>FAO</w:t>
            </w:r>
          </w:p>
        </w:tc>
        <w:tc>
          <w:tcPr>
            <w:tcW w:w="7829" w:type="dxa"/>
          </w:tcPr>
          <w:p w14:paraId="0773AB30"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Organizata e Kombeve të Bashkuara për Ushqimin dhe Bujqësinë</w:t>
            </w:r>
          </w:p>
        </w:tc>
      </w:tr>
      <w:tr w:rsidR="003B5F32" w:rsidRPr="0058349C" w14:paraId="0773AB34" w14:textId="77777777" w:rsidTr="00C2158F">
        <w:tc>
          <w:tcPr>
            <w:tcW w:w="1458" w:type="dxa"/>
          </w:tcPr>
          <w:p w14:paraId="0773AB32" w14:textId="77777777" w:rsidR="0073015C" w:rsidRPr="0058349C" w:rsidRDefault="0073015C" w:rsidP="0073015C">
            <w:pPr>
              <w:pStyle w:val="TEKSTIIII"/>
              <w:ind w:firstLine="0"/>
              <w:rPr>
                <w:b/>
                <w:sz w:val="20"/>
                <w:szCs w:val="20"/>
                <w:lang w:val="sq-AL"/>
              </w:rPr>
            </w:pPr>
            <w:r w:rsidRPr="0058349C">
              <w:rPr>
                <w:b/>
                <w:sz w:val="20"/>
                <w:szCs w:val="20"/>
                <w:lang w:val="sq-AL"/>
              </w:rPr>
              <w:t>GIZ</w:t>
            </w:r>
          </w:p>
        </w:tc>
        <w:tc>
          <w:tcPr>
            <w:tcW w:w="7829" w:type="dxa"/>
          </w:tcPr>
          <w:p w14:paraId="0773AB33"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Agjencia Gjermane për Bashkëpunim Ndërkombëtar</w:t>
            </w:r>
          </w:p>
        </w:tc>
      </w:tr>
      <w:tr w:rsidR="003B5F32" w:rsidRPr="0058349C" w14:paraId="0773AB37" w14:textId="77777777" w:rsidTr="00C2158F">
        <w:tc>
          <w:tcPr>
            <w:tcW w:w="1458" w:type="dxa"/>
          </w:tcPr>
          <w:p w14:paraId="0773AB35" w14:textId="77777777" w:rsidR="0073015C" w:rsidRPr="0058349C" w:rsidRDefault="0073015C" w:rsidP="0073015C">
            <w:pPr>
              <w:pStyle w:val="TEKSTIIII"/>
              <w:ind w:firstLine="0"/>
              <w:rPr>
                <w:b/>
                <w:sz w:val="20"/>
                <w:szCs w:val="20"/>
                <w:lang w:val="sq-AL"/>
              </w:rPr>
            </w:pPr>
            <w:r w:rsidRPr="0058349C">
              <w:rPr>
                <w:b/>
                <w:sz w:val="20"/>
                <w:szCs w:val="20"/>
                <w:lang w:val="sq-AL"/>
              </w:rPr>
              <w:t>GS</w:t>
            </w:r>
          </w:p>
        </w:tc>
        <w:tc>
          <w:tcPr>
            <w:tcW w:w="7829" w:type="dxa"/>
          </w:tcPr>
          <w:p w14:paraId="0773AB36" w14:textId="040CC1F3"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Gazet </w:t>
            </w:r>
            <w:r w:rsidR="00780E9B" w:rsidRPr="0058349C">
              <w:rPr>
                <w:sz w:val="20"/>
                <w:szCs w:val="20"/>
                <w:shd w:val="clear" w:color="auto" w:fill="FFFFFF"/>
                <w:lang w:val="sq-AL"/>
              </w:rPr>
              <w:t>ser</w:t>
            </w:r>
            <w:r w:rsidR="00780E9B">
              <w:rPr>
                <w:sz w:val="20"/>
                <w:szCs w:val="20"/>
                <w:shd w:val="clear" w:color="auto" w:fill="FFFFFF"/>
                <w:lang w:val="sq-AL"/>
              </w:rPr>
              <w:t>r</w:t>
            </w:r>
            <w:r w:rsidR="00780E9B" w:rsidRPr="0058349C">
              <w:rPr>
                <w:sz w:val="20"/>
                <w:szCs w:val="20"/>
                <w:shd w:val="clear" w:color="auto" w:fill="FFFFFF"/>
                <w:lang w:val="sq-AL"/>
              </w:rPr>
              <w:t>ë</w:t>
            </w:r>
          </w:p>
        </w:tc>
      </w:tr>
      <w:tr w:rsidR="003B5F32" w:rsidRPr="0058349C" w14:paraId="0773AB3A" w14:textId="77777777" w:rsidTr="00C2158F">
        <w:tc>
          <w:tcPr>
            <w:tcW w:w="1458" w:type="dxa"/>
          </w:tcPr>
          <w:p w14:paraId="0773AB38" w14:textId="77777777" w:rsidR="0073015C" w:rsidRPr="0058349C" w:rsidRDefault="0073015C" w:rsidP="0073015C">
            <w:pPr>
              <w:pStyle w:val="TEKSTIIII"/>
              <w:ind w:firstLine="0"/>
              <w:rPr>
                <w:rFonts w:eastAsia="Arial"/>
                <w:b/>
                <w:sz w:val="20"/>
                <w:szCs w:val="20"/>
                <w:lang w:val="sq-AL"/>
              </w:rPr>
            </w:pPr>
            <w:r w:rsidRPr="0058349C">
              <w:rPr>
                <w:rFonts w:eastAsia="Arial"/>
                <w:b/>
                <w:sz w:val="20"/>
                <w:szCs w:val="20"/>
                <w:lang w:val="sq-AL"/>
              </w:rPr>
              <w:t>GVV</w:t>
            </w:r>
          </w:p>
        </w:tc>
        <w:tc>
          <w:tcPr>
            <w:tcW w:w="7829" w:type="dxa"/>
          </w:tcPr>
          <w:p w14:paraId="0773AB39" w14:textId="10B111E4"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Grupet </w:t>
            </w:r>
            <w:r w:rsidR="00780E9B" w:rsidRPr="0058349C">
              <w:rPr>
                <w:sz w:val="20"/>
                <w:szCs w:val="20"/>
                <w:shd w:val="clear" w:color="auto" w:fill="FFFFFF"/>
                <w:lang w:val="sq-AL"/>
              </w:rPr>
              <w:t>vendore të veprimit (</w:t>
            </w:r>
            <w:r w:rsidRPr="0058349C">
              <w:rPr>
                <w:sz w:val="20"/>
                <w:szCs w:val="20"/>
                <w:shd w:val="clear" w:color="auto" w:fill="FFFFFF"/>
                <w:lang w:val="sq-AL"/>
              </w:rPr>
              <w:t>në kuadër të qasjes LEADER)</w:t>
            </w:r>
          </w:p>
        </w:tc>
      </w:tr>
      <w:tr w:rsidR="003B5F32" w:rsidRPr="0058349C" w14:paraId="0773AB3D" w14:textId="77777777" w:rsidTr="00C2158F">
        <w:tc>
          <w:tcPr>
            <w:tcW w:w="1458" w:type="dxa"/>
          </w:tcPr>
          <w:p w14:paraId="0773AB3B" w14:textId="77777777" w:rsidR="0073015C" w:rsidRPr="0058349C" w:rsidRDefault="0073015C" w:rsidP="0073015C">
            <w:pPr>
              <w:pStyle w:val="TEKSTIIII"/>
              <w:ind w:firstLine="0"/>
              <w:rPr>
                <w:b/>
                <w:sz w:val="20"/>
                <w:szCs w:val="20"/>
                <w:lang w:val="sq-AL"/>
              </w:rPr>
            </w:pPr>
            <w:r w:rsidRPr="0058349C">
              <w:rPr>
                <w:b/>
                <w:sz w:val="20"/>
                <w:szCs w:val="20"/>
                <w:lang w:val="sq-AL"/>
              </w:rPr>
              <w:t xml:space="preserve">HACCP </w:t>
            </w:r>
          </w:p>
        </w:tc>
        <w:tc>
          <w:tcPr>
            <w:tcW w:w="7829" w:type="dxa"/>
          </w:tcPr>
          <w:p w14:paraId="0773AB3C" w14:textId="5EFB0392"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Analiza e </w:t>
            </w:r>
            <w:r w:rsidR="00780E9B" w:rsidRPr="0058349C">
              <w:rPr>
                <w:sz w:val="20"/>
                <w:szCs w:val="20"/>
                <w:shd w:val="clear" w:color="auto" w:fill="FFFFFF"/>
                <w:lang w:val="sq-AL"/>
              </w:rPr>
              <w:t>rrezikut dhe pikat kritike të kontrollit</w:t>
            </w:r>
          </w:p>
        </w:tc>
      </w:tr>
      <w:tr w:rsidR="003B5F32" w:rsidRPr="0058349C" w14:paraId="0773AB40" w14:textId="77777777" w:rsidTr="00C2158F">
        <w:tc>
          <w:tcPr>
            <w:tcW w:w="1458" w:type="dxa"/>
          </w:tcPr>
          <w:p w14:paraId="0773AB3E" w14:textId="77777777" w:rsidR="0073015C" w:rsidRPr="0058349C" w:rsidRDefault="0073015C" w:rsidP="0073015C">
            <w:pPr>
              <w:pStyle w:val="TEKSTIIII"/>
              <w:ind w:firstLine="0"/>
              <w:rPr>
                <w:b/>
                <w:sz w:val="20"/>
                <w:szCs w:val="20"/>
                <w:lang w:val="sq-AL"/>
              </w:rPr>
            </w:pPr>
            <w:r w:rsidRPr="0058349C">
              <w:rPr>
                <w:b/>
                <w:sz w:val="20"/>
                <w:szCs w:val="20"/>
                <w:lang w:val="sq-AL"/>
              </w:rPr>
              <w:t>INSTAT</w:t>
            </w:r>
          </w:p>
        </w:tc>
        <w:tc>
          <w:tcPr>
            <w:tcW w:w="7829" w:type="dxa"/>
          </w:tcPr>
          <w:p w14:paraId="0773AB3F" w14:textId="5410E9FD"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Instituti i </w:t>
            </w:r>
            <w:r w:rsidR="00780E9B" w:rsidRPr="0058349C">
              <w:rPr>
                <w:sz w:val="20"/>
                <w:szCs w:val="20"/>
                <w:shd w:val="clear" w:color="auto" w:fill="FFFFFF"/>
                <w:lang w:val="sq-AL"/>
              </w:rPr>
              <w:t>statistikave</w:t>
            </w:r>
          </w:p>
        </w:tc>
      </w:tr>
      <w:tr w:rsidR="003B5F32" w:rsidRPr="0058349C" w14:paraId="0773AB43" w14:textId="77777777" w:rsidTr="00C2158F">
        <w:tc>
          <w:tcPr>
            <w:tcW w:w="1458" w:type="dxa"/>
          </w:tcPr>
          <w:p w14:paraId="0773AB41" w14:textId="77777777" w:rsidR="0073015C" w:rsidRPr="0058349C" w:rsidRDefault="0073015C" w:rsidP="0073015C">
            <w:pPr>
              <w:pStyle w:val="TEKSTIIII"/>
              <w:ind w:firstLine="0"/>
              <w:rPr>
                <w:b/>
                <w:sz w:val="20"/>
                <w:szCs w:val="20"/>
                <w:lang w:val="sq-AL"/>
              </w:rPr>
            </w:pPr>
            <w:r w:rsidRPr="0058349C">
              <w:rPr>
                <w:b/>
                <w:sz w:val="20"/>
                <w:szCs w:val="20"/>
                <w:lang w:val="sq-AL"/>
              </w:rPr>
              <w:t>IPA</w:t>
            </w:r>
          </w:p>
        </w:tc>
        <w:tc>
          <w:tcPr>
            <w:tcW w:w="7829" w:type="dxa"/>
          </w:tcPr>
          <w:p w14:paraId="0773AB42" w14:textId="441B6BDE"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Instrumenti për </w:t>
            </w:r>
            <w:r w:rsidR="00780E9B" w:rsidRPr="0058349C">
              <w:rPr>
                <w:sz w:val="20"/>
                <w:szCs w:val="20"/>
                <w:shd w:val="clear" w:color="auto" w:fill="FFFFFF"/>
                <w:lang w:val="sq-AL"/>
              </w:rPr>
              <w:t>asistencë para aderimit</w:t>
            </w:r>
          </w:p>
        </w:tc>
      </w:tr>
      <w:tr w:rsidR="003B5F32" w:rsidRPr="0058349C" w14:paraId="0773AB46" w14:textId="77777777" w:rsidTr="00C2158F">
        <w:tc>
          <w:tcPr>
            <w:tcW w:w="1458" w:type="dxa"/>
          </w:tcPr>
          <w:p w14:paraId="0773AB44" w14:textId="77777777" w:rsidR="0073015C" w:rsidRPr="0058349C" w:rsidRDefault="0073015C" w:rsidP="0073015C">
            <w:pPr>
              <w:pStyle w:val="TEKSTIIII"/>
              <w:ind w:firstLine="0"/>
              <w:rPr>
                <w:b/>
                <w:sz w:val="20"/>
                <w:szCs w:val="20"/>
                <w:lang w:val="sq-AL"/>
              </w:rPr>
            </w:pPr>
            <w:r w:rsidRPr="0058349C">
              <w:rPr>
                <w:b/>
                <w:sz w:val="20"/>
                <w:szCs w:val="20"/>
                <w:lang w:val="sq-AL"/>
              </w:rPr>
              <w:t>IPARD</w:t>
            </w:r>
          </w:p>
        </w:tc>
        <w:tc>
          <w:tcPr>
            <w:tcW w:w="7829" w:type="dxa"/>
          </w:tcPr>
          <w:p w14:paraId="0773AB45" w14:textId="77EB082E"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Instrumenti për </w:t>
            </w:r>
            <w:r w:rsidR="00780E9B" w:rsidRPr="0058349C">
              <w:rPr>
                <w:sz w:val="20"/>
                <w:szCs w:val="20"/>
                <w:shd w:val="clear" w:color="auto" w:fill="FFFFFF"/>
                <w:lang w:val="sq-AL"/>
              </w:rPr>
              <w:t>asistencë para aderimit për zhvillim rural</w:t>
            </w:r>
          </w:p>
        </w:tc>
      </w:tr>
      <w:tr w:rsidR="003B5F32" w:rsidRPr="0058349C" w14:paraId="0773AB49" w14:textId="77777777" w:rsidTr="00C2158F">
        <w:tc>
          <w:tcPr>
            <w:tcW w:w="1458" w:type="dxa"/>
          </w:tcPr>
          <w:p w14:paraId="0773AB47" w14:textId="77777777" w:rsidR="0073015C" w:rsidRPr="0058349C" w:rsidRDefault="0073015C" w:rsidP="0073015C">
            <w:pPr>
              <w:pStyle w:val="TEKSTIIII"/>
              <w:ind w:firstLine="0"/>
              <w:rPr>
                <w:b/>
                <w:sz w:val="20"/>
                <w:szCs w:val="20"/>
                <w:lang w:val="sq-AL"/>
              </w:rPr>
            </w:pPr>
            <w:r w:rsidRPr="0058349C">
              <w:rPr>
                <w:b/>
                <w:sz w:val="20"/>
                <w:szCs w:val="20"/>
                <w:lang w:val="sq-AL"/>
              </w:rPr>
              <w:t>KMBM</w:t>
            </w:r>
          </w:p>
        </w:tc>
        <w:tc>
          <w:tcPr>
            <w:tcW w:w="7829" w:type="dxa"/>
          </w:tcPr>
          <w:p w14:paraId="0773AB48" w14:textId="20D1D8E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Kushte të Mira </w:t>
            </w:r>
            <w:r w:rsidR="00780E9B" w:rsidRPr="0058349C">
              <w:rPr>
                <w:sz w:val="20"/>
                <w:szCs w:val="20"/>
                <w:shd w:val="clear" w:color="auto" w:fill="FFFFFF"/>
                <w:lang w:val="sq-AL"/>
              </w:rPr>
              <w:t>bujqësore dhe mjedisore</w:t>
            </w:r>
          </w:p>
        </w:tc>
      </w:tr>
      <w:tr w:rsidR="003B5F32" w:rsidRPr="0058349C" w14:paraId="0773AB4C" w14:textId="77777777" w:rsidTr="00C2158F">
        <w:tc>
          <w:tcPr>
            <w:tcW w:w="1458" w:type="dxa"/>
          </w:tcPr>
          <w:p w14:paraId="0773AB4A" w14:textId="77777777" w:rsidR="0073015C" w:rsidRPr="0058349C" w:rsidRDefault="0073015C" w:rsidP="0073015C">
            <w:pPr>
              <w:pStyle w:val="TEKSTIIII"/>
              <w:ind w:firstLine="0"/>
              <w:rPr>
                <w:b/>
                <w:sz w:val="20"/>
                <w:szCs w:val="20"/>
                <w:lang w:val="sq-AL"/>
              </w:rPr>
            </w:pPr>
            <w:r w:rsidRPr="0058349C">
              <w:rPr>
                <w:b/>
                <w:sz w:val="20"/>
                <w:szCs w:val="20"/>
                <w:lang w:val="sq-AL"/>
              </w:rPr>
              <w:t>KNMPTA</w:t>
            </w:r>
          </w:p>
        </w:tc>
        <w:tc>
          <w:tcPr>
            <w:tcW w:w="7829" w:type="dxa"/>
          </w:tcPr>
          <w:p w14:paraId="0773AB4B" w14:textId="6CAE6763"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Komisioni </w:t>
            </w:r>
            <w:r w:rsidR="00780E9B" w:rsidRPr="0058349C">
              <w:rPr>
                <w:sz w:val="20"/>
                <w:szCs w:val="20"/>
                <w:shd w:val="clear" w:color="auto" w:fill="FFFFFF"/>
                <w:lang w:val="sq-AL"/>
              </w:rPr>
              <w:t>ndërkombëtar për mbrojtjen e peshkut ton të Atlantikut</w:t>
            </w:r>
          </w:p>
        </w:tc>
      </w:tr>
      <w:tr w:rsidR="003B5F32" w:rsidRPr="0058349C" w14:paraId="0773AB4F" w14:textId="77777777" w:rsidTr="00C2158F">
        <w:tc>
          <w:tcPr>
            <w:tcW w:w="1458" w:type="dxa"/>
          </w:tcPr>
          <w:p w14:paraId="0773AB4D" w14:textId="77777777" w:rsidR="0073015C" w:rsidRPr="0058349C" w:rsidRDefault="0073015C" w:rsidP="0073015C">
            <w:pPr>
              <w:pStyle w:val="TEKSTIIII"/>
              <w:ind w:firstLine="0"/>
              <w:rPr>
                <w:b/>
                <w:sz w:val="20"/>
                <w:szCs w:val="20"/>
                <w:lang w:val="sq-AL"/>
              </w:rPr>
            </w:pPr>
            <w:r w:rsidRPr="0058349C">
              <w:rPr>
                <w:b/>
                <w:sz w:val="20"/>
                <w:szCs w:val="20"/>
                <w:lang w:val="sq-AL"/>
              </w:rPr>
              <w:t>KPNK</w:t>
            </w:r>
          </w:p>
        </w:tc>
        <w:tc>
          <w:tcPr>
            <w:tcW w:w="7829" w:type="dxa"/>
          </w:tcPr>
          <w:p w14:paraId="0773AB4E" w14:textId="1CDFADDE"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Kontributi i </w:t>
            </w:r>
            <w:r w:rsidR="00780E9B" w:rsidRPr="0058349C">
              <w:rPr>
                <w:sz w:val="20"/>
                <w:szCs w:val="20"/>
                <w:shd w:val="clear" w:color="auto" w:fill="FFFFFF"/>
                <w:lang w:val="sq-AL"/>
              </w:rPr>
              <w:t>përcaktuar në nivel kombëtar</w:t>
            </w:r>
          </w:p>
        </w:tc>
      </w:tr>
      <w:tr w:rsidR="003B5F32" w:rsidRPr="0058349C" w14:paraId="0773AB52" w14:textId="77777777" w:rsidTr="00C2158F">
        <w:tc>
          <w:tcPr>
            <w:tcW w:w="1458" w:type="dxa"/>
          </w:tcPr>
          <w:p w14:paraId="0773AB50" w14:textId="77777777" w:rsidR="0073015C" w:rsidRPr="0058349C" w:rsidRDefault="0073015C" w:rsidP="0073015C">
            <w:pPr>
              <w:pStyle w:val="TEKSTIIII"/>
              <w:ind w:firstLine="0"/>
              <w:rPr>
                <w:b/>
                <w:sz w:val="20"/>
                <w:szCs w:val="20"/>
                <w:lang w:val="sq-AL"/>
              </w:rPr>
            </w:pPr>
            <w:r w:rsidRPr="0058349C">
              <w:rPr>
                <w:b/>
                <w:sz w:val="20"/>
                <w:szCs w:val="20"/>
                <w:lang w:val="sq-AL"/>
              </w:rPr>
              <w:t>KKEPUBA</w:t>
            </w:r>
          </w:p>
        </w:tc>
        <w:tc>
          <w:tcPr>
            <w:tcW w:w="7829" w:type="dxa"/>
          </w:tcPr>
          <w:p w14:paraId="0773AB51"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Komisioni Këshillimor Evropian për Peshkimin në Ujëra të Brendshme dhe Akuakulturë </w:t>
            </w:r>
          </w:p>
        </w:tc>
      </w:tr>
      <w:tr w:rsidR="003B5F32" w:rsidRPr="0058349C" w14:paraId="0773AB55" w14:textId="77777777" w:rsidTr="00C2158F">
        <w:tc>
          <w:tcPr>
            <w:tcW w:w="1458" w:type="dxa"/>
          </w:tcPr>
          <w:p w14:paraId="0773AB53" w14:textId="77777777" w:rsidR="0073015C" w:rsidRPr="0058349C" w:rsidRDefault="0073015C" w:rsidP="0073015C">
            <w:pPr>
              <w:pStyle w:val="TEKSTIIII"/>
              <w:ind w:firstLine="0"/>
              <w:rPr>
                <w:b/>
                <w:sz w:val="20"/>
                <w:szCs w:val="20"/>
                <w:lang w:val="sq-AL"/>
              </w:rPr>
            </w:pPr>
            <w:r w:rsidRPr="0058349C">
              <w:rPr>
                <w:b/>
                <w:sz w:val="20"/>
                <w:szCs w:val="20"/>
                <w:lang w:val="sq-AL"/>
              </w:rPr>
              <w:t>KOPUB</w:t>
            </w:r>
          </w:p>
        </w:tc>
        <w:tc>
          <w:tcPr>
            <w:tcW w:w="7829" w:type="dxa"/>
          </w:tcPr>
          <w:p w14:paraId="0773AB54"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Konfederata e Organizatave të Peshkimit në Ujëra të Brendshme</w:t>
            </w:r>
          </w:p>
        </w:tc>
      </w:tr>
      <w:tr w:rsidR="003B5F32" w:rsidRPr="0058349C" w14:paraId="0773AB58" w14:textId="77777777" w:rsidTr="00C2158F">
        <w:tc>
          <w:tcPr>
            <w:tcW w:w="1458" w:type="dxa"/>
          </w:tcPr>
          <w:p w14:paraId="0773AB56" w14:textId="77777777" w:rsidR="0073015C" w:rsidRPr="0058349C" w:rsidRDefault="0073015C" w:rsidP="0073015C">
            <w:pPr>
              <w:pStyle w:val="TEKSTIIII"/>
              <w:ind w:firstLine="0"/>
              <w:rPr>
                <w:b/>
                <w:sz w:val="20"/>
                <w:szCs w:val="20"/>
                <w:lang w:val="sq-AL"/>
              </w:rPr>
            </w:pPr>
            <w:r w:rsidRPr="0058349C">
              <w:rPr>
                <w:b/>
                <w:sz w:val="20"/>
                <w:szCs w:val="20"/>
                <w:lang w:val="sq-AL"/>
              </w:rPr>
              <w:t>KPPM</w:t>
            </w:r>
          </w:p>
        </w:tc>
        <w:tc>
          <w:tcPr>
            <w:tcW w:w="7829" w:type="dxa"/>
          </w:tcPr>
          <w:p w14:paraId="0773AB57"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Komisioni i Përgjithshëm i Peshkimit për Mesdheun</w:t>
            </w:r>
          </w:p>
        </w:tc>
      </w:tr>
      <w:tr w:rsidR="003B5F32" w:rsidRPr="0058349C" w14:paraId="0773AB5B" w14:textId="77777777" w:rsidTr="00C2158F">
        <w:tc>
          <w:tcPr>
            <w:tcW w:w="1458" w:type="dxa"/>
          </w:tcPr>
          <w:p w14:paraId="0773AB59" w14:textId="77777777" w:rsidR="0073015C" w:rsidRPr="0058349C" w:rsidRDefault="0073015C" w:rsidP="0073015C">
            <w:pPr>
              <w:pStyle w:val="TEKSTIIII"/>
              <w:ind w:firstLine="0"/>
              <w:rPr>
                <w:rFonts w:eastAsia="Arial"/>
                <w:b/>
                <w:sz w:val="20"/>
                <w:szCs w:val="20"/>
                <w:lang w:val="sq-AL"/>
              </w:rPr>
            </w:pPr>
            <w:r w:rsidRPr="0058349C">
              <w:rPr>
                <w:rFonts w:eastAsia="Arial"/>
                <w:b/>
                <w:sz w:val="20"/>
                <w:szCs w:val="20"/>
                <w:lang w:val="sq-AL"/>
              </w:rPr>
              <w:t>LEADER</w:t>
            </w:r>
          </w:p>
        </w:tc>
        <w:tc>
          <w:tcPr>
            <w:tcW w:w="7829" w:type="dxa"/>
          </w:tcPr>
          <w:p w14:paraId="0773AB5A" w14:textId="20DDC9DA"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Qasja e zhvi</w:t>
            </w:r>
            <w:r w:rsidR="00780E9B">
              <w:rPr>
                <w:sz w:val="20"/>
                <w:szCs w:val="20"/>
                <w:shd w:val="clear" w:color="auto" w:fill="FFFFFF"/>
                <w:lang w:val="sq-AL"/>
              </w:rPr>
              <w:t>llimit të rajoneve me drejtim/</w:t>
            </w:r>
            <w:r w:rsidRPr="0058349C">
              <w:rPr>
                <w:sz w:val="20"/>
                <w:szCs w:val="20"/>
                <w:shd w:val="clear" w:color="auto" w:fill="FFFFFF"/>
                <w:lang w:val="sq-AL"/>
              </w:rPr>
              <w:t>vendimmar</w:t>
            </w:r>
            <w:r w:rsidR="00780E9B">
              <w:rPr>
                <w:sz w:val="20"/>
                <w:szCs w:val="20"/>
                <w:shd w:val="clear" w:color="auto" w:fill="FFFFFF"/>
                <w:lang w:val="sq-AL"/>
              </w:rPr>
              <w:t>r</w:t>
            </w:r>
            <w:r w:rsidRPr="0058349C">
              <w:rPr>
                <w:sz w:val="20"/>
                <w:szCs w:val="20"/>
                <w:shd w:val="clear" w:color="auto" w:fill="FFFFFF"/>
                <w:lang w:val="sq-AL"/>
              </w:rPr>
              <w:t xml:space="preserve">je të komunitetit </w:t>
            </w:r>
            <w:r w:rsidRPr="00780E9B">
              <w:rPr>
                <w:i/>
                <w:iCs/>
                <w:sz w:val="20"/>
                <w:szCs w:val="20"/>
                <w:shd w:val="clear" w:color="auto" w:fill="FFFFFF"/>
                <w:lang w:val="sq-AL"/>
              </w:rPr>
              <w:t>(Liaison Entr</w:t>
            </w:r>
            <w:r w:rsidR="00780E9B">
              <w:rPr>
                <w:i/>
                <w:iCs/>
                <w:sz w:val="20"/>
                <w:szCs w:val="20"/>
                <w:shd w:val="clear" w:color="auto" w:fill="FFFFFF"/>
                <w:lang w:val="sq-AL"/>
              </w:rPr>
              <w:t>e Actions de Développement de l’</w:t>
            </w:r>
            <w:r w:rsidRPr="00780E9B">
              <w:rPr>
                <w:i/>
                <w:iCs/>
                <w:sz w:val="20"/>
                <w:szCs w:val="20"/>
                <w:shd w:val="clear" w:color="auto" w:fill="FFFFFF"/>
                <w:lang w:val="sq-AL"/>
              </w:rPr>
              <w:t>Economie Rurale</w:t>
            </w:r>
            <w:r w:rsidR="00780E9B">
              <w:rPr>
                <w:i/>
                <w:iCs/>
                <w:sz w:val="20"/>
                <w:szCs w:val="20"/>
                <w:shd w:val="clear" w:color="auto" w:fill="FFFFFF"/>
                <w:lang w:val="sq-AL"/>
              </w:rPr>
              <w:t>)</w:t>
            </w:r>
            <w:r w:rsidRPr="00780E9B">
              <w:rPr>
                <w:i/>
                <w:iCs/>
                <w:sz w:val="20"/>
                <w:szCs w:val="20"/>
                <w:shd w:val="clear" w:color="auto" w:fill="FFFFFF"/>
                <w:lang w:val="sq-AL"/>
              </w:rPr>
              <w:t xml:space="preserve"> </w:t>
            </w:r>
          </w:p>
        </w:tc>
      </w:tr>
      <w:tr w:rsidR="003B5F32" w:rsidRPr="0058349C" w14:paraId="0773AB5E" w14:textId="77777777" w:rsidTr="00C2158F">
        <w:tc>
          <w:tcPr>
            <w:tcW w:w="1458" w:type="dxa"/>
          </w:tcPr>
          <w:p w14:paraId="0773AB5C" w14:textId="77777777" w:rsidR="0073015C" w:rsidRPr="0058349C" w:rsidRDefault="0073015C" w:rsidP="0073015C">
            <w:pPr>
              <w:pStyle w:val="TEKSTIIII"/>
              <w:ind w:firstLine="0"/>
              <w:rPr>
                <w:b/>
                <w:sz w:val="20"/>
                <w:szCs w:val="20"/>
                <w:lang w:val="sq-AL"/>
              </w:rPr>
            </w:pPr>
            <w:r w:rsidRPr="0058349C">
              <w:rPr>
                <w:b/>
                <w:sz w:val="20"/>
                <w:szCs w:val="20"/>
                <w:lang w:val="sq-AL"/>
              </w:rPr>
              <w:t>MBZHR</w:t>
            </w:r>
          </w:p>
        </w:tc>
        <w:tc>
          <w:tcPr>
            <w:tcW w:w="7829" w:type="dxa"/>
          </w:tcPr>
          <w:p w14:paraId="0773AB5D"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Ministria e Bujqësisë dhe Zhvillimit Rural </w:t>
            </w:r>
          </w:p>
        </w:tc>
      </w:tr>
      <w:tr w:rsidR="003B5F32" w:rsidRPr="0058349C" w14:paraId="0773AB61" w14:textId="77777777" w:rsidTr="00C2158F">
        <w:tc>
          <w:tcPr>
            <w:tcW w:w="1458" w:type="dxa"/>
          </w:tcPr>
          <w:p w14:paraId="0773AB5F" w14:textId="77777777" w:rsidR="0073015C" w:rsidRPr="0058349C" w:rsidRDefault="0073015C" w:rsidP="0073015C">
            <w:pPr>
              <w:pStyle w:val="TEKSTIIII"/>
              <w:ind w:firstLine="0"/>
              <w:rPr>
                <w:b/>
                <w:sz w:val="20"/>
                <w:szCs w:val="20"/>
                <w:lang w:val="sq-AL"/>
              </w:rPr>
            </w:pPr>
            <w:r w:rsidRPr="0058349C">
              <w:rPr>
                <w:b/>
                <w:sz w:val="20"/>
                <w:szCs w:val="20"/>
                <w:lang w:val="sq-AL"/>
              </w:rPr>
              <w:t>NjGj</w:t>
            </w:r>
          </w:p>
        </w:tc>
        <w:tc>
          <w:tcPr>
            <w:tcW w:w="7829" w:type="dxa"/>
          </w:tcPr>
          <w:p w14:paraId="0773AB60" w14:textId="343B30A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Njësi Gjedhi (1 lope = 1 </w:t>
            </w:r>
            <w:r w:rsidR="00C2158F" w:rsidRPr="0058349C">
              <w:rPr>
                <w:sz w:val="20"/>
                <w:szCs w:val="20"/>
                <w:shd w:val="clear" w:color="auto" w:fill="FFFFFF"/>
                <w:lang w:val="sq-AL"/>
              </w:rPr>
              <w:t>NJGJ</w:t>
            </w:r>
            <w:r w:rsidRPr="0058349C">
              <w:rPr>
                <w:sz w:val="20"/>
                <w:szCs w:val="20"/>
                <w:shd w:val="clear" w:color="auto" w:fill="FFFFFF"/>
                <w:lang w:val="sq-AL"/>
              </w:rPr>
              <w:t xml:space="preserve">) </w:t>
            </w:r>
          </w:p>
        </w:tc>
      </w:tr>
      <w:tr w:rsidR="003B5F32" w:rsidRPr="0058349C" w14:paraId="0773AB64" w14:textId="77777777" w:rsidTr="00C2158F">
        <w:tc>
          <w:tcPr>
            <w:tcW w:w="1458" w:type="dxa"/>
          </w:tcPr>
          <w:p w14:paraId="0773AB62" w14:textId="77777777" w:rsidR="0073015C" w:rsidRPr="0058349C" w:rsidRDefault="0073015C" w:rsidP="0073015C">
            <w:pPr>
              <w:pStyle w:val="TEKSTIIII"/>
              <w:ind w:firstLine="0"/>
              <w:rPr>
                <w:b/>
                <w:sz w:val="20"/>
                <w:szCs w:val="20"/>
                <w:lang w:val="sq-AL"/>
              </w:rPr>
            </w:pPr>
            <w:r w:rsidRPr="0058349C">
              <w:rPr>
                <w:b/>
                <w:sz w:val="20"/>
                <w:szCs w:val="20"/>
                <w:lang w:val="sq-AL"/>
              </w:rPr>
              <w:t>OBU</w:t>
            </w:r>
          </w:p>
        </w:tc>
        <w:tc>
          <w:tcPr>
            <w:tcW w:w="7829" w:type="dxa"/>
          </w:tcPr>
          <w:p w14:paraId="0773AB63"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Operatorët e Biznesit Ushqimor </w:t>
            </w:r>
          </w:p>
        </w:tc>
      </w:tr>
      <w:tr w:rsidR="003B5F32" w:rsidRPr="0058349C" w14:paraId="0773AB67" w14:textId="77777777" w:rsidTr="00C2158F">
        <w:tc>
          <w:tcPr>
            <w:tcW w:w="1458" w:type="dxa"/>
          </w:tcPr>
          <w:p w14:paraId="0773AB65" w14:textId="77777777" w:rsidR="0073015C" w:rsidRPr="0058349C" w:rsidRDefault="0073015C" w:rsidP="0073015C">
            <w:pPr>
              <w:pStyle w:val="TEKSTIIII"/>
              <w:ind w:firstLine="0"/>
              <w:rPr>
                <w:b/>
                <w:sz w:val="20"/>
                <w:szCs w:val="20"/>
                <w:lang w:val="sq-AL"/>
              </w:rPr>
            </w:pPr>
            <w:r w:rsidRPr="0058349C">
              <w:rPr>
                <w:b/>
                <w:sz w:val="20"/>
                <w:szCs w:val="20"/>
                <w:lang w:val="sq-AL"/>
              </w:rPr>
              <w:t>OMP</w:t>
            </w:r>
          </w:p>
        </w:tc>
        <w:tc>
          <w:tcPr>
            <w:tcW w:w="7829" w:type="dxa"/>
          </w:tcPr>
          <w:p w14:paraId="0773AB66"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Organizatat e Menaxhimit të Peshkimit</w:t>
            </w:r>
          </w:p>
        </w:tc>
      </w:tr>
      <w:tr w:rsidR="003B5F32" w:rsidRPr="0058349C" w14:paraId="0773AB6A" w14:textId="77777777" w:rsidTr="00C2158F">
        <w:tc>
          <w:tcPr>
            <w:tcW w:w="1458" w:type="dxa"/>
          </w:tcPr>
          <w:p w14:paraId="0773AB68" w14:textId="77777777" w:rsidR="0073015C" w:rsidRPr="0058349C" w:rsidRDefault="0073015C" w:rsidP="0073015C">
            <w:pPr>
              <w:pStyle w:val="TEKSTIIII"/>
              <w:ind w:firstLine="0"/>
              <w:rPr>
                <w:b/>
                <w:sz w:val="20"/>
                <w:szCs w:val="20"/>
                <w:lang w:val="sq-AL"/>
              </w:rPr>
            </w:pPr>
            <w:r w:rsidRPr="0058349C">
              <w:rPr>
                <w:b/>
                <w:sz w:val="20"/>
                <w:szCs w:val="20"/>
                <w:lang w:val="sq-AL"/>
              </w:rPr>
              <w:t>ONP (ILO)</w:t>
            </w:r>
          </w:p>
        </w:tc>
        <w:tc>
          <w:tcPr>
            <w:tcW w:w="7829" w:type="dxa"/>
          </w:tcPr>
          <w:p w14:paraId="0773AB69"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Organizata Ndërkombëtare e Punës</w:t>
            </w:r>
          </w:p>
        </w:tc>
      </w:tr>
      <w:tr w:rsidR="003B5F32" w:rsidRPr="0058349C" w14:paraId="0773AB6D" w14:textId="77777777" w:rsidTr="00C2158F">
        <w:tc>
          <w:tcPr>
            <w:tcW w:w="1458" w:type="dxa"/>
          </w:tcPr>
          <w:p w14:paraId="0773AB6B" w14:textId="77777777" w:rsidR="0073015C" w:rsidRPr="0058349C" w:rsidRDefault="0073015C" w:rsidP="0073015C">
            <w:pPr>
              <w:pStyle w:val="TEKSTIIII"/>
              <w:ind w:firstLine="0"/>
              <w:rPr>
                <w:b/>
                <w:sz w:val="20"/>
                <w:szCs w:val="20"/>
                <w:lang w:val="sq-AL"/>
              </w:rPr>
            </w:pPr>
            <w:r w:rsidRPr="0058349C">
              <w:rPr>
                <w:b/>
                <w:sz w:val="20"/>
                <w:szCs w:val="20"/>
                <w:lang w:val="sq-AL"/>
              </w:rPr>
              <w:t>OJF</w:t>
            </w:r>
          </w:p>
        </w:tc>
        <w:tc>
          <w:tcPr>
            <w:tcW w:w="7829" w:type="dxa"/>
          </w:tcPr>
          <w:p w14:paraId="0773AB6C" w14:textId="2CB5E86F" w:rsidR="0073015C" w:rsidRPr="0058349C" w:rsidRDefault="00C2158F" w:rsidP="0073015C">
            <w:pPr>
              <w:pStyle w:val="TEKSTIIII"/>
              <w:ind w:firstLine="0"/>
              <w:rPr>
                <w:sz w:val="20"/>
                <w:szCs w:val="20"/>
                <w:shd w:val="clear" w:color="auto" w:fill="FFFFFF"/>
                <w:lang w:val="sq-AL"/>
              </w:rPr>
            </w:pPr>
            <w:r>
              <w:rPr>
                <w:sz w:val="20"/>
                <w:szCs w:val="20"/>
                <w:shd w:val="clear" w:color="auto" w:fill="FFFFFF"/>
                <w:lang w:val="sq-AL"/>
              </w:rPr>
              <w:t>Organizatë jo</w:t>
            </w:r>
            <w:r w:rsidRPr="0058349C">
              <w:rPr>
                <w:sz w:val="20"/>
                <w:szCs w:val="20"/>
                <w:shd w:val="clear" w:color="auto" w:fill="FFFFFF"/>
                <w:lang w:val="sq-AL"/>
              </w:rPr>
              <w:t>fitimprurëse</w:t>
            </w:r>
          </w:p>
        </w:tc>
      </w:tr>
      <w:tr w:rsidR="003B5F32" w:rsidRPr="0058349C" w14:paraId="0773AB70" w14:textId="77777777" w:rsidTr="00C2158F">
        <w:tc>
          <w:tcPr>
            <w:tcW w:w="1458" w:type="dxa"/>
          </w:tcPr>
          <w:p w14:paraId="0773AB6E" w14:textId="77777777" w:rsidR="0073015C" w:rsidRPr="0058349C" w:rsidRDefault="0073015C" w:rsidP="0073015C">
            <w:pPr>
              <w:pStyle w:val="TEKSTIIII"/>
              <w:ind w:firstLine="0"/>
              <w:rPr>
                <w:b/>
                <w:sz w:val="20"/>
                <w:szCs w:val="20"/>
                <w:lang w:val="sq-AL"/>
              </w:rPr>
            </w:pPr>
            <w:r w:rsidRPr="0058349C">
              <w:rPr>
                <w:b/>
                <w:sz w:val="20"/>
                <w:szCs w:val="20"/>
                <w:lang w:val="sq-AL"/>
              </w:rPr>
              <w:t>OSHC</w:t>
            </w:r>
          </w:p>
        </w:tc>
        <w:tc>
          <w:tcPr>
            <w:tcW w:w="7829" w:type="dxa"/>
          </w:tcPr>
          <w:p w14:paraId="0773AB6F"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Organizatë e Shoqërisë Civile</w:t>
            </w:r>
          </w:p>
        </w:tc>
      </w:tr>
      <w:tr w:rsidR="003B5F32" w:rsidRPr="0058349C" w14:paraId="0773AB73" w14:textId="77777777" w:rsidTr="00C2158F">
        <w:tc>
          <w:tcPr>
            <w:tcW w:w="1458" w:type="dxa"/>
          </w:tcPr>
          <w:p w14:paraId="0773AB71" w14:textId="77777777" w:rsidR="0073015C" w:rsidRPr="0058349C" w:rsidRDefault="0073015C" w:rsidP="0073015C">
            <w:pPr>
              <w:pStyle w:val="TEKSTIIII"/>
              <w:ind w:firstLine="0"/>
              <w:rPr>
                <w:b/>
                <w:sz w:val="20"/>
                <w:szCs w:val="20"/>
                <w:lang w:val="sq-AL"/>
              </w:rPr>
            </w:pPr>
            <w:r w:rsidRPr="0058349C">
              <w:rPr>
                <w:b/>
                <w:sz w:val="20"/>
                <w:szCs w:val="20"/>
                <w:lang w:val="sq-AL"/>
              </w:rPr>
              <w:t>OP</w:t>
            </w:r>
          </w:p>
        </w:tc>
        <w:tc>
          <w:tcPr>
            <w:tcW w:w="7829" w:type="dxa"/>
          </w:tcPr>
          <w:p w14:paraId="0773AB72" w14:textId="4A46349F"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Organizata e </w:t>
            </w:r>
            <w:r w:rsidR="00C2158F" w:rsidRPr="0058349C">
              <w:rPr>
                <w:sz w:val="20"/>
                <w:szCs w:val="20"/>
                <w:shd w:val="clear" w:color="auto" w:fill="FFFFFF"/>
                <w:lang w:val="sq-AL"/>
              </w:rPr>
              <w:t>Prodhuesve</w:t>
            </w:r>
          </w:p>
        </w:tc>
      </w:tr>
      <w:tr w:rsidR="003B5F32" w:rsidRPr="0058349C" w14:paraId="0773AB76" w14:textId="77777777" w:rsidTr="00C2158F">
        <w:tc>
          <w:tcPr>
            <w:tcW w:w="1458" w:type="dxa"/>
          </w:tcPr>
          <w:p w14:paraId="0773AB74" w14:textId="77777777" w:rsidR="0073015C" w:rsidRPr="0058349C" w:rsidRDefault="0073015C" w:rsidP="0073015C">
            <w:pPr>
              <w:pStyle w:val="TEKSTIIII"/>
              <w:ind w:firstLine="0"/>
              <w:rPr>
                <w:b/>
                <w:sz w:val="20"/>
                <w:szCs w:val="20"/>
                <w:lang w:val="sq-AL"/>
              </w:rPr>
            </w:pPr>
            <w:r w:rsidRPr="0058349C">
              <w:rPr>
                <w:b/>
                <w:sz w:val="20"/>
                <w:szCs w:val="20"/>
                <w:lang w:val="sq-AL"/>
              </w:rPr>
              <w:lastRenderedPageBreak/>
              <w:t>OPU</w:t>
            </w:r>
          </w:p>
        </w:tc>
        <w:tc>
          <w:tcPr>
            <w:tcW w:w="7829" w:type="dxa"/>
          </w:tcPr>
          <w:p w14:paraId="0773AB75"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Organizatat e Përdoruesve të Ujit</w:t>
            </w:r>
          </w:p>
        </w:tc>
      </w:tr>
      <w:tr w:rsidR="003B5F32" w:rsidRPr="0058349C" w14:paraId="0773AB79" w14:textId="77777777" w:rsidTr="00C2158F">
        <w:tc>
          <w:tcPr>
            <w:tcW w:w="1458" w:type="dxa"/>
          </w:tcPr>
          <w:p w14:paraId="0773AB77" w14:textId="77777777" w:rsidR="0073015C" w:rsidRPr="0058349C" w:rsidRDefault="0073015C" w:rsidP="0073015C">
            <w:pPr>
              <w:pStyle w:val="TEKSTIIII"/>
              <w:ind w:firstLine="0"/>
              <w:rPr>
                <w:b/>
                <w:sz w:val="20"/>
                <w:szCs w:val="20"/>
                <w:lang w:val="sq-AL"/>
              </w:rPr>
            </w:pPr>
            <w:r w:rsidRPr="0058349C">
              <w:rPr>
                <w:b/>
                <w:sz w:val="20"/>
                <w:szCs w:val="20"/>
                <w:lang w:val="sq-AL"/>
              </w:rPr>
              <w:t>OTP (CMO)</w:t>
            </w:r>
          </w:p>
        </w:tc>
        <w:tc>
          <w:tcPr>
            <w:tcW w:w="7829" w:type="dxa"/>
          </w:tcPr>
          <w:p w14:paraId="0773AB78"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Organizimi i Tregut të Përbashkët</w:t>
            </w:r>
          </w:p>
        </w:tc>
      </w:tr>
      <w:tr w:rsidR="003B5F32" w:rsidRPr="0058349C" w14:paraId="0773AB7C" w14:textId="77777777" w:rsidTr="00C2158F">
        <w:tc>
          <w:tcPr>
            <w:tcW w:w="1458" w:type="dxa"/>
          </w:tcPr>
          <w:p w14:paraId="0773AB7A" w14:textId="77777777" w:rsidR="0073015C" w:rsidRPr="0058349C" w:rsidRDefault="0073015C" w:rsidP="0073015C">
            <w:pPr>
              <w:pStyle w:val="TEKSTIIII"/>
              <w:ind w:firstLine="0"/>
              <w:rPr>
                <w:b/>
                <w:sz w:val="20"/>
                <w:szCs w:val="20"/>
                <w:lang w:val="sq-AL"/>
              </w:rPr>
            </w:pPr>
            <w:r w:rsidRPr="0058349C">
              <w:rPr>
                <w:b/>
                <w:sz w:val="20"/>
                <w:szCs w:val="20"/>
                <w:lang w:val="sq-AL"/>
              </w:rPr>
              <w:t>OZHQ</w:t>
            </w:r>
          </w:p>
        </w:tc>
        <w:tc>
          <w:tcPr>
            <w:tcW w:w="7829" w:type="dxa"/>
          </w:tcPr>
          <w:p w14:paraId="0773AB7B"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Objektivat e Zhvillimit të Qëndrueshëm</w:t>
            </w:r>
          </w:p>
        </w:tc>
      </w:tr>
      <w:tr w:rsidR="003B5F32" w:rsidRPr="0058349C" w14:paraId="0773AB7F" w14:textId="77777777" w:rsidTr="00C2158F">
        <w:tc>
          <w:tcPr>
            <w:tcW w:w="1458" w:type="dxa"/>
          </w:tcPr>
          <w:p w14:paraId="0773AB7D" w14:textId="77777777" w:rsidR="0073015C" w:rsidRPr="0058349C" w:rsidRDefault="0073015C" w:rsidP="0073015C">
            <w:pPr>
              <w:pStyle w:val="TEKSTIIII"/>
              <w:ind w:firstLine="0"/>
              <w:rPr>
                <w:b/>
                <w:sz w:val="20"/>
                <w:szCs w:val="20"/>
                <w:lang w:val="sq-AL"/>
              </w:rPr>
            </w:pPr>
            <w:r w:rsidRPr="0058349C">
              <w:rPr>
                <w:b/>
                <w:sz w:val="20"/>
                <w:szCs w:val="20"/>
                <w:lang w:val="sq-AL"/>
              </w:rPr>
              <w:t>PEI</w:t>
            </w:r>
          </w:p>
        </w:tc>
        <w:tc>
          <w:tcPr>
            <w:tcW w:w="7829" w:type="dxa"/>
          </w:tcPr>
          <w:p w14:paraId="0773AB7E"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Plani Ekonomik dhe i Investimeve (për Ballkanin Perëndimor)</w:t>
            </w:r>
          </w:p>
        </w:tc>
      </w:tr>
      <w:tr w:rsidR="003B5F32" w:rsidRPr="0058349C" w14:paraId="0773AB82" w14:textId="77777777" w:rsidTr="00C2158F">
        <w:tc>
          <w:tcPr>
            <w:tcW w:w="1458" w:type="dxa"/>
          </w:tcPr>
          <w:p w14:paraId="0773AB80" w14:textId="77777777" w:rsidR="0073015C" w:rsidRPr="0058349C" w:rsidRDefault="0073015C" w:rsidP="0073015C">
            <w:pPr>
              <w:pStyle w:val="TEKSTIIII"/>
              <w:ind w:firstLine="0"/>
              <w:rPr>
                <w:b/>
                <w:sz w:val="20"/>
                <w:szCs w:val="20"/>
                <w:lang w:val="sq-AL"/>
              </w:rPr>
            </w:pPr>
            <w:r w:rsidRPr="0058349C">
              <w:rPr>
                <w:b/>
                <w:sz w:val="20"/>
                <w:szCs w:val="20"/>
                <w:lang w:val="sq-AL"/>
              </w:rPr>
              <w:t>PKIE</w:t>
            </w:r>
          </w:p>
        </w:tc>
        <w:tc>
          <w:tcPr>
            <w:tcW w:w="7829" w:type="dxa"/>
          </w:tcPr>
          <w:p w14:paraId="0773AB81"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Plani Kombëtar për Integrim Evropian </w:t>
            </w:r>
          </w:p>
        </w:tc>
      </w:tr>
      <w:tr w:rsidR="003B5F32" w:rsidRPr="0058349C" w14:paraId="0773AB85" w14:textId="77777777" w:rsidTr="00C2158F">
        <w:tc>
          <w:tcPr>
            <w:tcW w:w="1458" w:type="dxa"/>
          </w:tcPr>
          <w:p w14:paraId="0773AB83" w14:textId="77777777" w:rsidR="0073015C" w:rsidRPr="0058349C" w:rsidRDefault="0073015C" w:rsidP="0073015C">
            <w:pPr>
              <w:pStyle w:val="TEKSTIIII"/>
              <w:ind w:firstLine="0"/>
              <w:rPr>
                <w:b/>
                <w:sz w:val="20"/>
                <w:szCs w:val="20"/>
                <w:lang w:val="sq-AL"/>
              </w:rPr>
            </w:pPr>
            <w:r w:rsidRPr="0058349C">
              <w:rPr>
                <w:b/>
                <w:sz w:val="20"/>
                <w:szCs w:val="20"/>
                <w:lang w:val="sq-AL"/>
              </w:rPr>
              <w:t>PMBM</w:t>
            </w:r>
          </w:p>
        </w:tc>
        <w:tc>
          <w:tcPr>
            <w:tcW w:w="7829" w:type="dxa"/>
          </w:tcPr>
          <w:p w14:paraId="0773AB84"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Praktikat e Mira Bujqësore dhe të Mjedisit</w:t>
            </w:r>
          </w:p>
        </w:tc>
      </w:tr>
      <w:tr w:rsidR="003B5F32" w:rsidRPr="0058349C" w14:paraId="0773AB88" w14:textId="77777777" w:rsidTr="00C2158F">
        <w:tc>
          <w:tcPr>
            <w:tcW w:w="1458" w:type="dxa"/>
          </w:tcPr>
          <w:p w14:paraId="0773AB86" w14:textId="77777777" w:rsidR="0073015C" w:rsidRPr="0058349C" w:rsidRDefault="0073015C" w:rsidP="0073015C">
            <w:pPr>
              <w:pStyle w:val="TEKSTIIII"/>
              <w:ind w:firstLine="0"/>
              <w:rPr>
                <w:b/>
                <w:sz w:val="20"/>
                <w:szCs w:val="20"/>
                <w:lang w:val="sq-AL"/>
              </w:rPr>
            </w:pPr>
            <w:r w:rsidRPr="0058349C">
              <w:rPr>
                <w:b/>
                <w:sz w:val="20"/>
                <w:szCs w:val="20"/>
                <w:lang w:val="sq-AL"/>
              </w:rPr>
              <w:t>PMB</w:t>
            </w:r>
          </w:p>
        </w:tc>
        <w:tc>
          <w:tcPr>
            <w:tcW w:w="7829" w:type="dxa"/>
          </w:tcPr>
          <w:p w14:paraId="0773AB87"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Produktet e Mbrojtjes së Bimëve</w:t>
            </w:r>
          </w:p>
        </w:tc>
      </w:tr>
      <w:tr w:rsidR="003B5F32" w:rsidRPr="0058349C" w14:paraId="0773AB8B" w14:textId="77777777" w:rsidTr="00C2158F">
        <w:tc>
          <w:tcPr>
            <w:tcW w:w="1458" w:type="dxa"/>
          </w:tcPr>
          <w:p w14:paraId="0773AB89" w14:textId="77777777" w:rsidR="0073015C" w:rsidRPr="0058349C" w:rsidRDefault="0073015C" w:rsidP="0073015C">
            <w:pPr>
              <w:pStyle w:val="TEKSTIIII"/>
              <w:ind w:firstLine="0"/>
              <w:rPr>
                <w:b/>
                <w:sz w:val="20"/>
                <w:szCs w:val="20"/>
                <w:lang w:val="sq-AL"/>
              </w:rPr>
            </w:pPr>
            <w:r w:rsidRPr="0058349C">
              <w:rPr>
                <w:b/>
                <w:sz w:val="20"/>
                <w:szCs w:val="20"/>
                <w:lang w:val="sq-AL"/>
              </w:rPr>
              <w:t>EOM</w:t>
            </w:r>
          </w:p>
        </w:tc>
        <w:tc>
          <w:tcPr>
            <w:tcW w:w="7829" w:type="dxa"/>
          </w:tcPr>
          <w:p w14:paraId="0773AB8A"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Emërtim Origjine i Mbrojtur</w:t>
            </w:r>
          </w:p>
        </w:tc>
      </w:tr>
      <w:tr w:rsidR="003B5F32" w:rsidRPr="0058349C" w14:paraId="0773AB8E" w14:textId="77777777" w:rsidTr="00C2158F">
        <w:tc>
          <w:tcPr>
            <w:tcW w:w="1458" w:type="dxa"/>
          </w:tcPr>
          <w:p w14:paraId="0773AB8C" w14:textId="77777777" w:rsidR="0073015C" w:rsidRPr="0058349C" w:rsidRDefault="0073015C" w:rsidP="0073015C">
            <w:pPr>
              <w:pStyle w:val="TEKSTIIII"/>
              <w:ind w:firstLine="0"/>
              <w:rPr>
                <w:b/>
                <w:sz w:val="20"/>
                <w:szCs w:val="20"/>
                <w:lang w:val="sq-AL"/>
              </w:rPr>
            </w:pPr>
            <w:r w:rsidRPr="0058349C">
              <w:rPr>
                <w:b/>
                <w:sz w:val="20"/>
                <w:szCs w:val="20"/>
                <w:lang w:val="sq-AL"/>
              </w:rPr>
              <w:t>PPB</w:t>
            </w:r>
          </w:p>
        </w:tc>
        <w:tc>
          <w:tcPr>
            <w:tcW w:w="7829" w:type="dxa"/>
          </w:tcPr>
          <w:p w14:paraId="0773AB8D" w14:textId="1C23F73A"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Politika e Përbashkët Bujqësore</w:t>
            </w:r>
            <w:r w:rsidR="00CF7694" w:rsidRPr="0058349C">
              <w:rPr>
                <w:sz w:val="20"/>
                <w:szCs w:val="20"/>
                <w:shd w:val="clear" w:color="auto" w:fill="FFFFFF"/>
                <w:lang w:val="sq-AL"/>
              </w:rPr>
              <w:t xml:space="preserve"> </w:t>
            </w:r>
            <w:r w:rsidRPr="0058349C">
              <w:rPr>
                <w:sz w:val="20"/>
                <w:szCs w:val="20"/>
                <w:shd w:val="clear" w:color="auto" w:fill="FFFFFF"/>
                <w:lang w:val="sq-AL"/>
              </w:rPr>
              <w:t>(BE)</w:t>
            </w:r>
          </w:p>
        </w:tc>
      </w:tr>
      <w:tr w:rsidR="003B5F32" w:rsidRPr="0058349C" w14:paraId="0773AB91" w14:textId="77777777" w:rsidTr="00C2158F">
        <w:tc>
          <w:tcPr>
            <w:tcW w:w="1458" w:type="dxa"/>
          </w:tcPr>
          <w:p w14:paraId="0773AB8F" w14:textId="77777777" w:rsidR="0073015C" w:rsidRPr="0058349C" w:rsidRDefault="0073015C" w:rsidP="0073015C">
            <w:pPr>
              <w:pStyle w:val="TEKSTIIII"/>
              <w:ind w:firstLine="0"/>
              <w:rPr>
                <w:b/>
                <w:sz w:val="20"/>
                <w:szCs w:val="20"/>
                <w:lang w:val="sq-AL"/>
              </w:rPr>
            </w:pPr>
            <w:r w:rsidRPr="0058349C">
              <w:rPr>
                <w:b/>
                <w:sz w:val="20"/>
                <w:szCs w:val="20"/>
                <w:lang w:val="sq-AL"/>
              </w:rPr>
              <w:t>PPP</w:t>
            </w:r>
          </w:p>
        </w:tc>
        <w:tc>
          <w:tcPr>
            <w:tcW w:w="7829" w:type="dxa"/>
          </w:tcPr>
          <w:p w14:paraId="0773AB90"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Politika e Përbashkët e Peshkimit (BE)</w:t>
            </w:r>
          </w:p>
        </w:tc>
      </w:tr>
      <w:tr w:rsidR="003B5F32" w:rsidRPr="0058349C" w14:paraId="0773AB94" w14:textId="77777777" w:rsidTr="00C2158F">
        <w:tc>
          <w:tcPr>
            <w:tcW w:w="1458" w:type="dxa"/>
          </w:tcPr>
          <w:p w14:paraId="0773AB92" w14:textId="77777777" w:rsidR="0073015C" w:rsidRPr="0058349C" w:rsidRDefault="0073015C" w:rsidP="0073015C">
            <w:pPr>
              <w:pStyle w:val="TEKSTIIII"/>
              <w:ind w:firstLine="0"/>
              <w:rPr>
                <w:b/>
                <w:sz w:val="20"/>
                <w:szCs w:val="20"/>
                <w:lang w:val="sq-AL"/>
              </w:rPr>
            </w:pPr>
            <w:r w:rsidRPr="0058349C">
              <w:rPr>
                <w:b/>
                <w:sz w:val="20"/>
                <w:szCs w:val="20"/>
                <w:lang w:val="sq-AL"/>
              </w:rPr>
              <w:t>PPPP</w:t>
            </w:r>
          </w:p>
        </w:tc>
        <w:tc>
          <w:tcPr>
            <w:tcW w:w="7829" w:type="dxa"/>
          </w:tcPr>
          <w:p w14:paraId="0773AB93"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Peshkimi i Paligjshëm, i Paraportuar dhe i Parregulluar</w:t>
            </w:r>
          </w:p>
        </w:tc>
      </w:tr>
      <w:tr w:rsidR="003B5F32" w:rsidRPr="0058349C" w14:paraId="0773AB97" w14:textId="77777777" w:rsidTr="00C2158F">
        <w:tc>
          <w:tcPr>
            <w:tcW w:w="1458" w:type="dxa"/>
          </w:tcPr>
          <w:p w14:paraId="0773AB95" w14:textId="77777777" w:rsidR="0073015C" w:rsidRPr="0058349C" w:rsidRDefault="0073015C" w:rsidP="0073015C">
            <w:pPr>
              <w:pStyle w:val="TEKSTIIII"/>
              <w:ind w:firstLine="0"/>
              <w:rPr>
                <w:b/>
                <w:sz w:val="20"/>
                <w:szCs w:val="20"/>
                <w:lang w:val="sq-AL"/>
              </w:rPr>
            </w:pPr>
            <w:r w:rsidRPr="0058349C">
              <w:rPr>
                <w:b/>
                <w:sz w:val="20"/>
                <w:szCs w:val="20"/>
                <w:lang w:val="sq-AL"/>
              </w:rPr>
              <w:t>PSHV</w:t>
            </w:r>
          </w:p>
        </w:tc>
        <w:tc>
          <w:tcPr>
            <w:tcW w:w="7829" w:type="dxa"/>
          </w:tcPr>
          <w:p w14:paraId="0773AB96"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Peshkim në Shkallë të Vogël</w:t>
            </w:r>
          </w:p>
        </w:tc>
      </w:tr>
      <w:tr w:rsidR="003B5F32" w:rsidRPr="0058349C" w14:paraId="0773AB9A" w14:textId="77777777" w:rsidTr="00C2158F">
        <w:tc>
          <w:tcPr>
            <w:tcW w:w="1458" w:type="dxa"/>
          </w:tcPr>
          <w:p w14:paraId="0773AB98" w14:textId="77777777" w:rsidR="0073015C" w:rsidRPr="0058349C" w:rsidRDefault="0073015C" w:rsidP="0073015C">
            <w:pPr>
              <w:pStyle w:val="TEKSTIIII"/>
              <w:ind w:firstLine="0"/>
              <w:rPr>
                <w:b/>
                <w:sz w:val="20"/>
                <w:szCs w:val="20"/>
                <w:lang w:val="sq-AL"/>
              </w:rPr>
            </w:pPr>
            <w:r w:rsidRPr="0058349C">
              <w:rPr>
                <w:b/>
                <w:sz w:val="20"/>
                <w:szCs w:val="20"/>
                <w:lang w:val="sq-AL"/>
              </w:rPr>
              <w:t>PZHRQ</w:t>
            </w:r>
          </w:p>
        </w:tc>
        <w:tc>
          <w:tcPr>
            <w:tcW w:w="7829" w:type="dxa"/>
          </w:tcPr>
          <w:p w14:paraId="0773AB99" w14:textId="38EBFC7D"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Projekti i Zhvillimit i Qëndrueshëm Rural i zbatuar nga GIZ-i në Shqipëri (GIZ</w:t>
            </w:r>
            <w:r w:rsidR="00BD3407">
              <w:rPr>
                <w:sz w:val="20"/>
                <w:szCs w:val="20"/>
                <w:shd w:val="clear" w:color="auto" w:fill="FFFFFF"/>
                <w:lang w:val="sq-AL"/>
              </w:rPr>
              <w:t>–</w:t>
            </w:r>
            <w:r w:rsidRPr="0058349C">
              <w:rPr>
                <w:sz w:val="20"/>
                <w:szCs w:val="20"/>
                <w:shd w:val="clear" w:color="auto" w:fill="FFFFFF"/>
                <w:lang w:val="sq-AL"/>
              </w:rPr>
              <w:t>SRD)</w:t>
            </w:r>
          </w:p>
        </w:tc>
      </w:tr>
      <w:tr w:rsidR="003B5F32" w:rsidRPr="0058349C" w14:paraId="0773AB9D" w14:textId="77777777" w:rsidTr="00C2158F">
        <w:tc>
          <w:tcPr>
            <w:tcW w:w="1458" w:type="dxa"/>
          </w:tcPr>
          <w:p w14:paraId="0773AB9B" w14:textId="77777777" w:rsidR="0073015C" w:rsidRPr="0058349C" w:rsidRDefault="0073015C" w:rsidP="0073015C">
            <w:pPr>
              <w:pStyle w:val="TEKSTIIII"/>
              <w:ind w:firstLine="0"/>
              <w:rPr>
                <w:b/>
                <w:sz w:val="20"/>
                <w:szCs w:val="20"/>
                <w:lang w:val="sq-AL"/>
              </w:rPr>
            </w:pPr>
            <w:r w:rsidRPr="0058349C">
              <w:rPr>
                <w:b/>
                <w:sz w:val="20"/>
                <w:szCs w:val="20"/>
                <w:lang w:val="sq-AL"/>
              </w:rPr>
              <w:t>QSH</w:t>
            </w:r>
          </w:p>
        </w:tc>
        <w:tc>
          <w:tcPr>
            <w:tcW w:w="7829" w:type="dxa"/>
          </w:tcPr>
          <w:p w14:paraId="0773AB9C"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Qeveria e Shqipërisë</w:t>
            </w:r>
          </w:p>
        </w:tc>
      </w:tr>
      <w:tr w:rsidR="003B5F32" w:rsidRPr="0058349C" w14:paraId="0773ABA0" w14:textId="77777777" w:rsidTr="00C2158F">
        <w:tc>
          <w:tcPr>
            <w:tcW w:w="1458" w:type="dxa"/>
          </w:tcPr>
          <w:p w14:paraId="0773AB9E" w14:textId="77777777" w:rsidR="0073015C" w:rsidRPr="0058349C" w:rsidRDefault="0073015C" w:rsidP="0073015C">
            <w:pPr>
              <w:pStyle w:val="TEKSTIIII"/>
              <w:ind w:firstLine="0"/>
              <w:rPr>
                <w:b/>
                <w:sz w:val="20"/>
                <w:szCs w:val="20"/>
                <w:lang w:val="sq-AL"/>
              </w:rPr>
            </w:pPr>
            <w:r w:rsidRPr="0058349C">
              <w:rPr>
                <w:b/>
                <w:sz w:val="20"/>
                <w:szCs w:val="20"/>
                <w:lang w:val="sq-AL"/>
              </w:rPr>
              <w:t>QTTB</w:t>
            </w:r>
          </w:p>
        </w:tc>
        <w:tc>
          <w:tcPr>
            <w:tcW w:w="7829" w:type="dxa"/>
          </w:tcPr>
          <w:p w14:paraId="0773AB9F"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Qendrat të Transferimit të Teknologjive Bujqësore</w:t>
            </w:r>
          </w:p>
        </w:tc>
      </w:tr>
      <w:tr w:rsidR="003B5F32" w:rsidRPr="0058349C" w14:paraId="0773ABA3" w14:textId="77777777" w:rsidTr="00C2158F">
        <w:tc>
          <w:tcPr>
            <w:tcW w:w="1458" w:type="dxa"/>
          </w:tcPr>
          <w:p w14:paraId="0773ABA1" w14:textId="77777777" w:rsidR="0073015C" w:rsidRPr="0058349C" w:rsidRDefault="0073015C" w:rsidP="0073015C">
            <w:pPr>
              <w:pStyle w:val="TEKSTIIII"/>
              <w:ind w:firstLine="0"/>
              <w:rPr>
                <w:b/>
                <w:sz w:val="20"/>
                <w:szCs w:val="20"/>
                <w:lang w:val="sq-AL"/>
              </w:rPr>
            </w:pPr>
            <w:r w:rsidRPr="0058349C">
              <w:rPr>
                <w:b/>
                <w:sz w:val="20"/>
                <w:szCs w:val="20"/>
                <w:lang w:val="sq-AL"/>
              </w:rPr>
              <w:t>RAM</w:t>
            </w:r>
          </w:p>
        </w:tc>
        <w:tc>
          <w:tcPr>
            <w:tcW w:w="7829" w:type="dxa"/>
          </w:tcPr>
          <w:p w14:paraId="0773ABA2"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Rezistencë Antimikrobiale</w:t>
            </w:r>
          </w:p>
        </w:tc>
      </w:tr>
      <w:tr w:rsidR="003B5F32" w:rsidRPr="0058349C" w14:paraId="0773ABA6" w14:textId="77777777" w:rsidTr="00C2158F">
        <w:tc>
          <w:tcPr>
            <w:tcW w:w="1458" w:type="dxa"/>
          </w:tcPr>
          <w:p w14:paraId="0773ABA4" w14:textId="77777777" w:rsidR="0073015C" w:rsidRPr="0058349C" w:rsidRDefault="0073015C" w:rsidP="0073015C">
            <w:pPr>
              <w:pStyle w:val="TEKSTIIII"/>
              <w:ind w:firstLine="0"/>
              <w:rPr>
                <w:b/>
                <w:sz w:val="20"/>
                <w:szCs w:val="20"/>
                <w:lang w:val="sq-AL"/>
              </w:rPr>
            </w:pPr>
            <w:r w:rsidRPr="0058349C">
              <w:rPr>
                <w:rFonts w:eastAsia="Arial"/>
                <w:b/>
                <w:sz w:val="20"/>
                <w:szCs w:val="20"/>
                <w:lang w:val="sq-AL"/>
              </w:rPr>
              <w:t>FADN</w:t>
            </w:r>
          </w:p>
        </w:tc>
        <w:tc>
          <w:tcPr>
            <w:tcW w:w="7829" w:type="dxa"/>
          </w:tcPr>
          <w:p w14:paraId="0773ABA5"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Rrjeti i të Dhënave të Llogarive në Ferma </w:t>
            </w:r>
          </w:p>
        </w:tc>
      </w:tr>
      <w:tr w:rsidR="003B5F32" w:rsidRPr="0058349C" w14:paraId="0773ABA9" w14:textId="77777777" w:rsidTr="00C2158F">
        <w:tc>
          <w:tcPr>
            <w:tcW w:w="1458" w:type="dxa"/>
          </w:tcPr>
          <w:p w14:paraId="0773ABA7" w14:textId="77777777" w:rsidR="0073015C" w:rsidRPr="0058349C" w:rsidRDefault="0073015C" w:rsidP="0073015C">
            <w:pPr>
              <w:pStyle w:val="TEKSTIIII"/>
              <w:ind w:firstLine="0"/>
              <w:rPr>
                <w:b/>
                <w:sz w:val="20"/>
                <w:szCs w:val="20"/>
                <w:lang w:val="sq-AL"/>
              </w:rPr>
            </w:pPr>
            <w:r w:rsidRPr="0058349C">
              <w:rPr>
                <w:b/>
                <w:sz w:val="20"/>
                <w:szCs w:val="20"/>
                <w:lang w:val="sq-AL"/>
              </w:rPr>
              <w:t>RrKZHR</w:t>
            </w:r>
          </w:p>
        </w:tc>
        <w:tc>
          <w:tcPr>
            <w:tcW w:w="7829" w:type="dxa"/>
          </w:tcPr>
          <w:p w14:paraId="0773ABA8"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Rrjeti Kombëtar për Zhvillimin Rural</w:t>
            </w:r>
          </w:p>
        </w:tc>
      </w:tr>
      <w:tr w:rsidR="003B5F32" w:rsidRPr="0058349C" w14:paraId="0773ABAC" w14:textId="77777777" w:rsidTr="00C2158F">
        <w:tc>
          <w:tcPr>
            <w:tcW w:w="1458" w:type="dxa"/>
          </w:tcPr>
          <w:p w14:paraId="0773ABAA" w14:textId="77777777" w:rsidR="0073015C" w:rsidRPr="0058349C" w:rsidRDefault="0073015C" w:rsidP="0073015C">
            <w:pPr>
              <w:pStyle w:val="TEKSTIIII"/>
              <w:ind w:firstLine="0"/>
              <w:rPr>
                <w:b/>
                <w:sz w:val="20"/>
                <w:szCs w:val="20"/>
                <w:lang w:val="sq-AL"/>
              </w:rPr>
            </w:pPr>
            <w:r w:rsidRPr="0058349C">
              <w:rPr>
                <w:b/>
                <w:sz w:val="20"/>
                <w:szCs w:val="20"/>
                <w:lang w:val="sq-AL"/>
              </w:rPr>
              <w:t>RUB</w:t>
            </w:r>
          </w:p>
        </w:tc>
        <w:tc>
          <w:tcPr>
            <w:tcW w:w="7829" w:type="dxa"/>
          </w:tcPr>
          <w:p w14:paraId="0773ABAB"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Rezervuarët Ujorë Bujqësorë</w:t>
            </w:r>
          </w:p>
        </w:tc>
      </w:tr>
      <w:tr w:rsidR="003B5F32" w:rsidRPr="0058349C" w14:paraId="0773ABAF" w14:textId="77777777" w:rsidTr="00C2158F">
        <w:tc>
          <w:tcPr>
            <w:tcW w:w="1458" w:type="dxa"/>
          </w:tcPr>
          <w:p w14:paraId="0773ABAD" w14:textId="77777777" w:rsidR="0073015C" w:rsidRPr="0058349C" w:rsidRDefault="0073015C" w:rsidP="0073015C">
            <w:pPr>
              <w:pStyle w:val="TEKSTIIII"/>
              <w:ind w:firstLine="0"/>
              <w:rPr>
                <w:b/>
                <w:sz w:val="20"/>
                <w:szCs w:val="20"/>
                <w:lang w:val="sq-AL"/>
              </w:rPr>
            </w:pPr>
            <w:r w:rsidRPr="0058349C">
              <w:rPr>
                <w:b/>
                <w:sz w:val="20"/>
                <w:szCs w:val="20"/>
                <w:lang w:val="sq-AL"/>
              </w:rPr>
              <w:t>SBERAJ</w:t>
            </w:r>
          </w:p>
        </w:tc>
        <w:tc>
          <w:tcPr>
            <w:tcW w:w="7829" w:type="dxa"/>
          </w:tcPr>
          <w:p w14:paraId="0773ABAE"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Strategjia e BE-së për Rajonin Adriatik-Jonian </w:t>
            </w:r>
          </w:p>
        </w:tc>
      </w:tr>
      <w:tr w:rsidR="003B5F32" w:rsidRPr="0058349C" w14:paraId="0773ABB2" w14:textId="77777777" w:rsidTr="00C2158F">
        <w:tc>
          <w:tcPr>
            <w:tcW w:w="1458" w:type="dxa"/>
          </w:tcPr>
          <w:p w14:paraId="0773ABB0" w14:textId="77777777" w:rsidR="0073015C" w:rsidRPr="0058349C" w:rsidRDefault="0073015C" w:rsidP="0073015C">
            <w:pPr>
              <w:pStyle w:val="TEKSTIIII"/>
              <w:ind w:firstLine="0"/>
              <w:rPr>
                <w:b/>
                <w:sz w:val="20"/>
                <w:szCs w:val="20"/>
                <w:lang w:val="sq-AL"/>
              </w:rPr>
            </w:pPr>
            <w:r w:rsidRPr="0058349C">
              <w:rPr>
                <w:b/>
                <w:sz w:val="20"/>
                <w:szCs w:val="20"/>
                <w:lang w:val="sq-AL"/>
              </w:rPr>
              <w:t>SBSH</w:t>
            </w:r>
          </w:p>
        </w:tc>
        <w:tc>
          <w:tcPr>
            <w:tcW w:w="7829" w:type="dxa"/>
          </w:tcPr>
          <w:p w14:paraId="0773ABB1"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Sipërfaqja Bujqësore e Shfrytëzuar </w:t>
            </w:r>
          </w:p>
        </w:tc>
      </w:tr>
      <w:tr w:rsidR="003B5F32" w:rsidRPr="0058349C" w14:paraId="0773ABB5" w14:textId="77777777" w:rsidTr="00C2158F">
        <w:tc>
          <w:tcPr>
            <w:tcW w:w="1458" w:type="dxa"/>
          </w:tcPr>
          <w:p w14:paraId="0773ABB3" w14:textId="77777777" w:rsidR="0073015C" w:rsidRPr="0058349C" w:rsidRDefault="0073015C" w:rsidP="0073015C">
            <w:pPr>
              <w:pStyle w:val="TEKSTIIII"/>
              <w:ind w:firstLine="0"/>
              <w:rPr>
                <w:rFonts w:eastAsia="Arial"/>
                <w:b/>
                <w:sz w:val="20"/>
                <w:szCs w:val="20"/>
                <w:lang w:val="sq-AL"/>
              </w:rPr>
            </w:pPr>
            <w:r w:rsidRPr="0058349C">
              <w:rPr>
                <w:rFonts w:eastAsia="Arial"/>
                <w:b/>
                <w:sz w:val="20"/>
                <w:szCs w:val="20"/>
                <w:lang w:val="sq-AL"/>
              </w:rPr>
              <w:t>SBZHRP</w:t>
            </w:r>
          </w:p>
        </w:tc>
        <w:tc>
          <w:tcPr>
            <w:tcW w:w="7829" w:type="dxa"/>
          </w:tcPr>
          <w:p w14:paraId="0773ABB4"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Strategjia e Bujqësisë, Zhvillimit Rural dhe i Peshkimit</w:t>
            </w:r>
          </w:p>
        </w:tc>
      </w:tr>
      <w:tr w:rsidR="003B5F32" w:rsidRPr="0058349C" w14:paraId="0773ABB8" w14:textId="77777777" w:rsidTr="00C2158F">
        <w:tc>
          <w:tcPr>
            <w:tcW w:w="1458" w:type="dxa"/>
          </w:tcPr>
          <w:p w14:paraId="0773ABB6" w14:textId="77777777" w:rsidR="0073015C" w:rsidRPr="0058349C" w:rsidRDefault="0073015C" w:rsidP="0073015C">
            <w:pPr>
              <w:pStyle w:val="TEKSTIIII"/>
              <w:ind w:firstLine="0"/>
              <w:rPr>
                <w:b/>
                <w:sz w:val="20"/>
                <w:szCs w:val="20"/>
                <w:lang w:val="sq-AL"/>
              </w:rPr>
            </w:pPr>
            <w:r w:rsidRPr="0058349C">
              <w:rPr>
                <w:b/>
                <w:sz w:val="20"/>
                <w:szCs w:val="20"/>
                <w:lang w:val="sq-AL"/>
              </w:rPr>
              <w:t>SIAK</w:t>
            </w:r>
          </w:p>
        </w:tc>
        <w:tc>
          <w:tcPr>
            <w:tcW w:w="7829" w:type="dxa"/>
          </w:tcPr>
          <w:p w14:paraId="0773ABB7" w14:textId="504218A2"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Sistemi i Integruar i Administrimit dhe </w:t>
            </w:r>
            <w:r w:rsidR="00BD3407">
              <w:rPr>
                <w:sz w:val="20"/>
                <w:szCs w:val="20"/>
                <w:shd w:val="clear" w:color="auto" w:fill="FFFFFF"/>
                <w:lang w:val="sq-AL"/>
              </w:rPr>
              <w:t xml:space="preserve">i </w:t>
            </w:r>
            <w:r w:rsidRPr="0058349C">
              <w:rPr>
                <w:sz w:val="20"/>
                <w:szCs w:val="20"/>
                <w:shd w:val="clear" w:color="auto" w:fill="FFFFFF"/>
                <w:lang w:val="sq-AL"/>
              </w:rPr>
              <w:t>Kontrollit</w:t>
            </w:r>
          </w:p>
        </w:tc>
      </w:tr>
      <w:tr w:rsidR="003B5F32" w:rsidRPr="0058349C" w14:paraId="0773ABBB" w14:textId="77777777" w:rsidTr="00C2158F">
        <w:tc>
          <w:tcPr>
            <w:tcW w:w="1458" w:type="dxa"/>
          </w:tcPr>
          <w:p w14:paraId="0773ABB9" w14:textId="77777777" w:rsidR="0073015C" w:rsidRPr="0058349C" w:rsidRDefault="0073015C" w:rsidP="0073015C">
            <w:pPr>
              <w:pStyle w:val="TEKSTIIII"/>
              <w:ind w:firstLine="0"/>
              <w:rPr>
                <w:b/>
                <w:sz w:val="20"/>
                <w:szCs w:val="20"/>
                <w:lang w:val="sq-AL"/>
              </w:rPr>
            </w:pPr>
            <w:r w:rsidRPr="0058349C">
              <w:rPr>
                <w:b/>
                <w:sz w:val="20"/>
                <w:szCs w:val="20"/>
                <w:lang w:val="sq-AL"/>
              </w:rPr>
              <w:t>SIPT (LPIS)</w:t>
            </w:r>
          </w:p>
        </w:tc>
        <w:tc>
          <w:tcPr>
            <w:tcW w:w="7829" w:type="dxa"/>
          </w:tcPr>
          <w:p w14:paraId="0773ABBA"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Sistemi i Identifikimit të Parcelave të Tokës</w:t>
            </w:r>
          </w:p>
        </w:tc>
      </w:tr>
      <w:tr w:rsidR="003B5F32" w:rsidRPr="0058349C" w14:paraId="0773ABBE" w14:textId="77777777" w:rsidTr="00C2158F">
        <w:tc>
          <w:tcPr>
            <w:tcW w:w="1458" w:type="dxa"/>
          </w:tcPr>
          <w:p w14:paraId="0773ABBC" w14:textId="77777777" w:rsidR="0073015C" w:rsidRPr="0058349C" w:rsidRDefault="0073015C" w:rsidP="0073015C">
            <w:pPr>
              <w:pStyle w:val="TEKSTIIII"/>
              <w:ind w:firstLine="0"/>
              <w:rPr>
                <w:b/>
                <w:sz w:val="20"/>
                <w:szCs w:val="20"/>
                <w:lang w:val="sq-AL"/>
              </w:rPr>
            </w:pPr>
            <w:r w:rsidRPr="0058349C">
              <w:rPr>
                <w:b/>
                <w:sz w:val="20"/>
                <w:szCs w:val="20"/>
                <w:lang w:val="sq-AL"/>
              </w:rPr>
              <w:t>SIP-SI</w:t>
            </w:r>
          </w:p>
        </w:tc>
        <w:tc>
          <w:tcPr>
            <w:tcW w:w="7829" w:type="dxa"/>
          </w:tcPr>
          <w:p w14:paraId="0773ABBD"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Sistemi i Integruar i Planifikimit – Sistem Informacionit</w:t>
            </w:r>
          </w:p>
        </w:tc>
      </w:tr>
      <w:tr w:rsidR="003B5F32" w:rsidRPr="0058349C" w14:paraId="0773ABC1" w14:textId="77777777" w:rsidTr="00C2158F">
        <w:tc>
          <w:tcPr>
            <w:tcW w:w="1458" w:type="dxa"/>
          </w:tcPr>
          <w:p w14:paraId="0773ABBF" w14:textId="77777777" w:rsidR="0073015C" w:rsidRPr="0058349C" w:rsidRDefault="0073015C" w:rsidP="0073015C">
            <w:pPr>
              <w:pStyle w:val="TEKSTIIII"/>
              <w:ind w:firstLine="0"/>
              <w:rPr>
                <w:b/>
                <w:sz w:val="20"/>
                <w:szCs w:val="20"/>
                <w:lang w:val="sq-AL"/>
              </w:rPr>
            </w:pPr>
            <w:r w:rsidRPr="0058349C">
              <w:rPr>
                <w:rFonts w:eastAsia="Arial"/>
                <w:b/>
                <w:sz w:val="20"/>
                <w:szCs w:val="20"/>
                <w:lang w:val="sq-AL"/>
              </w:rPr>
              <w:t>SNJIB</w:t>
            </w:r>
          </w:p>
        </w:tc>
        <w:tc>
          <w:tcPr>
            <w:tcW w:w="7829" w:type="dxa"/>
          </w:tcPr>
          <w:p w14:paraId="0773ABC0"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Sistemi i Njohurive dhe Inovacionit në Bujqësi </w:t>
            </w:r>
          </w:p>
        </w:tc>
      </w:tr>
      <w:tr w:rsidR="003B5F32" w:rsidRPr="0058349C" w14:paraId="0773ABC4" w14:textId="77777777" w:rsidTr="00C2158F">
        <w:tc>
          <w:tcPr>
            <w:tcW w:w="1458" w:type="dxa"/>
          </w:tcPr>
          <w:p w14:paraId="0773ABC2" w14:textId="77777777" w:rsidR="0073015C" w:rsidRPr="0058349C" w:rsidRDefault="0073015C" w:rsidP="0073015C">
            <w:pPr>
              <w:pStyle w:val="TEKSTIIII"/>
              <w:ind w:firstLine="0"/>
              <w:rPr>
                <w:b/>
                <w:sz w:val="20"/>
                <w:szCs w:val="20"/>
                <w:lang w:val="sq-AL"/>
              </w:rPr>
            </w:pPr>
            <w:r w:rsidRPr="0058349C">
              <w:rPr>
                <w:b/>
                <w:sz w:val="20"/>
                <w:szCs w:val="20"/>
                <w:lang w:val="sq-AL"/>
              </w:rPr>
              <w:t>SMA</w:t>
            </w:r>
          </w:p>
        </w:tc>
        <w:tc>
          <w:tcPr>
            <w:tcW w:w="7829" w:type="dxa"/>
          </w:tcPr>
          <w:p w14:paraId="0773ABC3"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Sistemi i Monitorimit të Anijeve</w:t>
            </w:r>
          </w:p>
        </w:tc>
      </w:tr>
      <w:tr w:rsidR="003B5F32" w:rsidRPr="0058349C" w14:paraId="0773ABC7" w14:textId="77777777" w:rsidTr="00C2158F">
        <w:tc>
          <w:tcPr>
            <w:tcW w:w="1458" w:type="dxa"/>
          </w:tcPr>
          <w:p w14:paraId="0773ABC5" w14:textId="77777777" w:rsidR="0073015C" w:rsidRPr="0058349C" w:rsidRDefault="0073015C" w:rsidP="0073015C">
            <w:pPr>
              <w:pStyle w:val="TEKSTIIII"/>
              <w:ind w:firstLine="0"/>
              <w:rPr>
                <w:b/>
                <w:sz w:val="20"/>
                <w:szCs w:val="20"/>
                <w:lang w:val="sq-AL"/>
              </w:rPr>
            </w:pPr>
            <w:r w:rsidRPr="0058349C">
              <w:rPr>
                <w:b/>
                <w:sz w:val="20"/>
                <w:szCs w:val="20"/>
                <w:lang w:val="sq-AL"/>
              </w:rPr>
              <w:t>SKZHI</w:t>
            </w:r>
          </w:p>
        </w:tc>
        <w:tc>
          <w:tcPr>
            <w:tcW w:w="7829" w:type="dxa"/>
          </w:tcPr>
          <w:p w14:paraId="0773ABC6"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Strategjia Kombëtare për Zhvillim dhe Integrim</w:t>
            </w:r>
          </w:p>
        </w:tc>
      </w:tr>
      <w:tr w:rsidR="003B5F32" w:rsidRPr="0058349C" w14:paraId="0773ABCA" w14:textId="77777777" w:rsidTr="00C2158F">
        <w:tc>
          <w:tcPr>
            <w:tcW w:w="1458" w:type="dxa"/>
          </w:tcPr>
          <w:p w14:paraId="0773ABC8" w14:textId="77777777" w:rsidR="0073015C" w:rsidRPr="0058349C" w:rsidRDefault="0073015C" w:rsidP="0073015C">
            <w:pPr>
              <w:pStyle w:val="TEKSTIIII"/>
              <w:ind w:firstLine="0"/>
              <w:rPr>
                <w:rFonts w:eastAsia="Arial"/>
                <w:b/>
                <w:sz w:val="20"/>
                <w:szCs w:val="20"/>
                <w:lang w:val="sq-AL"/>
              </w:rPr>
            </w:pPr>
            <w:r w:rsidRPr="0058349C">
              <w:rPr>
                <w:rFonts w:eastAsia="Arial"/>
                <w:b/>
                <w:sz w:val="20"/>
                <w:szCs w:val="20"/>
                <w:lang w:val="sq-AL"/>
              </w:rPr>
              <w:t>SZHL</w:t>
            </w:r>
          </w:p>
        </w:tc>
        <w:tc>
          <w:tcPr>
            <w:tcW w:w="7829" w:type="dxa"/>
          </w:tcPr>
          <w:p w14:paraId="0773ABC9"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Strategjitë e Zhvillimit Lokal</w:t>
            </w:r>
          </w:p>
        </w:tc>
      </w:tr>
      <w:tr w:rsidR="003B5F32" w:rsidRPr="0058349C" w14:paraId="0773ABCD" w14:textId="77777777" w:rsidTr="00C2158F">
        <w:tc>
          <w:tcPr>
            <w:tcW w:w="1458" w:type="dxa"/>
          </w:tcPr>
          <w:p w14:paraId="0773ABCB" w14:textId="77777777" w:rsidR="0073015C" w:rsidRPr="0058349C" w:rsidRDefault="0073015C" w:rsidP="0073015C">
            <w:pPr>
              <w:pStyle w:val="TEKSTIIII"/>
              <w:ind w:firstLine="0"/>
              <w:rPr>
                <w:rFonts w:eastAsia="Arial"/>
                <w:b/>
                <w:sz w:val="20"/>
                <w:szCs w:val="20"/>
                <w:lang w:val="sq-AL"/>
              </w:rPr>
            </w:pPr>
            <w:r w:rsidRPr="0058349C">
              <w:rPr>
                <w:rFonts w:eastAsia="Arial"/>
                <w:b/>
                <w:sz w:val="20"/>
                <w:szCs w:val="20"/>
                <w:lang w:val="sq-AL"/>
              </w:rPr>
              <w:t>SHBB</w:t>
            </w:r>
          </w:p>
        </w:tc>
        <w:tc>
          <w:tcPr>
            <w:tcW w:w="7829" w:type="dxa"/>
          </w:tcPr>
          <w:p w14:paraId="0773ABCC"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Shoqëritë e Bashkëpunimit Bujqësor</w:t>
            </w:r>
          </w:p>
        </w:tc>
      </w:tr>
      <w:tr w:rsidR="003B5F32" w:rsidRPr="0058349C" w14:paraId="0773ABD0" w14:textId="77777777" w:rsidTr="00C2158F">
        <w:tc>
          <w:tcPr>
            <w:tcW w:w="1458" w:type="dxa"/>
          </w:tcPr>
          <w:p w14:paraId="0773ABCE" w14:textId="77777777" w:rsidR="0073015C" w:rsidRPr="0058349C" w:rsidRDefault="0073015C" w:rsidP="0073015C">
            <w:pPr>
              <w:pStyle w:val="TEKSTIIII"/>
              <w:ind w:firstLine="0"/>
              <w:rPr>
                <w:b/>
                <w:sz w:val="20"/>
                <w:szCs w:val="20"/>
                <w:lang w:val="sq-AL"/>
              </w:rPr>
            </w:pPr>
            <w:r w:rsidRPr="0058349C">
              <w:rPr>
                <w:b/>
                <w:sz w:val="20"/>
                <w:szCs w:val="20"/>
                <w:lang w:val="sq-AL"/>
              </w:rPr>
              <w:t>SHKF</w:t>
            </w:r>
          </w:p>
        </w:tc>
        <w:tc>
          <w:tcPr>
            <w:tcW w:w="7829" w:type="dxa"/>
          </w:tcPr>
          <w:p w14:paraId="0773ABCF"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Shërbimi Këshillimor i Fermave</w:t>
            </w:r>
          </w:p>
        </w:tc>
      </w:tr>
      <w:tr w:rsidR="003B5F32" w:rsidRPr="0058349C" w14:paraId="0773ABD3" w14:textId="77777777" w:rsidTr="00C2158F">
        <w:tc>
          <w:tcPr>
            <w:tcW w:w="1458" w:type="dxa"/>
          </w:tcPr>
          <w:p w14:paraId="0773ABD1" w14:textId="77777777" w:rsidR="0073015C" w:rsidRPr="0058349C" w:rsidRDefault="0073015C" w:rsidP="0073015C">
            <w:pPr>
              <w:pStyle w:val="TEKSTIIII"/>
              <w:ind w:firstLine="0"/>
              <w:rPr>
                <w:b/>
                <w:sz w:val="20"/>
                <w:szCs w:val="20"/>
                <w:lang w:val="sq-AL"/>
              </w:rPr>
            </w:pPr>
            <w:r w:rsidRPr="0058349C">
              <w:rPr>
                <w:b/>
                <w:sz w:val="20"/>
                <w:szCs w:val="20"/>
                <w:lang w:val="sq-AL"/>
              </w:rPr>
              <w:t>SHKEB</w:t>
            </w:r>
          </w:p>
        </w:tc>
        <w:tc>
          <w:tcPr>
            <w:tcW w:w="7829" w:type="dxa"/>
          </w:tcPr>
          <w:p w14:paraId="0773ABD2"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Shërbimi Kombëtar i Ekstensionit Bujqësor </w:t>
            </w:r>
          </w:p>
        </w:tc>
      </w:tr>
      <w:tr w:rsidR="003B5F32" w:rsidRPr="0058349C" w14:paraId="0773ABD6" w14:textId="77777777" w:rsidTr="00C2158F">
        <w:tc>
          <w:tcPr>
            <w:tcW w:w="1458" w:type="dxa"/>
          </w:tcPr>
          <w:p w14:paraId="0773ABD4" w14:textId="77777777" w:rsidR="0073015C" w:rsidRPr="0058349C" w:rsidRDefault="0073015C" w:rsidP="0073015C">
            <w:pPr>
              <w:pStyle w:val="TEKSTIIII"/>
              <w:ind w:firstLine="0"/>
              <w:rPr>
                <w:b/>
                <w:sz w:val="20"/>
                <w:szCs w:val="20"/>
                <w:lang w:val="sq-AL"/>
              </w:rPr>
            </w:pPr>
            <w:r w:rsidRPr="0058349C">
              <w:rPr>
                <w:b/>
                <w:sz w:val="20"/>
                <w:szCs w:val="20"/>
                <w:lang w:val="sq-AL"/>
              </w:rPr>
              <w:t>SHOP</w:t>
            </w:r>
          </w:p>
        </w:tc>
        <w:tc>
          <w:tcPr>
            <w:tcW w:w="7829" w:type="dxa"/>
          </w:tcPr>
          <w:p w14:paraId="0773ABD5"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Shoqata e Organizatave të Prodhuesve </w:t>
            </w:r>
          </w:p>
        </w:tc>
      </w:tr>
      <w:tr w:rsidR="003B5F32" w:rsidRPr="0058349C" w14:paraId="0773ABD9" w14:textId="77777777" w:rsidTr="00C2158F">
        <w:tc>
          <w:tcPr>
            <w:tcW w:w="1458" w:type="dxa"/>
          </w:tcPr>
          <w:p w14:paraId="0773ABD7" w14:textId="77777777" w:rsidR="0073015C" w:rsidRPr="0058349C" w:rsidRDefault="0073015C" w:rsidP="0073015C">
            <w:pPr>
              <w:pStyle w:val="TEKSTIIII"/>
              <w:ind w:firstLine="0"/>
              <w:rPr>
                <w:b/>
                <w:sz w:val="20"/>
                <w:szCs w:val="20"/>
                <w:lang w:val="sq-AL"/>
              </w:rPr>
            </w:pPr>
            <w:r w:rsidRPr="0058349C">
              <w:rPr>
                <w:b/>
                <w:sz w:val="20"/>
                <w:szCs w:val="20"/>
                <w:lang w:val="sq-AL"/>
              </w:rPr>
              <w:t>TI</w:t>
            </w:r>
          </w:p>
        </w:tc>
        <w:tc>
          <w:tcPr>
            <w:tcW w:w="7829" w:type="dxa"/>
          </w:tcPr>
          <w:p w14:paraId="0773ABD8"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Teknologjia e Informacionit</w:t>
            </w:r>
          </w:p>
        </w:tc>
      </w:tr>
      <w:tr w:rsidR="003B5F32" w:rsidRPr="0058349C" w14:paraId="0773ABDC" w14:textId="77777777" w:rsidTr="00C2158F">
        <w:tc>
          <w:tcPr>
            <w:tcW w:w="1458" w:type="dxa"/>
          </w:tcPr>
          <w:p w14:paraId="0773ABDA" w14:textId="77777777" w:rsidR="0073015C" w:rsidRPr="0058349C" w:rsidRDefault="0073015C" w:rsidP="0073015C">
            <w:pPr>
              <w:pStyle w:val="TEKSTIIII"/>
              <w:ind w:firstLine="0"/>
              <w:rPr>
                <w:b/>
                <w:sz w:val="20"/>
                <w:szCs w:val="20"/>
                <w:lang w:val="sq-AL"/>
              </w:rPr>
            </w:pPr>
            <w:r w:rsidRPr="0058349C">
              <w:rPr>
                <w:b/>
                <w:sz w:val="20"/>
                <w:szCs w:val="20"/>
                <w:lang w:val="sq-AL"/>
              </w:rPr>
              <w:t>TGJM</w:t>
            </w:r>
          </w:p>
        </w:tc>
        <w:tc>
          <w:tcPr>
            <w:tcW w:w="7829" w:type="dxa"/>
          </w:tcPr>
          <w:p w14:paraId="0773ABDB"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 xml:space="preserve">Tregues Gjeografik i Mbrojtur </w:t>
            </w:r>
          </w:p>
        </w:tc>
      </w:tr>
      <w:tr w:rsidR="003B5F32" w:rsidRPr="0058349C" w14:paraId="0773ABDF" w14:textId="77777777" w:rsidTr="00C2158F">
        <w:tc>
          <w:tcPr>
            <w:tcW w:w="1458" w:type="dxa"/>
          </w:tcPr>
          <w:p w14:paraId="0773ABDD" w14:textId="77777777" w:rsidR="0073015C" w:rsidRPr="0058349C" w:rsidRDefault="0073015C" w:rsidP="0073015C">
            <w:pPr>
              <w:pStyle w:val="TEKSTIIII"/>
              <w:ind w:firstLine="0"/>
              <w:rPr>
                <w:b/>
                <w:sz w:val="20"/>
                <w:szCs w:val="20"/>
                <w:lang w:val="sq-AL"/>
              </w:rPr>
            </w:pPr>
            <w:r w:rsidRPr="0058349C">
              <w:rPr>
                <w:b/>
                <w:sz w:val="20"/>
                <w:szCs w:val="20"/>
                <w:lang w:val="sq-AL"/>
              </w:rPr>
              <w:t>UBT</w:t>
            </w:r>
          </w:p>
        </w:tc>
        <w:tc>
          <w:tcPr>
            <w:tcW w:w="7829" w:type="dxa"/>
          </w:tcPr>
          <w:p w14:paraId="0773ABDE"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Universiteti Bujqësor i Tiranës</w:t>
            </w:r>
          </w:p>
        </w:tc>
      </w:tr>
      <w:tr w:rsidR="003B5F32" w:rsidRPr="0058349C" w14:paraId="0773ABE2" w14:textId="77777777" w:rsidTr="00C2158F">
        <w:tc>
          <w:tcPr>
            <w:tcW w:w="1458" w:type="dxa"/>
          </w:tcPr>
          <w:p w14:paraId="0773ABE0" w14:textId="77777777" w:rsidR="0073015C" w:rsidRPr="0058349C" w:rsidRDefault="0073015C" w:rsidP="0073015C">
            <w:pPr>
              <w:pStyle w:val="TEKSTIIII"/>
              <w:ind w:firstLine="0"/>
              <w:rPr>
                <w:b/>
                <w:sz w:val="20"/>
                <w:szCs w:val="20"/>
                <w:lang w:val="sq-AL"/>
              </w:rPr>
            </w:pPr>
            <w:r w:rsidRPr="0058349C">
              <w:rPr>
                <w:b/>
                <w:sz w:val="20"/>
                <w:szCs w:val="20"/>
                <w:lang w:val="sq-AL"/>
              </w:rPr>
              <w:t>VSHB</w:t>
            </w:r>
          </w:p>
        </w:tc>
        <w:tc>
          <w:tcPr>
            <w:tcW w:w="7829" w:type="dxa"/>
          </w:tcPr>
          <w:p w14:paraId="0773ABE1"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Vlerë e Shtuar Bruto</w:t>
            </w:r>
          </w:p>
        </w:tc>
      </w:tr>
      <w:tr w:rsidR="003B5F32" w:rsidRPr="0058349C" w14:paraId="0773ABE5" w14:textId="77777777" w:rsidTr="00C2158F">
        <w:tc>
          <w:tcPr>
            <w:tcW w:w="1458" w:type="dxa"/>
          </w:tcPr>
          <w:p w14:paraId="0773ABE3" w14:textId="77777777" w:rsidR="0073015C" w:rsidRPr="0058349C" w:rsidRDefault="0073015C" w:rsidP="0073015C">
            <w:pPr>
              <w:pStyle w:val="TEKSTIIII"/>
              <w:ind w:firstLine="0"/>
              <w:rPr>
                <w:b/>
                <w:sz w:val="20"/>
                <w:szCs w:val="20"/>
                <w:lang w:val="sq-AL"/>
              </w:rPr>
            </w:pPr>
            <w:r w:rsidRPr="0058349C">
              <w:rPr>
                <w:b/>
                <w:sz w:val="20"/>
                <w:szCs w:val="20"/>
                <w:lang w:val="sq-AL"/>
              </w:rPr>
              <w:t>VKM</w:t>
            </w:r>
          </w:p>
        </w:tc>
        <w:tc>
          <w:tcPr>
            <w:tcW w:w="7829" w:type="dxa"/>
          </w:tcPr>
          <w:p w14:paraId="0773ABE4" w14:textId="77777777"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Vendim i Këshillit të Ministrave</w:t>
            </w:r>
          </w:p>
        </w:tc>
      </w:tr>
      <w:tr w:rsidR="003B5F32" w:rsidRPr="0058349C" w14:paraId="0773ABE8" w14:textId="77777777" w:rsidTr="00C2158F">
        <w:tc>
          <w:tcPr>
            <w:tcW w:w="1458" w:type="dxa"/>
          </w:tcPr>
          <w:p w14:paraId="0773ABE6" w14:textId="77777777" w:rsidR="0073015C" w:rsidRPr="0058349C" w:rsidRDefault="0073015C" w:rsidP="0073015C">
            <w:pPr>
              <w:pStyle w:val="TEKSTIIII"/>
              <w:ind w:firstLine="0"/>
              <w:rPr>
                <w:b/>
                <w:sz w:val="20"/>
                <w:szCs w:val="20"/>
                <w:lang w:val="sq-AL"/>
              </w:rPr>
            </w:pPr>
            <w:r w:rsidRPr="0058349C">
              <w:rPr>
                <w:b/>
                <w:sz w:val="20"/>
                <w:szCs w:val="20"/>
                <w:lang w:val="sq-AL"/>
              </w:rPr>
              <w:t>ZPA</w:t>
            </w:r>
          </w:p>
        </w:tc>
        <w:tc>
          <w:tcPr>
            <w:tcW w:w="7829" w:type="dxa"/>
          </w:tcPr>
          <w:p w14:paraId="0773ABE7" w14:textId="2AD02A0A" w:rsidR="0073015C" w:rsidRPr="0058349C" w:rsidRDefault="0073015C" w:rsidP="0073015C">
            <w:pPr>
              <w:pStyle w:val="TEKSTIIII"/>
              <w:ind w:firstLine="0"/>
              <w:rPr>
                <w:sz w:val="20"/>
                <w:szCs w:val="20"/>
                <w:shd w:val="clear" w:color="auto" w:fill="FFFFFF"/>
                <w:lang w:val="sq-AL"/>
              </w:rPr>
            </w:pPr>
            <w:r w:rsidRPr="0058349C">
              <w:rPr>
                <w:sz w:val="20"/>
                <w:szCs w:val="20"/>
                <w:shd w:val="clear" w:color="auto" w:fill="FFFFFF"/>
                <w:lang w:val="sq-AL"/>
              </w:rPr>
              <w:t>Zona e Përcaktuar</w:t>
            </w:r>
            <w:r w:rsidR="00CF7694" w:rsidRPr="0058349C">
              <w:rPr>
                <w:sz w:val="20"/>
                <w:szCs w:val="20"/>
                <w:shd w:val="clear" w:color="auto" w:fill="FFFFFF"/>
                <w:lang w:val="sq-AL"/>
              </w:rPr>
              <w:t xml:space="preserve"> </w:t>
            </w:r>
            <w:r w:rsidRPr="0058349C">
              <w:rPr>
                <w:sz w:val="20"/>
                <w:szCs w:val="20"/>
                <w:shd w:val="clear" w:color="auto" w:fill="FFFFFF"/>
                <w:lang w:val="sq-AL"/>
              </w:rPr>
              <w:t>për Akuakulturë</w:t>
            </w:r>
          </w:p>
        </w:tc>
      </w:tr>
    </w:tbl>
    <w:p w14:paraId="0773ABE9" w14:textId="77777777" w:rsidR="00A61C64" w:rsidRPr="0058349C" w:rsidRDefault="00A61C64" w:rsidP="00071588">
      <w:pPr>
        <w:spacing w:after="0" w:line="240" w:lineRule="auto"/>
        <w:ind w:firstLine="284"/>
        <w:jc w:val="center"/>
        <w:rPr>
          <w:rFonts w:ascii="Garamond" w:hAnsi="Garamond"/>
          <w:b/>
          <w:sz w:val="24"/>
          <w:szCs w:val="24"/>
          <w:lang w:val="sq-AL"/>
        </w:rPr>
      </w:pPr>
    </w:p>
    <w:p w14:paraId="0773ABEA" w14:textId="7C3374F0" w:rsidR="00492C9C" w:rsidRPr="0058349C" w:rsidRDefault="00492C9C" w:rsidP="004F35B6">
      <w:pPr>
        <w:keepLines/>
        <w:autoSpaceDE w:val="0"/>
        <w:autoSpaceDN w:val="0"/>
        <w:adjustRightInd w:val="0"/>
        <w:spacing w:after="0" w:line="240" w:lineRule="auto"/>
        <w:ind w:firstLine="284"/>
        <w:jc w:val="both"/>
        <w:outlineLvl w:val="0"/>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1</w:t>
      </w:r>
      <w:r w:rsidR="00BD3407">
        <w:rPr>
          <w:rFonts w:ascii="Garamond" w:eastAsiaTheme="minorHAnsi" w:hAnsi="Garamond" w:cs="Arial"/>
          <w:b/>
          <w:bCs/>
          <w:sz w:val="24"/>
          <w:szCs w:val="24"/>
          <w:lang w:val="sq-AL"/>
        </w:rPr>
        <w:t>.</w:t>
      </w:r>
      <w:r w:rsidRPr="0058349C">
        <w:rPr>
          <w:rFonts w:ascii="Garamond" w:eastAsiaTheme="minorHAnsi" w:hAnsi="Garamond" w:cs="Arial"/>
          <w:b/>
          <w:bCs/>
          <w:sz w:val="24"/>
          <w:szCs w:val="24"/>
          <w:lang w:val="sq-AL"/>
        </w:rPr>
        <w:t xml:space="preserve"> Pjesa I</w:t>
      </w:r>
      <w:r w:rsidR="004F35B6">
        <w:rPr>
          <w:rFonts w:ascii="Garamond" w:eastAsiaTheme="minorHAnsi" w:hAnsi="Garamond" w:cs="Arial"/>
          <w:b/>
          <w:bCs/>
          <w:sz w:val="24"/>
          <w:szCs w:val="24"/>
          <w:lang w:val="sq-AL"/>
        </w:rPr>
        <w:t>:</w:t>
      </w:r>
      <w:r w:rsidRPr="0058349C">
        <w:rPr>
          <w:rFonts w:ascii="Garamond" w:eastAsiaTheme="minorHAnsi" w:hAnsi="Garamond" w:cs="Arial"/>
          <w:b/>
          <w:bCs/>
          <w:sz w:val="24"/>
          <w:szCs w:val="24"/>
          <w:lang w:val="sq-AL"/>
        </w:rPr>
        <w:t xml:space="preserve"> Konteksti strategjik</w:t>
      </w:r>
    </w:p>
    <w:p w14:paraId="0773ABEB" w14:textId="77777777" w:rsidR="00492C9C" w:rsidRPr="0058349C" w:rsidRDefault="00492C9C" w:rsidP="00492C9C">
      <w:pPr>
        <w:autoSpaceDE w:val="0"/>
        <w:autoSpaceDN w:val="0"/>
        <w:adjustRightInd w:val="0"/>
        <w:spacing w:after="0" w:line="240" w:lineRule="auto"/>
        <w:ind w:firstLine="284"/>
        <w:jc w:val="both"/>
        <w:outlineLvl w:val="1"/>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1.1 Qëllimi i strategjisë</w:t>
      </w:r>
    </w:p>
    <w:p w14:paraId="0773ABEC" w14:textId="0F08A9DA"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Strategjia e Bujqësisë, Zhvi</w:t>
      </w:r>
      <w:r w:rsidR="00E63267">
        <w:rPr>
          <w:rFonts w:ascii="Garamond" w:hAnsi="Garamond" w:cs="MS Mincho"/>
          <w:sz w:val="24"/>
          <w:szCs w:val="24"/>
          <w:lang w:val="sq-AL"/>
        </w:rPr>
        <w:t>llimit Rural dhe Peshkimit 2021–</w:t>
      </w:r>
      <w:r w:rsidRPr="0058349C">
        <w:rPr>
          <w:rFonts w:ascii="Garamond" w:hAnsi="Garamond" w:cs="MS Mincho"/>
          <w:sz w:val="24"/>
          <w:szCs w:val="24"/>
          <w:lang w:val="sq-AL"/>
        </w:rPr>
        <w:t xml:space="preserve">2027 (SBZHRP </w:t>
      </w:r>
      <w:r w:rsidR="00612507" w:rsidRPr="0058349C">
        <w:rPr>
          <w:rFonts w:ascii="Garamond" w:hAnsi="Garamond" w:cs="MS Mincho"/>
          <w:sz w:val="24"/>
          <w:szCs w:val="24"/>
          <w:lang w:val="sq-AL"/>
        </w:rPr>
        <w:t>2021–2027</w:t>
      </w:r>
      <w:r w:rsidRPr="0058349C">
        <w:rPr>
          <w:rFonts w:ascii="Garamond" w:hAnsi="Garamond" w:cs="MS Mincho"/>
          <w:sz w:val="24"/>
          <w:szCs w:val="24"/>
          <w:lang w:val="sq-AL"/>
        </w:rPr>
        <w:t>) është dokumenti politik i qeverisë shqiptare, i cili synon të përcaktojë objektivat, të krijojë kuadrin e nevojshëm institucional, të politikave dhe të instrumenteve që mundësojnë arritjen e këtyre objektivave për zhvillimin e qëndrueshëm të bujqësisë, zonave rurale dhe peshkimit</w:t>
      </w:r>
      <w:r w:rsidR="003D1D83">
        <w:rPr>
          <w:rFonts w:ascii="Garamond" w:hAnsi="Garamond" w:cs="MS Mincho"/>
          <w:sz w:val="24"/>
          <w:szCs w:val="24"/>
          <w:lang w:val="sq-AL"/>
        </w:rPr>
        <w:t>,</w:t>
      </w:r>
      <w:r w:rsidRPr="0058349C">
        <w:rPr>
          <w:rFonts w:ascii="Garamond" w:hAnsi="Garamond" w:cs="MS Mincho"/>
          <w:sz w:val="24"/>
          <w:szCs w:val="24"/>
          <w:lang w:val="sq-AL"/>
        </w:rPr>
        <w:t xml:space="preserve"> si dhe përmbushjen e angazhimeve</w:t>
      </w:r>
      <w:r w:rsidR="003D1D83">
        <w:rPr>
          <w:rFonts w:ascii="Garamond" w:hAnsi="Garamond" w:cs="MS Mincho"/>
          <w:sz w:val="24"/>
          <w:szCs w:val="24"/>
          <w:lang w:val="sq-AL"/>
        </w:rPr>
        <w:t>,</w:t>
      </w:r>
      <w:r w:rsidRPr="0058349C">
        <w:rPr>
          <w:rFonts w:ascii="Garamond" w:hAnsi="Garamond" w:cs="MS Mincho"/>
          <w:sz w:val="24"/>
          <w:szCs w:val="24"/>
          <w:lang w:val="sq-AL"/>
        </w:rPr>
        <w:t xml:space="preserve"> në kuadër të procesit të përafrimit të Shqipërisë në BE.</w:t>
      </w:r>
    </w:p>
    <w:p w14:paraId="0773ABED" w14:textId="3C32100D" w:rsidR="00492C9C" w:rsidRPr="0058349C" w:rsidRDefault="00492C9C" w:rsidP="003D1D83">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Ky dokument u hartua në mbështetje të synimeve të Qeverisë Shqiptare për të përcaktuar kuadrin strategjik për zhvillimin e qëndrueshëm të sektorit agroushqimor në shtatë v</w:t>
      </w:r>
      <w:r w:rsidR="003D1D83">
        <w:rPr>
          <w:rFonts w:ascii="Garamond" w:hAnsi="Garamond" w:cs="MS Mincho"/>
          <w:sz w:val="24"/>
          <w:szCs w:val="24"/>
          <w:lang w:val="sq-AL"/>
        </w:rPr>
        <w:t>jetët,</w:t>
      </w:r>
      <w:r w:rsidRPr="0058349C">
        <w:rPr>
          <w:rFonts w:ascii="Garamond" w:hAnsi="Garamond" w:cs="MS Mincho"/>
          <w:sz w:val="24"/>
          <w:szCs w:val="24"/>
          <w:lang w:val="sq-AL"/>
        </w:rPr>
        <w:t xml:space="preserve"> </w:t>
      </w:r>
      <w:r w:rsidR="00612507" w:rsidRPr="0058349C">
        <w:rPr>
          <w:rFonts w:ascii="Garamond" w:hAnsi="Garamond" w:cs="MS Mincho"/>
          <w:sz w:val="24"/>
          <w:szCs w:val="24"/>
          <w:lang w:val="sq-AL"/>
        </w:rPr>
        <w:t>2021–2027</w:t>
      </w:r>
      <w:r w:rsidRPr="0058349C">
        <w:rPr>
          <w:rFonts w:ascii="Garamond" w:hAnsi="Garamond" w:cs="MS Mincho"/>
          <w:sz w:val="24"/>
          <w:szCs w:val="24"/>
          <w:lang w:val="sq-AL"/>
        </w:rPr>
        <w:t>, për përmbushjen e nevojave reale të aktorëve dhe grupeve të interesit, për të përballuar sfidat afatmesme dhe afatgjata lidhur me sigurimin e ushqimit, rritjes së të ardhurave, efektet e ndryshimit të klimës, ruajtjen e biodiversitetit, për të</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zhvilluar dhe bërë më konkurruese ekonomitë familjare në zonat rurale, bazuar në politika që mbështesin përdorimin e qëndrueshëm të burimeve natyrore, përdorimin eficient të inputeve bujqësore dhe peshkimit</w:t>
      </w:r>
      <w:r w:rsidR="003D1D83">
        <w:rPr>
          <w:rFonts w:ascii="Garamond" w:hAnsi="Garamond" w:cs="MS Mincho"/>
          <w:sz w:val="24"/>
          <w:szCs w:val="24"/>
          <w:lang w:val="sq-AL"/>
        </w:rPr>
        <w:t>,</w:t>
      </w:r>
      <w:r w:rsidRPr="0058349C">
        <w:rPr>
          <w:rFonts w:ascii="Garamond" w:hAnsi="Garamond" w:cs="MS Mincho"/>
          <w:sz w:val="24"/>
          <w:szCs w:val="24"/>
          <w:lang w:val="sq-AL"/>
        </w:rPr>
        <w:t xml:space="preserve"> si dhe njohurive bujqësore dhe inovacionit.</w:t>
      </w:r>
    </w:p>
    <w:p w14:paraId="0773ABEE" w14:textId="679E9597" w:rsidR="00492C9C" w:rsidRPr="0058349C" w:rsidRDefault="00492C9C" w:rsidP="003D1D83">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lastRenderedPageBreak/>
        <w:t xml:space="preserve">Kuadri i përcaktuar në këtë strategji ofron një bazë solide, jo vetëm për realizimin e objektivave të parashikuar për periudhën </w:t>
      </w:r>
      <w:r w:rsidR="00612507" w:rsidRPr="0058349C">
        <w:rPr>
          <w:rFonts w:ascii="Garamond" w:hAnsi="Garamond" w:cs="MS Mincho"/>
          <w:sz w:val="24"/>
          <w:szCs w:val="24"/>
          <w:lang w:val="sq-AL"/>
        </w:rPr>
        <w:t>2021–2027</w:t>
      </w:r>
      <w:r w:rsidRPr="0058349C">
        <w:rPr>
          <w:rFonts w:ascii="Garamond" w:hAnsi="Garamond" w:cs="MS Mincho"/>
          <w:sz w:val="24"/>
          <w:szCs w:val="24"/>
          <w:lang w:val="sq-AL"/>
        </w:rPr>
        <w:t xml:space="preserve">, por edhe për zhvillimin e mëtejshëm të sektorit agroushqimor në përmbushje të vizionit </w:t>
      </w:r>
      <w:r w:rsidR="00664693" w:rsidRPr="0058349C">
        <w:rPr>
          <w:rFonts w:ascii="Garamond" w:hAnsi="Garamond" w:cs="MS Mincho"/>
          <w:sz w:val="24"/>
          <w:szCs w:val="24"/>
          <w:lang w:val="sq-AL"/>
        </w:rPr>
        <w:t>“</w:t>
      </w:r>
      <w:r w:rsidRPr="0058349C">
        <w:rPr>
          <w:rFonts w:ascii="Garamond" w:hAnsi="Garamond" w:cs="MS Mincho"/>
          <w:sz w:val="24"/>
          <w:szCs w:val="24"/>
          <w:lang w:val="sq-AL"/>
        </w:rPr>
        <w:t>Bujqësia 2030</w:t>
      </w:r>
      <w:r w:rsidR="00664693" w:rsidRPr="0058349C">
        <w:rPr>
          <w:rFonts w:ascii="Garamond" w:hAnsi="Garamond" w:cs="MS Mincho"/>
          <w:sz w:val="24"/>
          <w:szCs w:val="24"/>
          <w:lang w:val="sq-AL"/>
        </w:rPr>
        <w:t>”</w:t>
      </w:r>
      <w:r w:rsidRPr="0058349C">
        <w:rPr>
          <w:rFonts w:ascii="Garamond" w:hAnsi="Garamond" w:cs="MS Mincho"/>
          <w:sz w:val="24"/>
          <w:szCs w:val="24"/>
          <w:lang w:val="sq-AL"/>
        </w:rPr>
        <w:t>.</w:t>
      </w:r>
    </w:p>
    <w:p w14:paraId="0773ABEF" w14:textId="77777777" w:rsidR="00492C9C" w:rsidRPr="0058349C" w:rsidRDefault="00492C9C" w:rsidP="00492C9C">
      <w:pPr>
        <w:keepLines/>
        <w:autoSpaceDE w:val="0"/>
        <w:autoSpaceDN w:val="0"/>
        <w:adjustRightInd w:val="0"/>
        <w:spacing w:after="0" w:line="240" w:lineRule="auto"/>
        <w:ind w:firstLine="284"/>
        <w:jc w:val="both"/>
        <w:outlineLvl w:val="1"/>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1.2 Metodologjia</w:t>
      </w:r>
    </w:p>
    <w:p w14:paraId="0773ABF0" w14:textId="16D14C88"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 xml:space="preserve">SBZHRP </w:t>
      </w:r>
      <w:r w:rsidR="00612507" w:rsidRPr="0058349C">
        <w:rPr>
          <w:rFonts w:ascii="Garamond" w:hAnsi="Garamond" w:cs="MS Mincho"/>
          <w:sz w:val="24"/>
          <w:szCs w:val="24"/>
          <w:lang w:val="sq-AL"/>
        </w:rPr>
        <w:t>2021–2027</w:t>
      </w:r>
      <w:r w:rsidRPr="0058349C">
        <w:rPr>
          <w:rFonts w:ascii="Garamond" w:hAnsi="Garamond" w:cs="MS Mincho"/>
          <w:sz w:val="24"/>
          <w:szCs w:val="24"/>
          <w:lang w:val="sq-AL"/>
        </w:rPr>
        <w:t xml:space="preserve"> nga njëra anë pasqyron arritjet e deritanishme në zhvillimin dhe modernizimin e Bujqësisë, Zonave Rurale dhe Peshkimit, konsolidimin e mëtejshëm të këtyre sektorëve dhe</w:t>
      </w:r>
      <w:r w:rsidR="00B91035">
        <w:rPr>
          <w:rFonts w:ascii="Garamond" w:hAnsi="Garamond" w:cs="MS Mincho"/>
          <w:sz w:val="24"/>
          <w:szCs w:val="24"/>
          <w:lang w:val="sq-AL"/>
        </w:rPr>
        <w:t>,</w:t>
      </w:r>
      <w:r w:rsidRPr="0058349C">
        <w:rPr>
          <w:rFonts w:ascii="Garamond" w:hAnsi="Garamond" w:cs="MS Mincho"/>
          <w:sz w:val="24"/>
          <w:szCs w:val="24"/>
          <w:lang w:val="sq-AL"/>
        </w:rPr>
        <w:t xml:space="preserve"> gjithashtu</w:t>
      </w:r>
      <w:r w:rsidR="00B91035">
        <w:rPr>
          <w:rFonts w:ascii="Garamond" w:hAnsi="Garamond" w:cs="MS Mincho"/>
          <w:sz w:val="24"/>
          <w:szCs w:val="24"/>
          <w:lang w:val="sq-AL"/>
        </w:rPr>
        <w:t>,</w:t>
      </w:r>
      <w:r w:rsidRPr="0058349C">
        <w:rPr>
          <w:rFonts w:ascii="Garamond" w:hAnsi="Garamond" w:cs="MS Mincho"/>
          <w:sz w:val="24"/>
          <w:szCs w:val="24"/>
          <w:lang w:val="sq-AL"/>
        </w:rPr>
        <w:t xml:space="preserve"> orientohet në zbatimin e prioriteteve</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 xml:space="preserve">të Qeverisë së Shqipërisë në bujqësi, zhvillimin rural dhe peshkim për periudhën </w:t>
      </w:r>
      <w:r w:rsidR="00612507" w:rsidRPr="0058349C">
        <w:rPr>
          <w:rFonts w:ascii="Garamond" w:hAnsi="Garamond" w:cs="MS Mincho"/>
          <w:sz w:val="24"/>
          <w:szCs w:val="24"/>
          <w:lang w:val="sq-AL"/>
        </w:rPr>
        <w:t>2021–2025</w:t>
      </w:r>
      <w:r w:rsidRPr="0058349C">
        <w:rPr>
          <w:rFonts w:ascii="Garamond" w:hAnsi="Garamond" w:cs="MS Mincho"/>
          <w:sz w:val="24"/>
          <w:szCs w:val="24"/>
          <w:lang w:val="sq-AL"/>
        </w:rPr>
        <w:t>.</w:t>
      </w:r>
    </w:p>
    <w:p w14:paraId="0773ABF1" w14:textId="0B779D9E"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Më tej, SBZHRP-ja i vendos arritjet e deritanishme në kuadrin e përpjekjeve të sektorit të bujqësisë, zonave rurale dhe peshkimit në Shqipëri në koherencë me procesin e përafrimit me BE, siç përcaktohet në Planin Kombëtar për Integrimin Evropian (PKIE 2021</w:t>
      </w:r>
      <w:r w:rsidR="00B91035">
        <w:rPr>
          <w:rFonts w:ascii="Garamond" w:hAnsi="Garamond" w:cs="MS Mincho"/>
          <w:sz w:val="24"/>
          <w:szCs w:val="24"/>
          <w:lang w:val="sq-AL"/>
        </w:rPr>
        <w:t>–</w:t>
      </w:r>
      <w:r w:rsidRPr="0058349C">
        <w:rPr>
          <w:rFonts w:ascii="Garamond" w:hAnsi="Garamond" w:cs="MS Mincho"/>
          <w:sz w:val="24"/>
          <w:szCs w:val="24"/>
          <w:lang w:val="sq-AL"/>
        </w:rPr>
        <w:t>2023). Ky dokument është i orientuar drejt objektivave të Politikës së Përbashkët Bujqësore të BE-së (PPB) dhe Politikës së Përbashkët të Peshkimit të BE-së (PPP).</w:t>
      </w:r>
    </w:p>
    <w:p w14:paraId="0773ABF2" w14:textId="1A1CA2D7"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 xml:space="preserve">Procesi i hartimit të kësaj strategjie u drejtua nga Ministria e Bujqësisë dhe Zhvillimit Rural nëpërmjet Grupit Ndërinstitucional të Punës, i cili u ngrit me </w:t>
      </w:r>
      <w:r w:rsidR="00B91035" w:rsidRPr="0058349C">
        <w:rPr>
          <w:rFonts w:ascii="Garamond" w:hAnsi="Garamond" w:cs="MS Mincho"/>
          <w:sz w:val="24"/>
          <w:szCs w:val="24"/>
          <w:lang w:val="sq-AL"/>
        </w:rPr>
        <w:t xml:space="preserve">urdhrin </w:t>
      </w:r>
      <w:r w:rsidRPr="0058349C">
        <w:rPr>
          <w:rFonts w:ascii="Garamond" w:hAnsi="Garamond" w:cs="MS Mincho"/>
          <w:sz w:val="24"/>
          <w:szCs w:val="24"/>
          <w:lang w:val="sq-AL"/>
        </w:rPr>
        <w:t>nr. 63, datë 5.2.2021, të ministrit të Bujqësisë dhe Zhvillimit Rural.</w:t>
      </w:r>
    </w:p>
    <w:p w14:paraId="0773ABF3" w14:textId="28B3680F" w:rsidR="00492C9C" w:rsidRPr="0058349C" w:rsidRDefault="00492C9C" w:rsidP="00B91035">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Mbështetja kryesore teknike për hartimin e strategjisë është ofruar nga Projekti</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 xml:space="preserve">GIZ-SRD </w:t>
      </w:r>
      <w:r w:rsidR="00664693" w:rsidRPr="0058349C">
        <w:rPr>
          <w:rFonts w:ascii="Garamond" w:hAnsi="Garamond" w:cs="MS Mincho"/>
          <w:sz w:val="24"/>
          <w:szCs w:val="24"/>
          <w:lang w:val="sq-AL"/>
        </w:rPr>
        <w:t>“</w:t>
      </w:r>
      <w:r w:rsidRPr="0058349C">
        <w:rPr>
          <w:rFonts w:ascii="Garamond" w:hAnsi="Garamond" w:cs="MS Mincho"/>
          <w:sz w:val="24"/>
          <w:szCs w:val="24"/>
          <w:lang w:val="sq-AL"/>
        </w:rPr>
        <w:t>Zhvillimi i Qëndrueshëm i Zonave Rurale në Shqipëri</w:t>
      </w:r>
      <w:r w:rsidR="00664693" w:rsidRPr="0058349C">
        <w:rPr>
          <w:rFonts w:ascii="Garamond" w:hAnsi="Garamond" w:cs="MS Mincho"/>
          <w:sz w:val="24"/>
          <w:szCs w:val="24"/>
          <w:lang w:val="sq-AL"/>
        </w:rPr>
        <w:t>”</w:t>
      </w:r>
      <w:r w:rsidRPr="0058349C">
        <w:rPr>
          <w:rFonts w:ascii="Garamond" w:hAnsi="Garamond" w:cs="MS Mincho"/>
          <w:sz w:val="24"/>
          <w:szCs w:val="24"/>
          <w:lang w:val="sq-AL"/>
        </w:rPr>
        <w:t xml:space="preserve">, financuar nga Qeveria Gjermane dhe zbatuar nga </w:t>
      </w:r>
      <w:r w:rsidRPr="00B91035">
        <w:rPr>
          <w:rFonts w:ascii="Garamond" w:hAnsi="Garamond" w:cs="MS Mincho"/>
          <w:i/>
          <w:iCs/>
          <w:sz w:val="24"/>
          <w:szCs w:val="24"/>
          <w:lang w:val="sq-AL"/>
        </w:rPr>
        <w:t>GFA Consulting Group,</w:t>
      </w:r>
      <w:r w:rsidRPr="0058349C">
        <w:rPr>
          <w:rFonts w:ascii="Garamond" w:hAnsi="Garamond" w:cs="MS Mincho"/>
          <w:sz w:val="24"/>
          <w:szCs w:val="24"/>
          <w:lang w:val="sq-AL"/>
        </w:rPr>
        <w:t xml:space="preserve"> Hamburg/Gjermani.</w:t>
      </w:r>
    </w:p>
    <w:p w14:paraId="0773ABF4" w14:textId="7F434A86" w:rsidR="00492C9C" w:rsidRPr="0058349C" w:rsidRDefault="00492C9C" w:rsidP="009F203D">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Krahas asistencës teknike të ekspertëve kombëtarë dhe ndërkombëtarë, nga takimet apo</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tryezat e punës me aktorë t</w:t>
      </w:r>
      <w:r w:rsidR="009F203D">
        <w:rPr>
          <w:rFonts w:ascii="Garamond" w:hAnsi="Garamond" w:cs="MS Mincho"/>
          <w:sz w:val="24"/>
          <w:szCs w:val="24"/>
          <w:lang w:val="sq-AL"/>
        </w:rPr>
        <w:t>ë</w:t>
      </w:r>
      <w:r w:rsidRPr="0058349C">
        <w:rPr>
          <w:rFonts w:ascii="Garamond" w:hAnsi="Garamond" w:cs="MS Mincho"/>
          <w:sz w:val="24"/>
          <w:szCs w:val="24"/>
          <w:lang w:val="sq-AL"/>
        </w:rPr>
        <w:t xml:space="preserve"> sektorit privat apo përfaqësues të organizatave, aktive në këta sektorë janë marrë në konsideratë qëndrime dhe propozime të vlefshme.</w:t>
      </w:r>
    </w:p>
    <w:p w14:paraId="0773ABF5" w14:textId="686C49B7"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Ndihmë të veçantë kanë dhënë edhe ekspertë të Universitetit Bujqësor të Tiranës</w:t>
      </w:r>
      <w:r w:rsidR="00B91035">
        <w:rPr>
          <w:rFonts w:ascii="Garamond" w:hAnsi="Garamond" w:cs="MS Mincho"/>
          <w:sz w:val="24"/>
          <w:szCs w:val="24"/>
          <w:lang w:val="sq-AL"/>
        </w:rPr>
        <w:t>,</w:t>
      </w:r>
      <w:r w:rsidRPr="0058349C">
        <w:rPr>
          <w:rFonts w:ascii="Garamond" w:hAnsi="Garamond" w:cs="MS Mincho"/>
          <w:sz w:val="24"/>
          <w:szCs w:val="24"/>
          <w:lang w:val="sq-AL"/>
        </w:rPr>
        <w:t xml:space="preserve"> por edhe Organizatave Ndërkombëtare</w:t>
      </w:r>
      <w:r w:rsidR="00222C8D">
        <w:rPr>
          <w:rFonts w:ascii="Garamond" w:hAnsi="Garamond" w:cs="MS Mincho"/>
          <w:sz w:val="24"/>
          <w:szCs w:val="24"/>
          <w:lang w:val="sq-AL"/>
        </w:rPr>
        <w:t>,</w:t>
      </w:r>
      <w:r w:rsidRPr="0058349C">
        <w:rPr>
          <w:rFonts w:ascii="Garamond" w:hAnsi="Garamond" w:cs="MS Mincho"/>
          <w:sz w:val="24"/>
          <w:szCs w:val="24"/>
          <w:lang w:val="sq-AL"/>
        </w:rPr>
        <w:t xml:space="preserve"> si UNDP, FAO etj.</w:t>
      </w:r>
    </w:p>
    <w:p w14:paraId="0773ABF6" w14:textId="34E6ACC6"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Hartimi i SBZHRP-së është bërë duke u bazuar në grumbullimin dhe analizimin e të dhënave dhe evidentimin e nevojave dhe potencialeve për zhvillim bazuar në analizat SWOT, të realizuara nëpërmjet nëntë studimeve të pavarura sektoriale</w:t>
      </w:r>
      <w:r w:rsidR="00A674B5">
        <w:rPr>
          <w:rFonts w:ascii="Garamond" w:hAnsi="Garamond" w:cs="MS Mincho"/>
          <w:sz w:val="24"/>
          <w:szCs w:val="24"/>
          <w:lang w:val="sq-AL"/>
        </w:rPr>
        <w:t>,</w:t>
      </w:r>
      <w:r w:rsidRPr="0058349C">
        <w:rPr>
          <w:rFonts w:ascii="Garamond" w:hAnsi="Garamond" w:cs="MS Mincho"/>
          <w:sz w:val="24"/>
          <w:szCs w:val="24"/>
          <w:lang w:val="sq-AL"/>
        </w:rPr>
        <w:t xml:space="preserve"> si edhe në analizën e dokumenteve dhe politikave të tjera përkatëse të hartuara nga Qeveria Shqiptare. Të dhënat e analizuara përfshijnë periudhën 2015</w:t>
      </w:r>
      <w:r w:rsidR="00DE3620">
        <w:rPr>
          <w:rFonts w:ascii="Garamond" w:hAnsi="Garamond" w:cs="MS Mincho"/>
          <w:sz w:val="24"/>
          <w:szCs w:val="24"/>
          <w:lang w:val="sq-AL"/>
        </w:rPr>
        <w:t>–</w:t>
      </w:r>
      <w:r w:rsidRPr="0058349C">
        <w:rPr>
          <w:rFonts w:ascii="Garamond" w:hAnsi="Garamond" w:cs="MS Mincho"/>
          <w:sz w:val="24"/>
          <w:szCs w:val="24"/>
          <w:lang w:val="sq-AL"/>
        </w:rPr>
        <w:t>2020 dhe reflektojnë edhe ndikimin e pandemisë së COVID-19 nga viti 2020 e në vazhdim.</w:t>
      </w:r>
    </w:p>
    <w:p w14:paraId="0773ABF7" w14:textId="4A3A1014" w:rsidR="00492C9C" w:rsidRPr="0058349C" w:rsidRDefault="00492C9C" w:rsidP="00492C9C">
      <w:pPr>
        <w:keepLines/>
        <w:autoSpaceDE w:val="0"/>
        <w:autoSpaceDN w:val="0"/>
        <w:adjustRightInd w:val="0"/>
        <w:spacing w:after="0" w:line="240" w:lineRule="auto"/>
        <w:ind w:firstLine="284"/>
        <w:jc w:val="both"/>
        <w:outlineLvl w:val="1"/>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1.3 Për</w:t>
      </w:r>
      <w:r w:rsidR="00DE3620">
        <w:rPr>
          <w:rFonts w:ascii="Garamond" w:eastAsiaTheme="minorHAnsi" w:hAnsi="Garamond" w:cs="Arial"/>
          <w:b/>
          <w:bCs/>
          <w:sz w:val="24"/>
          <w:szCs w:val="24"/>
          <w:lang w:val="sq-AL"/>
        </w:rPr>
        <w:t>mbushja e vizionit/</w:t>
      </w:r>
      <w:r w:rsidRPr="0058349C">
        <w:rPr>
          <w:rFonts w:ascii="Garamond" w:eastAsiaTheme="minorHAnsi" w:hAnsi="Garamond" w:cs="Arial"/>
          <w:b/>
          <w:bCs/>
          <w:sz w:val="24"/>
          <w:szCs w:val="24"/>
          <w:lang w:val="sq-AL"/>
        </w:rPr>
        <w:t>objektivave të Strategjisë për Zhvillim dhe Integrim (SKZHI) për Bujqësinë, Zhvillimin Rural dhe Peshkimin</w:t>
      </w:r>
    </w:p>
    <w:p w14:paraId="0773ABF8" w14:textId="4B4F46AC"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 xml:space="preserve">Kuadri strategjik që ofron ky dokument, SBZHRP </w:t>
      </w:r>
      <w:r w:rsidR="00612507" w:rsidRPr="0058349C">
        <w:rPr>
          <w:rFonts w:ascii="Garamond" w:hAnsi="Garamond" w:cs="MS Mincho"/>
          <w:sz w:val="24"/>
          <w:szCs w:val="24"/>
          <w:lang w:val="sq-AL"/>
        </w:rPr>
        <w:t>2021–2027</w:t>
      </w:r>
      <w:r w:rsidRPr="0058349C">
        <w:rPr>
          <w:rFonts w:ascii="Garamond" w:hAnsi="Garamond" w:cs="MS Mincho"/>
          <w:sz w:val="24"/>
          <w:szCs w:val="24"/>
          <w:lang w:val="sq-AL"/>
        </w:rPr>
        <w:t xml:space="preserve"> bazohet në orientimin e arritjet e konfirmuara pozitive të Strategjisë Kombëtare për Zhvillim dhe Integrim (SKZHI) 2015–2020, si dhe</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 xml:space="preserve">në vizionin e </w:t>
      </w:r>
      <w:r w:rsidR="00DE3620" w:rsidRPr="0058349C">
        <w:rPr>
          <w:rFonts w:ascii="Garamond" w:hAnsi="Garamond" w:cs="MS Mincho"/>
          <w:sz w:val="24"/>
          <w:szCs w:val="24"/>
          <w:lang w:val="sq-AL"/>
        </w:rPr>
        <w:t>draft</w:t>
      </w:r>
      <w:r w:rsidR="00DE3620">
        <w:rPr>
          <w:rFonts w:ascii="Garamond" w:hAnsi="Garamond" w:cs="MS Mincho"/>
          <w:sz w:val="24"/>
          <w:szCs w:val="24"/>
          <w:lang w:val="sq-AL"/>
        </w:rPr>
        <w:t>it</w:t>
      </w:r>
      <w:r w:rsidR="00DE3620" w:rsidRPr="0058349C">
        <w:rPr>
          <w:rFonts w:ascii="Garamond" w:hAnsi="Garamond" w:cs="MS Mincho"/>
          <w:sz w:val="24"/>
          <w:szCs w:val="24"/>
          <w:lang w:val="sq-AL"/>
        </w:rPr>
        <w:t xml:space="preserve"> </w:t>
      </w:r>
      <w:r w:rsidRPr="0058349C">
        <w:rPr>
          <w:rFonts w:ascii="Garamond" w:hAnsi="Garamond" w:cs="MS Mincho"/>
          <w:sz w:val="24"/>
          <w:szCs w:val="24"/>
          <w:lang w:val="sq-AL"/>
        </w:rPr>
        <w:t>SKZHI III 2020</w:t>
      </w:r>
      <w:r w:rsidR="00DE3620">
        <w:rPr>
          <w:rFonts w:ascii="Garamond" w:hAnsi="Garamond" w:cs="MS Mincho"/>
          <w:sz w:val="24"/>
          <w:szCs w:val="24"/>
          <w:lang w:val="sq-AL"/>
        </w:rPr>
        <w:t>–</w:t>
      </w:r>
      <w:r w:rsidRPr="0058349C">
        <w:rPr>
          <w:rFonts w:ascii="Garamond" w:hAnsi="Garamond" w:cs="MS Mincho"/>
          <w:sz w:val="24"/>
          <w:szCs w:val="24"/>
          <w:lang w:val="sq-AL"/>
        </w:rPr>
        <w:t>2025.</w:t>
      </w:r>
    </w:p>
    <w:p w14:paraId="0773ABF9" w14:textId="4ECD9A99"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 xml:space="preserve">Në </w:t>
      </w:r>
      <w:r w:rsidR="00DE3620">
        <w:rPr>
          <w:rFonts w:ascii="Garamond" w:hAnsi="Garamond" w:cs="MS Mincho"/>
          <w:sz w:val="24"/>
          <w:szCs w:val="24"/>
          <w:lang w:val="sq-AL"/>
        </w:rPr>
        <w:t>mënyrë specifike SKZHI II (2015–</w:t>
      </w:r>
      <w:r w:rsidRPr="0058349C">
        <w:rPr>
          <w:rFonts w:ascii="Garamond" w:hAnsi="Garamond" w:cs="MS Mincho"/>
          <w:sz w:val="24"/>
          <w:szCs w:val="24"/>
          <w:lang w:val="sq-AL"/>
        </w:rPr>
        <w:t>2020), parashikon në</w:t>
      </w:r>
      <w:r w:rsidR="00CF7694" w:rsidRPr="0058349C">
        <w:rPr>
          <w:rFonts w:ascii="Garamond" w:hAnsi="Garamond" w:cs="MS Mincho"/>
          <w:sz w:val="24"/>
          <w:szCs w:val="24"/>
          <w:lang w:val="sq-AL"/>
        </w:rPr>
        <w:t xml:space="preserve"> </w:t>
      </w:r>
      <w:r w:rsidR="00DE3620" w:rsidRPr="0058349C">
        <w:rPr>
          <w:rFonts w:ascii="Garamond" w:hAnsi="Garamond" w:cs="MS Mincho"/>
          <w:sz w:val="24"/>
          <w:szCs w:val="24"/>
          <w:lang w:val="sq-AL"/>
        </w:rPr>
        <w:t xml:space="preserve">shtyllën </w:t>
      </w:r>
      <w:r w:rsidRPr="0058349C">
        <w:rPr>
          <w:rFonts w:ascii="Garamond" w:hAnsi="Garamond" w:cs="MS Mincho"/>
          <w:sz w:val="24"/>
          <w:szCs w:val="24"/>
          <w:lang w:val="sq-AL"/>
        </w:rPr>
        <w:t xml:space="preserve">4: Sigurimin e rritjes ekonomike, nëpërmjet ndërlidhjes, përdorimit të qëndrueshëm të burimeve dhe zhvillimit të territorit, dhe ka </w:t>
      </w:r>
      <w:r w:rsidR="00DE3620" w:rsidRPr="0058349C">
        <w:rPr>
          <w:rFonts w:ascii="Garamond" w:hAnsi="Garamond" w:cs="MS Mincho"/>
          <w:sz w:val="24"/>
          <w:szCs w:val="24"/>
          <w:lang w:val="sq-AL"/>
        </w:rPr>
        <w:t>objektiva strategji</w:t>
      </w:r>
      <w:r w:rsidRPr="0058349C">
        <w:rPr>
          <w:rFonts w:ascii="Garamond" w:hAnsi="Garamond" w:cs="MS Mincho"/>
          <w:sz w:val="24"/>
          <w:szCs w:val="24"/>
          <w:lang w:val="sq-AL"/>
        </w:rPr>
        <w:t>kë, si më poshtë:</w:t>
      </w:r>
      <w:r w:rsidRPr="0058349C">
        <w:rPr>
          <w:rFonts w:ascii="Garamond" w:hAnsi="Garamond" w:cs="MS Mincho"/>
          <w:b/>
          <w:bCs/>
          <w:sz w:val="24"/>
          <w:szCs w:val="24"/>
          <w:lang w:val="sq-AL"/>
        </w:rPr>
        <w:t xml:space="preserve"> </w:t>
      </w:r>
    </w:p>
    <w:p w14:paraId="0773ABFA"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1. Nxitja e prodhimit të qëndrueshëm ushqimor dhe cilësisë përmes zhvillimit të një sektori agroushqimor konkurrues dhe novator që është në gjendje t’i bëjë ballë trysnive nga konkurrenca;</w:t>
      </w:r>
    </w:p>
    <w:p w14:paraId="0773ABFB"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2. Përmbushja e standardeve dhe kërkesave të tregut të BE-së, deri në vitin 2020 nëpërmjet:</w:t>
      </w:r>
    </w:p>
    <w:p w14:paraId="0773ABFC" w14:textId="4B43B908" w:rsidR="00492C9C" w:rsidRPr="0058349C" w:rsidRDefault="00492C9C" w:rsidP="00DC4E4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a</w:t>
      </w:r>
      <w:r w:rsidR="006C551A" w:rsidRPr="0058349C">
        <w:rPr>
          <w:rFonts w:ascii="Garamond" w:hAnsi="Garamond" w:cs="MS Mincho"/>
          <w:sz w:val="24"/>
          <w:szCs w:val="24"/>
          <w:lang w:val="sq-AL"/>
        </w:rPr>
        <w:t>)</w:t>
      </w:r>
      <w:r w:rsidRPr="0058349C">
        <w:rPr>
          <w:rFonts w:ascii="Garamond" w:hAnsi="Garamond" w:cs="MS Mincho"/>
          <w:sz w:val="24"/>
          <w:szCs w:val="24"/>
          <w:lang w:val="sq-AL"/>
        </w:rPr>
        <w:t xml:space="preserve"> rritjes vjetore të prodhimtarisë së krahut të punës në bujqësi, për njësi vjetore pune (</w:t>
      </w:r>
      <w:r w:rsidR="00DC4E4C" w:rsidRPr="0058349C">
        <w:rPr>
          <w:rFonts w:ascii="Garamond" w:hAnsi="Garamond" w:cs="MS Mincho"/>
          <w:sz w:val="24"/>
          <w:szCs w:val="24"/>
          <w:lang w:val="sq-AL"/>
        </w:rPr>
        <w:t>NJVP</w:t>
      </w:r>
      <w:r w:rsidRPr="0058349C">
        <w:rPr>
          <w:rFonts w:ascii="Garamond" w:hAnsi="Garamond" w:cs="MS Mincho"/>
          <w:sz w:val="24"/>
          <w:szCs w:val="24"/>
          <w:lang w:val="sq-AL"/>
        </w:rPr>
        <w:t>)/punonjësit me kohë të plotë;</w:t>
      </w:r>
    </w:p>
    <w:p w14:paraId="0773ABFD" w14:textId="1074C4B9" w:rsidR="00492C9C" w:rsidRPr="0058349C" w:rsidRDefault="00492C9C" w:rsidP="006C551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b</w:t>
      </w:r>
      <w:r w:rsidR="006C551A" w:rsidRPr="0058349C">
        <w:rPr>
          <w:rFonts w:ascii="Garamond" w:hAnsi="Garamond" w:cs="MS Mincho"/>
          <w:sz w:val="24"/>
          <w:szCs w:val="24"/>
          <w:lang w:val="sq-AL"/>
        </w:rPr>
        <w:t>)</w:t>
      </w:r>
      <w:r w:rsidRPr="0058349C">
        <w:rPr>
          <w:rFonts w:ascii="Garamond" w:hAnsi="Garamond" w:cs="MS Mincho"/>
          <w:sz w:val="24"/>
          <w:szCs w:val="24"/>
          <w:lang w:val="sq-AL"/>
        </w:rPr>
        <w:t xml:space="preserve"> garantimit që fermat dhe operatorët e regjistruar të agropërpunimit të jenë në përputhje të plotë me standardet e BE-së (aplikimi i standardeve për fermat dhe operatorët e regjistruar të agropërpunimit, sipas normave të BE-së);</w:t>
      </w:r>
    </w:p>
    <w:p w14:paraId="0773ABFE" w14:textId="4EC388E4" w:rsidR="00492C9C" w:rsidRPr="0058349C" w:rsidRDefault="00492C9C" w:rsidP="006C551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c</w:t>
      </w:r>
      <w:r w:rsidR="006C551A" w:rsidRPr="0058349C">
        <w:rPr>
          <w:rFonts w:ascii="Garamond" w:hAnsi="Garamond" w:cs="MS Mincho"/>
          <w:sz w:val="24"/>
          <w:szCs w:val="24"/>
          <w:lang w:val="sq-AL"/>
        </w:rPr>
        <w:t>)</w:t>
      </w:r>
      <w:r w:rsidRPr="0058349C">
        <w:rPr>
          <w:rFonts w:ascii="Garamond" w:hAnsi="Garamond" w:cs="MS Mincho"/>
          <w:sz w:val="24"/>
          <w:szCs w:val="24"/>
          <w:lang w:val="sq-AL"/>
        </w:rPr>
        <w:t xml:space="preserve"> rritjes së madhësisë mesatare të fermave dhe rritjes së madhësisë mesatare të fermave tregtare;</w:t>
      </w:r>
    </w:p>
    <w:p w14:paraId="0773ABFF" w14:textId="24163BC7" w:rsidR="00492C9C" w:rsidRPr="0058349C" w:rsidRDefault="00492C9C" w:rsidP="006C551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ç</w:t>
      </w:r>
      <w:r w:rsidR="006C551A" w:rsidRPr="0058349C">
        <w:rPr>
          <w:rFonts w:ascii="Garamond" w:hAnsi="Garamond" w:cs="MS Mincho"/>
          <w:sz w:val="24"/>
          <w:szCs w:val="24"/>
          <w:lang w:val="sq-AL"/>
        </w:rPr>
        <w:t>)</w:t>
      </w:r>
      <w:r w:rsidRPr="0058349C">
        <w:rPr>
          <w:rFonts w:ascii="Garamond" w:hAnsi="Garamond" w:cs="MS Mincho"/>
          <w:sz w:val="24"/>
          <w:szCs w:val="24"/>
          <w:lang w:val="sq-AL"/>
        </w:rPr>
        <w:t xml:space="preserve"> përmirësimit të organizimit të zinxhirit të vlerave me anë të krijimit të sh</w:t>
      </w:r>
      <w:r w:rsidR="00DC4E4C">
        <w:rPr>
          <w:rFonts w:ascii="Garamond" w:hAnsi="Garamond" w:cs="MS Mincho"/>
          <w:sz w:val="24"/>
          <w:szCs w:val="24"/>
          <w:lang w:val="sq-AL"/>
        </w:rPr>
        <w:t>oqatave dhe grupeve të prodhues</w:t>
      </w:r>
      <w:r w:rsidRPr="0058349C">
        <w:rPr>
          <w:rFonts w:ascii="Garamond" w:hAnsi="Garamond" w:cs="MS Mincho"/>
          <w:sz w:val="24"/>
          <w:szCs w:val="24"/>
          <w:lang w:val="sq-AL"/>
        </w:rPr>
        <w:t>ve dhe llojeve të ngjashme bashkëpunimi midis fermerëve;</w:t>
      </w:r>
    </w:p>
    <w:p w14:paraId="0773AC00" w14:textId="2950E92C" w:rsidR="00492C9C" w:rsidRPr="0058349C" w:rsidRDefault="00492C9C" w:rsidP="006C551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lastRenderedPageBreak/>
        <w:t>d</w:t>
      </w:r>
      <w:r w:rsidR="006C551A" w:rsidRPr="0058349C">
        <w:rPr>
          <w:rFonts w:ascii="Garamond" w:hAnsi="Garamond" w:cs="MS Mincho"/>
          <w:sz w:val="24"/>
          <w:szCs w:val="24"/>
          <w:lang w:val="sq-AL"/>
        </w:rPr>
        <w:t>)</w:t>
      </w:r>
      <w:r w:rsidRPr="0058349C">
        <w:rPr>
          <w:rFonts w:ascii="Garamond" w:hAnsi="Garamond" w:cs="MS Mincho"/>
          <w:sz w:val="24"/>
          <w:szCs w:val="24"/>
          <w:lang w:val="sq-AL"/>
        </w:rPr>
        <w:t xml:space="preserve"> përmirësimit të raportit eksport-import;</w:t>
      </w:r>
    </w:p>
    <w:p w14:paraId="0773AC01" w14:textId="4138312A" w:rsidR="00492C9C" w:rsidRPr="0058349C" w:rsidRDefault="00492C9C" w:rsidP="006C551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dh</w:t>
      </w:r>
      <w:r w:rsidR="006C551A" w:rsidRPr="0058349C">
        <w:rPr>
          <w:rFonts w:ascii="Garamond" w:hAnsi="Garamond" w:cs="MS Mincho"/>
          <w:sz w:val="24"/>
          <w:szCs w:val="24"/>
          <w:lang w:val="sq-AL"/>
        </w:rPr>
        <w:t>)</w:t>
      </w:r>
      <w:r w:rsidRPr="0058349C">
        <w:rPr>
          <w:rFonts w:ascii="Garamond" w:hAnsi="Garamond" w:cs="MS Mincho"/>
          <w:sz w:val="24"/>
          <w:szCs w:val="24"/>
          <w:lang w:val="sq-AL"/>
        </w:rPr>
        <w:t xml:space="preserve"> sigurimit të menaxhimit të përgjithshëm të qëndrueshëm të burimeve natyrore dhe bujqësore përmes zhvillimit të GVV-ve kombëtare</w:t>
      </w:r>
      <w:r w:rsidR="00DC4E4C">
        <w:rPr>
          <w:rFonts w:ascii="Garamond" w:hAnsi="Garamond" w:cs="MS Mincho"/>
          <w:sz w:val="24"/>
          <w:szCs w:val="24"/>
          <w:lang w:val="sq-AL"/>
        </w:rPr>
        <w:t>,</w:t>
      </w:r>
      <w:r w:rsidRPr="0058349C">
        <w:rPr>
          <w:rFonts w:ascii="Garamond" w:hAnsi="Garamond" w:cs="MS Mincho"/>
          <w:sz w:val="24"/>
          <w:szCs w:val="24"/>
          <w:lang w:val="sq-AL"/>
        </w:rPr>
        <w:t xml:space="preserve"> që marrin në konsideratë specifikat e peizazhit, tokës b</w:t>
      </w:r>
      <w:r w:rsidR="00DC4E4C">
        <w:rPr>
          <w:rFonts w:ascii="Garamond" w:hAnsi="Garamond" w:cs="MS Mincho"/>
          <w:sz w:val="24"/>
          <w:szCs w:val="24"/>
          <w:lang w:val="sq-AL"/>
        </w:rPr>
        <w:t>ujqësore dhe klimës në Shqipëri.</w:t>
      </w:r>
    </w:p>
    <w:p w14:paraId="0773AC02" w14:textId="7EA31B1F"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3. Sigurimi i menaxhimit të qëndrueshëm të burimeve natyrore dhe ndërmarrja e veprimeve klimatike</w:t>
      </w:r>
      <w:r w:rsidR="008A3B88">
        <w:rPr>
          <w:rFonts w:ascii="Garamond" w:hAnsi="Garamond" w:cs="MS Mincho"/>
          <w:sz w:val="24"/>
          <w:szCs w:val="24"/>
          <w:lang w:val="sq-AL"/>
        </w:rPr>
        <w:t>,</w:t>
      </w:r>
      <w:r w:rsidRPr="0058349C">
        <w:rPr>
          <w:rFonts w:ascii="Garamond" w:hAnsi="Garamond" w:cs="MS Mincho"/>
          <w:sz w:val="24"/>
          <w:szCs w:val="24"/>
          <w:lang w:val="sq-AL"/>
        </w:rPr>
        <w:t xml:space="preserve"> nëpërmjet:</w:t>
      </w:r>
    </w:p>
    <w:p w14:paraId="0773AC03" w14:textId="52546B06" w:rsidR="00492C9C" w:rsidRPr="0058349C" w:rsidRDefault="00492C9C" w:rsidP="006C551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a</w:t>
      </w:r>
      <w:r w:rsidR="006C551A" w:rsidRPr="0058349C">
        <w:rPr>
          <w:rFonts w:ascii="Garamond" w:hAnsi="Garamond" w:cs="MS Mincho"/>
          <w:sz w:val="24"/>
          <w:szCs w:val="24"/>
          <w:lang w:val="sq-AL"/>
        </w:rPr>
        <w:t>)</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një menaxhimi më të mirë të pyjeve dhe ujërave dhe aplikimit të metodave të prodhimit bujqësor</w:t>
      </w:r>
      <w:r w:rsidR="008A3B88">
        <w:rPr>
          <w:rFonts w:ascii="Garamond" w:hAnsi="Garamond" w:cs="MS Mincho"/>
          <w:sz w:val="24"/>
          <w:szCs w:val="24"/>
          <w:lang w:val="sq-AL"/>
        </w:rPr>
        <w:t>,</w:t>
      </w:r>
      <w:r w:rsidRPr="0058349C">
        <w:rPr>
          <w:rFonts w:ascii="Garamond" w:hAnsi="Garamond" w:cs="MS Mincho"/>
          <w:sz w:val="24"/>
          <w:szCs w:val="24"/>
          <w:lang w:val="sq-AL"/>
        </w:rPr>
        <w:t xml:space="preserve"> duke mbrojtur mjedisin dhe zbutjen e efekteve të ndryshimeve klimatike;</w:t>
      </w:r>
    </w:p>
    <w:p w14:paraId="0773AC04" w14:textId="775C13C9" w:rsidR="00492C9C" w:rsidRPr="0058349C" w:rsidRDefault="00492C9C" w:rsidP="006C551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b</w:t>
      </w:r>
      <w:r w:rsidR="006C551A" w:rsidRPr="0058349C">
        <w:rPr>
          <w:rFonts w:ascii="Garamond" w:hAnsi="Garamond" w:cs="MS Mincho"/>
          <w:sz w:val="24"/>
          <w:szCs w:val="24"/>
          <w:lang w:val="sq-AL"/>
        </w:rPr>
        <w:t>)</w:t>
      </w:r>
      <w:r w:rsidRPr="0058349C">
        <w:rPr>
          <w:rFonts w:ascii="Garamond" w:hAnsi="Garamond" w:cs="MS Mincho"/>
          <w:sz w:val="24"/>
          <w:szCs w:val="24"/>
          <w:lang w:val="sq-AL"/>
        </w:rPr>
        <w:t xml:space="preserve"> rritjes së numrit të fermave organike të certifikuara; dhe</w:t>
      </w:r>
    </w:p>
    <w:p w14:paraId="0773AC05" w14:textId="0B9A9B47" w:rsidR="00492C9C" w:rsidRPr="0058349C" w:rsidRDefault="00492C9C" w:rsidP="008A3B88">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c</w:t>
      </w:r>
      <w:r w:rsidR="006C551A" w:rsidRPr="0058349C">
        <w:rPr>
          <w:rFonts w:ascii="Garamond" w:hAnsi="Garamond" w:cs="MS Mincho"/>
          <w:sz w:val="24"/>
          <w:szCs w:val="24"/>
          <w:lang w:val="sq-AL"/>
        </w:rPr>
        <w:t>)</w:t>
      </w:r>
      <w:r w:rsidRPr="0058349C">
        <w:rPr>
          <w:rFonts w:ascii="Garamond" w:hAnsi="Garamond" w:cs="MS Mincho"/>
          <w:sz w:val="24"/>
          <w:szCs w:val="24"/>
          <w:lang w:val="sq-AL"/>
        </w:rPr>
        <w:t xml:space="preserve"> rritjes së numrit të fermave që kanë të ardhura jobujqësore.</w:t>
      </w:r>
    </w:p>
    <w:p w14:paraId="0773AC06" w14:textId="62F7187B"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4.</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Balancimi i zhvillimit territorial në zonat rurale përmes promovimit të diverisifikimit të</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veprimtarive ekonomike, krijimit të vendeve të punës, përfshirjes sociale dhe përmirësimit të kushteve të jetesës, nëpërmjet:</w:t>
      </w:r>
    </w:p>
    <w:p w14:paraId="0773AC07" w14:textId="142D7C4B" w:rsidR="00492C9C" w:rsidRPr="0058349C" w:rsidRDefault="00492C9C" w:rsidP="006C551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a</w:t>
      </w:r>
      <w:r w:rsidR="006C551A" w:rsidRPr="0058349C">
        <w:rPr>
          <w:rFonts w:ascii="Garamond" w:hAnsi="Garamond" w:cs="MS Mincho"/>
          <w:sz w:val="24"/>
          <w:szCs w:val="24"/>
          <w:lang w:val="sq-AL"/>
        </w:rPr>
        <w:t>)</w:t>
      </w:r>
      <w:r w:rsidRPr="0058349C">
        <w:rPr>
          <w:rFonts w:ascii="Garamond" w:hAnsi="Garamond" w:cs="MS Mincho"/>
          <w:sz w:val="24"/>
          <w:szCs w:val="24"/>
          <w:lang w:val="sq-AL"/>
        </w:rPr>
        <w:t xml:space="preserve"> krijimit të vendeve të reja të punës në aktivitetet e agropërpunimit;</w:t>
      </w:r>
    </w:p>
    <w:p w14:paraId="0773AC08" w14:textId="764EDF35" w:rsidR="00492C9C" w:rsidRPr="0058349C" w:rsidRDefault="00492C9C" w:rsidP="003E7558">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b</w:t>
      </w:r>
      <w:r w:rsidR="006C551A" w:rsidRPr="0058349C">
        <w:rPr>
          <w:rFonts w:ascii="Garamond" w:hAnsi="Garamond" w:cs="MS Mincho"/>
          <w:sz w:val="24"/>
          <w:szCs w:val="24"/>
          <w:lang w:val="sq-AL"/>
        </w:rPr>
        <w:t>)</w:t>
      </w:r>
      <w:r w:rsidRPr="0058349C">
        <w:rPr>
          <w:rFonts w:ascii="Garamond" w:hAnsi="Garamond" w:cs="MS Mincho"/>
          <w:sz w:val="24"/>
          <w:szCs w:val="24"/>
          <w:lang w:val="sq-AL"/>
        </w:rPr>
        <w:t xml:space="preserve"> ngritjes së mikrondërmarrjeve të reja</w:t>
      </w:r>
      <w:r w:rsidR="00103A3A">
        <w:rPr>
          <w:rFonts w:ascii="Garamond" w:hAnsi="Garamond" w:cs="MS Mincho"/>
          <w:sz w:val="24"/>
          <w:szCs w:val="24"/>
          <w:lang w:val="sq-AL"/>
        </w:rPr>
        <w:t>,</w:t>
      </w:r>
      <w:r w:rsidRPr="0058349C">
        <w:rPr>
          <w:rFonts w:ascii="Garamond" w:hAnsi="Garamond" w:cs="MS Mincho"/>
          <w:sz w:val="24"/>
          <w:szCs w:val="24"/>
          <w:lang w:val="sq-AL"/>
        </w:rPr>
        <w:t xml:space="preserve"> bashkë me krijimin e vendeve të reja të punës në zonat rurale përmes diversifikimit të aktiviteteve që gjenerojnë të ardhura;</w:t>
      </w:r>
    </w:p>
    <w:p w14:paraId="0773AC09" w14:textId="414A3A15" w:rsidR="00492C9C" w:rsidRPr="0058349C" w:rsidRDefault="00492C9C" w:rsidP="006C551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c</w:t>
      </w:r>
      <w:r w:rsidR="006C551A" w:rsidRPr="0058349C">
        <w:rPr>
          <w:rFonts w:ascii="Garamond" w:hAnsi="Garamond" w:cs="MS Mincho"/>
          <w:sz w:val="24"/>
          <w:szCs w:val="24"/>
          <w:lang w:val="sq-AL"/>
        </w:rPr>
        <w:t>)</w:t>
      </w:r>
      <w:r w:rsidRPr="0058349C">
        <w:rPr>
          <w:rFonts w:ascii="Garamond" w:hAnsi="Garamond" w:cs="MS Mincho"/>
          <w:sz w:val="24"/>
          <w:szCs w:val="24"/>
          <w:lang w:val="sq-AL"/>
        </w:rPr>
        <w:t xml:space="preserve"> krijimit të vendeve të reja të punës në aktivitete jobujqësore dhe shërbime të tjera; </w:t>
      </w:r>
    </w:p>
    <w:p w14:paraId="0773AC0A" w14:textId="124484C9" w:rsidR="00492C9C" w:rsidRPr="0058349C" w:rsidRDefault="00492C9C" w:rsidP="006C551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ç</w:t>
      </w:r>
      <w:r w:rsidR="006C551A" w:rsidRPr="0058349C">
        <w:rPr>
          <w:rFonts w:ascii="Garamond" w:hAnsi="Garamond" w:cs="MS Mincho"/>
          <w:sz w:val="24"/>
          <w:szCs w:val="24"/>
          <w:lang w:val="sq-AL"/>
        </w:rPr>
        <w:t>)</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rritjes së numrit të fermerëve me të ardhura jo nga fermat;</w:t>
      </w:r>
    </w:p>
    <w:p w14:paraId="0773AC0B" w14:textId="21BDA26A" w:rsidR="00492C9C" w:rsidRPr="0058349C" w:rsidRDefault="00492C9C" w:rsidP="006C551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d</w:t>
      </w:r>
      <w:r w:rsidR="006C551A" w:rsidRPr="0058349C">
        <w:rPr>
          <w:rFonts w:ascii="Garamond" w:hAnsi="Garamond" w:cs="MS Mincho"/>
          <w:sz w:val="24"/>
          <w:szCs w:val="24"/>
          <w:lang w:val="sq-AL"/>
        </w:rPr>
        <w:t>)</w:t>
      </w:r>
      <w:r w:rsidRPr="0058349C">
        <w:rPr>
          <w:rFonts w:ascii="Garamond" w:hAnsi="Garamond" w:cs="MS Mincho"/>
          <w:sz w:val="24"/>
          <w:szCs w:val="24"/>
          <w:lang w:val="sq-AL"/>
        </w:rPr>
        <w:t xml:space="preserve"> promovimit të vetëpunësimit dhe aktiviteteve sipërmarrëse tek emigrantët e rikthyer në zonat rurale dhe formalizimi i aktiviteteve të tyre.</w:t>
      </w:r>
    </w:p>
    <w:p w14:paraId="0773AC0C"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5. Vijimësia e zhvillimit të sektorit dhe sigurimi i menaxhimit të qëndrueshëm të burimeve peshkore të ujërave detare dhe të brendshme nëpërmjet:</w:t>
      </w:r>
    </w:p>
    <w:p w14:paraId="0773AC0D" w14:textId="73A9A3F7" w:rsidR="00492C9C" w:rsidRPr="0058349C" w:rsidRDefault="00492C9C" w:rsidP="006C551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a</w:t>
      </w:r>
      <w:r w:rsidR="006C551A" w:rsidRPr="0058349C">
        <w:rPr>
          <w:rFonts w:ascii="Garamond" w:hAnsi="Garamond" w:cs="MS Mincho"/>
          <w:sz w:val="24"/>
          <w:szCs w:val="24"/>
          <w:lang w:val="sq-AL"/>
        </w:rPr>
        <w:t>)</w:t>
      </w:r>
      <w:r w:rsidRPr="0058349C">
        <w:rPr>
          <w:rFonts w:ascii="Garamond" w:hAnsi="Garamond" w:cs="MS Mincho"/>
          <w:sz w:val="24"/>
          <w:szCs w:val="24"/>
          <w:lang w:val="sq-AL"/>
        </w:rPr>
        <w:t xml:space="preserve"> përpilimit të një plani shumëvjeçar për menaxhimin e qëndrueshëm të burimeve të gjalla të ujërave detare dhe atyre të brendshme;</w:t>
      </w:r>
    </w:p>
    <w:p w14:paraId="0773AC0E" w14:textId="4147C1C3" w:rsidR="00492C9C" w:rsidRPr="0058349C" w:rsidRDefault="00492C9C" w:rsidP="006C551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b</w:t>
      </w:r>
      <w:r w:rsidR="006C551A" w:rsidRPr="0058349C">
        <w:rPr>
          <w:rFonts w:ascii="Garamond" w:hAnsi="Garamond" w:cs="MS Mincho"/>
          <w:sz w:val="24"/>
          <w:szCs w:val="24"/>
          <w:lang w:val="sq-AL"/>
        </w:rPr>
        <w:t>)</w:t>
      </w:r>
      <w:r w:rsidRPr="0058349C">
        <w:rPr>
          <w:rFonts w:ascii="Garamond" w:hAnsi="Garamond" w:cs="MS Mincho"/>
          <w:sz w:val="24"/>
          <w:szCs w:val="24"/>
          <w:lang w:val="sq-AL"/>
        </w:rPr>
        <w:t xml:space="preserve"> krijimit të një sistemi efikas për mbledhjen e të dhënave mbi flotën e peshkimit, sasinë e peshkimit, statusin biologjik të popullatave në ujërat dhe akuakulturën shqiptare;</w:t>
      </w:r>
    </w:p>
    <w:p w14:paraId="0773AC0F" w14:textId="030A5E38" w:rsidR="00492C9C" w:rsidRPr="0058349C" w:rsidRDefault="00492C9C" w:rsidP="006C551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c</w:t>
      </w:r>
      <w:r w:rsidR="006C551A" w:rsidRPr="0058349C">
        <w:rPr>
          <w:rFonts w:ascii="Garamond" w:hAnsi="Garamond" w:cs="MS Mincho"/>
          <w:sz w:val="24"/>
          <w:szCs w:val="24"/>
          <w:lang w:val="sq-AL"/>
        </w:rPr>
        <w:t>)</w:t>
      </w:r>
      <w:r w:rsidRPr="0058349C">
        <w:rPr>
          <w:rFonts w:ascii="Garamond" w:hAnsi="Garamond" w:cs="MS Mincho"/>
          <w:sz w:val="24"/>
          <w:szCs w:val="24"/>
          <w:lang w:val="sq-AL"/>
        </w:rPr>
        <w:t xml:space="preserve"> ndërtimit të një porti peshkimi në Durrës, bashkë me tregjet e peshkut për tregtinë me shumicë;</w:t>
      </w:r>
    </w:p>
    <w:p w14:paraId="0773AC10" w14:textId="4AD5D895" w:rsidR="00492C9C" w:rsidRPr="0058349C" w:rsidRDefault="00492C9C" w:rsidP="006C551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ç</w:t>
      </w:r>
      <w:r w:rsidR="006C551A" w:rsidRPr="0058349C">
        <w:rPr>
          <w:rFonts w:ascii="Garamond" w:hAnsi="Garamond" w:cs="MS Mincho"/>
          <w:sz w:val="24"/>
          <w:szCs w:val="24"/>
          <w:lang w:val="sq-AL"/>
        </w:rPr>
        <w:t>)</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instalimit të infrastrukturës së nevojshme për riparimin e mjeteve të peshkimit në të</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katër</w:t>
      </w:r>
      <w:r w:rsidR="00103A3A">
        <w:rPr>
          <w:rFonts w:ascii="Garamond" w:hAnsi="Garamond" w:cs="MS Mincho"/>
          <w:sz w:val="24"/>
          <w:szCs w:val="24"/>
          <w:lang w:val="sq-AL"/>
        </w:rPr>
        <w:t>ta</w:t>
      </w:r>
      <w:r w:rsidRPr="0058349C">
        <w:rPr>
          <w:rFonts w:ascii="Garamond" w:hAnsi="Garamond" w:cs="MS Mincho"/>
          <w:sz w:val="24"/>
          <w:szCs w:val="24"/>
          <w:lang w:val="sq-AL"/>
        </w:rPr>
        <w:t xml:space="preserve"> portet (Shëngjin, Durrës dhe Vlorë, Sarandë);</w:t>
      </w:r>
    </w:p>
    <w:p w14:paraId="0773AC11" w14:textId="79EECBB0" w:rsidR="00492C9C" w:rsidRPr="0058349C" w:rsidRDefault="00492C9C" w:rsidP="006C551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d</w:t>
      </w:r>
      <w:r w:rsidR="006C551A" w:rsidRPr="0058349C">
        <w:rPr>
          <w:rFonts w:ascii="Garamond" w:hAnsi="Garamond" w:cs="MS Mincho"/>
          <w:sz w:val="24"/>
          <w:szCs w:val="24"/>
          <w:lang w:val="sq-AL"/>
        </w:rPr>
        <w:t>)</w:t>
      </w:r>
      <w:r w:rsidRPr="0058349C">
        <w:rPr>
          <w:rFonts w:ascii="Garamond" w:hAnsi="Garamond" w:cs="MS Mincho"/>
          <w:sz w:val="24"/>
          <w:szCs w:val="24"/>
          <w:lang w:val="sq-AL"/>
        </w:rPr>
        <w:t xml:space="preserve"> forcimit të kapaciteteve njerëzore dhe atyre të infrastrukturës për kontrollin e veprimtarive të peshkimit dhe akuakulturës (si p.sh.: pajisjet, instrumente të logjistikës për komunikimin e të dhënave në rolin e inspektoratit brenda strukturës të ngritur për monitorimin dhe mbikëqyrjen e peshkimit dhe akuakulturës);</w:t>
      </w:r>
    </w:p>
    <w:p w14:paraId="0773AC12" w14:textId="22C27491" w:rsidR="00492C9C" w:rsidRPr="0058349C" w:rsidRDefault="00492C9C" w:rsidP="006C551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dh</w:t>
      </w:r>
      <w:r w:rsidR="006C551A" w:rsidRPr="0058349C">
        <w:rPr>
          <w:rFonts w:ascii="Garamond" w:hAnsi="Garamond" w:cs="MS Mincho"/>
          <w:sz w:val="24"/>
          <w:szCs w:val="24"/>
          <w:lang w:val="sq-AL"/>
        </w:rPr>
        <w:t>)</w:t>
      </w:r>
      <w:r w:rsidRPr="0058349C">
        <w:rPr>
          <w:rFonts w:ascii="Garamond" w:hAnsi="Garamond" w:cs="MS Mincho"/>
          <w:sz w:val="24"/>
          <w:szCs w:val="24"/>
          <w:lang w:val="sq-AL"/>
        </w:rPr>
        <w:t xml:space="preserve"> bashkëpunimit më të madh me organet rajonale dhe ndërkombëtare të peshkimit dhe akuakulturës (pjesëmarrës në aktivitete dhe grupet e ngritura të punës); dhe</w:t>
      </w:r>
    </w:p>
    <w:p w14:paraId="0773AC13" w14:textId="4AAF38DF" w:rsidR="00492C9C" w:rsidRPr="0058349C" w:rsidRDefault="00492C9C" w:rsidP="006C551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e</w:t>
      </w:r>
      <w:r w:rsidR="006C551A" w:rsidRPr="0058349C">
        <w:rPr>
          <w:rFonts w:ascii="Garamond" w:hAnsi="Garamond" w:cs="MS Mincho"/>
          <w:sz w:val="24"/>
          <w:szCs w:val="24"/>
          <w:lang w:val="sq-AL"/>
        </w:rPr>
        <w:t>)</w:t>
      </w:r>
      <w:r w:rsidRPr="0058349C">
        <w:rPr>
          <w:rFonts w:ascii="Garamond" w:hAnsi="Garamond" w:cs="MS Mincho"/>
          <w:sz w:val="24"/>
          <w:szCs w:val="24"/>
          <w:lang w:val="sq-AL"/>
        </w:rPr>
        <w:t xml:space="preserve"> menaxhimit dhe mbrojtjes së burimeve të peshkimit në përputhje me Politikën e Përbashkët për Peshkimin të BE-së.</w:t>
      </w:r>
    </w:p>
    <w:p w14:paraId="0773AC14" w14:textId="5ADF2971"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6.</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 xml:space="preserve">Përmirësimi i statistikave të bujqësisë, pyjeve dhe peshkimit dhe përafrimit të tyre me FADN; </w:t>
      </w:r>
    </w:p>
    <w:p w14:paraId="0773AC15" w14:textId="3E45C3FE"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7.</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Menaxhim efektiv i fondeve publike për bujqësinë dhe zhvillimin rural, përmes draftimit të ligjeve dhe rregulloreve që lidhen me menaxhimin e fondeve, monitorimin periodik dhe publikimin e raporteve të fondeve të përdorura dhe listave të përfituesve.</w:t>
      </w:r>
    </w:p>
    <w:p w14:paraId="0773AC16" w14:textId="2E4A2B35" w:rsidR="00492C9C" w:rsidRPr="0058349C" w:rsidRDefault="00492C9C" w:rsidP="00492C9C">
      <w:pPr>
        <w:keepLines/>
        <w:autoSpaceDE w:val="0"/>
        <w:autoSpaceDN w:val="0"/>
        <w:adjustRightInd w:val="0"/>
        <w:spacing w:after="0" w:line="240" w:lineRule="auto"/>
        <w:ind w:firstLine="284"/>
        <w:jc w:val="both"/>
        <w:outlineLvl w:val="1"/>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 xml:space="preserve">1.4 Objektivat e Qeverisë Shqiptare në programin e periudhës </w:t>
      </w:r>
      <w:r w:rsidR="00612507" w:rsidRPr="0058349C">
        <w:rPr>
          <w:rFonts w:ascii="Garamond" w:eastAsiaTheme="minorHAnsi" w:hAnsi="Garamond" w:cs="Arial"/>
          <w:b/>
          <w:bCs/>
          <w:sz w:val="24"/>
          <w:szCs w:val="24"/>
          <w:lang w:val="sq-AL"/>
        </w:rPr>
        <w:t>2021–2025</w:t>
      </w:r>
      <w:r w:rsidRPr="0058349C">
        <w:rPr>
          <w:rFonts w:ascii="Garamond" w:eastAsiaTheme="minorHAnsi" w:hAnsi="Garamond" w:cs="Arial"/>
          <w:b/>
          <w:bCs/>
          <w:sz w:val="24"/>
          <w:szCs w:val="24"/>
          <w:lang w:val="sq-AL"/>
        </w:rPr>
        <w:t xml:space="preserve"> dhe kontributi i SBZHRP </w:t>
      </w:r>
      <w:r w:rsidR="00612507" w:rsidRPr="0058349C">
        <w:rPr>
          <w:rFonts w:ascii="Garamond" w:eastAsiaTheme="minorHAnsi" w:hAnsi="Garamond" w:cs="Arial"/>
          <w:b/>
          <w:bCs/>
          <w:sz w:val="24"/>
          <w:szCs w:val="24"/>
          <w:lang w:val="sq-AL"/>
        </w:rPr>
        <w:t>2021–2027</w:t>
      </w:r>
      <w:r w:rsidRPr="0058349C">
        <w:rPr>
          <w:rFonts w:ascii="Garamond" w:eastAsiaTheme="minorHAnsi" w:hAnsi="Garamond" w:cs="Arial"/>
          <w:b/>
          <w:bCs/>
          <w:sz w:val="24"/>
          <w:szCs w:val="24"/>
          <w:lang w:val="sq-AL"/>
        </w:rPr>
        <w:t xml:space="preserve"> në përmbushjen e tyre</w:t>
      </w:r>
    </w:p>
    <w:p w14:paraId="0773AC17" w14:textId="0176E6F2" w:rsidR="00492C9C" w:rsidRPr="0058349C" w:rsidRDefault="00DB1EDF" w:rsidP="00C332AD">
      <w:pPr>
        <w:autoSpaceDE w:val="0"/>
        <w:autoSpaceDN w:val="0"/>
        <w:adjustRightInd w:val="0"/>
        <w:spacing w:after="0" w:line="240" w:lineRule="auto"/>
        <w:ind w:firstLine="284"/>
        <w:jc w:val="both"/>
        <w:rPr>
          <w:rFonts w:ascii="Garamond" w:hAnsi="Garamond" w:cs="MS Mincho"/>
          <w:sz w:val="24"/>
          <w:szCs w:val="24"/>
          <w:lang w:val="sq-AL"/>
        </w:rPr>
      </w:pPr>
      <w:r>
        <w:rPr>
          <w:rFonts w:ascii="Garamond" w:hAnsi="Garamond" w:cs="MS Mincho"/>
          <w:sz w:val="24"/>
          <w:szCs w:val="24"/>
          <w:lang w:val="sq-AL"/>
        </w:rPr>
        <w:t>Kuadri strategjik i SBZHRP</w:t>
      </w:r>
      <w:r w:rsidR="00492C9C" w:rsidRPr="0058349C">
        <w:rPr>
          <w:rFonts w:ascii="Garamond" w:hAnsi="Garamond" w:cs="MS Mincho"/>
          <w:sz w:val="24"/>
          <w:szCs w:val="24"/>
          <w:lang w:val="sq-AL"/>
        </w:rPr>
        <w:t xml:space="preserve"> </w:t>
      </w:r>
      <w:r w:rsidR="00612507" w:rsidRPr="0058349C">
        <w:rPr>
          <w:rFonts w:ascii="Garamond" w:hAnsi="Garamond" w:cs="MS Mincho"/>
          <w:sz w:val="24"/>
          <w:szCs w:val="24"/>
          <w:lang w:val="sq-AL"/>
        </w:rPr>
        <w:t>2021–2027</w:t>
      </w:r>
      <w:r w:rsidR="00492C9C" w:rsidRPr="0058349C">
        <w:rPr>
          <w:rFonts w:ascii="Garamond" w:hAnsi="Garamond" w:cs="MS Mincho"/>
          <w:sz w:val="24"/>
          <w:szCs w:val="24"/>
          <w:lang w:val="sq-AL"/>
        </w:rPr>
        <w:t xml:space="preserve"> dhe ndërhyrjet e programuara në këtë dokument i shërbejnë përmbushjes së vizionit, objektivave dhe prioriteteve të Qeverisë Shqiptare për bujqësinë, zhvillimin rural dhe peshkimin, janë parashtruar n</w:t>
      </w:r>
      <w:r w:rsidR="00C332AD">
        <w:rPr>
          <w:rFonts w:ascii="Garamond" w:hAnsi="Garamond" w:cs="MS Mincho"/>
          <w:sz w:val="24"/>
          <w:szCs w:val="24"/>
          <w:lang w:val="sq-AL"/>
        </w:rPr>
        <w:t>ë</w:t>
      </w:r>
      <w:r w:rsidR="00492C9C" w:rsidRPr="0058349C">
        <w:rPr>
          <w:rFonts w:ascii="Garamond" w:hAnsi="Garamond" w:cs="MS Mincho"/>
          <w:sz w:val="24"/>
          <w:szCs w:val="24"/>
          <w:lang w:val="sq-AL"/>
        </w:rPr>
        <w:t xml:space="preserve"> programin e saj </w:t>
      </w:r>
      <w:r w:rsidR="00612507" w:rsidRPr="0058349C">
        <w:rPr>
          <w:rFonts w:ascii="Garamond" w:hAnsi="Garamond" w:cs="MS Mincho"/>
          <w:sz w:val="24"/>
          <w:szCs w:val="24"/>
          <w:lang w:val="sq-AL"/>
        </w:rPr>
        <w:t>2021–2025</w:t>
      </w:r>
      <w:r w:rsidR="00BA1442">
        <w:rPr>
          <w:rFonts w:ascii="Garamond" w:hAnsi="Garamond" w:cs="MS Mincho"/>
          <w:sz w:val="24"/>
          <w:szCs w:val="24"/>
          <w:lang w:val="sq-AL"/>
        </w:rPr>
        <w:t>,</w:t>
      </w:r>
      <w:r w:rsidR="00492C9C" w:rsidRPr="0058349C">
        <w:rPr>
          <w:rFonts w:ascii="Garamond" w:hAnsi="Garamond" w:cs="MS Mincho"/>
          <w:sz w:val="24"/>
          <w:szCs w:val="24"/>
          <w:lang w:val="sq-AL"/>
        </w:rPr>
        <w:t xml:space="preserve"> si më poshtë:</w:t>
      </w:r>
    </w:p>
    <w:p w14:paraId="0773AC18"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b/>
          <w:bCs/>
          <w:sz w:val="24"/>
          <w:szCs w:val="24"/>
          <w:lang w:val="sq-AL"/>
        </w:rPr>
      </w:pPr>
      <w:r w:rsidRPr="0058349C">
        <w:rPr>
          <w:rFonts w:ascii="Garamond" w:hAnsi="Garamond" w:cs="MS Mincho"/>
          <w:b/>
          <w:bCs/>
          <w:sz w:val="24"/>
          <w:szCs w:val="24"/>
          <w:lang w:val="sq-AL"/>
        </w:rPr>
        <w:t>Zhvillimi bujqësor dhe rural nëpërmjet:</w:t>
      </w:r>
    </w:p>
    <w:p w14:paraId="0773AC19" w14:textId="4EBAE031"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lastRenderedPageBreak/>
        <w:t>-</w:t>
      </w:r>
      <w:r w:rsidR="006C551A"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 xml:space="preserve">Përmirësimit në vazhdimësi të cilësisë së jetës në zonat rurale dhe diversifikimi i hapësirave dhe </w:t>
      </w:r>
      <w:r w:rsidR="003A7DB5">
        <w:rPr>
          <w:rFonts w:ascii="Garamond" w:hAnsi="Garamond" w:cs="MS Mincho"/>
          <w:sz w:val="24"/>
          <w:szCs w:val="24"/>
          <w:lang w:val="sq-AL"/>
        </w:rPr>
        <w:t xml:space="preserve">i </w:t>
      </w:r>
      <w:r w:rsidRPr="0058349C">
        <w:rPr>
          <w:rFonts w:ascii="Garamond" w:hAnsi="Garamond" w:cs="MS Mincho"/>
          <w:sz w:val="24"/>
          <w:szCs w:val="24"/>
          <w:lang w:val="sq-AL"/>
        </w:rPr>
        <w:t>mundësive për aktivitete ekonomike.</w:t>
      </w:r>
    </w:p>
    <w:p w14:paraId="0773AC1A" w14:textId="3ED3FAE4"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Promovimit të eliminimit të dallimeve në standardet e jetesës ndërmjet zonave rurale dhe atyre urbane</w:t>
      </w:r>
      <w:r w:rsidR="00787D53">
        <w:rPr>
          <w:rFonts w:ascii="Garamond" w:hAnsi="Garamond" w:cs="MS Mincho"/>
          <w:sz w:val="24"/>
          <w:szCs w:val="24"/>
          <w:lang w:val="sq-AL"/>
        </w:rPr>
        <w:t>,</w:t>
      </w:r>
      <w:r w:rsidRPr="0058349C">
        <w:rPr>
          <w:rFonts w:ascii="Garamond" w:hAnsi="Garamond" w:cs="MS Mincho"/>
          <w:sz w:val="24"/>
          <w:szCs w:val="24"/>
          <w:lang w:val="sq-AL"/>
        </w:rPr>
        <w:t xml:space="preserve"> përmes investimeve të vazhdueshme në infrastrukturën publike rurale në shërbim të aktiviteteve ekonomike të aktorëve në bujqësi</w:t>
      </w:r>
      <w:r w:rsidR="00787D53">
        <w:rPr>
          <w:rFonts w:ascii="Garamond" w:hAnsi="Garamond" w:cs="MS Mincho"/>
          <w:sz w:val="24"/>
          <w:szCs w:val="24"/>
          <w:lang w:val="sq-AL"/>
        </w:rPr>
        <w:t>,</w:t>
      </w:r>
      <w:r w:rsidRPr="0058349C">
        <w:rPr>
          <w:rFonts w:ascii="Garamond" w:hAnsi="Garamond" w:cs="MS Mincho"/>
          <w:sz w:val="24"/>
          <w:szCs w:val="24"/>
          <w:lang w:val="sq-AL"/>
        </w:rPr>
        <w:t xml:space="preserve"> si p.sh. nëpërmjet investimeve në ujësjellës dhe </w:t>
      </w:r>
      <w:r w:rsidR="003A7DB5">
        <w:rPr>
          <w:rFonts w:ascii="Garamond" w:hAnsi="Garamond" w:cs="MS Mincho"/>
          <w:sz w:val="24"/>
          <w:szCs w:val="24"/>
          <w:lang w:val="sq-AL"/>
        </w:rPr>
        <w:t xml:space="preserve">në </w:t>
      </w:r>
      <w:r w:rsidRPr="0058349C">
        <w:rPr>
          <w:rFonts w:ascii="Garamond" w:hAnsi="Garamond" w:cs="MS Mincho"/>
          <w:sz w:val="24"/>
          <w:szCs w:val="24"/>
          <w:lang w:val="sq-AL"/>
        </w:rPr>
        <w:t xml:space="preserve">kanalizime, furnizim me energji elektrike, shëndetësi dhe arsim, infrastrukturë rrugore dhe përmirësim të teknologjisë dhe </w:t>
      </w:r>
      <w:r w:rsidR="00787D53">
        <w:rPr>
          <w:rFonts w:ascii="Garamond" w:hAnsi="Garamond" w:cs="MS Mincho"/>
          <w:sz w:val="24"/>
          <w:szCs w:val="24"/>
          <w:lang w:val="sq-AL"/>
        </w:rPr>
        <w:t xml:space="preserve">të </w:t>
      </w:r>
      <w:r w:rsidRPr="0058349C">
        <w:rPr>
          <w:rFonts w:ascii="Garamond" w:hAnsi="Garamond" w:cs="MS Mincho"/>
          <w:sz w:val="24"/>
          <w:szCs w:val="24"/>
          <w:lang w:val="sq-AL"/>
        </w:rPr>
        <w:t xml:space="preserve">njohurive mbi teknologjitë e avancuar të prodhimit dhe </w:t>
      </w:r>
      <w:r w:rsidR="00787D53">
        <w:rPr>
          <w:rFonts w:ascii="Garamond" w:hAnsi="Garamond" w:cs="MS Mincho"/>
          <w:sz w:val="24"/>
          <w:szCs w:val="24"/>
          <w:lang w:val="sq-AL"/>
        </w:rPr>
        <w:t xml:space="preserve">të </w:t>
      </w:r>
      <w:r w:rsidRPr="0058349C">
        <w:rPr>
          <w:rFonts w:ascii="Garamond" w:hAnsi="Garamond" w:cs="MS Mincho"/>
          <w:sz w:val="24"/>
          <w:szCs w:val="24"/>
          <w:lang w:val="sq-AL"/>
        </w:rPr>
        <w:t>mbështetjes për ndërveprim më të madh ekonomik dhe social ndërmjet aktorëve.</w:t>
      </w:r>
    </w:p>
    <w:p w14:paraId="0773AC1B"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Rritja e eksportit të produkteve bujqësore dhe të peshkimit dhe rritja e vlerës së shtuar në vend nëpërmjet</w:t>
      </w:r>
      <w:r w:rsidRPr="0058349C">
        <w:rPr>
          <w:rFonts w:ascii="Garamond" w:hAnsi="Garamond" w:cs="MS Mincho"/>
          <w:sz w:val="24"/>
          <w:szCs w:val="24"/>
          <w:lang w:val="sq-AL"/>
        </w:rPr>
        <w:t>:</w:t>
      </w:r>
    </w:p>
    <w:p w14:paraId="0773AC1C" w14:textId="59B1D8E4" w:rsidR="00492C9C" w:rsidRPr="0058349C" w:rsidRDefault="00492C9C" w:rsidP="0068035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Orientimit të investimeve në zgjerimin e zinxhirit të vlerës në përpunimin bujqësor</w:t>
      </w:r>
      <w:r w:rsidR="0068035A">
        <w:rPr>
          <w:rFonts w:ascii="Garamond" w:hAnsi="Garamond" w:cs="MS Mincho"/>
          <w:sz w:val="24"/>
          <w:szCs w:val="24"/>
          <w:lang w:val="sq-AL"/>
        </w:rPr>
        <w:t>;</w:t>
      </w:r>
      <w:r w:rsidRPr="0058349C">
        <w:rPr>
          <w:rFonts w:ascii="Garamond" w:hAnsi="Garamond" w:cs="MS Mincho"/>
          <w:sz w:val="24"/>
          <w:szCs w:val="24"/>
          <w:lang w:val="sq-AL"/>
        </w:rPr>
        <w:t xml:space="preserve"> </w:t>
      </w:r>
    </w:p>
    <w:p w14:paraId="0773AC1D" w14:textId="59065551" w:rsidR="00492C9C" w:rsidRPr="0058349C" w:rsidRDefault="00492C9C" w:rsidP="0068035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 xml:space="preserve">Lehtësimit të blerjes së makinerive dhe </w:t>
      </w:r>
      <w:r w:rsidR="0068035A">
        <w:rPr>
          <w:rFonts w:ascii="Garamond" w:hAnsi="Garamond" w:cs="MS Mincho"/>
          <w:sz w:val="24"/>
          <w:szCs w:val="24"/>
          <w:lang w:val="sq-AL"/>
        </w:rPr>
        <w:t xml:space="preserve">të </w:t>
      </w:r>
      <w:r w:rsidRPr="0058349C">
        <w:rPr>
          <w:rFonts w:ascii="Garamond" w:hAnsi="Garamond" w:cs="MS Mincho"/>
          <w:sz w:val="24"/>
          <w:szCs w:val="24"/>
          <w:lang w:val="sq-AL"/>
        </w:rPr>
        <w:t>pajisjeve për përpunimin bujqësor, duke ofruar amortizimin e përshpejtuar me dyfishin e normës për ndërmarrjet ekzistuese</w:t>
      </w:r>
      <w:r w:rsidR="0068035A">
        <w:rPr>
          <w:rFonts w:ascii="Garamond" w:hAnsi="Garamond" w:cs="MS Mincho"/>
          <w:sz w:val="24"/>
          <w:szCs w:val="24"/>
          <w:lang w:val="sq-AL"/>
        </w:rPr>
        <w:t>;</w:t>
      </w:r>
    </w:p>
    <w:p w14:paraId="0773AC1E" w14:textId="25C63023" w:rsidR="00492C9C" w:rsidRPr="0058349C" w:rsidRDefault="00492C9C" w:rsidP="0068035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Përmirësimit të aksesit në tregjet e reja ndërkombëtare nëpërmjet informacionit dhe lehtësimit të marrëveshjeve tregtare</w:t>
      </w:r>
      <w:r w:rsidR="0068035A">
        <w:rPr>
          <w:rFonts w:ascii="Garamond" w:hAnsi="Garamond" w:cs="MS Mincho"/>
          <w:sz w:val="24"/>
          <w:szCs w:val="24"/>
          <w:lang w:val="sq-AL"/>
        </w:rPr>
        <w:t>;</w:t>
      </w:r>
    </w:p>
    <w:p w14:paraId="0773AC1F" w14:textId="3F3172D3"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Përmirësimit të standardeve të produkteve bujqësore nëpërmjet mbështetjes të prodhimit organik, dhe futjes të standardeve të cilat lehtësojnë eksportet si GLOBALG.A.P</w:t>
      </w:r>
      <w:r w:rsidR="0068035A">
        <w:rPr>
          <w:rFonts w:ascii="Garamond" w:hAnsi="Garamond" w:cs="MS Mincho"/>
          <w:sz w:val="24"/>
          <w:szCs w:val="24"/>
          <w:lang w:val="sq-AL"/>
        </w:rPr>
        <w:t>.</w:t>
      </w:r>
      <w:r w:rsidRPr="0058349C">
        <w:rPr>
          <w:rFonts w:ascii="Garamond" w:hAnsi="Garamond" w:cs="MS Mincho"/>
          <w:sz w:val="24"/>
          <w:szCs w:val="24"/>
          <w:lang w:val="sq-AL"/>
        </w:rPr>
        <w:t xml:space="preserve"> etj. </w:t>
      </w:r>
    </w:p>
    <w:p w14:paraId="0773AC20" w14:textId="65DD2190" w:rsidR="00492C9C" w:rsidRPr="0058349C" w:rsidRDefault="00492C9C" w:rsidP="00492C9C">
      <w:pPr>
        <w:autoSpaceDE w:val="0"/>
        <w:autoSpaceDN w:val="0"/>
        <w:adjustRightInd w:val="0"/>
        <w:spacing w:after="0" w:line="240" w:lineRule="auto"/>
        <w:ind w:firstLine="284"/>
        <w:jc w:val="both"/>
        <w:rPr>
          <w:rFonts w:ascii="Garamond" w:hAnsi="Garamond" w:cs="MS Mincho"/>
          <w:b/>
          <w:bCs/>
          <w:sz w:val="24"/>
          <w:szCs w:val="24"/>
          <w:lang w:val="sq-AL"/>
        </w:rPr>
      </w:pPr>
      <w:r w:rsidRPr="0058349C">
        <w:rPr>
          <w:rFonts w:ascii="Garamond" w:hAnsi="Garamond" w:cs="MS Mincho"/>
          <w:b/>
          <w:bCs/>
          <w:sz w:val="24"/>
          <w:szCs w:val="24"/>
          <w:lang w:val="sq-AL"/>
        </w:rPr>
        <w:t>Zhvillimi i qëndrueshëm i turizmit rural dh</w:t>
      </w:r>
      <w:r w:rsidR="00787D53">
        <w:rPr>
          <w:rFonts w:ascii="Garamond" w:hAnsi="Garamond" w:cs="MS Mincho"/>
          <w:b/>
          <w:bCs/>
          <w:sz w:val="24"/>
          <w:szCs w:val="24"/>
          <w:lang w:val="sq-AL"/>
        </w:rPr>
        <w:t>e agro</w:t>
      </w:r>
      <w:r w:rsidRPr="0058349C">
        <w:rPr>
          <w:rFonts w:ascii="Garamond" w:hAnsi="Garamond" w:cs="MS Mincho"/>
          <w:b/>
          <w:bCs/>
          <w:sz w:val="24"/>
          <w:szCs w:val="24"/>
          <w:lang w:val="sq-AL"/>
        </w:rPr>
        <w:t>turizmit nëpërmjet:</w:t>
      </w:r>
    </w:p>
    <w:p w14:paraId="0773AC21" w14:textId="41B7A613" w:rsidR="00492C9C" w:rsidRPr="0058349C" w:rsidRDefault="00492C9C" w:rsidP="0068035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Mbështetjes për diversifikimin e aktiviteteve ekonomike në zonat rurale</w:t>
      </w:r>
      <w:r w:rsidR="0068035A">
        <w:rPr>
          <w:rFonts w:ascii="Garamond" w:hAnsi="Garamond" w:cs="MS Mincho"/>
          <w:sz w:val="24"/>
          <w:szCs w:val="24"/>
          <w:lang w:val="sq-AL"/>
        </w:rPr>
        <w:t>;</w:t>
      </w:r>
      <w:r w:rsidRPr="0058349C">
        <w:rPr>
          <w:rFonts w:ascii="Garamond" w:hAnsi="Garamond" w:cs="MS Mincho"/>
          <w:sz w:val="24"/>
          <w:szCs w:val="24"/>
          <w:lang w:val="sq-AL"/>
        </w:rPr>
        <w:t xml:space="preserve"> </w:t>
      </w:r>
    </w:p>
    <w:p w14:paraId="0773AC22" w14:textId="4C41F39E" w:rsidR="00492C9C" w:rsidRPr="0058349C" w:rsidRDefault="00492C9C" w:rsidP="0068035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Mekanizmave të mbështetjes për të rr</w:t>
      </w:r>
      <w:r w:rsidR="00787D53">
        <w:rPr>
          <w:rFonts w:ascii="Garamond" w:hAnsi="Garamond" w:cs="MS Mincho"/>
          <w:sz w:val="24"/>
          <w:szCs w:val="24"/>
          <w:lang w:val="sq-AL"/>
        </w:rPr>
        <w:t>itur numrin e bizneseve të agro</w:t>
      </w:r>
      <w:r w:rsidRPr="0058349C">
        <w:rPr>
          <w:rFonts w:ascii="Garamond" w:hAnsi="Garamond" w:cs="MS Mincho"/>
          <w:sz w:val="24"/>
          <w:szCs w:val="24"/>
          <w:lang w:val="sq-AL"/>
        </w:rPr>
        <w:t>turizmit dhe të bujtinave</w:t>
      </w:r>
      <w:r w:rsidR="0068035A">
        <w:rPr>
          <w:rFonts w:ascii="Garamond" w:hAnsi="Garamond" w:cs="MS Mincho"/>
          <w:sz w:val="24"/>
          <w:szCs w:val="24"/>
          <w:lang w:val="sq-AL"/>
        </w:rPr>
        <w:t>;</w:t>
      </w:r>
    </w:p>
    <w:p w14:paraId="0773AC23" w14:textId="32062FC5"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Masave nxitëse për emigrantët, të rinjtë dhe për përfshirjen e shtuar të pjesëmarrjes të grave në këtë sektor.</w:t>
      </w:r>
    </w:p>
    <w:p w14:paraId="0773AC24"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b/>
          <w:bCs/>
          <w:sz w:val="24"/>
          <w:szCs w:val="24"/>
          <w:lang w:val="sq-AL"/>
        </w:rPr>
      </w:pPr>
      <w:r w:rsidRPr="0058349C">
        <w:rPr>
          <w:rFonts w:ascii="Garamond" w:hAnsi="Garamond" w:cs="MS Mincho"/>
          <w:b/>
          <w:bCs/>
          <w:sz w:val="24"/>
          <w:szCs w:val="24"/>
          <w:lang w:val="sq-AL"/>
        </w:rPr>
        <w:t>Rritja e mbështetjes për bujqësinë, blegtorinë dhe zhvillimin rural nëpërmjet:</w:t>
      </w:r>
    </w:p>
    <w:p w14:paraId="0773AC25" w14:textId="288E1AF8"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Mbështetjes të drejtpërdrejtë për fermerët me 70 milionë €, nëpërmjet programeve të naftës për traktorët</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dhe skemave të tjera kombëtare të mbështetjes.</w:t>
      </w:r>
    </w:p>
    <w:p w14:paraId="0773AC26" w14:textId="0C87268C"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Mbështetjes me 146 milionë € nëpërmjet programit IPARD III (financim kombëtar dhe nga BE-ja).</w:t>
      </w:r>
      <w:r w:rsidR="00CF7694" w:rsidRPr="0058349C">
        <w:rPr>
          <w:rFonts w:ascii="Garamond" w:hAnsi="Garamond" w:cs="MS Mincho"/>
          <w:sz w:val="24"/>
          <w:szCs w:val="24"/>
          <w:lang w:val="sq-AL"/>
        </w:rPr>
        <w:t xml:space="preserve"> </w:t>
      </w:r>
    </w:p>
    <w:p w14:paraId="0773AC27"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b/>
          <w:bCs/>
          <w:sz w:val="24"/>
          <w:szCs w:val="24"/>
          <w:lang w:val="sq-AL"/>
        </w:rPr>
      </w:pPr>
      <w:r w:rsidRPr="0058349C">
        <w:rPr>
          <w:rFonts w:ascii="Garamond" w:hAnsi="Garamond" w:cs="MS Mincho"/>
          <w:b/>
          <w:bCs/>
          <w:sz w:val="24"/>
          <w:szCs w:val="24"/>
          <w:lang w:val="sq-AL"/>
        </w:rPr>
        <w:t xml:space="preserve">TVSH zero për: </w:t>
      </w:r>
    </w:p>
    <w:p w14:paraId="0773AC28" w14:textId="7AB8434B" w:rsidR="00492C9C" w:rsidRPr="0058349C" w:rsidRDefault="00492C9C" w:rsidP="0068035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Makineritë bujqësore, të importit dhe vend</w:t>
      </w:r>
      <w:r w:rsidR="0068035A">
        <w:rPr>
          <w:rFonts w:ascii="Garamond" w:hAnsi="Garamond" w:cs="MS Mincho"/>
          <w:sz w:val="24"/>
          <w:szCs w:val="24"/>
          <w:lang w:val="sq-AL"/>
        </w:rPr>
        <w:t>ë</w:t>
      </w:r>
      <w:r w:rsidRPr="0058349C">
        <w:rPr>
          <w:rFonts w:ascii="Garamond" w:hAnsi="Garamond" w:cs="MS Mincho"/>
          <w:sz w:val="24"/>
          <w:szCs w:val="24"/>
          <w:lang w:val="sq-AL"/>
        </w:rPr>
        <w:t>s</w:t>
      </w:r>
      <w:r w:rsidR="0068035A">
        <w:rPr>
          <w:rFonts w:ascii="Garamond" w:hAnsi="Garamond" w:cs="MS Mincho"/>
          <w:sz w:val="24"/>
          <w:szCs w:val="24"/>
          <w:lang w:val="sq-AL"/>
        </w:rPr>
        <w:t>k</w:t>
      </w:r>
    </w:p>
    <w:p w14:paraId="0773AC29" w14:textId="21E039BB" w:rsidR="00492C9C" w:rsidRPr="0058349C" w:rsidRDefault="00492C9C" w:rsidP="0068035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27 zëra doganorë në bordin e anijeve të peshkimit</w:t>
      </w:r>
      <w:r w:rsidR="0068035A">
        <w:rPr>
          <w:rFonts w:ascii="Garamond" w:hAnsi="Garamond" w:cs="MS Mincho"/>
          <w:sz w:val="24"/>
          <w:szCs w:val="24"/>
          <w:lang w:val="sq-AL"/>
        </w:rPr>
        <w:t>;</w:t>
      </w:r>
    </w:p>
    <w:p w14:paraId="0773AC2A" w14:textId="2E48E646"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Rrjetat, anijet, pajisjet elektron</w:t>
      </w:r>
      <w:r w:rsidR="0068035A">
        <w:rPr>
          <w:rFonts w:ascii="Garamond" w:hAnsi="Garamond" w:cs="MS Mincho"/>
          <w:sz w:val="24"/>
          <w:szCs w:val="24"/>
          <w:lang w:val="sq-AL"/>
        </w:rPr>
        <w:t>ike, frigoriferë, motorë detarë</w:t>
      </w:r>
      <w:r w:rsidRPr="0058349C">
        <w:rPr>
          <w:rFonts w:ascii="Garamond" w:hAnsi="Garamond" w:cs="MS Mincho"/>
          <w:sz w:val="24"/>
          <w:szCs w:val="24"/>
          <w:lang w:val="sq-AL"/>
        </w:rPr>
        <w:t xml:space="preserve"> etj., mjetet e lundrimit për peshkim në bordin a anijeve të konsideruara si pajisje në bord;</w:t>
      </w:r>
    </w:p>
    <w:p w14:paraId="0773AC2B"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Blerjen e naftës për anijet e peshkimit me 0 akcizë, 0 taksë për karburant dhe 0 taksë për karbon;</w:t>
      </w:r>
    </w:p>
    <w:p w14:paraId="0773AC2C" w14:textId="2CB177CD" w:rsidR="00492C9C" w:rsidRPr="0058349C" w:rsidRDefault="00492C9C" w:rsidP="0068035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Tarifa zero (0) për regjistrimin dhe vaksinimin e detyrueshëm të kafshëve</w:t>
      </w:r>
      <w:r w:rsidR="0068035A">
        <w:rPr>
          <w:rFonts w:ascii="Garamond" w:hAnsi="Garamond" w:cs="MS Mincho"/>
          <w:sz w:val="24"/>
          <w:szCs w:val="24"/>
          <w:lang w:val="sq-AL"/>
        </w:rPr>
        <w:t>.</w:t>
      </w:r>
    </w:p>
    <w:p w14:paraId="0773AC2D" w14:textId="67F0CD7A" w:rsidR="00492C9C" w:rsidRPr="0058349C" w:rsidRDefault="00492C9C" w:rsidP="00492C9C">
      <w:pPr>
        <w:keepLines/>
        <w:autoSpaceDE w:val="0"/>
        <w:autoSpaceDN w:val="0"/>
        <w:adjustRightInd w:val="0"/>
        <w:spacing w:after="0" w:line="240" w:lineRule="auto"/>
        <w:ind w:firstLine="284"/>
        <w:jc w:val="both"/>
        <w:outlineLvl w:val="1"/>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 xml:space="preserve">1.5 Ndërlidhja me </w:t>
      </w:r>
      <w:r w:rsidR="0068035A" w:rsidRPr="0058349C">
        <w:rPr>
          <w:rFonts w:ascii="Garamond" w:eastAsiaTheme="minorHAnsi" w:hAnsi="Garamond" w:cs="Arial"/>
          <w:b/>
          <w:bCs/>
          <w:sz w:val="24"/>
          <w:szCs w:val="24"/>
          <w:lang w:val="sq-AL"/>
        </w:rPr>
        <w:t xml:space="preserve">objektivat për zhvillim </w:t>
      </w:r>
      <w:r w:rsidRPr="0058349C">
        <w:rPr>
          <w:rFonts w:ascii="Garamond" w:eastAsiaTheme="minorHAnsi" w:hAnsi="Garamond" w:cs="Arial"/>
          <w:b/>
          <w:bCs/>
          <w:sz w:val="24"/>
          <w:szCs w:val="24"/>
          <w:lang w:val="sq-AL"/>
        </w:rPr>
        <w:t>të qëndrueshëm dhe Agjenda 2030</w:t>
      </w:r>
    </w:p>
    <w:p w14:paraId="0773AC2E" w14:textId="4CBB5A47" w:rsidR="00492C9C" w:rsidRPr="0058349C" w:rsidRDefault="00492C9C" w:rsidP="0068035A">
      <w:pPr>
        <w:tabs>
          <w:tab w:val="left" w:pos="6740"/>
        </w:tabs>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 xml:space="preserve">Objektivat e SBZHRP-së me ndërhyrjet e tyre specifike kontribuojnë në arritjen e </w:t>
      </w:r>
      <w:r w:rsidR="0068035A" w:rsidRPr="0058349C">
        <w:rPr>
          <w:rFonts w:ascii="Garamond" w:hAnsi="Garamond" w:cs="MS Mincho"/>
          <w:b/>
          <w:bCs/>
          <w:sz w:val="24"/>
          <w:szCs w:val="24"/>
          <w:lang w:val="sq-AL"/>
        </w:rPr>
        <w:t xml:space="preserve">objektivave </w:t>
      </w:r>
      <w:r w:rsidRPr="0058349C">
        <w:rPr>
          <w:rFonts w:ascii="Garamond" w:hAnsi="Garamond" w:cs="MS Mincho"/>
          <w:b/>
          <w:bCs/>
          <w:sz w:val="24"/>
          <w:szCs w:val="24"/>
          <w:lang w:val="sq-AL"/>
        </w:rPr>
        <w:t xml:space="preserve">të mëposhtëm të Zhvillimit të </w:t>
      </w:r>
      <w:r w:rsidR="0068035A" w:rsidRPr="0058349C">
        <w:rPr>
          <w:rFonts w:ascii="Garamond" w:hAnsi="Garamond" w:cs="MS Mincho"/>
          <w:b/>
          <w:bCs/>
          <w:sz w:val="24"/>
          <w:szCs w:val="24"/>
          <w:lang w:val="sq-AL"/>
        </w:rPr>
        <w:t>qëndrueshëm</w:t>
      </w:r>
      <w:r w:rsidR="0068035A" w:rsidRPr="0058349C">
        <w:rPr>
          <w:rFonts w:ascii="Garamond" w:hAnsi="Garamond" w:cs="MS Mincho"/>
          <w:sz w:val="24"/>
          <w:szCs w:val="24"/>
          <w:lang w:val="sq-AL"/>
        </w:rPr>
        <w:t xml:space="preserve"> </w:t>
      </w:r>
      <w:r w:rsidR="0068035A">
        <w:rPr>
          <w:rFonts w:ascii="Garamond" w:hAnsi="Garamond" w:cs="MS Mincho"/>
          <w:sz w:val="24"/>
          <w:szCs w:val="24"/>
          <w:lang w:val="sq-AL"/>
        </w:rPr>
        <w:t>(OZHQ) të Agjendës së OKB</w:t>
      </w:r>
      <w:r w:rsidRPr="0058349C">
        <w:rPr>
          <w:rFonts w:ascii="Garamond" w:hAnsi="Garamond" w:cs="MS Mincho"/>
          <w:sz w:val="24"/>
          <w:szCs w:val="24"/>
          <w:lang w:val="sq-AL"/>
        </w:rPr>
        <w:t xml:space="preserve"> 2030:</w:t>
      </w:r>
    </w:p>
    <w:p w14:paraId="0773AC2F" w14:textId="7B256E86"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b/>
          <w:bCs/>
          <w:sz w:val="24"/>
          <w:szCs w:val="24"/>
          <w:lang w:val="sq-AL"/>
        </w:rPr>
        <w:t>OZHQ 2</w:t>
      </w:r>
      <w:r w:rsidR="00EC7359" w:rsidRPr="00EC7359">
        <w:rPr>
          <w:rFonts w:ascii="Garamond" w:hAnsi="Garamond" w:cs="MS Mincho"/>
          <w:sz w:val="24"/>
          <w:szCs w:val="24"/>
          <w:lang w:val="sq-AL"/>
        </w:rPr>
        <w:t>,</w:t>
      </w:r>
      <w:r w:rsidRPr="0058349C">
        <w:rPr>
          <w:rFonts w:ascii="Garamond" w:hAnsi="Garamond" w:cs="MS Mincho"/>
          <w:sz w:val="24"/>
          <w:szCs w:val="24"/>
          <w:lang w:val="sq-AL"/>
        </w:rPr>
        <w:t xml:space="preserve"> për të arritur sigurimin e ushqimit dhe të ushqyerjes të përmirësuar dhe për të promovuar një bujqësi të qëndrueshme duke përfshirë peshkimin;</w:t>
      </w:r>
    </w:p>
    <w:p w14:paraId="0773AC30" w14:textId="566EFE7A"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b/>
          <w:bCs/>
          <w:sz w:val="24"/>
          <w:szCs w:val="24"/>
          <w:lang w:val="sq-AL"/>
        </w:rPr>
        <w:t>OZHQ 5</w:t>
      </w:r>
      <w:r w:rsidR="00EC7359" w:rsidRPr="00EC7359">
        <w:rPr>
          <w:rFonts w:ascii="Garamond" w:hAnsi="Garamond" w:cs="MS Mincho"/>
          <w:sz w:val="24"/>
          <w:szCs w:val="24"/>
          <w:lang w:val="sq-AL"/>
        </w:rPr>
        <w:t>,</w:t>
      </w:r>
      <w:r w:rsidRPr="0058349C">
        <w:rPr>
          <w:rFonts w:ascii="Garamond" w:hAnsi="Garamond" w:cs="MS Mincho"/>
          <w:sz w:val="24"/>
          <w:szCs w:val="24"/>
          <w:lang w:val="sq-AL"/>
        </w:rPr>
        <w:t xml:space="preserve"> </w:t>
      </w:r>
      <w:r w:rsidR="00EC7359" w:rsidRPr="0058349C">
        <w:rPr>
          <w:rFonts w:ascii="Garamond" w:hAnsi="Garamond" w:cs="MS Mincho"/>
          <w:sz w:val="24"/>
          <w:szCs w:val="24"/>
          <w:lang w:val="sq-AL"/>
        </w:rPr>
        <w:t xml:space="preserve">barazia gjinore </w:t>
      </w:r>
      <w:r w:rsidRPr="0058349C">
        <w:rPr>
          <w:rFonts w:ascii="Garamond" w:hAnsi="Garamond" w:cs="MS Mincho"/>
          <w:sz w:val="24"/>
          <w:szCs w:val="24"/>
          <w:lang w:val="sq-AL"/>
        </w:rPr>
        <w:t xml:space="preserve">është një temë horizontale në </w:t>
      </w:r>
      <w:r w:rsidR="00EC7359" w:rsidRPr="0058349C">
        <w:rPr>
          <w:rFonts w:ascii="Garamond" w:hAnsi="Garamond" w:cs="MS Mincho"/>
          <w:sz w:val="24"/>
          <w:szCs w:val="24"/>
          <w:lang w:val="sq-AL"/>
        </w:rPr>
        <w:t>strategji</w:t>
      </w:r>
      <w:r w:rsidRPr="0058349C">
        <w:rPr>
          <w:rFonts w:ascii="Garamond" w:hAnsi="Garamond" w:cs="MS Mincho"/>
          <w:sz w:val="24"/>
          <w:szCs w:val="24"/>
          <w:lang w:val="sq-AL"/>
        </w:rPr>
        <w:t>;</w:t>
      </w:r>
    </w:p>
    <w:p w14:paraId="0773AC31" w14:textId="660E1392"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b/>
          <w:bCs/>
          <w:sz w:val="24"/>
          <w:szCs w:val="24"/>
          <w:lang w:val="sq-AL"/>
        </w:rPr>
        <w:t>OZHQ 12</w:t>
      </w:r>
      <w:r w:rsidR="00EC7359" w:rsidRPr="00EC7359">
        <w:rPr>
          <w:rFonts w:ascii="Garamond" w:hAnsi="Garamond" w:cs="MS Mincho"/>
          <w:sz w:val="24"/>
          <w:szCs w:val="24"/>
          <w:lang w:val="sq-AL"/>
        </w:rPr>
        <w:t>,</w:t>
      </w:r>
      <w:r w:rsidRPr="0058349C">
        <w:rPr>
          <w:rFonts w:ascii="Garamond" w:hAnsi="Garamond" w:cs="MS Mincho"/>
          <w:sz w:val="24"/>
          <w:szCs w:val="24"/>
          <w:lang w:val="sq-AL"/>
        </w:rPr>
        <w:t xml:space="preserve"> për të siguruar modele të qëndrueshme të konsumit dhe të prodhimit në sektorin agroushqimor dhe të peshkimit;</w:t>
      </w:r>
    </w:p>
    <w:p w14:paraId="0773AC32" w14:textId="4511C2D9"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b/>
          <w:bCs/>
          <w:sz w:val="24"/>
          <w:szCs w:val="24"/>
          <w:lang w:val="sq-AL"/>
        </w:rPr>
        <w:t>OZHQ 13</w:t>
      </w:r>
      <w:r w:rsidR="00EC7359" w:rsidRPr="00EC7359">
        <w:rPr>
          <w:rFonts w:ascii="Garamond" w:hAnsi="Garamond" w:cs="MS Mincho"/>
          <w:sz w:val="24"/>
          <w:szCs w:val="24"/>
          <w:lang w:val="sq-AL"/>
        </w:rPr>
        <w:t>,</w:t>
      </w:r>
      <w:r w:rsidRPr="0058349C">
        <w:rPr>
          <w:rFonts w:ascii="Garamond" w:hAnsi="Garamond" w:cs="MS Mincho"/>
          <w:sz w:val="24"/>
          <w:szCs w:val="24"/>
          <w:lang w:val="sq-AL"/>
        </w:rPr>
        <w:t xml:space="preserve"> për të nxitur veprime për të luftuar ndryshimin e klimës dhe ndikimet e saj;</w:t>
      </w:r>
    </w:p>
    <w:p w14:paraId="0773AC33" w14:textId="556CCD81"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b/>
          <w:bCs/>
          <w:sz w:val="24"/>
          <w:szCs w:val="24"/>
          <w:lang w:val="sq-AL"/>
        </w:rPr>
        <w:t>OZHQ 14</w:t>
      </w:r>
      <w:r w:rsidR="00EC7359" w:rsidRPr="00EC7359">
        <w:rPr>
          <w:rFonts w:ascii="Garamond" w:hAnsi="Garamond" w:cs="MS Mincho"/>
          <w:sz w:val="24"/>
          <w:szCs w:val="24"/>
          <w:lang w:val="sq-AL"/>
        </w:rPr>
        <w:t>,</w:t>
      </w:r>
      <w:r w:rsidRPr="0058349C">
        <w:rPr>
          <w:rFonts w:ascii="Garamond" w:hAnsi="Garamond" w:cs="MS Mincho"/>
          <w:sz w:val="24"/>
          <w:szCs w:val="24"/>
          <w:lang w:val="sq-AL"/>
        </w:rPr>
        <w:t xml:space="preserve"> për të ruajtur dhe përdorur në mënyrë të qëndrueshme Detin Mesdhe dhe burimet detare për zhvillim të qëndrueshëm;</w:t>
      </w:r>
    </w:p>
    <w:p w14:paraId="0773AC34" w14:textId="4A14C36D"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b/>
          <w:bCs/>
          <w:sz w:val="24"/>
          <w:szCs w:val="24"/>
          <w:lang w:val="sq-AL"/>
        </w:rPr>
        <w:t>OZHQ 15</w:t>
      </w:r>
      <w:r w:rsidR="00EC7359" w:rsidRPr="00EC7359">
        <w:rPr>
          <w:rFonts w:ascii="Garamond" w:hAnsi="Garamond" w:cs="MS Mincho"/>
          <w:sz w:val="24"/>
          <w:szCs w:val="24"/>
          <w:lang w:val="sq-AL"/>
        </w:rPr>
        <w:t>,</w:t>
      </w:r>
      <w:r w:rsidRPr="0058349C">
        <w:rPr>
          <w:rFonts w:ascii="Garamond" w:hAnsi="Garamond" w:cs="MS Mincho"/>
          <w:sz w:val="24"/>
          <w:szCs w:val="24"/>
          <w:lang w:val="sq-AL"/>
        </w:rPr>
        <w:t xml:space="preserve"> për të mbrojtur, rivendosur dhe promovuar përdorimin e qëndrueshëm të ekosistemeve tokësore me vëmendje të veçantë për të frenuar dhe përmbyllur fenomenin e degradimit të tokës dhe humbjen e biodiversitetit;</w:t>
      </w:r>
    </w:p>
    <w:p w14:paraId="0773AC35" w14:textId="199A0637"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lastRenderedPageBreak/>
        <w:t>-</w:t>
      </w:r>
      <w:r w:rsidR="00CF7694" w:rsidRPr="0058349C">
        <w:rPr>
          <w:rFonts w:ascii="Garamond" w:eastAsiaTheme="minorHAnsi" w:hAnsi="Garamond" w:cs="Wingdings"/>
          <w:sz w:val="24"/>
          <w:szCs w:val="24"/>
          <w:lang w:val="sq-AL"/>
        </w:rPr>
        <w:t xml:space="preserve"> </w:t>
      </w:r>
      <w:r w:rsidRPr="0058349C">
        <w:rPr>
          <w:rFonts w:ascii="Garamond" w:hAnsi="Garamond" w:cs="MS Mincho"/>
          <w:b/>
          <w:bCs/>
          <w:sz w:val="24"/>
          <w:szCs w:val="24"/>
          <w:lang w:val="sq-AL"/>
        </w:rPr>
        <w:t>OZHQ 17</w:t>
      </w:r>
      <w:r w:rsidR="00EC7359" w:rsidRPr="00EC7359">
        <w:rPr>
          <w:rFonts w:ascii="Garamond" w:hAnsi="Garamond" w:cs="MS Mincho"/>
          <w:sz w:val="24"/>
          <w:szCs w:val="24"/>
          <w:lang w:val="sq-AL"/>
        </w:rPr>
        <w:t>,</w:t>
      </w:r>
      <w:r w:rsidRPr="0058349C">
        <w:rPr>
          <w:rFonts w:ascii="Garamond" w:hAnsi="Garamond" w:cs="MS Mincho"/>
          <w:sz w:val="24"/>
          <w:szCs w:val="24"/>
          <w:lang w:val="sq-AL"/>
        </w:rPr>
        <w:t xml:space="preserve"> për të rritur partneritetin global, për të forcuar strukturat e bashkëpunimit për zhvillim të qëndrueshëm në shkëmbimin e njohurive, ekspertizës, inovacioneve dhe burimeve financiare.</w:t>
      </w:r>
    </w:p>
    <w:p w14:paraId="0773AC36" w14:textId="77777777" w:rsidR="00492C9C" w:rsidRPr="0058349C" w:rsidRDefault="00492C9C" w:rsidP="00492C9C">
      <w:pPr>
        <w:keepLines/>
        <w:autoSpaceDE w:val="0"/>
        <w:autoSpaceDN w:val="0"/>
        <w:adjustRightInd w:val="0"/>
        <w:spacing w:after="0" w:line="240" w:lineRule="auto"/>
        <w:ind w:firstLine="284"/>
        <w:jc w:val="both"/>
        <w:outlineLvl w:val="1"/>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1.6 Barazia gjinore, të drejtat e pakicave dhe grupet e cenueshme</w:t>
      </w:r>
    </w:p>
    <w:p w14:paraId="0773AC37" w14:textId="71C81A07" w:rsidR="00492C9C" w:rsidRPr="0058349C" w:rsidRDefault="00492C9C" w:rsidP="00EC7359">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Element</w:t>
      </w:r>
      <w:r w:rsidR="00EC7359">
        <w:rPr>
          <w:rFonts w:ascii="Garamond" w:hAnsi="Garamond" w:cs="MS Mincho"/>
          <w:sz w:val="24"/>
          <w:szCs w:val="24"/>
          <w:lang w:val="sq-AL"/>
        </w:rPr>
        <w:t>e</w:t>
      </w:r>
      <w:r w:rsidRPr="0058349C">
        <w:rPr>
          <w:rFonts w:ascii="Garamond" w:hAnsi="Garamond" w:cs="MS Mincho"/>
          <w:sz w:val="24"/>
          <w:szCs w:val="24"/>
          <w:lang w:val="sq-AL"/>
        </w:rPr>
        <w:t>t e barazisë gjinore</w:t>
      </w:r>
      <w:r w:rsidR="00EC7359">
        <w:rPr>
          <w:rFonts w:ascii="Garamond" w:hAnsi="Garamond" w:cs="MS Mincho"/>
          <w:sz w:val="24"/>
          <w:szCs w:val="24"/>
          <w:lang w:val="sq-AL"/>
        </w:rPr>
        <w:t>,</w:t>
      </w:r>
      <w:r w:rsidRPr="0058349C">
        <w:rPr>
          <w:rFonts w:ascii="Garamond" w:hAnsi="Garamond" w:cs="MS Mincho"/>
          <w:sz w:val="24"/>
          <w:szCs w:val="24"/>
          <w:lang w:val="sq-AL"/>
        </w:rPr>
        <w:t xml:space="preserve"> si edhe të drejtave të njeriut në kontekstin e grupeve të marxhinalizuara në kontekstin strategjik janë të reflektuara në dokument në atë mënyrë që mundësojnë monitorimin e tyre</w:t>
      </w:r>
      <w:r w:rsidR="00EC7359">
        <w:rPr>
          <w:rFonts w:ascii="Garamond" w:hAnsi="Garamond" w:cs="MS Mincho"/>
          <w:sz w:val="24"/>
          <w:szCs w:val="24"/>
          <w:lang w:val="sq-AL"/>
        </w:rPr>
        <w:t>,</w:t>
      </w:r>
      <w:r w:rsidRPr="0058349C">
        <w:rPr>
          <w:rFonts w:ascii="Garamond" w:hAnsi="Garamond" w:cs="MS Mincho"/>
          <w:sz w:val="24"/>
          <w:szCs w:val="24"/>
          <w:lang w:val="sq-AL"/>
        </w:rPr>
        <w:t xml:space="preserve"> në lidhje me përputhshmërinë dhe realizimin e tyre nëpërmjet Grupeve të Integruara të Menaxhimit të Politikave (GIMP), të koordinuara nga Zyra e Kryeministrit (ZK).</w:t>
      </w:r>
    </w:p>
    <w:p w14:paraId="0773AC38" w14:textId="44FD5988" w:rsidR="00492C9C" w:rsidRPr="0058349C" w:rsidRDefault="00492C9C" w:rsidP="00EC7359">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 xml:space="preserve">SBZHRP </w:t>
      </w:r>
      <w:r w:rsidR="00612507" w:rsidRPr="0058349C">
        <w:rPr>
          <w:rFonts w:ascii="Garamond" w:hAnsi="Garamond" w:cs="MS Mincho"/>
          <w:sz w:val="24"/>
          <w:szCs w:val="24"/>
          <w:lang w:val="sq-AL"/>
        </w:rPr>
        <w:t>2021–2027</w:t>
      </w:r>
      <w:r w:rsidRPr="0058349C">
        <w:rPr>
          <w:rFonts w:ascii="Garamond" w:hAnsi="Garamond" w:cs="MS Mincho"/>
          <w:sz w:val="24"/>
          <w:szCs w:val="24"/>
          <w:lang w:val="sq-AL"/>
        </w:rPr>
        <w:t xml:space="preserve"> është</w:t>
      </w:r>
      <w:r w:rsidR="00EC7359">
        <w:rPr>
          <w:rFonts w:ascii="Garamond" w:hAnsi="Garamond" w:cs="MS Mincho"/>
          <w:sz w:val="24"/>
          <w:szCs w:val="24"/>
          <w:lang w:val="sq-AL"/>
        </w:rPr>
        <w:t>,</w:t>
      </w:r>
      <w:r w:rsidRPr="0058349C">
        <w:rPr>
          <w:rFonts w:ascii="Garamond" w:hAnsi="Garamond" w:cs="MS Mincho"/>
          <w:sz w:val="24"/>
          <w:szCs w:val="24"/>
          <w:lang w:val="sq-AL"/>
        </w:rPr>
        <w:t xml:space="preserve"> gjithashtu</w:t>
      </w:r>
      <w:r w:rsidR="00EC7359">
        <w:rPr>
          <w:rFonts w:ascii="Garamond" w:hAnsi="Garamond" w:cs="MS Mincho"/>
          <w:sz w:val="24"/>
          <w:szCs w:val="24"/>
          <w:lang w:val="sq-AL"/>
        </w:rPr>
        <w:t>,</w:t>
      </w:r>
      <w:r w:rsidRPr="0058349C">
        <w:rPr>
          <w:rFonts w:ascii="Garamond" w:hAnsi="Garamond" w:cs="MS Mincho"/>
          <w:sz w:val="24"/>
          <w:szCs w:val="24"/>
          <w:lang w:val="sq-AL"/>
        </w:rPr>
        <w:t xml:space="preserve"> në përputhje me </w:t>
      </w:r>
      <w:r w:rsidR="00EC7359" w:rsidRPr="0058349C">
        <w:rPr>
          <w:rFonts w:ascii="Garamond" w:hAnsi="Garamond" w:cs="MS Mincho"/>
          <w:sz w:val="24"/>
          <w:szCs w:val="24"/>
          <w:lang w:val="sq-AL"/>
        </w:rPr>
        <w:t xml:space="preserve">udhërrëfyesin </w:t>
      </w:r>
      <w:r w:rsidRPr="0058349C">
        <w:rPr>
          <w:rFonts w:ascii="Garamond" w:hAnsi="Garamond" w:cs="MS Mincho"/>
          <w:sz w:val="24"/>
          <w:szCs w:val="24"/>
          <w:lang w:val="sq-AL"/>
        </w:rPr>
        <w:t xml:space="preserve">e BE-së për </w:t>
      </w:r>
      <w:r w:rsidR="00664693" w:rsidRPr="0058349C">
        <w:rPr>
          <w:rFonts w:ascii="Garamond" w:hAnsi="Garamond" w:cs="MS Mincho"/>
          <w:sz w:val="24"/>
          <w:szCs w:val="24"/>
          <w:lang w:val="sq-AL"/>
        </w:rPr>
        <w:t>“</w:t>
      </w:r>
      <w:r w:rsidRPr="0058349C">
        <w:rPr>
          <w:rFonts w:ascii="Garamond" w:hAnsi="Garamond" w:cs="MS Mincho"/>
          <w:sz w:val="24"/>
          <w:szCs w:val="24"/>
          <w:lang w:val="sq-AL"/>
        </w:rPr>
        <w:t xml:space="preserve">Planin e Veprimit për Barazinë Gjinore dhe </w:t>
      </w:r>
      <w:r w:rsidR="00EC7359" w:rsidRPr="0058349C">
        <w:rPr>
          <w:rFonts w:ascii="Garamond" w:hAnsi="Garamond" w:cs="MS Mincho"/>
          <w:sz w:val="24"/>
          <w:szCs w:val="24"/>
          <w:lang w:val="sq-AL"/>
        </w:rPr>
        <w:t xml:space="preserve">Fuqizimin </w:t>
      </w:r>
      <w:r w:rsidRPr="0058349C">
        <w:rPr>
          <w:rFonts w:ascii="Garamond" w:hAnsi="Garamond" w:cs="MS Mincho"/>
          <w:sz w:val="24"/>
          <w:szCs w:val="24"/>
          <w:lang w:val="sq-AL"/>
        </w:rPr>
        <w:t xml:space="preserve">e </w:t>
      </w:r>
      <w:r w:rsidR="00EC7359" w:rsidRPr="0058349C">
        <w:rPr>
          <w:rFonts w:ascii="Garamond" w:hAnsi="Garamond" w:cs="MS Mincho"/>
          <w:sz w:val="24"/>
          <w:szCs w:val="24"/>
          <w:lang w:val="sq-AL"/>
        </w:rPr>
        <w:t>Grave</w:t>
      </w:r>
      <w:r w:rsidR="00EC7359">
        <w:rPr>
          <w:rFonts w:ascii="Garamond" w:hAnsi="Garamond" w:cs="MS Mincho"/>
          <w:sz w:val="24"/>
          <w:szCs w:val="24"/>
          <w:lang w:val="sq-AL"/>
        </w:rPr>
        <w:t>,</w:t>
      </w:r>
      <w:r w:rsidR="00EC7359" w:rsidRPr="0058349C">
        <w:rPr>
          <w:rFonts w:ascii="Garamond" w:hAnsi="Garamond" w:cs="MS Mincho"/>
          <w:sz w:val="24"/>
          <w:szCs w:val="24"/>
          <w:lang w:val="sq-AL"/>
        </w:rPr>
        <w:t xml:space="preserve"> </w:t>
      </w:r>
      <w:r w:rsidR="00612507" w:rsidRPr="0058349C">
        <w:rPr>
          <w:rFonts w:ascii="Garamond" w:hAnsi="Garamond" w:cs="MS Mincho"/>
          <w:sz w:val="24"/>
          <w:szCs w:val="24"/>
          <w:lang w:val="sq-AL"/>
        </w:rPr>
        <w:t>2021–2025</w:t>
      </w:r>
      <w:r w:rsidR="00664693" w:rsidRPr="0058349C">
        <w:rPr>
          <w:rFonts w:ascii="Garamond" w:hAnsi="Garamond" w:cs="MS Mincho"/>
          <w:sz w:val="24"/>
          <w:szCs w:val="24"/>
          <w:lang w:val="sq-AL"/>
        </w:rPr>
        <w:t>”</w:t>
      </w:r>
      <w:r w:rsidR="00EC7359">
        <w:rPr>
          <w:rFonts w:ascii="Garamond" w:hAnsi="Garamond" w:cs="MS Mincho"/>
          <w:sz w:val="24"/>
          <w:szCs w:val="24"/>
          <w:lang w:val="sq-AL"/>
        </w:rPr>
        <w:t>,</w:t>
      </w:r>
      <w:r w:rsidRPr="0058349C">
        <w:rPr>
          <w:rFonts w:ascii="Garamond" w:hAnsi="Garamond" w:cs="MS Mincho"/>
          <w:sz w:val="24"/>
          <w:szCs w:val="24"/>
          <w:lang w:val="sq-AL"/>
        </w:rPr>
        <w:t xml:space="preserve"> në lidhje me të drejtat ekonomike dhe sociale dhe fuqizimin e vajzave dhe grave</w:t>
      </w:r>
      <w:r w:rsidR="00EC7359">
        <w:rPr>
          <w:rFonts w:ascii="Garamond" w:hAnsi="Garamond" w:cs="MS Mincho"/>
          <w:sz w:val="24"/>
          <w:szCs w:val="24"/>
          <w:lang w:val="sq-AL"/>
        </w:rPr>
        <w:t>,</w:t>
      </w:r>
      <w:r w:rsidRPr="0058349C">
        <w:rPr>
          <w:rFonts w:ascii="Garamond" w:hAnsi="Garamond" w:cs="MS Mincho"/>
          <w:sz w:val="24"/>
          <w:szCs w:val="24"/>
          <w:lang w:val="sq-AL"/>
        </w:rPr>
        <w:t xml:space="preserve"> dhe duke përfshirë rolin e grave dhe vajzave në tranzicionin e gjelbër dhe transformimin di</w:t>
      </w:r>
      <w:r w:rsidR="00EC7359">
        <w:rPr>
          <w:rFonts w:ascii="Garamond" w:hAnsi="Garamond" w:cs="MS Mincho"/>
          <w:sz w:val="24"/>
          <w:szCs w:val="24"/>
          <w:lang w:val="sq-AL"/>
        </w:rPr>
        <w:t>gj</w:t>
      </w:r>
      <w:r w:rsidRPr="0058349C">
        <w:rPr>
          <w:rFonts w:ascii="Garamond" w:hAnsi="Garamond" w:cs="MS Mincho"/>
          <w:sz w:val="24"/>
          <w:szCs w:val="24"/>
          <w:lang w:val="sq-AL"/>
        </w:rPr>
        <w:t xml:space="preserve">ital në sektorët që mbulon kjo strategji. </w:t>
      </w:r>
    </w:p>
    <w:p w14:paraId="0773AC39" w14:textId="487D991C"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 xml:space="preserve">Direktiva e riformuluar e BE-së (2006/54/KE) për Mundësitë e Barabarta dhe Trajtimin e Barabartë të grave dhe </w:t>
      </w:r>
      <w:r w:rsidR="00EC7359">
        <w:rPr>
          <w:rFonts w:ascii="Garamond" w:hAnsi="Garamond" w:cs="MS Mincho"/>
          <w:sz w:val="24"/>
          <w:szCs w:val="24"/>
          <w:lang w:val="sq-AL"/>
        </w:rPr>
        <w:t xml:space="preserve">të </w:t>
      </w:r>
      <w:r w:rsidRPr="0058349C">
        <w:rPr>
          <w:rFonts w:ascii="Garamond" w:hAnsi="Garamond" w:cs="MS Mincho"/>
          <w:sz w:val="24"/>
          <w:szCs w:val="24"/>
          <w:lang w:val="sq-AL"/>
        </w:rPr>
        <w:t xml:space="preserve">burrave në punësim dhe profesion është marrë në konsideratë nga administrata publike shqiptare. </w:t>
      </w:r>
    </w:p>
    <w:p w14:paraId="0773AC3A" w14:textId="56135FF2" w:rsidR="00492C9C" w:rsidRPr="0058349C" w:rsidRDefault="00492C9C" w:rsidP="004A3BE7">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Në të gjitha fazat e hartimit të kësaj Strategjie</w:t>
      </w:r>
      <w:r w:rsidR="004A3BE7">
        <w:rPr>
          <w:rFonts w:ascii="Garamond" w:hAnsi="Garamond" w:cs="MS Mincho"/>
          <w:sz w:val="24"/>
          <w:szCs w:val="24"/>
          <w:lang w:val="sq-AL"/>
        </w:rPr>
        <w:t>,</w:t>
      </w:r>
      <w:r w:rsidRPr="0058349C">
        <w:rPr>
          <w:rFonts w:ascii="Garamond" w:hAnsi="Garamond" w:cs="MS Mincho"/>
          <w:sz w:val="24"/>
          <w:szCs w:val="24"/>
          <w:lang w:val="sq-AL"/>
        </w:rPr>
        <w:t xml:space="preserve"> por edhe të zbatimit të saj përmbahen element</w:t>
      </w:r>
      <w:r w:rsidR="004A3BE7">
        <w:rPr>
          <w:rFonts w:ascii="Garamond" w:hAnsi="Garamond" w:cs="MS Mincho"/>
          <w:sz w:val="24"/>
          <w:szCs w:val="24"/>
          <w:lang w:val="sq-AL"/>
        </w:rPr>
        <w:t>e</w:t>
      </w:r>
      <w:r w:rsidRPr="0058349C">
        <w:rPr>
          <w:rFonts w:ascii="Garamond" w:hAnsi="Garamond" w:cs="MS Mincho"/>
          <w:sz w:val="24"/>
          <w:szCs w:val="24"/>
          <w:lang w:val="sq-AL"/>
        </w:rPr>
        <w:t xml:space="preserve"> që fuqizojnë pjesëmarrjen e grave dhe </w:t>
      </w:r>
      <w:r w:rsidR="004A3BE7">
        <w:rPr>
          <w:rFonts w:ascii="Garamond" w:hAnsi="Garamond" w:cs="MS Mincho"/>
          <w:sz w:val="24"/>
          <w:szCs w:val="24"/>
          <w:lang w:val="sq-AL"/>
        </w:rPr>
        <w:t xml:space="preserve">të </w:t>
      </w:r>
      <w:r w:rsidRPr="0058349C">
        <w:rPr>
          <w:rFonts w:ascii="Garamond" w:hAnsi="Garamond" w:cs="MS Mincho"/>
          <w:sz w:val="24"/>
          <w:szCs w:val="24"/>
          <w:lang w:val="sq-AL"/>
        </w:rPr>
        <w:t>burrave, në mënyrë të balancuar. Strategjia synon t’u japë grave mundësi të barabarta dhe reale në aksesin dhe përfitimin e fondeve publike. Veprime avantazhuese</w:t>
      </w:r>
      <w:r w:rsidR="004A3BE7">
        <w:rPr>
          <w:rFonts w:ascii="Garamond" w:hAnsi="Garamond" w:cs="MS Mincho"/>
          <w:sz w:val="24"/>
          <w:szCs w:val="24"/>
          <w:lang w:val="sq-AL"/>
        </w:rPr>
        <w:t>,</w:t>
      </w:r>
      <w:r w:rsidRPr="0058349C">
        <w:rPr>
          <w:rFonts w:ascii="Garamond" w:hAnsi="Garamond" w:cs="MS Mincho"/>
          <w:sz w:val="24"/>
          <w:szCs w:val="24"/>
          <w:lang w:val="sq-AL"/>
        </w:rPr>
        <w:t xml:space="preserve"> si p.sh. pikë më të larta për grandet IPARD III dhe mundësi të barabarta për akses në pagesat e drejtpërdrejta, do të vazhdojnë të zbatohen.</w:t>
      </w:r>
    </w:p>
    <w:p w14:paraId="0773AC3B" w14:textId="0F9FAC4A"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Ndërhyrjet synojnë të respektojnë plotësisht të drejtat e të gjithë individëve, duke përfshirë të rinjtë dhe minoritetet dhe grupet e marxhinalizuara.</w:t>
      </w:r>
    </w:p>
    <w:p w14:paraId="0773AC3C" w14:textId="7BA1423C"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Aksesi në informacion, në kontekstin e zbatimit të Strategjisë, do të sigurohet pa marrë parasysh gjininë apo përkatësinë etnike.</w:t>
      </w:r>
    </w:p>
    <w:p w14:paraId="0773AC3D" w14:textId="440B959F" w:rsidR="00492C9C" w:rsidRPr="0058349C" w:rsidRDefault="00492C9C" w:rsidP="00492C9C">
      <w:pPr>
        <w:keepLines/>
        <w:autoSpaceDE w:val="0"/>
        <w:autoSpaceDN w:val="0"/>
        <w:adjustRightInd w:val="0"/>
        <w:spacing w:after="0" w:line="240" w:lineRule="auto"/>
        <w:ind w:firstLine="284"/>
        <w:jc w:val="both"/>
        <w:outlineLvl w:val="1"/>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1.7 Ndërlidhja me kuadrin e politikave përkatëse të BE-së</w:t>
      </w:r>
      <w:r w:rsidR="004A3BE7">
        <w:rPr>
          <w:rFonts w:ascii="Garamond" w:eastAsiaTheme="minorHAnsi" w:hAnsi="Garamond" w:cs="Arial"/>
          <w:b/>
          <w:bCs/>
          <w:sz w:val="24"/>
          <w:szCs w:val="24"/>
          <w:lang w:val="sq-AL"/>
        </w:rPr>
        <w:t>,</w:t>
      </w:r>
      <w:r w:rsidRPr="0058349C">
        <w:rPr>
          <w:rFonts w:ascii="Garamond" w:eastAsiaTheme="minorHAnsi" w:hAnsi="Garamond" w:cs="Arial"/>
          <w:b/>
          <w:bCs/>
          <w:sz w:val="24"/>
          <w:szCs w:val="24"/>
          <w:lang w:val="sq-AL"/>
        </w:rPr>
        <w:t xml:space="preserve"> në kuadër të procesit të integrimit </w:t>
      </w:r>
      <w:r w:rsidR="004A3BE7" w:rsidRPr="0058349C">
        <w:rPr>
          <w:rFonts w:ascii="Garamond" w:eastAsiaTheme="minorHAnsi" w:hAnsi="Garamond" w:cs="Arial"/>
          <w:b/>
          <w:bCs/>
          <w:sz w:val="24"/>
          <w:szCs w:val="24"/>
          <w:lang w:val="sq-AL"/>
        </w:rPr>
        <w:t xml:space="preserve">evropian </w:t>
      </w:r>
    </w:p>
    <w:p w14:paraId="0773AC3E" w14:textId="6BC096A8" w:rsidR="00492C9C" w:rsidRPr="0058349C" w:rsidRDefault="00492C9C" w:rsidP="00CB2790">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 xml:space="preserve">Politika e përgjithshme e Shqipërisë është e orientuar drejt </w:t>
      </w:r>
      <w:r w:rsidRPr="0058349C">
        <w:rPr>
          <w:rFonts w:ascii="Garamond" w:hAnsi="Garamond" w:cs="MS Mincho"/>
          <w:b/>
          <w:bCs/>
          <w:sz w:val="24"/>
          <w:szCs w:val="24"/>
          <w:lang w:val="sq-AL"/>
        </w:rPr>
        <w:t>anëtarësimit në BE</w:t>
      </w:r>
      <w:r w:rsidRPr="0058349C">
        <w:rPr>
          <w:rFonts w:ascii="Garamond" w:hAnsi="Garamond" w:cs="MS Mincho"/>
          <w:sz w:val="24"/>
          <w:szCs w:val="24"/>
          <w:lang w:val="sq-AL"/>
        </w:rPr>
        <w:t xml:space="preserve">. Në qershor të vitit 2014, Shqipërisë iu akordua statusi i vendit kandidat. Në qershor të vitit 2018, Këshilli Evropian përcaktoi rrugën drejt hapjes së negociatave të anëtarësimit në BE dhe në 25 mars të vitit 2020, vendosi të hapë negociatat e </w:t>
      </w:r>
      <w:r w:rsidR="00CB2790" w:rsidRPr="0058349C">
        <w:rPr>
          <w:rFonts w:ascii="Garamond" w:hAnsi="Garamond" w:cs="MS Mincho"/>
          <w:sz w:val="24"/>
          <w:szCs w:val="24"/>
          <w:lang w:val="sq-AL"/>
        </w:rPr>
        <w:t>anëtarësimit</w:t>
      </w:r>
      <w:r w:rsidRPr="0058349C">
        <w:rPr>
          <w:rFonts w:ascii="Garamond" w:hAnsi="Garamond" w:cs="MS Mincho"/>
          <w:sz w:val="24"/>
          <w:szCs w:val="24"/>
          <w:lang w:val="sq-AL"/>
        </w:rPr>
        <w:t xml:space="preserve"> me Republikën e Shqipërisë, duke marr</w:t>
      </w:r>
      <w:r w:rsidR="00CB2790">
        <w:rPr>
          <w:rFonts w:ascii="Garamond" w:hAnsi="Garamond" w:cs="MS Mincho"/>
          <w:sz w:val="24"/>
          <w:szCs w:val="24"/>
          <w:lang w:val="sq-AL"/>
        </w:rPr>
        <w:t>ë</w:t>
      </w:r>
      <w:r w:rsidRPr="0058349C">
        <w:rPr>
          <w:rFonts w:ascii="Garamond" w:hAnsi="Garamond" w:cs="MS Mincho"/>
          <w:sz w:val="24"/>
          <w:szCs w:val="24"/>
          <w:lang w:val="sq-AL"/>
        </w:rPr>
        <w:t xml:space="preserve"> parasysh progresin e arritur mbi reformat dhe përmbushjen e kushteve të përcaktuara në unanimitet nga Këshilli i qershorit 2018. Në kontekstin e përafrimit gradual me </w:t>
      </w:r>
      <w:r w:rsidR="00B25257" w:rsidRPr="00B25257">
        <w:rPr>
          <w:rFonts w:ascii="Garamond" w:hAnsi="Garamond" w:cs="MS Mincho"/>
          <w:i/>
          <w:iCs/>
          <w:sz w:val="24"/>
          <w:szCs w:val="24"/>
          <w:lang w:val="sq-AL"/>
        </w:rPr>
        <w:t>acquis</w:t>
      </w:r>
      <w:r w:rsidRPr="0058349C">
        <w:rPr>
          <w:rFonts w:ascii="Garamond" w:hAnsi="Garamond" w:cs="MS Mincho"/>
          <w:sz w:val="24"/>
          <w:szCs w:val="24"/>
          <w:lang w:val="sq-AL"/>
        </w:rPr>
        <w:t xml:space="preserve"> të BE-së</w:t>
      </w:r>
      <w:r w:rsidR="00CB2790">
        <w:rPr>
          <w:rFonts w:ascii="Garamond" w:hAnsi="Garamond" w:cs="MS Mincho"/>
          <w:sz w:val="24"/>
          <w:szCs w:val="24"/>
          <w:lang w:val="sq-AL"/>
        </w:rPr>
        <w:t>, në përgjithësi</w:t>
      </w:r>
      <w:r w:rsidRPr="0058349C">
        <w:rPr>
          <w:rFonts w:ascii="Garamond" w:hAnsi="Garamond" w:cs="MS Mincho"/>
          <w:sz w:val="24"/>
          <w:szCs w:val="24"/>
          <w:lang w:val="sq-AL"/>
        </w:rPr>
        <w:t xml:space="preserve"> edhe me Politikën e Përbashkët Bujqësorë (PPB) dhe Politikën e Përbashkët të Peshkimit të BE-së (PPP) iu është kushtuar një vëmendje e konsiderueshme përafrimit dhe zhvillimit të qëndrueshëm të bujqësisë, zhvillimit rural dhe peshkimit</w:t>
      </w:r>
      <w:r w:rsidR="0017372A">
        <w:rPr>
          <w:rFonts w:ascii="Garamond" w:hAnsi="Garamond" w:cs="MS Mincho"/>
          <w:sz w:val="24"/>
          <w:szCs w:val="24"/>
          <w:lang w:val="sq-AL"/>
        </w:rPr>
        <w:t>,</w:t>
      </w:r>
      <w:r w:rsidRPr="0058349C">
        <w:rPr>
          <w:rFonts w:ascii="Garamond" w:hAnsi="Garamond" w:cs="MS Mincho"/>
          <w:sz w:val="24"/>
          <w:szCs w:val="24"/>
          <w:lang w:val="sq-AL"/>
        </w:rPr>
        <w:t xml:space="preserve"> për shkak të rëndësisë së tyre ekonomike dhe sociale dhe ku janë të punësuar dhe jetojnë rreth 40% e popullsisë në Shqipëri.</w:t>
      </w:r>
    </w:p>
    <w:p w14:paraId="0773AC3F" w14:textId="3DFBE94D" w:rsidR="00492C9C" w:rsidRPr="0058349C" w:rsidRDefault="00492C9C" w:rsidP="00E96B92">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Për të përballuar sfidat aktuale</w:t>
      </w:r>
      <w:r w:rsidR="00E96B92">
        <w:rPr>
          <w:rFonts w:ascii="Garamond" w:hAnsi="Garamond" w:cs="MS Mincho"/>
          <w:sz w:val="24"/>
          <w:szCs w:val="24"/>
          <w:lang w:val="sq-AL"/>
        </w:rPr>
        <w:t>,</w:t>
      </w:r>
      <w:r w:rsidRPr="0058349C">
        <w:rPr>
          <w:rFonts w:ascii="Garamond" w:hAnsi="Garamond" w:cs="MS Mincho"/>
          <w:sz w:val="24"/>
          <w:szCs w:val="24"/>
          <w:lang w:val="sq-AL"/>
        </w:rPr>
        <w:t xml:space="preserve"> por edhe ato të pritshme në të ardhmen e afërt apo afatmesme në sektorët e bujqësisë, zhvillimit rural dhe të peshkimit, ato globale por edhe ato në kuadër të procesit të përafrimit në BE, politikat dhe objektivat e parashtruar në SNBZHRP </w:t>
      </w:r>
      <w:r w:rsidR="00612507" w:rsidRPr="0058349C">
        <w:rPr>
          <w:rFonts w:ascii="Garamond" w:hAnsi="Garamond" w:cs="MS Mincho"/>
          <w:sz w:val="24"/>
          <w:szCs w:val="24"/>
          <w:lang w:val="sq-AL"/>
        </w:rPr>
        <w:t>2021–2027</w:t>
      </w:r>
      <w:r w:rsidRPr="0058349C">
        <w:rPr>
          <w:rFonts w:ascii="Garamond" w:hAnsi="Garamond" w:cs="MS Mincho"/>
          <w:sz w:val="24"/>
          <w:szCs w:val="24"/>
          <w:lang w:val="sq-AL"/>
        </w:rPr>
        <w:t xml:space="preserve"> janë bazuar në Planin Kombëtar për Integrim</w:t>
      </w:r>
      <w:r w:rsidR="00E96B92">
        <w:rPr>
          <w:rFonts w:ascii="Garamond" w:hAnsi="Garamond" w:cs="MS Mincho"/>
          <w:sz w:val="24"/>
          <w:szCs w:val="24"/>
          <w:lang w:val="sq-AL"/>
        </w:rPr>
        <w:t>in Evropian dhe përkatësisht te</w:t>
      </w:r>
      <w:r w:rsidRPr="0058349C">
        <w:rPr>
          <w:rFonts w:ascii="Garamond" w:hAnsi="Garamond" w:cs="MS Mincho"/>
          <w:sz w:val="24"/>
          <w:szCs w:val="24"/>
          <w:lang w:val="sq-AL"/>
        </w:rPr>
        <w:t xml:space="preserve"> kërkesat dhe objektivat e parashtruar në kapitujt e negocimit 11 (Bujqësia dhe Zhvillimi Rural), 12 (Siguria Ushqimore, Veterinaria dhe</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Mbrojtja e Bimëve) dhe 13 (Peshkimi).</w:t>
      </w:r>
    </w:p>
    <w:p w14:paraId="0773AC40" w14:textId="52AA902B" w:rsidR="00492C9C" w:rsidRPr="0058349C" w:rsidRDefault="00E96B92" w:rsidP="00492C9C">
      <w:pPr>
        <w:autoSpaceDE w:val="0"/>
        <w:autoSpaceDN w:val="0"/>
        <w:adjustRightInd w:val="0"/>
        <w:spacing w:after="0" w:line="240" w:lineRule="auto"/>
        <w:ind w:firstLine="284"/>
        <w:jc w:val="both"/>
        <w:rPr>
          <w:rFonts w:ascii="Garamond" w:hAnsi="Garamond" w:cs="MS Mincho"/>
          <w:sz w:val="24"/>
          <w:szCs w:val="24"/>
          <w:lang w:val="sq-AL"/>
        </w:rPr>
      </w:pPr>
      <w:r>
        <w:rPr>
          <w:rFonts w:ascii="Garamond" w:hAnsi="Garamond" w:cs="MS Mincho"/>
          <w:sz w:val="24"/>
          <w:szCs w:val="24"/>
          <w:lang w:val="sq-AL"/>
        </w:rPr>
        <w:t>Draft</w:t>
      </w:r>
      <w:r w:rsidR="00492C9C" w:rsidRPr="0058349C">
        <w:rPr>
          <w:rFonts w:ascii="Garamond" w:hAnsi="Garamond" w:cs="MS Mincho"/>
          <w:sz w:val="24"/>
          <w:szCs w:val="24"/>
          <w:lang w:val="sq-AL"/>
        </w:rPr>
        <w:t>korniza negociatore e muajit korrik të vitit 2020 përcaktoi direktivat dhe parimet për negociatat e anëtarësimit me një metodologji të re për Shqipërinë si vend kandidat. Korniza nuk është nënshkruar ende. Ajo integron metodologjinë e rishikuar të zgjerimit, merr parasysh kuadrin ligjor e strategjik të BE-së (EU-</w:t>
      </w:r>
      <w:r w:rsidR="00B25257" w:rsidRPr="00B25257">
        <w:rPr>
          <w:rFonts w:ascii="Garamond" w:hAnsi="Garamond" w:cs="MS Mincho"/>
          <w:i/>
          <w:iCs/>
          <w:sz w:val="24"/>
          <w:szCs w:val="24"/>
          <w:lang w:val="sq-AL"/>
        </w:rPr>
        <w:t>acquis</w:t>
      </w:r>
      <w:r w:rsidR="00492C9C" w:rsidRPr="0058349C">
        <w:rPr>
          <w:rFonts w:ascii="Garamond" w:hAnsi="Garamond" w:cs="MS Mincho"/>
          <w:sz w:val="24"/>
          <w:szCs w:val="24"/>
          <w:lang w:val="sq-AL"/>
        </w:rPr>
        <w:t>), gjithashtu edhe PPB-në e BE-së e pas vitit 2020 dhe pasqyron</w:t>
      </w:r>
      <w:r>
        <w:rPr>
          <w:rFonts w:ascii="Garamond" w:hAnsi="Garamond" w:cs="MS Mincho"/>
          <w:sz w:val="24"/>
          <w:szCs w:val="24"/>
          <w:lang w:val="sq-AL"/>
        </w:rPr>
        <w:t>,</w:t>
      </w:r>
      <w:r w:rsidR="00492C9C" w:rsidRPr="0058349C">
        <w:rPr>
          <w:rFonts w:ascii="Garamond" w:hAnsi="Garamond" w:cs="MS Mincho"/>
          <w:sz w:val="24"/>
          <w:szCs w:val="24"/>
          <w:lang w:val="sq-AL"/>
        </w:rPr>
        <w:t xml:space="preserve"> siç duhet arritjet dhe situatën specifike të Shqipërisë. </w:t>
      </w:r>
    </w:p>
    <w:p w14:paraId="0773AC41" w14:textId="6CD826DE"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lastRenderedPageBreak/>
        <w:t>Në hartimin e dokumentit janë konsiderua</w:t>
      </w:r>
      <w:r w:rsidR="00E96B92">
        <w:rPr>
          <w:rFonts w:ascii="Garamond" w:hAnsi="Garamond" w:cs="MS Mincho"/>
          <w:sz w:val="24"/>
          <w:szCs w:val="24"/>
          <w:lang w:val="sq-AL"/>
        </w:rPr>
        <w:t>r edhe në rekomandimet e raport</w:t>
      </w:r>
      <w:r w:rsidRPr="0058349C">
        <w:rPr>
          <w:rFonts w:ascii="Garamond" w:hAnsi="Garamond" w:cs="MS Mincho"/>
          <w:sz w:val="24"/>
          <w:szCs w:val="24"/>
          <w:lang w:val="sq-AL"/>
        </w:rPr>
        <w:t>progresit të vitit 2021 të BE-së për Shqipërinë</w:t>
      </w:r>
      <w:r w:rsidR="00E96B92">
        <w:rPr>
          <w:rFonts w:ascii="Garamond" w:hAnsi="Garamond" w:cs="MS Mincho"/>
          <w:sz w:val="24"/>
          <w:szCs w:val="24"/>
          <w:lang w:val="sq-AL"/>
        </w:rPr>
        <w:t>,</w:t>
      </w:r>
      <w:r w:rsidRPr="0058349C">
        <w:rPr>
          <w:rFonts w:ascii="Garamond" w:hAnsi="Garamond" w:cs="MS Mincho"/>
          <w:sz w:val="24"/>
          <w:szCs w:val="24"/>
          <w:lang w:val="sq-AL"/>
        </w:rPr>
        <w:t xml:space="preserve"> si më poshtë:</w:t>
      </w:r>
    </w:p>
    <w:p w14:paraId="0773AC42" w14:textId="5767CF13"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Në lidhje me kapitullin 11</w:t>
      </w:r>
      <w:r w:rsidR="00E96B92">
        <w:rPr>
          <w:rFonts w:ascii="Garamond" w:hAnsi="Garamond" w:cs="MS Mincho"/>
          <w:sz w:val="24"/>
          <w:szCs w:val="24"/>
          <w:lang w:val="sq-AL"/>
        </w:rPr>
        <w:t>: Bujqësia dhe Zhvillimi Rural</w:t>
      </w:r>
    </w:p>
    <w:p w14:paraId="0773AC43" w14:textId="6B695E21" w:rsidR="00492C9C" w:rsidRPr="0058349C" w:rsidRDefault="00492C9C" w:rsidP="00E96B92">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Symbol"/>
          <w:sz w:val="24"/>
          <w:szCs w:val="24"/>
          <w:lang w:val="sq-AL"/>
        </w:rPr>
        <w:t xml:space="preserve">- </w:t>
      </w:r>
      <w:r w:rsidRPr="0058349C">
        <w:rPr>
          <w:rFonts w:ascii="Garamond" w:hAnsi="Garamond" w:cs="MS Mincho"/>
          <w:sz w:val="24"/>
          <w:szCs w:val="24"/>
          <w:lang w:val="sq-AL"/>
        </w:rPr>
        <w:t>Krijimi i regjistrit të fermave, përmirësimi i regjistrit të kafshëve të gjalla dhe miratimi i një plan për të ngritur Rrjetin e të Dhënave Ekonomike të Fermave (FADN) për të ofruar të dhëna të vlefshme (garantuara) për politik</w:t>
      </w:r>
      <w:r w:rsidR="00E96B92">
        <w:rPr>
          <w:rFonts w:ascii="Garamond" w:hAnsi="Garamond" w:cs="MS Mincho"/>
          <w:sz w:val="24"/>
          <w:szCs w:val="24"/>
          <w:lang w:val="sq-AL"/>
        </w:rPr>
        <w:t>ë</w:t>
      </w:r>
      <w:r w:rsidRPr="0058349C">
        <w:rPr>
          <w:rFonts w:ascii="Garamond" w:hAnsi="Garamond" w:cs="MS Mincho"/>
          <w:sz w:val="24"/>
          <w:szCs w:val="24"/>
          <w:lang w:val="sq-AL"/>
        </w:rPr>
        <w:t>bërjen</w:t>
      </w:r>
      <w:r w:rsidR="00D73246">
        <w:rPr>
          <w:rFonts w:ascii="Garamond" w:hAnsi="Garamond" w:cs="MS Mincho"/>
          <w:sz w:val="24"/>
          <w:szCs w:val="24"/>
          <w:lang w:val="sq-AL"/>
        </w:rPr>
        <w:t>;</w:t>
      </w:r>
      <w:r w:rsidRPr="0058349C">
        <w:rPr>
          <w:rFonts w:ascii="Garamond" w:hAnsi="Garamond" w:cs="MS Mincho"/>
          <w:sz w:val="24"/>
          <w:szCs w:val="24"/>
          <w:lang w:val="sq-AL"/>
        </w:rPr>
        <w:t xml:space="preserve"> </w:t>
      </w:r>
    </w:p>
    <w:p w14:paraId="0773AC44" w14:textId="3B68D012"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Symbol"/>
          <w:sz w:val="24"/>
          <w:szCs w:val="24"/>
          <w:lang w:val="sq-AL"/>
        </w:rPr>
        <w:t>-</w:t>
      </w:r>
      <w:r w:rsidR="00E96B92">
        <w:rPr>
          <w:rFonts w:ascii="Garamond" w:eastAsiaTheme="minorHAnsi" w:hAnsi="Garamond" w:cs="Symbol"/>
          <w:sz w:val="24"/>
          <w:szCs w:val="24"/>
          <w:lang w:val="sq-AL"/>
        </w:rPr>
        <w:t xml:space="preserve"> </w:t>
      </w:r>
      <w:r w:rsidRPr="0058349C">
        <w:rPr>
          <w:rFonts w:ascii="Garamond" w:hAnsi="Garamond" w:cs="MS Mincho"/>
          <w:sz w:val="24"/>
          <w:szCs w:val="24"/>
          <w:lang w:val="sq-AL"/>
        </w:rPr>
        <w:t>Ngritja dhe garantimi i kapaciteteve administrative të nevojshme për të përgatitur dhe zbatuar nëntë masat e programi IPARD III (</w:t>
      </w:r>
      <w:r w:rsidR="00612507" w:rsidRPr="0058349C">
        <w:rPr>
          <w:rFonts w:ascii="Garamond" w:hAnsi="Garamond" w:cs="MS Mincho"/>
          <w:sz w:val="24"/>
          <w:szCs w:val="24"/>
          <w:lang w:val="sq-AL"/>
        </w:rPr>
        <w:t>2021–2027</w:t>
      </w:r>
      <w:r w:rsidRPr="0058349C">
        <w:rPr>
          <w:rFonts w:ascii="Garamond" w:hAnsi="Garamond" w:cs="MS Mincho"/>
          <w:sz w:val="24"/>
          <w:szCs w:val="24"/>
          <w:lang w:val="sq-AL"/>
        </w:rPr>
        <w:t>)</w:t>
      </w:r>
      <w:r w:rsidR="005F390A">
        <w:rPr>
          <w:rFonts w:ascii="Garamond" w:hAnsi="Garamond" w:cs="MS Mincho"/>
          <w:sz w:val="24"/>
          <w:szCs w:val="24"/>
          <w:lang w:val="sq-AL"/>
        </w:rPr>
        <w:t>,</w:t>
      </w:r>
      <w:r w:rsidRPr="0058349C">
        <w:rPr>
          <w:rFonts w:ascii="Garamond" w:hAnsi="Garamond" w:cs="MS Mincho"/>
          <w:sz w:val="24"/>
          <w:szCs w:val="24"/>
          <w:lang w:val="sq-AL"/>
        </w:rPr>
        <w:t xml:space="preserve"> duke garantuar kushtet për akreditimin e tij nga BE</w:t>
      </w:r>
      <w:r w:rsidR="005F390A">
        <w:rPr>
          <w:rFonts w:ascii="Garamond" w:hAnsi="Garamond" w:cs="MS Mincho"/>
          <w:sz w:val="24"/>
          <w:szCs w:val="24"/>
          <w:lang w:val="sq-AL"/>
        </w:rPr>
        <w:t>-ja</w:t>
      </w:r>
      <w:r w:rsidRPr="0058349C">
        <w:rPr>
          <w:rFonts w:ascii="Garamond" w:hAnsi="Garamond" w:cs="MS Mincho"/>
          <w:sz w:val="24"/>
          <w:szCs w:val="24"/>
          <w:lang w:val="sq-AL"/>
        </w:rPr>
        <w:t xml:space="preserve">; </w:t>
      </w:r>
    </w:p>
    <w:p w14:paraId="0773AC45" w14:textId="4FA2FE70"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Symbol"/>
          <w:sz w:val="24"/>
          <w:szCs w:val="24"/>
          <w:lang w:val="sq-AL"/>
        </w:rPr>
        <w:t>-</w:t>
      </w:r>
      <w:r w:rsidR="00E96B92">
        <w:rPr>
          <w:rFonts w:ascii="Garamond" w:eastAsiaTheme="minorHAnsi" w:hAnsi="Garamond" w:cs="Symbol"/>
          <w:sz w:val="24"/>
          <w:szCs w:val="24"/>
          <w:lang w:val="sq-AL"/>
        </w:rPr>
        <w:t xml:space="preserve"> </w:t>
      </w:r>
      <w:r w:rsidRPr="0058349C">
        <w:rPr>
          <w:rFonts w:ascii="Garamond" w:hAnsi="Garamond" w:cs="MS Mincho"/>
          <w:sz w:val="24"/>
          <w:szCs w:val="24"/>
          <w:lang w:val="sq-AL"/>
        </w:rPr>
        <w:t xml:space="preserve">Plotësimi i kuadrin ligjor për vreshtarinë dhe verën, për skemat e cilësisë dhe </w:t>
      </w:r>
      <w:r w:rsidR="00D73246">
        <w:rPr>
          <w:rFonts w:ascii="Garamond" w:hAnsi="Garamond" w:cs="MS Mincho"/>
          <w:sz w:val="24"/>
          <w:szCs w:val="24"/>
          <w:lang w:val="sq-AL"/>
        </w:rPr>
        <w:t xml:space="preserve">për </w:t>
      </w:r>
      <w:r w:rsidRPr="0058349C">
        <w:rPr>
          <w:rFonts w:ascii="Garamond" w:hAnsi="Garamond" w:cs="MS Mincho"/>
          <w:sz w:val="24"/>
          <w:szCs w:val="24"/>
          <w:lang w:val="sq-AL"/>
        </w:rPr>
        <w:t>prodhimin organik: të garantojë kapacitetet institucionale dhe administrative për zbatimin e tyre.</w:t>
      </w:r>
    </w:p>
    <w:p w14:paraId="0773AC46" w14:textId="16573A7B" w:rsidR="00492C9C" w:rsidRPr="0058349C" w:rsidRDefault="00492C9C" w:rsidP="005361C5">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Symbol"/>
          <w:sz w:val="24"/>
          <w:szCs w:val="24"/>
          <w:lang w:val="sq-AL"/>
        </w:rPr>
        <w:t>-</w:t>
      </w:r>
      <w:r w:rsidR="00E96B92">
        <w:rPr>
          <w:rFonts w:ascii="Garamond" w:eastAsiaTheme="minorHAnsi" w:hAnsi="Garamond" w:cs="Symbol"/>
          <w:sz w:val="24"/>
          <w:szCs w:val="24"/>
          <w:lang w:val="sq-AL"/>
        </w:rPr>
        <w:t xml:space="preserve"> </w:t>
      </w:r>
      <w:r w:rsidRPr="0058349C">
        <w:rPr>
          <w:rFonts w:ascii="Garamond" w:hAnsi="Garamond" w:cs="MS Mincho"/>
          <w:sz w:val="24"/>
          <w:szCs w:val="24"/>
          <w:lang w:val="sq-AL"/>
        </w:rPr>
        <w:t>Rritjen në vazhdimësi të buxheti kombëtar për bujqësinë, zhvillimin rural dhe peshkimin</w:t>
      </w:r>
      <w:r w:rsidR="00D73246">
        <w:rPr>
          <w:rFonts w:ascii="Garamond" w:hAnsi="Garamond" w:cs="MS Mincho"/>
          <w:sz w:val="24"/>
          <w:szCs w:val="24"/>
          <w:lang w:val="sq-AL"/>
        </w:rPr>
        <w:t>,</w:t>
      </w:r>
      <w:r w:rsidRPr="0058349C">
        <w:rPr>
          <w:rFonts w:ascii="Garamond" w:hAnsi="Garamond" w:cs="MS Mincho"/>
          <w:sz w:val="24"/>
          <w:szCs w:val="24"/>
          <w:lang w:val="sq-AL"/>
        </w:rPr>
        <w:t xml:space="preserve"> duke e bërë mbështetjen financiare kombëtare të bashkërenduar me mbështetjen nëpërmjet IPARD</w:t>
      </w:r>
      <w:r w:rsidR="00D73246">
        <w:rPr>
          <w:rFonts w:ascii="Garamond" w:hAnsi="Garamond" w:cs="MS Mincho"/>
          <w:sz w:val="24"/>
          <w:szCs w:val="24"/>
          <w:lang w:val="sq-AL"/>
        </w:rPr>
        <w:t>-së</w:t>
      </w:r>
      <w:r w:rsidR="005361C5">
        <w:rPr>
          <w:rFonts w:ascii="Garamond" w:hAnsi="Garamond" w:cs="MS Mincho"/>
          <w:sz w:val="24"/>
          <w:szCs w:val="24"/>
          <w:lang w:val="sq-AL"/>
        </w:rPr>
        <w:t>;</w:t>
      </w:r>
      <w:r w:rsidRPr="0058349C">
        <w:rPr>
          <w:rFonts w:ascii="Garamond" w:hAnsi="Garamond" w:cs="MS Mincho"/>
          <w:sz w:val="24"/>
          <w:szCs w:val="24"/>
          <w:lang w:val="sq-AL"/>
        </w:rPr>
        <w:t xml:space="preserve"> </w:t>
      </w:r>
    </w:p>
    <w:p w14:paraId="0773AC47" w14:textId="47EC4653"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Symbol"/>
          <w:sz w:val="24"/>
          <w:szCs w:val="24"/>
          <w:lang w:val="sq-AL"/>
        </w:rPr>
        <w:t>-</w:t>
      </w:r>
      <w:r w:rsidR="00E96B92">
        <w:rPr>
          <w:rFonts w:ascii="Garamond" w:eastAsiaTheme="minorHAnsi" w:hAnsi="Garamond" w:cs="Symbol"/>
          <w:sz w:val="24"/>
          <w:szCs w:val="24"/>
          <w:lang w:val="sq-AL"/>
        </w:rPr>
        <w:t xml:space="preserve"> </w:t>
      </w:r>
      <w:r w:rsidRPr="0058349C">
        <w:rPr>
          <w:rFonts w:ascii="Garamond" w:hAnsi="Garamond" w:cs="MS Mincho"/>
          <w:sz w:val="24"/>
          <w:szCs w:val="24"/>
          <w:lang w:val="sq-AL"/>
        </w:rPr>
        <w:t xml:space="preserve">Përfundimin e reformës së shërbimit këshillimor bujqësor, duke e integruar atë në sistemin e integruar të njohurive dhe </w:t>
      </w:r>
      <w:r w:rsidR="005361C5">
        <w:rPr>
          <w:rFonts w:ascii="Garamond" w:hAnsi="Garamond" w:cs="MS Mincho"/>
          <w:sz w:val="24"/>
          <w:szCs w:val="24"/>
          <w:lang w:val="sq-AL"/>
        </w:rPr>
        <w:t xml:space="preserve">të </w:t>
      </w:r>
      <w:r w:rsidRPr="0058349C">
        <w:rPr>
          <w:rFonts w:ascii="Garamond" w:hAnsi="Garamond" w:cs="MS Mincho"/>
          <w:sz w:val="24"/>
          <w:szCs w:val="24"/>
          <w:lang w:val="sq-AL"/>
        </w:rPr>
        <w:t>inovacionit, të përputhur plotësisht me sistemin AKIS</w:t>
      </w:r>
      <w:r w:rsidR="005361C5">
        <w:rPr>
          <w:rFonts w:ascii="Garamond" w:hAnsi="Garamond" w:cs="MS Mincho"/>
          <w:sz w:val="24"/>
          <w:szCs w:val="24"/>
          <w:lang w:val="sq-AL"/>
        </w:rPr>
        <w:t>,</w:t>
      </w:r>
      <w:r w:rsidRPr="0058349C">
        <w:rPr>
          <w:rFonts w:ascii="Garamond" w:hAnsi="Garamond" w:cs="MS Mincho"/>
          <w:sz w:val="24"/>
          <w:szCs w:val="24"/>
          <w:lang w:val="sq-AL"/>
        </w:rPr>
        <w:t xml:space="preserve"> të zbatuar në kuadër të zbatimit të PPP në vendet anëtare të BE-së.</w:t>
      </w:r>
    </w:p>
    <w:p w14:paraId="0773AC48" w14:textId="7C585532" w:rsidR="00492C9C" w:rsidRPr="0058349C" w:rsidRDefault="00492C9C" w:rsidP="005361C5">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Në lidhje me kapitullin 12</w:t>
      </w:r>
      <w:r w:rsidRPr="0058349C">
        <w:rPr>
          <w:rFonts w:ascii="Garamond" w:hAnsi="Garamond" w:cs="MS Mincho"/>
          <w:sz w:val="24"/>
          <w:szCs w:val="24"/>
          <w:lang w:val="sq-AL"/>
        </w:rPr>
        <w:t xml:space="preserve"> – Siguria ushqimore, politika për sigurinë ushqimore, veterinarinë dhe ajo fitosanitare</w:t>
      </w:r>
      <w:r w:rsidR="001D5C8E">
        <w:rPr>
          <w:rFonts w:ascii="Garamond" w:hAnsi="Garamond" w:cs="MS Mincho"/>
          <w:sz w:val="24"/>
          <w:szCs w:val="24"/>
          <w:lang w:val="sq-AL"/>
        </w:rPr>
        <w:t>,</w:t>
      </w:r>
      <w:r w:rsidRPr="0058349C">
        <w:rPr>
          <w:rFonts w:ascii="Garamond" w:hAnsi="Garamond" w:cs="MS Mincho"/>
          <w:sz w:val="24"/>
          <w:szCs w:val="24"/>
          <w:lang w:val="sq-AL"/>
        </w:rPr>
        <w:t xml:space="preserve"> në veçanti: </w:t>
      </w:r>
    </w:p>
    <w:p w14:paraId="0773AC49" w14:textId="3C48CE55" w:rsidR="00492C9C" w:rsidRPr="0058349C" w:rsidRDefault="00492C9C" w:rsidP="001D5C8E">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Symbol"/>
          <w:sz w:val="24"/>
          <w:szCs w:val="24"/>
          <w:lang w:val="sq-AL"/>
        </w:rPr>
        <w:t>-</w:t>
      </w:r>
      <w:r w:rsidR="00E96B92">
        <w:rPr>
          <w:rFonts w:ascii="Garamond" w:eastAsiaTheme="minorHAnsi" w:hAnsi="Garamond" w:cs="Symbol"/>
          <w:sz w:val="24"/>
          <w:szCs w:val="24"/>
          <w:lang w:val="sq-AL"/>
        </w:rPr>
        <w:t xml:space="preserve"> </w:t>
      </w:r>
      <w:r w:rsidRPr="0058349C">
        <w:rPr>
          <w:rFonts w:ascii="Garamond" w:hAnsi="Garamond" w:cs="MS Mincho"/>
          <w:sz w:val="24"/>
          <w:szCs w:val="24"/>
          <w:lang w:val="sq-AL"/>
        </w:rPr>
        <w:t>Do të përfundojë reforma për ristrukturimin e shërbimit veterinar, për ta bërë këtë shërbim plotësisht operacional</w:t>
      </w:r>
      <w:r w:rsidR="001D5C8E">
        <w:rPr>
          <w:rFonts w:ascii="Garamond" w:hAnsi="Garamond" w:cs="MS Mincho"/>
          <w:sz w:val="24"/>
          <w:szCs w:val="24"/>
          <w:lang w:val="sq-AL"/>
        </w:rPr>
        <w:t>;</w:t>
      </w:r>
    </w:p>
    <w:p w14:paraId="0773AC4A"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Symbol"/>
          <w:sz w:val="24"/>
          <w:szCs w:val="24"/>
          <w:lang w:val="sq-AL"/>
        </w:rPr>
        <w:t xml:space="preserve">- </w:t>
      </w:r>
      <w:r w:rsidRPr="0058349C">
        <w:rPr>
          <w:rFonts w:ascii="Garamond" w:hAnsi="Garamond" w:cs="MS Mincho"/>
          <w:sz w:val="24"/>
          <w:szCs w:val="24"/>
          <w:lang w:val="sq-AL"/>
        </w:rPr>
        <w:t xml:space="preserve">Ngritja e kapaciteteve efektive për mbikëqyrjen dhe kontrollin e sëmundjeve kryesore infektive përfshirë sëmundjen e tërbimit </w:t>
      </w:r>
      <w:r w:rsidRPr="001D5C8E">
        <w:rPr>
          <w:rFonts w:ascii="Garamond" w:hAnsi="Garamond" w:cs="MS Mincho"/>
          <w:i/>
          <w:iCs/>
          <w:sz w:val="24"/>
          <w:szCs w:val="24"/>
          <w:lang w:val="sq-AL"/>
        </w:rPr>
        <w:t>(rabies);</w:t>
      </w:r>
      <w:r w:rsidRPr="0058349C">
        <w:rPr>
          <w:rFonts w:ascii="Garamond" w:hAnsi="Garamond" w:cs="MS Mincho"/>
          <w:sz w:val="24"/>
          <w:szCs w:val="24"/>
          <w:lang w:val="sq-AL"/>
        </w:rPr>
        <w:t xml:space="preserve"> </w:t>
      </w:r>
    </w:p>
    <w:p w14:paraId="0773AC4B" w14:textId="7719028D"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Symbol"/>
          <w:sz w:val="24"/>
          <w:szCs w:val="24"/>
          <w:lang w:val="sq-AL"/>
        </w:rPr>
        <w:t xml:space="preserve">- </w:t>
      </w:r>
      <w:r w:rsidRPr="0058349C">
        <w:rPr>
          <w:rFonts w:ascii="Garamond" w:hAnsi="Garamond" w:cs="MS Mincho"/>
          <w:sz w:val="24"/>
          <w:szCs w:val="24"/>
          <w:lang w:val="sq-AL"/>
        </w:rPr>
        <w:t>Vazhdimi në mënyrë efic</w:t>
      </w:r>
      <w:r w:rsidR="001D5C8E">
        <w:rPr>
          <w:rFonts w:ascii="Garamond" w:hAnsi="Garamond" w:cs="MS Mincho"/>
          <w:sz w:val="24"/>
          <w:szCs w:val="24"/>
          <w:lang w:val="sq-AL"/>
        </w:rPr>
        <w:t>i</w:t>
      </w:r>
      <w:r w:rsidRPr="0058349C">
        <w:rPr>
          <w:rFonts w:ascii="Garamond" w:hAnsi="Garamond" w:cs="MS Mincho"/>
          <w:sz w:val="24"/>
          <w:szCs w:val="24"/>
          <w:lang w:val="sq-AL"/>
        </w:rPr>
        <w:t>ente i programit të vaksinimit kundër tërbimit 2020</w:t>
      </w:r>
      <w:r w:rsidR="001D5C8E">
        <w:rPr>
          <w:rFonts w:ascii="Garamond" w:hAnsi="Garamond" w:cs="MS Mincho"/>
          <w:sz w:val="24"/>
          <w:szCs w:val="24"/>
          <w:lang w:val="sq-AL"/>
        </w:rPr>
        <w:t>–</w:t>
      </w:r>
      <w:r w:rsidRPr="0058349C">
        <w:rPr>
          <w:rFonts w:ascii="Garamond" w:hAnsi="Garamond" w:cs="MS Mincho"/>
          <w:sz w:val="24"/>
          <w:szCs w:val="24"/>
          <w:lang w:val="sq-AL"/>
        </w:rPr>
        <w:t xml:space="preserve">2022; </w:t>
      </w:r>
    </w:p>
    <w:p w14:paraId="0773AC4C" w14:textId="2667B35D" w:rsidR="00492C9C" w:rsidRPr="0058349C" w:rsidRDefault="00492C9C" w:rsidP="009F203D">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Symbol"/>
          <w:sz w:val="24"/>
          <w:szCs w:val="24"/>
          <w:lang w:val="sq-AL"/>
        </w:rPr>
        <w:t xml:space="preserve">- </w:t>
      </w:r>
      <w:r w:rsidRPr="0058349C">
        <w:rPr>
          <w:rFonts w:ascii="Garamond" w:hAnsi="Garamond" w:cs="MS Mincho"/>
          <w:sz w:val="24"/>
          <w:szCs w:val="24"/>
          <w:lang w:val="sq-AL"/>
        </w:rPr>
        <w:t>Përgatitja e kuadrit ligjor përkatës</w:t>
      </w:r>
      <w:r w:rsidR="001D5C8E">
        <w:rPr>
          <w:rFonts w:ascii="Garamond" w:hAnsi="Garamond" w:cs="MS Mincho"/>
          <w:sz w:val="24"/>
          <w:szCs w:val="24"/>
          <w:lang w:val="sq-AL"/>
        </w:rPr>
        <w:t>,</w:t>
      </w:r>
      <w:r w:rsidRPr="0058349C">
        <w:rPr>
          <w:rFonts w:ascii="Garamond" w:hAnsi="Garamond" w:cs="MS Mincho"/>
          <w:sz w:val="24"/>
          <w:szCs w:val="24"/>
          <w:lang w:val="sq-AL"/>
        </w:rPr>
        <w:t xml:space="preserve"> që rregullon kontrollet zyrtare</w:t>
      </w:r>
      <w:r w:rsidR="001D5C8E">
        <w:rPr>
          <w:rFonts w:ascii="Garamond" w:hAnsi="Garamond" w:cs="MS Mincho"/>
          <w:sz w:val="24"/>
          <w:szCs w:val="24"/>
          <w:lang w:val="sq-AL"/>
        </w:rPr>
        <w:t>,</w:t>
      </w:r>
      <w:r w:rsidRPr="0058349C">
        <w:rPr>
          <w:rFonts w:ascii="Garamond" w:hAnsi="Garamond" w:cs="MS Mincho"/>
          <w:sz w:val="24"/>
          <w:szCs w:val="24"/>
          <w:lang w:val="sq-AL"/>
        </w:rPr>
        <w:t xml:space="preserve"> në lidhje me sigurinë ushqimore, shëndetin e kafshëve dhe të bimëve në të njëjtën linjë me parashtrimet e kuadrit ligjor t</w:t>
      </w:r>
      <w:r w:rsidR="009F203D">
        <w:rPr>
          <w:rFonts w:ascii="Garamond" w:hAnsi="Garamond" w:cs="MS Mincho"/>
          <w:sz w:val="24"/>
          <w:szCs w:val="24"/>
          <w:lang w:val="sq-AL"/>
        </w:rPr>
        <w:t>ë</w:t>
      </w:r>
      <w:r w:rsidRPr="0058349C">
        <w:rPr>
          <w:rFonts w:ascii="Garamond" w:hAnsi="Garamond" w:cs="MS Mincho"/>
          <w:sz w:val="24"/>
          <w:szCs w:val="24"/>
          <w:lang w:val="sq-AL"/>
        </w:rPr>
        <w:t xml:space="preserve"> BE-së </w:t>
      </w:r>
      <w:r w:rsidRPr="001D5C8E">
        <w:rPr>
          <w:rFonts w:ascii="Garamond" w:hAnsi="Garamond" w:cs="MS Mincho"/>
          <w:i/>
          <w:iCs/>
          <w:sz w:val="24"/>
          <w:szCs w:val="24"/>
          <w:lang w:val="sq-AL"/>
        </w:rPr>
        <w:t xml:space="preserve">(EU </w:t>
      </w:r>
      <w:r w:rsidR="00B25257" w:rsidRPr="00B25257">
        <w:rPr>
          <w:rFonts w:ascii="Garamond" w:hAnsi="Garamond" w:cs="MS Mincho"/>
          <w:i/>
          <w:iCs/>
          <w:sz w:val="24"/>
          <w:szCs w:val="24"/>
          <w:lang w:val="sq-AL"/>
        </w:rPr>
        <w:t>acquis</w:t>
      </w:r>
      <w:r w:rsidRPr="001D5C8E">
        <w:rPr>
          <w:rFonts w:ascii="Garamond" w:hAnsi="Garamond" w:cs="MS Mincho"/>
          <w:i/>
          <w:iCs/>
          <w:sz w:val="24"/>
          <w:szCs w:val="24"/>
          <w:lang w:val="sq-AL"/>
        </w:rPr>
        <w:t>)</w:t>
      </w:r>
      <w:r w:rsidR="001D5C8E">
        <w:rPr>
          <w:rFonts w:ascii="Garamond" w:hAnsi="Garamond" w:cs="MS Mincho"/>
          <w:i/>
          <w:iCs/>
          <w:sz w:val="24"/>
          <w:szCs w:val="24"/>
          <w:lang w:val="sq-AL"/>
        </w:rPr>
        <w:t>,</w:t>
      </w:r>
      <w:r w:rsidRPr="0058349C">
        <w:rPr>
          <w:rFonts w:ascii="Garamond" w:hAnsi="Garamond" w:cs="MS Mincho"/>
          <w:sz w:val="24"/>
          <w:szCs w:val="24"/>
          <w:lang w:val="sq-AL"/>
        </w:rPr>
        <w:t xml:space="preserve"> në kuadrin e një politike kombëtare të konsoliduar.</w:t>
      </w:r>
    </w:p>
    <w:p w14:paraId="0773AC4D" w14:textId="0E13E5B7" w:rsidR="00492C9C" w:rsidRPr="0058349C" w:rsidRDefault="00492C9C" w:rsidP="001D5C8E">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Në lidhje me përgatitjet për negocimin e kapitujve 11, 12, 13</w:t>
      </w:r>
      <w:r w:rsidR="001D5C8E">
        <w:rPr>
          <w:rFonts w:ascii="Garamond" w:hAnsi="Garamond" w:cs="MS Mincho"/>
          <w:sz w:val="24"/>
          <w:szCs w:val="24"/>
          <w:lang w:val="sq-AL"/>
        </w:rPr>
        <w:t>,</w:t>
      </w:r>
      <w:r w:rsidRPr="0058349C">
        <w:rPr>
          <w:rFonts w:ascii="Garamond" w:hAnsi="Garamond" w:cs="MS Mincho"/>
          <w:sz w:val="24"/>
          <w:szCs w:val="24"/>
          <w:lang w:val="sq-AL"/>
        </w:rPr>
        <w:t xml:space="preserve"> në kuadër të procesit të anëtarësimit </w:t>
      </w:r>
      <w:r w:rsidR="001D5C8E" w:rsidRPr="0058349C">
        <w:rPr>
          <w:rFonts w:ascii="Garamond" w:hAnsi="Garamond" w:cs="MS Mincho"/>
          <w:sz w:val="24"/>
          <w:szCs w:val="24"/>
          <w:lang w:val="sq-AL"/>
        </w:rPr>
        <w:t>evropian</w:t>
      </w:r>
      <w:r w:rsidRPr="0058349C">
        <w:rPr>
          <w:rFonts w:ascii="Garamond" w:hAnsi="Garamond" w:cs="MS Mincho"/>
          <w:sz w:val="24"/>
          <w:szCs w:val="24"/>
          <w:lang w:val="sq-AL"/>
        </w:rPr>
        <w:t xml:space="preserve">, SNBZHRP </w:t>
      </w:r>
      <w:r w:rsidR="00612507" w:rsidRPr="0058349C">
        <w:rPr>
          <w:rFonts w:ascii="Garamond" w:hAnsi="Garamond" w:cs="MS Mincho"/>
          <w:sz w:val="24"/>
          <w:szCs w:val="24"/>
          <w:lang w:val="sq-AL"/>
        </w:rPr>
        <w:t>2021–2027</w:t>
      </w:r>
      <w:r w:rsidR="001D5C8E">
        <w:rPr>
          <w:rFonts w:ascii="Garamond" w:hAnsi="Garamond" w:cs="MS Mincho"/>
          <w:sz w:val="24"/>
          <w:szCs w:val="24"/>
          <w:lang w:val="sq-AL"/>
        </w:rPr>
        <w:t>,</w:t>
      </w:r>
      <w:r w:rsidRPr="0058349C">
        <w:rPr>
          <w:rFonts w:ascii="Garamond" w:hAnsi="Garamond" w:cs="MS Mincho"/>
          <w:sz w:val="24"/>
          <w:szCs w:val="24"/>
          <w:lang w:val="sq-AL"/>
        </w:rPr>
        <w:t xml:space="preserve"> shtron bazat dhe vendos kuadrin për reformat që nevojiten për përshtatjen e hartimit të dokumenteve të politikave kombëtare të bujqësisë, zhvillimit rural dhe të peshkimit me metodologjinë e hartimit</w:t>
      </w:r>
      <w:r w:rsidR="001D5C8E">
        <w:rPr>
          <w:rFonts w:ascii="Garamond" w:hAnsi="Garamond" w:cs="MS Mincho"/>
          <w:sz w:val="24"/>
          <w:szCs w:val="24"/>
          <w:lang w:val="sq-AL"/>
        </w:rPr>
        <w:t>,</w:t>
      </w:r>
      <w:r w:rsidRPr="0058349C">
        <w:rPr>
          <w:rFonts w:ascii="Garamond" w:hAnsi="Garamond" w:cs="MS Mincho"/>
          <w:sz w:val="24"/>
          <w:szCs w:val="24"/>
          <w:lang w:val="sq-AL"/>
        </w:rPr>
        <w:t xml:space="preserve"> si edhe me objektivat e planeve strategjike të zbatimit të PPB </w:t>
      </w:r>
      <w:r w:rsidR="00612507" w:rsidRPr="0058349C">
        <w:rPr>
          <w:rFonts w:ascii="Garamond" w:hAnsi="Garamond" w:cs="MS Mincho"/>
          <w:sz w:val="24"/>
          <w:szCs w:val="24"/>
          <w:lang w:val="sq-AL"/>
        </w:rPr>
        <w:t>2021–2027</w:t>
      </w:r>
      <w:r w:rsidRPr="0058349C">
        <w:rPr>
          <w:rFonts w:ascii="Garamond" w:hAnsi="Garamond" w:cs="MS Mincho"/>
          <w:sz w:val="24"/>
          <w:szCs w:val="24"/>
          <w:lang w:val="sq-AL"/>
        </w:rPr>
        <w:t xml:space="preserve"> të vendeve anëtare të BE-së, në të cilët përcaktohen instrumentet dhe metodologjia e arritjes së këtyre</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objektivave të përcaktuar në PPB të reformuar të BE-së (2022</w:t>
      </w:r>
      <w:r w:rsidR="001D5C8E">
        <w:rPr>
          <w:rFonts w:ascii="Garamond" w:hAnsi="Garamond" w:cs="MS Mincho"/>
          <w:sz w:val="24"/>
          <w:szCs w:val="24"/>
          <w:lang w:val="sq-AL"/>
        </w:rPr>
        <w:t>–</w:t>
      </w:r>
      <w:r w:rsidRPr="0058349C">
        <w:rPr>
          <w:rFonts w:ascii="Garamond" w:hAnsi="Garamond" w:cs="MS Mincho"/>
          <w:sz w:val="24"/>
          <w:szCs w:val="24"/>
          <w:lang w:val="sq-AL"/>
        </w:rPr>
        <w:t xml:space="preserve">2027) dhe adaptimin e nëntë objektivave të saj në politika kombëtare. Një shtyllë e dytë ku bazohet SBZHRP </w:t>
      </w:r>
      <w:r w:rsidR="00612507" w:rsidRPr="0058349C">
        <w:rPr>
          <w:rFonts w:ascii="Garamond" w:hAnsi="Garamond" w:cs="MS Mincho"/>
          <w:sz w:val="24"/>
          <w:szCs w:val="24"/>
          <w:lang w:val="sq-AL"/>
        </w:rPr>
        <w:t>2021–2027</w:t>
      </w:r>
      <w:r w:rsidRPr="0058349C">
        <w:rPr>
          <w:rFonts w:ascii="Garamond" w:hAnsi="Garamond" w:cs="MS Mincho"/>
          <w:sz w:val="24"/>
          <w:szCs w:val="24"/>
          <w:lang w:val="sq-AL"/>
        </w:rPr>
        <w:t xml:space="preserve"> janë edhe objektivat e Politikës së Përbashkët Evropian</w:t>
      </w:r>
      <w:r w:rsidR="001D5C8E">
        <w:rPr>
          <w:rFonts w:ascii="Garamond" w:hAnsi="Garamond" w:cs="MS Mincho"/>
          <w:sz w:val="24"/>
          <w:szCs w:val="24"/>
          <w:lang w:val="sq-AL"/>
        </w:rPr>
        <w:t>e</w:t>
      </w:r>
      <w:r w:rsidRPr="0058349C">
        <w:rPr>
          <w:rFonts w:ascii="Garamond" w:hAnsi="Garamond" w:cs="MS Mincho"/>
          <w:sz w:val="24"/>
          <w:szCs w:val="24"/>
          <w:lang w:val="sq-AL"/>
        </w:rPr>
        <w:t xml:space="preserve"> të Peshkimit (CFP). </w:t>
      </w:r>
    </w:p>
    <w:p w14:paraId="0773AC4E" w14:textId="0CD7DF1D" w:rsidR="00492C9C" w:rsidRPr="0058349C" w:rsidRDefault="00492C9C" w:rsidP="006616D0">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 xml:space="preserve">Për më tepër SBZHRP </w:t>
      </w:r>
      <w:r w:rsidR="00612507" w:rsidRPr="0058349C">
        <w:rPr>
          <w:rFonts w:ascii="Garamond" w:hAnsi="Garamond" w:cs="MS Mincho"/>
          <w:sz w:val="24"/>
          <w:szCs w:val="24"/>
          <w:lang w:val="sq-AL"/>
        </w:rPr>
        <w:t>2021–2027</w:t>
      </w:r>
      <w:r w:rsidRPr="0058349C">
        <w:rPr>
          <w:rFonts w:ascii="Garamond" w:hAnsi="Garamond" w:cs="MS Mincho"/>
          <w:sz w:val="24"/>
          <w:szCs w:val="24"/>
          <w:lang w:val="sq-AL"/>
        </w:rPr>
        <w:t xml:space="preserve"> integron edhe</w:t>
      </w:r>
      <w:r w:rsidR="006616D0">
        <w:rPr>
          <w:rFonts w:ascii="Garamond" w:hAnsi="Garamond" w:cs="MS Mincho"/>
          <w:sz w:val="24"/>
          <w:szCs w:val="24"/>
          <w:lang w:val="sq-AL"/>
        </w:rPr>
        <w:t xml:space="preserve">: </w:t>
      </w:r>
      <w:r w:rsidRPr="0058349C">
        <w:rPr>
          <w:rFonts w:ascii="Garamond" w:hAnsi="Garamond" w:cs="MS Mincho"/>
          <w:sz w:val="24"/>
          <w:szCs w:val="24"/>
          <w:lang w:val="sq-AL"/>
        </w:rPr>
        <w:t>i</w:t>
      </w:r>
      <w:r w:rsidR="006616D0">
        <w:rPr>
          <w:rFonts w:ascii="Garamond" w:hAnsi="Garamond" w:cs="MS Mincho"/>
          <w:sz w:val="24"/>
          <w:szCs w:val="24"/>
          <w:lang w:val="sq-AL"/>
        </w:rPr>
        <w:t>.</w:t>
      </w:r>
      <w:r w:rsidRPr="0058349C">
        <w:rPr>
          <w:rFonts w:ascii="Garamond" w:hAnsi="Garamond" w:cs="MS Mincho"/>
          <w:sz w:val="24"/>
          <w:szCs w:val="24"/>
          <w:lang w:val="sq-AL"/>
        </w:rPr>
        <w:t xml:space="preserve"> masat e përcaktuara në shtyllën V të Agjendës së Gjelbër të Vendeve të Ballkanit Perëndimor (11/2020)</w:t>
      </w:r>
      <w:r w:rsidR="006616D0">
        <w:rPr>
          <w:rFonts w:ascii="Garamond" w:hAnsi="Garamond" w:cs="MS Mincho"/>
          <w:sz w:val="24"/>
          <w:szCs w:val="24"/>
          <w:lang w:val="sq-AL"/>
        </w:rPr>
        <w:t xml:space="preserve">; </w:t>
      </w:r>
      <w:r w:rsidRPr="0058349C">
        <w:rPr>
          <w:rFonts w:ascii="Garamond" w:hAnsi="Garamond" w:cs="MS Mincho"/>
          <w:sz w:val="24"/>
          <w:szCs w:val="24"/>
          <w:lang w:val="sq-AL"/>
        </w:rPr>
        <w:t>ii</w:t>
      </w:r>
      <w:r w:rsidR="006616D0">
        <w:rPr>
          <w:rFonts w:ascii="Garamond" w:hAnsi="Garamond" w:cs="MS Mincho"/>
          <w:sz w:val="24"/>
          <w:szCs w:val="24"/>
          <w:lang w:val="sq-AL"/>
        </w:rPr>
        <w:t>.</w:t>
      </w:r>
      <w:r w:rsidRPr="0058349C">
        <w:rPr>
          <w:rFonts w:ascii="Garamond" w:hAnsi="Garamond" w:cs="MS Mincho"/>
          <w:sz w:val="24"/>
          <w:szCs w:val="24"/>
          <w:lang w:val="sq-AL"/>
        </w:rPr>
        <w:t xml:space="preserve"> reflekton prioritetet e Planit Ekonomik dhe Investimeve të BE-së (EIP) për Ballkanin Perëndimor</w:t>
      </w:r>
      <w:r w:rsidR="006616D0">
        <w:rPr>
          <w:rFonts w:ascii="Garamond" w:hAnsi="Garamond" w:cs="MS Mincho"/>
          <w:sz w:val="24"/>
          <w:szCs w:val="24"/>
          <w:lang w:val="sq-AL"/>
        </w:rPr>
        <w:t>;</w:t>
      </w:r>
      <w:r w:rsidRPr="0058349C">
        <w:rPr>
          <w:rFonts w:ascii="Garamond" w:hAnsi="Garamond" w:cs="MS Mincho"/>
          <w:sz w:val="24"/>
          <w:szCs w:val="24"/>
          <w:lang w:val="sq-AL"/>
        </w:rPr>
        <w:t xml:space="preserve"> iii</w:t>
      </w:r>
      <w:r w:rsidR="006616D0">
        <w:rPr>
          <w:rFonts w:ascii="Garamond" w:hAnsi="Garamond" w:cs="MS Mincho"/>
          <w:sz w:val="24"/>
          <w:szCs w:val="24"/>
          <w:lang w:val="sq-AL"/>
        </w:rPr>
        <w:t>.</w:t>
      </w:r>
      <w:r w:rsidRPr="0058349C">
        <w:rPr>
          <w:rFonts w:ascii="Garamond" w:hAnsi="Garamond" w:cs="MS Mincho"/>
          <w:sz w:val="24"/>
          <w:szCs w:val="24"/>
          <w:lang w:val="sq-AL"/>
        </w:rPr>
        <w:t xml:space="preserve"> prioritetet e Strategjisë së BE-së për Rajonin e Adriatikut dhe Jonit (EUSAIR)</w:t>
      </w:r>
      <w:r w:rsidR="006616D0">
        <w:rPr>
          <w:rFonts w:ascii="Garamond" w:hAnsi="Garamond" w:cs="MS Mincho"/>
          <w:sz w:val="24"/>
          <w:szCs w:val="24"/>
          <w:lang w:val="sq-AL"/>
        </w:rPr>
        <w:t xml:space="preserve">; </w:t>
      </w:r>
      <w:r w:rsidRPr="0058349C">
        <w:rPr>
          <w:rFonts w:ascii="Garamond" w:hAnsi="Garamond" w:cs="MS Mincho"/>
          <w:sz w:val="24"/>
          <w:szCs w:val="24"/>
          <w:lang w:val="sq-AL"/>
        </w:rPr>
        <w:t>iv</w:t>
      </w:r>
      <w:r w:rsidR="006616D0">
        <w:rPr>
          <w:rFonts w:ascii="Garamond" w:hAnsi="Garamond" w:cs="MS Mincho"/>
          <w:sz w:val="24"/>
          <w:szCs w:val="24"/>
          <w:lang w:val="sq-AL"/>
        </w:rPr>
        <w:t>.</w:t>
      </w:r>
      <w:r w:rsidRPr="0058349C">
        <w:rPr>
          <w:rFonts w:ascii="Garamond" w:hAnsi="Garamond" w:cs="MS Mincho"/>
          <w:sz w:val="24"/>
          <w:szCs w:val="24"/>
          <w:lang w:val="sq-AL"/>
        </w:rPr>
        <w:t xml:space="preserve"> kontribuon në gjashtë objektiva strategjik</w:t>
      </w:r>
      <w:r w:rsidR="006616D0">
        <w:rPr>
          <w:rFonts w:ascii="Garamond" w:hAnsi="Garamond" w:cs="MS Mincho"/>
          <w:sz w:val="24"/>
          <w:szCs w:val="24"/>
          <w:lang w:val="sq-AL"/>
        </w:rPr>
        <w:t>ë</w:t>
      </w:r>
      <w:r w:rsidRPr="0058349C">
        <w:rPr>
          <w:rFonts w:ascii="Garamond" w:hAnsi="Garamond" w:cs="MS Mincho"/>
          <w:sz w:val="24"/>
          <w:szCs w:val="24"/>
          <w:lang w:val="sq-AL"/>
        </w:rPr>
        <w:t xml:space="preserve"> (SDG) të Agjendës 2030 të OKB-së</w:t>
      </w:r>
      <w:r w:rsidR="006616D0">
        <w:rPr>
          <w:rFonts w:ascii="Garamond" w:hAnsi="Garamond" w:cs="MS Mincho"/>
          <w:sz w:val="24"/>
          <w:szCs w:val="24"/>
          <w:lang w:val="sq-AL"/>
        </w:rPr>
        <w:t xml:space="preserve">; dhe </w:t>
      </w:r>
      <w:r w:rsidRPr="0058349C">
        <w:rPr>
          <w:rFonts w:ascii="Garamond" w:hAnsi="Garamond" w:cs="MS Mincho"/>
          <w:sz w:val="24"/>
          <w:szCs w:val="24"/>
          <w:lang w:val="sq-AL"/>
        </w:rPr>
        <w:t>v</w:t>
      </w:r>
      <w:r w:rsidR="006616D0">
        <w:rPr>
          <w:rFonts w:ascii="Garamond" w:hAnsi="Garamond" w:cs="MS Mincho"/>
          <w:sz w:val="24"/>
          <w:szCs w:val="24"/>
          <w:lang w:val="sq-AL"/>
        </w:rPr>
        <w:t>.</w:t>
      </w:r>
      <w:r w:rsidRPr="0058349C">
        <w:rPr>
          <w:rFonts w:ascii="Garamond" w:hAnsi="Garamond" w:cs="MS Mincho"/>
          <w:sz w:val="24"/>
          <w:szCs w:val="24"/>
          <w:lang w:val="sq-AL"/>
        </w:rPr>
        <w:t xml:space="preserve"> të angazhimeve dhe marrëveshjeve të tjera ndërkombëtare të nënshkruara nga Qeveria e Shqipërisë.</w:t>
      </w:r>
    </w:p>
    <w:p w14:paraId="0773AC4F"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Pika të tjera referimi të</w:t>
      </w:r>
      <w:r w:rsidRPr="0058349C">
        <w:rPr>
          <w:rFonts w:ascii="Garamond" w:hAnsi="Garamond" w:cs="MS Mincho"/>
          <w:b/>
          <w:bCs/>
          <w:sz w:val="24"/>
          <w:szCs w:val="24"/>
          <w:lang w:val="sq-AL"/>
        </w:rPr>
        <w:t xml:space="preserve"> SBZHRP-së në kontekstin e procesit të anëtarësimit në BE</w:t>
      </w:r>
      <w:r w:rsidRPr="0058349C">
        <w:rPr>
          <w:rFonts w:ascii="Garamond" w:hAnsi="Garamond" w:cs="MS Mincho"/>
          <w:sz w:val="24"/>
          <w:szCs w:val="24"/>
          <w:lang w:val="sq-AL"/>
        </w:rPr>
        <w:t xml:space="preserve"> janë:</w:t>
      </w:r>
    </w:p>
    <w:p w14:paraId="0773AC50" w14:textId="193F7E6D" w:rsidR="00492C9C" w:rsidRPr="0058349C" w:rsidRDefault="00492C9C" w:rsidP="006616D0">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b/>
          <w:bCs/>
          <w:sz w:val="24"/>
          <w:szCs w:val="24"/>
          <w:lang w:val="sq-AL"/>
        </w:rPr>
        <w:t>Përcaktimet e PPB</w:t>
      </w:r>
      <w:r w:rsidR="006616D0">
        <w:rPr>
          <w:rFonts w:ascii="Garamond" w:hAnsi="Garamond" w:cs="MS Mincho"/>
          <w:b/>
          <w:bCs/>
          <w:sz w:val="24"/>
          <w:szCs w:val="24"/>
          <w:lang w:val="sq-AL"/>
        </w:rPr>
        <w:t>-së</w:t>
      </w:r>
      <w:r w:rsidRPr="0058349C">
        <w:rPr>
          <w:rFonts w:ascii="Garamond" w:hAnsi="Garamond" w:cs="MS Mincho"/>
          <w:b/>
          <w:bCs/>
          <w:sz w:val="24"/>
          <w:szCs w:val="24"/>
          <w:lang w:val="sq-AL"/>
        </w:rPr>
        <w:t xml:space="preserve"> të BE-së të</w:t>
      </w:r>
      <w:r w:rsidRPr="0058349C">
        <w:rPr>
          <w:rFonts w:ascii="Garamond" w:hAnsi="Garamond" w:cs="MS Mincho"/>
          <w:sz w:val="24"/>
          <w:szCs w:val="24"/>
          <w:lang w:val="sq-AL"/>
        </w:rPr>
        <w:t xml:space="preserve"> </w:t>
      </w:r>
      <w:r w:rsidRPr="0058349C">
        <w:rPr>
          <w:rFonts w:ascii="Garamond" w:hAnsi="Garamond" w:cs="MS Mincho"/>
          <w:b/>
          <w:bCs/>
          <w:sz w:val="24"/>
          <w:szCs w:val="24"/>
          <w:lang w:val="sq-AL"/>
        </w:rPr>
        <w:t>pas vitit 2020</w:t>
      </w:r>
      <w:r w:rsidRPr="0058349C">
        <w:rPr>
          <w:rFonts w:ascii="Garamond" w:hAnsi="Garamond" w:cs="MS Mincho"/>
          <w:sz w:val="24"/>
          <w:szCs w:val="24"/>
          <w:lang w:val="sq-AL"/>
        </w:rPr>
        <w:t xml:space="preserve"> për përpunimin e </w:t>
      </w:r>
      <w:r w:rsidR="006616D0" w:rsidRPr="0058349C">
        <w:rPr>
          <w:rFonts w:ascii="Garamond" w:hAnsi="Garamond" w:cs="MS Mincho"/>
          <w:sz w:val="24"/>
          <w:szCs w:val="24"/>
          <w:lang w:val="sq-AL"/>
        </w:rPr>
        <w:t>planeve strategjike</w:t>
      </w:r>
      <w:r w:rsidR="006616D0">
        <w:rPr>
          <w:rFonts w:ascii="Garamond" w:hAnsi="Garamond" w:cs="MS Mincho"/>
          <w:sz w:val="24"/>
          <w:szCs w:val="24"/>
          <w:lang w:val="sq-AL"/>
        </w:rPr>
        <w:t>,</w:t>
      </w:r>
      <w:r w:rsidR="006616D0" w:rsidRPr="0058349C">
        <w:rPr>
          <w:rFonts w:ascii="Garamond" w:hAnsi="Garamond" w:cs="MS Mincho"/>
          <w:sz w:val="24"/>
          <w:szCs w:val="24"/>
          <w:lang w:val="sq-AL"/>
        </w:rPr>
        <w:t xml:space="preserve"> </w:t>
      </w:r>
      <w:r w:rsidRPr="0058349C">
        <w:rPr>
          <w:rFonts w:ascii="Garamond" w:hAnsi="Garamond" w:cs="MS Mincho"/>
          <w:sz w:val="24"/>
          <w:szCs w:val="24"/>
          <w:lang w:val="sq-AL"/>
        </w:rPr>
        <w:t>me qasjen e re të saj të orientuar drejt rezultateve dhe të strukturuar rreth nëntë objektivave specifik</w:t>
      </w:r>
      <w:r w:rsidR="006616D0">
        <w:rPr>
          <w:rFonts w:ascii="Garamond" w:hAnsi="Garamond" w:cs="MS Mincho"/>
          <w:sz w:val="24"/>
          <w:szCs w:val="24"/>
          <w:lang w:val="sq-AL"/>
        </w:rPr>
        <w:t>ë</w:t>
      </w:r>
      <w:r w:rsidRPr="0058349C">
        <w:rPr>
          <w:rFonts w:ascii="Garamond" w:hAnsi="Garamond" w:cs="MS Mincho"/>
          <w:sz w:val="24"/>
          <w:szCs w:val="24"/>
          <w:lang w:val="sq-AL"/>
        </w:rPr>
        <w:t xml:space="preserve"> dhe të një objektivi horizontal, të cilët sigurojnë orientimin e kuadrit strategjik dhe metodologjinë e SBZHRP-së. </w:t>
      </w:r>
    </w:p>
    <w:p w14:paraId="0773AC51" w14:textId="423E7893"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b/>
          <w:bCs/>
          <w:sz w:val="24"/>
          <w:szCs w:val="24"/>
          <w:lang w:val="sq-AL"/>
        </w:rPr>
        <w:t>Agjenda e Gjelbër për vendet e Ballkanit Perëndimor</w:t>
      </w:r>
      <w:r w:rsidRPr="0058349C">
        <w:rPr>
          <w:rFonts w:ascii="Garamond" w:hAnsi="Garamond" w:cs="MS Mincho"/>
          <w:sz w:val="24"/>
          <w:szCs w:val="24"/>
          <w:lang w:val="sq-AL"/>
        </w:rPr>
        <w:t xml:space="preserve"> (AGJBP) (Deklarata e Sofjes, 11/2020) pasqyron </w:t>
      </w:r>
      <w:r w:rsidRPr="0058349C">
        <w:rPr>
          <w:rFonts w:ascii="Garamond" w:hAnsi="Garamond" w:cs="MS Mincho"/>
          <w:b/>
          <w:bCs/>
          <w:sz w:val="24"/>
          <w:szCs w:val="24"/>
          <w:lang w:val="sq-AL"/>
        </w:rPr>
        <w:t>angazhimet e Marrëveshjes së Gjelbër të BE-së</w:t>
      </w:r>
      <w:r w:rsidRPr="0058349C">
        <w:rPr>
          <w:rFonts w:ascii="Garamond" w:hAnsi="Garamond" w:cs="MS Mincho"/>
          <w:sz w:val="24"/>
          <w:szCs w:val="24"/>
          <w:lang w:val="sq-AL"/>
        </w:rPr>
        <w:t xml:space="preserve">, me Strategjinë e BE-së </w:t>
      </w:r>
      <w:r w:rsidR="00664693" w:rsidRPr="0058349C">
        <w:rPr>
          <w:rFonts w:ascii="Garamond" w:hAnsi="Garamond" w:cs="MS Mincho"/>
          <w:sz w:val="24"/>
          <w:szCs w:val="24"/>
          <w:lang w:val="sq-AL"/>
        </w:rPr>
        <w:t>“</w:t>
      </w:r>
      <w:r w:rsidRPr="0058349C">
        <w:rPr>
          <w:rFonts w:ascii="Garamond" w:hAnsi="Garamond" w:cs="MS Mincho"/>
          <w:sz w:val="24"/>
          <w:szCs w:val="24"/>
          <w:lang w:val="sq-AL"/>
        </w:rPr>
        <w:t xml:space="preserve">Nga </w:t>
      </w:r>
      <w:r w:rsidR="00DD64FD" w:rsidRPr="0058349C">
        <w:rPr>
          <w:rFonts w:ascii="Garamond" w:hAnsi="Garamond" w:cs="MS Mincho"/>
          <w:sz w:val="24"/>
          <w:szCs w:val="24"/>
          <w:lang w:val="sq-AL"/>
        </w:rPr>
        <w:t>ferma në tavolinë</w:t>
      </w:r>
      <w:r w:rsidR="00664693" w:rsidRPr="0058349C">
        <w:rPr>
          <w:rFonts w:ascii="Garamond" w:hAnsi="Garamond" w:cs="MS Mincho"/>
          <w:sz w:val="24"/>
          <w:szCs w:val="24"/>
          <w:lang w:val="sq-AL"/>
        </w:rPr>
        <w:t>”</w:t>
      </w:r>
      <w:r w:rsidRPr="0058349C">
        <w:rPr>
          <w:rFonts w:ascii="Garamond" w:hAnsi="Garamond" w:cs="MS Mincho"/>
          <w:sz w:val="24"/>
          <w:szCs w:val="24"/>
          <w:lang w:val="sq-AL"/>
        </w:rPr>
        <w:t xml:space="preserve"> (05/2020)</w:t>
      </w:r>
      <w:r w:rsidR="00DD64FD">
        <w:rPr>
          <w:rFonts w:ascii="Garamond" w:hAnsi="Garamond" w:cs="MS Mincho"/>
          <w:sz w:val="24"/>
          <w:szCs w:val="24"/>
          <w:lang w:val="sq-AL"/>
        </w:rPr>
        <w:t>,</w:t>
      </w:r>
      <w:r w:rsidRPr="0058349C">
        <w:rPr>
          <w:rFonts w:ascii="Garamond" w:hAnsi="Garamond" w:cs="MS Mincho"/>
          <w:sz w:val="24"/>
          <w:szCs w:val="24"/>
          <w:lang w:val="sq-AL"/>
        </w:rPr>
        <w:t xml:space="preserve"> për një sektor të qëndrueshëm agroushqimor dhe Strategjinë </w:t>
      </w:r>
      <w:r w:rsidRPr="0058349C">
        <w:rPr>
          <w:rFonts w:ascii="Garamond" w:hAnsi="Garamond" w:cs="MS Mincho"/>
          <w:sz w:val="24"/>
          <w:szCs w:val="24"/>
          <w:lang w:val="sq-AL"/>
        </w:rPr>
        <w:lastRenderedPageBreak/>
        <w:t>e BE-së për Biodiversitetin 2030 (05/2020) për mbrojtjen dhe rikuperimin e natyrës. SBZHRP-ja është më ambicioze në drejtim të mjedisit, duke marrë parasysh kontekstin e fazës përgatitore të Shqipërisë për hapjen e negociatave me BE-në, në mënyrë që të kontribuojë në mënyrë progresive në angazhimet e Agjendës së Gjelbër për Ballkanin Perëndimor. Si rezultat, masat mbështetëse të lidhura me mjedisin, klimën dhe biodiversitetin do të jenë të pranueshme për të përftuar intensitet më të lartë të ndihmës. Në mënyrë të ngjashme, sektori i peshkimit pritet të kontribuojë në zhvillimin e ekonomisë blu dhe të mbështesë objektivat e BE-së lidhur me klimën.</w:t>
      </w:r>
    </w:p>
    <w:p w14:paraId="0773AC52" w14:textId="6352F216" w:rsidR="00492C9C" w:rsidRPr="0058349C" w:rsidRDefault="00492C9C" w:rsidP="00EB6964">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b/>
          <w:bCs/>
          <w:sz w:val="24"/>
          <w:szCs w:val="24"/>
          <w:lang w:val="sq-AL"/>
        </w:rPr>
        <w:t>Plani Ekonomik dhe i Investimeve</w:t>
      </w:r>
      <w:r w:rsidRPr="0058349C">
        <w:rPr>
          <w:rFonts w:ascii="Garamond" w:hAnsi="Garamond" w:cs="MS Mincho"/>
          <w:sz w:val="24"/>
          <w:szCs w:val="24"/>
          <w:lang w:val="sq-AL"/>
        </w:rPr>
        <w:t xml:space="preserve"> (PEI) për Ballkanin Perëndimor (i miratuar më 6/10/2020)</w:t>
      </w:r>
      <w:r w:rsidR="00ED55EA">
        <w:rPr>
          <w:rFonts w:ascii="Garamond" w:hAnsi="Garamond" w:cs="MS Mincho"/>
          <w:sz w:val="24"/>
          <w:szCs w:val="24"/>
          <w:lang w:val="sq-AL"/>
        </w:rPr>
        <w:t>,</w:t>
      </w:r>
      <w:r w:rsidRPr="0058349C">
        <w:rPr>
          <w:rFonts w:ascii="Garamond" w:hAnsi="Garamond" w:cs="MS Mincho"/>
          <w:sz w:val="24"/>
          <w:szCs w:val="24"/>
          <w:lang w:val="sq-AL"/>
        </w:rPr>
        <w:t xml:space="preserve"> i cili përcakton si prioritet për ndihmën e BE-së transformimin e qëndrueshëm të sistemeve agroushqimore dhe zhvillimin rural. P</w:t>
      </w:r>
      <w:r w:rsidR="009A6913">
        <w:rPr>
          <w:rFonts w:ascii="Garamond" w:hAnsi="Garamond" w:cs="MS Mincho"/>
          <w:sz w:val="24"/>
          <w:szCs w:val="24"/>
          <w:lang w:val="sq-AL"/>
        </w:rPr>
        <w:t>eshkimi është identifikuar ndër</w:t>
      </w:r>
      <w:r w:rsidRPr="0058349C">
        <w:rPr>
          <w:rFonts w:ascii="Garamond" w:hAnsi="Garamond" w:cs="MS Mincho"/>
          <w:sz w:val="24"/>
          <w:szCs w:val="24"/>
          <w:lang w:val="sq-AL"/>
        </w:rPr>
        <w:t>sektorët kyç për prodhimin primar të ushqimit, me një potencial të madh për zhvillim të mëtejshëm të qëndrueshëm ekonomik dhe për t’i bërë komunitetet rurale më tërheqëse.</w:t>
      </w:r>
    </w:p>
    <w:p w14:paraId="0773AC53" w14:textId="45AFECE9"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b/>
          <w:bCs/>
          <w:sz w:val="24"/>
          <w:szCs w:val="24"/>
          <w:lang w:val="sq-AL"/>
        </w:rPr>
        <w:t>Strategjia e BE-së për Rajonin Adriatik dhe Jonian</w:t>
      </w:r>
      <w:r w:rsidRPr="0058349C">
        <w:rPr>
          <w:rFonts w:ascii="Garamond" w:hAnsi="Garamond" w:cs="MS Mincho"/>
          <w:sz w:val="24"/>
          <w:szCs w:val="24"/>
          <w:lang w:val="sq-AL"/>
        </w:rPr>
        <w:t xml:space="preserve"> e pas vitit 2020</w:t>
      </w:r>
      <w:r w:rsidRPr="0058349C">
        <w:rPr>
          <w:rFonts w:ascii="Garamond" w:hAnsi="Garamond" w:cs="MS Mincho"/>
          <w:b/>
          <w:bCs/>
          <w:sz w:val="24"/>
          <w:szCs w:val="24"/>
          <w:lang w:val="sq-AL"/>
        </w:rPr>
        <w:t xml:space="preserve"> </w:t>
      </w:r>
      <w:r w:rsidRPr="0058349C">
        <w:rPr>
          <w:rFonts w:ascii="Garamond" w:hAnsi="Garamond" w:cs="MS Mincho"/>
          <w:sz w:val="24"/>
          <w:szCs w:val="24"/>
          <w:lang w:val="sq-AL"/>
        </w:rPr>
        <w:t>(EUSAIR) përfshin objektiv</w:t>
      </w:r>
      <w:r w:rsidR="00ED55EA">
        <w:rPr>
          <w:rFonts w:ascii="Garamond" w:hAnsi="Garamond" w:cs="MS Mincho"/>
          <w:sz w:val="24"/>
          <w:szCs w:val="24"/>
          <w:lang w:val="sq-AL"/>
        </w:rPr>
        <w:t>at mbi habitatet tokësore trans</w:t>
      </w:r>
      <w:r w:rsidRPr="0058349C">
        <w:rPr>
          <w:rFonts w:ascii="Garamond" w:hAnsi="Garamond" w:cs="MS Mincho"/>
          <w:sz w:val="24"/>
          <w:szCs w:val="24"/>
          <w:lang w:val="sq-AL"/>
        </w:rPr>
        <w:t>nacionale dhe biodiversitetin dhe ofertën e diversifikuar turistike</w:t>
      </w:r>
      <w:r w:rsidR="00ED55EA">
        <w:rPr>
          <w:rFonts w:ascii="Garamond" w:hAnsi="Garamond" w:cs="MS Mincho"/>
          <w:sz w:val="24"/>
          <w:szCs w:val="24"/>
          <w:lang w:val="sq-AL"/>
        </w:rPr>
        <w:t>,</w:t>
      </w:r>
      <w:r w:rsidRPr="0058349C">
        <w:rPr>
          <w:rFonts w:ascii="Garamond" w:hAnsi="Garamond" w:cs="MS Mincho"/>
          <w:sz w:val="24"/>
          <w:szCs w:val="24"/>
          <w:lang w:val="sq-AL"/>
        </w:rPr>
        <w:t xml:space="preserve"> si pjesë e synimit të politikës për zhvillimin rural, syn</w:t>
      </w:r>
      <w:r w:rsidR="00ED55EA">
        <w:rPr>
          <w:rFonts w:ascii="Garamond" w:hAnsi="Garamond" w:cs="MS Mincho"/>
          <w:sz w:val="24"/>
          <w:szCs w:val="24"/>
          <w:lang w:val="sq-AL"/>
        </w:rPr>
        <w:t>im që pasqyrohet në SBZHRP 2021–</w:t>
      </w:r>
      <w:r w:rsidRPr="0058349C">
        <w:rPr>
          <w:rFonts w:ascii="Garamond" w:hAnsi="Garamond" w:cs="MS Mincho"/>
          <w:sz w:val="24"/>
          <w:szCs w:val="24"/>
          <w:lang w:val="sq-AL"/>
        </w:rPr>
        <w:t xml:space="preserve">2027, ndërsa objektivi i politikës së peshkimit në SBZHRP është në përputhje me promovimin e qëndrueshmërisë, diversifikimit dhe konkurrencës në sektorët e peshkimit dhe </w:t>
      </w:r>
      <w:r w:rsidR="00ED55EA">
        <w:rPr>
          <w:rFonts w:ascii="Garamond" w:hAnsi="Garamond" w:cs="MS Mincho"/>
          <w:sz w:val="24"/>
          <w:szCs w:val="24"/>
          <w:lang w:val="sq-AL"/>
        </w:rPr>
        <w:t xml:space="preserve">të </w:t>
      </w:r>
      <w:r w:rsidRPr="0058349C">
        <w:rPr>
          <w:rFonts w:ascii="Garamond" w:hAnsi="Garamond" w:cs="MS Mincho"/>
          <w:sz w:val="24"/>
          <w:szCs w:val="24"/>
          <w:lang w:val="sq-AL"/>
        </w:rPr>
        <w:t xml:space="preserve">akuakulturës. Pikat kryesore të EUSAIR </w:t>
      </w:r>
      <w:r w:rsidR="00612507" w:rsidRPr="0058349C">
        <w:rPr>
          <w:rFonts w:ascii="Garamond" w:hAnsi="Garamond" w:cs="MS Mincho"/>
          <w:sz w:val="24"/>
          <w:szCs w:val="24"/>
          <w:lang w:val="sq-AL"/>
        </w:rPr>
        <w:t>2021–2027</w:t>
      </w:r>
      <w:r w:rsidRPr="0058349C">
        <w:rPr>
          <w:rFonts w:ascii="Garamond" w:hAnsi="Garamond" w:cs="MS Mincho"/>
          <w:sz w:val="24"/>
          <w:szCs w:val="24"/>
          <w:lang w:val="sq-AL"/>
        </w:rPr>
        <w:t xml:space="preserve"> përfshijnë veprime për të përmirësuar nivelet e aftësive dhe </w:t>
      </w:r>
      <w:r w:rsidR="00ED55EA">
        <w:rPr>
          <w:rFonts w:ascii="Garamond" w:hAnsi="Garamond" w:cs="MS Mincho"/>
          <w:sz w:val="24"/>
          <w:szCs w:val="24"/>
          <w:lang w:val="sq-AL"/>
        </w:rPr>
        <w:t xml:space="preserve">të </w:t>
      </w:r>
      <w:r w:rsidRPr="0058349C">
        <w:rPr>
          <w:rFonts w:ascii="Garamond" w:hAnsi="Garamond" w:cs="MS Mincho"/>
          <w:sz w:val="24"/>
          <w:szCs w:val="24"/>
          <w:lang w:val="sq-AL"/>
        </w:rPr>
        <w:t>ekspertizës për fuqinë punëtore në sektorin detar dhe ekonominë blu.</w:t>
      </w:r>
    </w:p>
    <w:p w14:paraId="0773AC54" w14:textId="09206ECE" w:rsidR="00492C9C" w:rsidRPr="0058349C" w:rsidRDefault="00492C9C" w:rsidP="00492C9C">
      <w:pPr>
        <w:keepLines/>
        <w:autoSpaceDE w:val="0"/>
        <w:autoSpaceDN w:val="0"/>
        <w:adjustRightInd w:val="0"/>
        <w:spacing w:after="0" w:line="240" w:lineRule="auto"/>
        <w:ind w:firstLine="284"/>
        <w:jc w:val="both"/>
        <w:outlineLvl w:val="0"/>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2</w:t>
      </w:r>
      <w:r w:rsidR="00ED55EA">
        <w:rPr>
          <w:rFonts w:ascii="Garamond" w:eastAsiaTheme="minorHAnsi" w:hAnsi="Garamond" w:cs="Arial"/>
          <w:b/>
          <w:bCs/>
          <w:sz w:val="24"/>
          <w:szCs w:val="24"/>
          <w:lang w:val="sq-AL"/>
        </w:rPr>
        <w:t>.</w:t>
      </w:r>
      <w:r w:rsidR="00CF7694" w:rsidRPr="0058349C">
        <w:rPr>
          <w:rFonts w:ascii="Garamond" w:eastAsiaTheme="minorHAnsi" w:hAnsi="Garamond" w:cs="Arial"/>
          <w:b/>
          <w:bCs/>
          <w:sz w:val="24"/>
          <w:szCs w:val="24"/>
          <w:lang w:val="sq-AL"/>
        </w:rPr>
        <w:t xml:space="preserve"> </w:t>
      </w:r>
      <w:r w:rsidRPr="0058349C">
        <w:rPr>
          <w:rFonts w:ascii="Garamond" w:eastAsiaTheme="minorHAnsi" w:hAnsi="Garamond" w:cs="Arial"/>
          <w:b/>
          <w:bCs/>
          <w:sz w:val="24"/>
          <w:szCs w:val="24"/>
          <w:lang w:val="sq-AL"/>
        </w:rPr>
        <w:t xml:space="preserve">Kuadri ligjor, institucional dhe arritjet kryesore </w:t>
      </w:r>
    </w:p>
    <w:p w14:paraId="0773AC55" w14:textId="78C88CD9" w:rsidR="00492C9C" w:rsidRPr="0058349C" w:rsidRDefault="00492C9C" w:rsidP="00492C9C">
      <w:pPr>
        <w:autoSpaceDE w:val="0"/>
        <w:autoSpaceDN w:val="0"/>
        <w:adjustRightInd w:val="0"/>
        <w:spacing w:after="0" w:line="240" w:lineRule="auto"/>
        <w:ind w:firstLine="284"/>
        <w:jc w:val="both"/>
        <w:outlineLvl w:val="1"/>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 xml:space="preserve">2.1 Kuadri </w:t>
      </w:r>
      <w:r w:rsidR="00ED55EA" w:rsidRPr="0058349C">
        <w:rPr>
          <w:rFonts w:ascii="Garamond" w:eastAsiaTheme="minorHAnsi" w:hAnsi="Garamond" w:cs="Arial"/>
          <w:b/>
          <w:bCs/>
          <w:sz w:val="24"/>
          <w:szCs w:val="24"/>
          <w:lang w:val="sq-AL"/>
        </w:rPr>
        <w:t xml:space="preserve">ligjor </w:t>
      </w:r>
    </w:p>
    <w:p w14:paraId="0773AC56" w14:textId="3BFDE121"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Aktet ligjore kryesore në fuqi, që rregullojnë veprimtarinë e sektorit të bujqësisë, zhvillimit rural dhe peshkimit janë</w:t>
      </w:r>
      <w:r w:rsidR="00A20C91">
        <w:rPr>
          <w:rFonts w:ascii="Garamond" w:hAnsi="Garamond" w:cs="MS Mincho"/>
          <w:sz w:val="24"/>
          <w:szCs w:val="24"/>
          <w:lang w:val="sq-AL"/>
        </w:rPr>
        <w:t>,</w:t>
      </w:r>
      <w:r w:rsidRPr="0058349C">
        <w:rPr>
          <w:rFonts w:ascii="Garamond" w:hAnsi="Garamond" w:cs="MS Mincho"/>
          <w:sz w:val="24"/>
          <w:szCs w:val="24"/>
          <w:lang w:val="sq-AL"/>
        </w:rPr>
        <w:t xml:space="preserve"> si më poshtë:</w:t>
      </w:r>
    </w:p>
    <w:p w14:paraId="0773AC57" w14:textId="495B355F" w:rsidR="00492C9C" w:rsidRPr="0058349C" w:rsidRDefault="00492C9C" w:rsidP="00A20C91">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1. Ligji nr.</w:t>
      </w:r>
      <w:r w:rsidR="00ED55EA">
        <w:rPr>
          <w:rFonts w:ascii="Garamond" w:hAnsi="Garamond" w:cs="MS Mincho"/>
          <w:sz w:val="24"/>
          <w:szCs w:val="24"/>
          <w:lang w:val="sq-AL"/>
        </w:rPr>
        <w:t xml:space="preserve"> </w:t>
      </w:r>
      <w:r w:rsidR="00A20C91">
        <w:rPr>
          <w:rFonts w:ascii="Garamond" w:hAnsi="Garamond" w:cs="MS Mincho"/>
          <w:sz w:val="24"/>
          <w:szCs w:val="24"/>
          <w:lang w:val="sq-AL"/>
        </w:rPr>
        <w:t>9817/2007</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bujqësinë dhe zhvillimin rural</w:t>
      </w:r>
      <w:r w:rsidR="00664693" w:rsidRPr="0058349C">
        <w:rPr>
          <w:rFonts w:ascii="Garamond" w:hAnsi="Garamond" w:cs="MS Mincho"/>
          <w:sz w:val="24"/>
          <w:szCs w:val="24"/>
          <w:lang w:val="sq-AL"/>
        </w:rPr>
        <w:t>”</w:t>
      </w:r>
      <w:r w:rsidR="00A20C91">
        <w:rPr>
          <w:rFonts w:ascii="Garamond" w:hAnsi="Garamond" w:cs="MS Mincho"/>
          <w:sz w:val="24"/>
          <w:szCs w:val="24"/>
          <w:lang w:val="sq-AL"/>
        </w:rPr>
        <w:t>;</w:t>
      </w:r>
    </w:p>
    <w:p w14:paraId="0773AC58" w14:textId="739F619B" w:rsidR="00492C9C" w:rsidRPr="0058349C" w:rsidRDefault="00492C9C" w:rsidP="00A20C91">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2. Ligji nr. 9863 datë 28.1.2008</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ushqimin</w:t>
      </w:r>
      <w:r w:rsidR="00664693" w:rsidRPr="0058349C">
        <w:rPr>
          <w:rFonts w:ascii="Garamond" w:hAnsi="Garamond" w:cs="MS Mincho"/>
          <w:sz w:val="24"/>
          <w:szCs w:val="24"/>
          <w:lang w:val="sq-AL"/>
        </w:rPr>
        <w:t>”</w:t>
      </w:r>
      <w:r w:rsidR="00A20C91">
        <w:rPr>
          <w:rFonts w:ascii="Garamond" w:hAnsi="Garamond" w:cs="MS Mincho"/>
          <w:sz w:val="24"/>
          <w:szCs w:val="24"/>
          <w:lang w:val="sq-AL"/>
        </w:rPr>
        <w:t>;</w:t>
      </w:r>
    </w:p>
    <w:p w14:paraId="0773AC59" w14:textId="27050C9A" w:rsidR="00492C9C" w:rsidRPr="0058349C" w:rsidRDefault="00492C9C" w:rsidP="00A20C91">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3. Ligji nr. 10465, datë 29.9.2011</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shërbimin veterinar në Republikën e Shqipërisë</w:t>
      </w:r>
      <w:r w:rsidR="00664693" w:rsidRPr="0058349C">
        <w:rPr>
          <w:rFonts w:ascii="Garamond" w:hAnsi="Garamond" w:cs="MS Mincho"/>
          <w:sz w:val="24"/>
          <w:szCs w:val="24"/>
          <w:lang w:val="sq-AL"/>
        </w:rPr>
        <w:t>”</w:t>
      </w:r>
      <w:r w:rsidR="00A20C91">
        <w:rPr>
          <w:rFonts w:ascii="Garamond" w:hAnsi="Garamond" w:cs="MS Mincho"/>
          <w:sz w:val="24"/>
          <w:szCs w:val="24"/>
          <w:lang w:val="sq-AL"/>
        </w:rPr>
        <w:t>;</w:t>
      </w:r>
    </w:p>
    <w:p w14:paraId="0773AC5A" w14:textId="193C039B" w:rsidR="00492C9C" w:rsidRPr="0058349C" w:rsidRDefault="00A20C91" w:rsidP="00A20C91">
      <w:pPr>
        <w:autoSpaceDE w:val="0"/>
        <w:autoSpaceDN w:val="0"/>
        <w:adjustRightInd w:val="0"/>
        <w:spacing w:after="0" w:line="240" w:lineRule="auto"/>
        <w:ind w:firstLine="284"/>
        <w:jc w:val="both"/>
        <w:rPr>
          <w:rFonts w:ascii="Garamond" w:hAnsi="Garamond" w:cs="MS Mincho"/>
          <w:sz w:val="24"/>
          <w:szCs w:val="24"/>
          <w:lang w:val="sq-AL"/>
        </w:rPr>
      </w:pPr>
      <w:r>
        <w:rPr>
          <w:rFonts w:ascii="Garamond" w:hAnsi="Garamond" w:cs="MS Mincho"/>
          <w:sz w:val="24"/>
          <w:szCs w:val="24"/>
          <w:lang w:val="sq-AL"/>
        </w:rPr>
        <w:t>4. Ligji nr. 105/2016</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00492C9C" w:rsidRPr="0058349C">
        <w:rPr>
          <w:rFonts w:ascii="Garamond" w:hAnsi="Garamond" w:cs="MS Mincho"/>
          <w:sz w:val="24"/>
          <w:szCs w:val="24"/>
          <w:lang w:val="sq-AL"/>
        </w:rPr>
        <w:t xml:space="preserve"> mbrojtjen e bimëve</w:t>
      </w:r>
      <w:r w:rsidR="00664693" w:rsidRPr="0058349C">
        <w:rPr>
          <w:rFonts w:ascii="Garamond" w:hAnsi="Garamond" w:cs="MS Mincho"/>
          <w:sz w:val="24"/>
          <w:szCs w:val="24"/>
          <w:lang w:val="sq-AL"/>
        </w:rPr>
        <w:t>”</w:t>
      </w:r>
      <w:r>
        <w:rPr>
          <w:rFonts w:ascii="Garamond" w:hAnsi="Garamond" w:cs="MS Mincho"/>
          <w:sz w:val="24"/>
          <w:szCs w:val="24"/>
          <w:lang w:val="sq-AL"/>
        </w:rPr>
        <w:t>;</w:t>
      </w:r>
    </w:p>
    <w:p w14:paraId="0773AC5B" w14:textId="28707C8C" w:rsidR="00492C9C" w:rsidRPr="0058349C" w:rsidRDefault="00A20C91" w:rsidP="00A20C91">
      <w:pPr>
        <w:autoSpaceDE w:val="0"/>
        <w:autoSpaceDN w:val="0"/>
        <w:adjustRightInd w:val="0"/>
        <w:spacing w:after="0" w:line="240" w:lineRule="auto"/>
        <w:ind w:firstLine="284"/>
        <w:jc w:val="both"/>
        <w:rPr>
          <w:rFonts w:ascii="Garamond" w:hAnsi="Garamond" w:cs="MS Mincho"/>
          <w:sz w:val="24"/>
          <w:szCs w:val="24"/>
          <w:lang w:val="sq-AL"/>
        </w:rPr>
      </w:pPr>
      <w:r>
        <w:rPr>
          <w:rFonts w:ascii="Garamond" w:hAnsi="Garamond" w:cs="MS Mincho"/>
          <w:sz w:val="24"/>
          <w:szCs w:val="24"/>
          <w:lang w:val="sq-AL"/>
        </w:rPr>
        <w:t>5. Ligji nr. 87/2013</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00492C9C" w:rsidRPr="0058349C">
        <w:rPr>
          <w:rFonts w:ascii="Garamond" w:hAnsi="Garamond" w:cs="MS Mincho"/>
          <w:sz w:val="24"/>
          <w:szCs w:val="24"/>
          <w:lang w:val="sq-AL"/>
        </w:rPr>
        <w:t xml:space="preserve"> kategorizimin e prodhimit, emërtimin dhe tregtimin e vajit të ullirit dhe vajit të bërsisë së ullirit</w:t>
      </w:r>
      <w:r w:rsidR="00664693" w:rsidRPr="0058349C">
        <w:rPr>
          <w:rFonts w:ascii="Garamond" w:hAnsi="Garamond" w:cs="MS Mincho"/>
          <w:sz w:val="24"/>
          <w:szCs w:val="24"/>
          <w:lang w:val="sq-AL"/>
        </w:rPr>
        <w:t>”</w:t>
      </w:r>
      <w:r>
        <w:rPr>
          <w:rFonts w:ascii="Garamond" w:hAnsi="Garamond" w:cs="MS Mincho"/>
          <w:sz w:val="24"/>
          <w:szCs w:val="24"/>
          <w:lang w:val="sq-AL"/>
        </w:rPr>
        <w:t>;</w:t>
      </w:r>
    </w:p>
    <w:p w14:paraId="0773AC5C" w14:textId="21565611" w:rsidR="00492C9C" w:rsidRPr="0058349C" w:rsidRDefault="00492C9C" w:rsidP="00A20C91">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6.</w:t>
      </w:r>
      <w:r w:rsidR="00A20C91">
        <w:rPr>
          <w:rFonts w:ascii="Garamond" w:hAnsi="Garamond" w:cs="MS Mincho"/>
          <w:sz w:val="24"/>
          <w:szCs w:val="24"/>
          <w:lang w:val="sq-AL"/>
        </w:rPr>
        <w:t xml:space="preserve"> Ligji nr. 10416, datë 7.4.2011,</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materialin mbjellës dhe shumëzues bimor</w:t>
      </w:r>
      <w:r w:rsidR="00664693" w:rsidRPr="0058349C">
        <w:rPr>
          <w:rFonts w:ascii="Garamond" w:hAnsi="Garamond" w:cs="MS Mincho"/>
          <w:sz w:val="24"/>
          <w:szCs w:val="24"/>
          <w:lang w:val="sq-AL"/>
        </w:rPr>
        <w:t>”</w:t>
      </w:r>
      <w:r w:rsidR="00A20C91">
        <w:rPr>
          <w:rFonts w:ascii="Garamond" w:hAnsi="Garamond" w:cs="MS Mincho"/>
          <w:sz w:val="24"/>
          <w:szCs w:val="24"/>
          <w:lang w:val="sq-AL"/>
        </w:rPr>
        <w:t>;</w:t>
      </w:r>
    </w:p>
    <w:p w14:paraId="0773AC5D" w14:textId="40BC84AA" w:rsidR="00492C9C" w:rsidRPr="0058349C" w:rsidRDefault="00492C9C" w:rsidP="00CE535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7. Ligji nr. 8691, datë 16.11.2000</w:t>
      </w:r>
      <w:r w:rsidR="00A20C91">
        <w:rPr>
          <w:rFonts w:ascii="Garamond" w:hAnsi="Garamond" w:cs="MS Mincho"/>
          <w:sz w:val="24"/>
          <w:szCs w:val="24"/>
          <w:lang w:val="sq-AL"/>
        </w:rPr>
        <w:t>,</w:t>
      </w:r>
      <w:r w:rsidR="00D56192" w:rsidRPr="0058349C">
        <w:rPr>
          <w:rFonts w:ascii="Garamond" w:hAnsi="Garamond" w:cs="MS Mincho"/>
          <w:caps/>
          <w:sz w:val="24"/>
          <w:szCs w:val="24"/>
          <w:lang w:val="sq-AL"/>
        </w:rPr>
        <w:t xml:space="preserve"> </w:t>
      </w:r>
      <w:r w:rsidR="00664693" w:rsidRPr="0058349C">
        <w:rPr>
          <w:rFonts w:ascii="Garamond" w:hAnsi="Garamond" w:cs="MS Mincho"/>
          <w:caps/>
          <w:sz w:val="24"/>
          <w:szCs w:val="24"/>
          <w:lang w:val="sq-AL"/>
        </w:rPr>
        <w:t>“</w:t>
      </w:r>
      <w:r w:rsidR="00A20C91" w:rsidRPr="0058349C">
        <w:rPr>
          <w:rFonts w:ascii="Garamond" w:hAnsi="Garamond" w:cs="MS Mincho"/>
          <w:sz w:val="24"/>
          <w:szCs w:val="24"/>
          <w:lang w:val="sq-AL"/>
        </w:rPr>
        <w:t xml:space="preserve">Për </w:t>
      </w:r>
      <w:r w:rsidRPr="0058349C">
        <w:rPr>
          <w:rFonts w:ascii="Garamond" w:hAnsi="Garamond" w:cs="MS Mincho"/>
          <w:sz w:val="24"/>
          <w:szCs w:val="24"/>
          <w:lang w:val="sq-AL"/>
        </w:rPr>
        <w:t>prodhimin dhe tregtimin e duhanit dhe të cigareve</w:t>
      </w:r>
      <w:r w:rsidR="00664693" w:rsidRPr="0058349C">
        <w:rPr>
          <w:rFonts w:ascii="Garamond" w:hAnsi="Garamond" w:cs="MS Mincho"/>
          <w:sz w:val="24"/>
          <w:szCs w:val="24"/>
          <w:lang w:val="sq-AL"/>
        </w:rPr>
        <w:t>”</w:t>
      </w:r>
      <w:r w:rsidR="00CE535C">
        <w:rPr>
          <w:rFonts w:ascii="Garamond" w:hAnsi="Garamond" w:cs="MS Mincho"/>
          <w:sz w:val="24"/>
          <w:szCs w:val="24"/>
          <w:lang w:val="sq-AL"/>
        </w:rPr>
        <w:t>;</w:t>
      </w:r>
    </w:p>
    <w:p w14:paraId="0773AC5E" w14:textId="23BA42B3" w:rsidR="00492C9C" w:rsidRPr="0058349C" w:rsidRDefault="00492C9C" w:rsidP="00CE535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8. Ligji nr. 17/2020</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produktet plehëruese</w:t>
      </w:r>
      <w:r w:rsidR="00664693" w:rsidRPr="0058349C">
        <w:rPr>
          <w:rFonts w:ascii="Garamond" w:hAnsi="Garamond" w:cs="MS Mincho"/>
          <w:sz w:val="24"/>
          <w:szCs w:val="24"/>
          <w:lang w:val="sq-AL"/>
        </w:rPr>
        <w:t>”</w:t>
      </w:r>
      <w:r w:rsidR="00CE535C">
        <w:rPr>
          <w:rFonts w:ascii="Garamond" w:hAnsi="Garamond" w:cs="MS Mincho"/>
          <w:sz w:val="24"/>
          <w:szCs w:val="24"/>
          <w:lang w:val="sq-AL"/>
        </w:rPr>
        <w:t>;</w:t>
      </w:r>
    </w:p>
    <w:p w14:paraId="0773AC5F" w14:textId="63FE3022"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9. Ligji nr. 106/2016</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prodhimin biologjik, etiketimin e produkteve biologjike dhe kontrollin e tyre</w:t>
      </w:r>
      <w:r w:rsidR="00664693" w:rsidRPr="0058349C">
        <w:rPr>
          <w:rFonts w:ascii="Garamond" w:hAnsi="Garamond" w:cs="MS Mincho"/>
          <w:sz w:val="24"/>
          <w:szCs w:val="24"/>
          <w:lang w:val="sq-AL"/>
        </w:rPr>
        <w:t>”</w:t>
      </w:r>
      <w:r w:rsidRPr="0058349C">
        <w:rPr>
          <w:rFonts w:ascii="Garamond" w:hAnsi="Garamond" w:cs="MS Mincho"/>
          <w:sz w:val="24"/>
          <w:szCs w:val="24"/>
          <w:lang w:val="sq-AL"/>
        </w:rPr>
        <w:t>,</w:t>
      </w:r>
    </w:p>
    <w:p w14:paraId="0773AC60" w14:textId="2603F344" w:rsidR="00492C9C" w:rsidRPr="0058349C" w:rsidRDefault="00492C9C" w:rsidP="00CE535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10. Ligji nr. 64/2012</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peshkimin</w:t>
      </w:r>
      <w:r w:rsidR="00664693" w:rsidRPr="0058349C">
        <w:rPr>
          <w:rFonts w:ascii="Garamond" w:hAnsi="Garamond" w:cs="MS Mincho"/>
          <w:sz w:val="24"/>
          <w:szCs w:val="24"/>
          <w:lang w:val="sq-AL"/>
        </w:rPr>
        <w:t>”</w:t>
      </w:r>
      <w:r w:rsidR="00CE535C">
        <w:rPr>
          <w:rFonts w:ascii="Garamond" w:hAnsi="Garamond" w:cs="MS Mincho"/>
          <w:sz w:val="24"/>
          <w:szCs w:val="24"/>
          <w:lang w:val="sq-AL"/>
        </w:rPr>
        <w:t>;</w:t>
      </w:r>
    </w:p>
    <w:p w14:paraId="0773AC61" w14:textId="6E633454" w:rsidR="00492C9C" w:rsidRPr="0058349C" w:rsidRDefault="00492C9C" w:rsidP="00CE535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11. Ligji nr. 103/2016</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akuakulturën</w:t>
      </w:r>
      <w:r w:rsidR="00664693" w:rsidRPr="0058349C">
        <w:rPr>
          <w:rFonts w:ascii="Garamond" w:hAnsi="Garamond" w:cs="MS Mincho"/>
          <w:sz w:val="24"/>
          <w:szCs w:val="24"/>
          <w:lang w:val="sq-AL"/>
        </w:rPr>
        <w:t>”</w:t>
      </w:r>
      <w:r w:rsidR="00CE535C">
        <w:rPr>
          <w:rFonts w:ascii="Garamond" w:hAnsi="Garamond" w:cs="MS Mincho"/>
          <w:sz w:val="24"/>
          <w:szCs w:val="24"/>
          <w:lang w:val="sq-AL"/>
        </w:rPr>
        <w:t>;</w:t>
      </w:r>
    </w:p>
    <w:p w14:paraId="0773AC62" w14:textId="02269604" w:rsidR="00492C9C" w:rsidRPr="0058349C" w:rsidRDefault="00492C9C" w:rsidP="00CE535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12. Ligji nr.</w:t>
      </w:r>
      <w:r w:rsidR="00CE535C">
        <w:rPr>
          <w:rFonts w:ascii="Garamond" w:hAnsi="Garamond" w:cs="MS Mincho"/>
          <w:sz w:val="24"/>
          <w:szCs w:val="24"/>
          <w:lang w:val="sq-AL"/>
        </w:rPr>
        <w:t xml:space="preserve"> </w:t>
      </w:r>
      <w:r w:rsidRPr="0058349C">
        <w:rPr>
          <w:rFonts w:ascii="Garamond" w:hAnsi="Garamond" w:cs="MS Mincho"/>
          <w:sz w:val="24"/>
          <w:szCs w:val="24"/>
          <w:lang w:val="sq-AL"/>
        </w:rPr>
        <w:t>8752/2001,</w:t>
      </w:r>
      <w:r w:rsidR="00CE535C">
        <w:rPr>
          <w:rFonts w:ascii="Garamond" w:hAnsi="Garamond" w:cs="MS Mincho"/>
          <w:sz w:val="24"/>
          <w:szCs w:val="24"/>
          <w:lang w:val="sq-AL"/>
        </w:rPr>
        <w:t xml:space="preserve"> “</w:t>
      </w:r>
      <w:r w:rsidRPr="0058349C">
        <w:rPr>
          <w:rFonts w:ascii="Garamond" w:hAnsi="Garamond" w:cs="MS Mincho"/>
          <w:sz w:val="24"/>
          <w:szCs w:val="24"/>
          <w:lang w:val="sq-AL"/>
        </w:rPr>
        <w:t>Për krijimin dhe funksionimin e strukturave për administrimin dhe mbrojtjen e tokës</w:t>
      </w:r>
      <w:r w:rsidR="00664693" w:rsidRPr="0058349C">
        <w:rPr>
          <w:rFonts w:ascii="Garamond" w:hAnsi="Garamond" w:cs="MS Mincho"/>
          <w:sz w:val="24"/>
          <w:szCs w:val="24"/>
          <w:lang w:val="sq-AL"/>
        </w:rPr>
        <w:t>”</w:t>
      </w:r>
      <w:r w:rsidR="00CE535C">
        <w:rPr>
          <w:rFonts w:ascii="Garamond" w:hAnsi="Garamond" w:cs="MS Mincho"/>
          <w:sz w:val="24"/>
          <w:szCs w:val="24"/>
          <w:lang w:val="sq-AL"/>
        </w:rPr>
        <w:t>;</w:t>
      </w:r>
    </w:p>
    <w:p w14:paraId="0773AC63" w14:textId="7F6DDD19" w:rsidR="00492C9C" w:rsidRPr="0058349C" w:rsidRDefault="00492C9C" w:rsidP="00CE535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13. Ligji nr.</w:t>
      </w:r>
      <w:r w:rsidR="00CE535C">
        <w:rPr>
          <w:rFonts w:ascii="Garamond" w:hAnsi="Garamond" w:cs="MS Mincho"/>
          <w:sz w:val="24"/>
          <w:szCs w:val="24"/>
          <w:lang w:val="sq-AL"/>
        </w:rPr>
        <w:t xml:space="preserve"> </w:t>
      </w:r>
      <w:r w:rsidRPr="0058349C">
        <w:rPr>
          <w:rFonts w:ascii="Garamond" w:hAnsi="Garamond" w:cs="MS Mincho"/>
          <w:sz w:val="24"/>
          <w:szCs w:val="24"/>
          <w:lang w:val="sq-AL"/>
        </w:rPr>
        <w:t>8312/1998</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tokat bujqësore të pandara</w:t>
      </w:r>
      <w:r w:rsidR="00664693" w:rsidRPr="0058349C">
        <w:rPr>
          <w:rFonts w:ascii="Garamond" w:hAnsi="Garamond" w:cs="MS Mincho"/>
          <w:sz w:val="24"/>
          <w:szCs w:val="24"/>
          <w:lang w:val="sq-AL"/>
        </w:rPr>
        <w:t>”</w:t>
      </w:r>
      <w:r w:rsidR="00CE535C">
        <w:rPr>
          <w:rFonts w:ascii="Garamond" w:hAnsi="Garamond" w:cs="MS Mincho"/>
          <w:sz w:val="24"/>
          <w:szCs w:val="24"/>
          <w:lang w:val="sq-AL"/>
        </w:rPr>
        <w:t>;</w:t>
      </w:r>
    </w:p>
    <w:p w14:paraId="0773AC64" w14:textId="77631C2A" w:rsidR="00492C9C" w:rsidRPr="0058349C" w:rsidRDefault="00492C9C" w:rsidP="00CE535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14. Ligji nr. 9244/2004</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mbrojtjen e tokës bujqësore</w:t>
      </w:r>
      <w:r w:rsidR="00664693" w:rsidRPr="0058349C">
        <w:rPr>
          <w:rFonts w:ascii="Garamond" w:hAnsi="Garamond" w:cs="MS Mincho"/>
          <w:sz w:val="24"/>
          <w:szCs w:val="24"/>
          <w:lang w:val="sq-AL"/>
        </w:rPr>
        <w:t>”</w:t>
      </w:r>
      <w:r w:rsidR="00CE535C">
        <w:rPr>
          <w:rFonts w:ascii="Garamond" w:hAnsi="Garamond" w:cs="MS Mincho"/>
          <w:sz w:val="24"/>
          <w:szCs w:val="24"/>
          <w:lang w:val="sq-AL"/>
        </w:rPr>
        <w:t>;</w:t>
      </w:r>
    </w:p>
    <w:p w14:paraId="0773AC65" w14:textId="1F4940C0" w:rsidR="00492C9C" w:rsidRPr="0058349C" w:rsidRDefault="00492C9C" w:rsidP="00CE535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15. Ligji nr.</w:t>
      </w:r>
      <w:r w:rsidR="00CE535C">
        <w:rPr>
          <w:rFonts w:ascii="Garamond" w:hAnsi="Garamond" w:cs="MS Mincho"/>
          <w:sz w:val="24"/>
          <w:szCs w:val="24"/>
          <w:lang w:val="sq-AL"/>
        </w:rPr>
        <w:t xml:space="preserve"> </w:t>
      </w:r>
      <w:r w:rsidRPr="0058349C">
        <w:rPr>
          <w:rFonts w:ascii="Garamond" w:hAnsi="Garamond" w:cs="MS Mincho"/>
          <w:sz w:val="24"/>
          <w:szCs w:val="24"/>
          <w:lang w:val="sq-AL"/>
        </w:rPr>
        <w:t>8318/1998</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dhënien me qira të tokës bujqësore e pyjore, të livadheve dhe kullotave që janë pasuri shtetërore</w:t>
      </w:r>
      <w:r w:rsidR="00664693" w:rsidRPr="0058349C">
        <w:rPr>
          <w:rFonts w:ascii="Garamond" w:hAnsi="Garamond" w:cs="MS Mincho"/>
          <w:sz w:val="24"/>
          <w:szCs w:val="24"/>
          <w:lang w:val="sq-AL"/>
        </w:rPr>
        <w:t>”</w:t>
      </w:r>
      <w:r w:rsidR="00CE535C">
        <w:rPr>
          <w:rFonts w:ascii="Garamond" w:hAnsi="Garamond" w:cs="MS Mincho"/>
          <w:sz w:val="24"/>
          <w:szCs w:val="24"/>
          <w:lang w:val="sq-AL"/>
        </w:rPr>
        <w:t>;</w:t>
      </w:r>
    </w:p>
    <w:p w14:paraId="0773AC66" w14:textId="7592523F" w:rsidR="00492C9C" w:rsidRPr="0058349C" w:rsidRDefault="00492C9C" w:rsidP="00CE535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16. Ligji nr.</w:t>
      </w:r>
      <w:r w:rsidR="00CE535C">
        <w:rPr>
          <w:rFonts w:ascii="Garamond" w:hAnsi="Garamond" w:cs="MS Mincho"/>
          <w:sz w:val="24"/>
          <w:szCs w:val="24"/>
          <w:lang w:val="sq-AL"/>
        </w:rPr>
        <w:t xml:space="preserve"> </w:t>
      </w:r>
      <w:r w:rsidRPr="0058349C">
        <w:rPr>
          <w:rFonts w:ascii="Garamond" w:hAnsi="Garamond" w:cs="MS Mincho"/>
          <w:sz w:val="24"/>
          <w:szCs w:val="24"/>
          <w:lang w:val="sq-AL"/>
        </w:rPr>
        <w:t>24/2017</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administrimin e ujitjes dhe të kullimit</w:t>
      </w:r>
      <w:r w:rsidR="00664693" w:rsidRPr="0058349C">
        <w:rPr>
          <w:rFonts w:ascii="Garamond" w:hAnsi="Garamond" w:cs="MS Mincho"/>
          <w:sz w:val="24"/>
          <w:szCs w:val="24"/>
          <w:lang w:val="sq-AL"/>
        </w:rPr>
        <w:t>”</w:t>
      </w:r>
      <w:r w:rsidR="00CE535C">
        <w:rPr>
          <w:rFonts w:ascii="Garamond" w:hAnsi="Garamond" w:cs="MS Mincho"/>
          <w:sz w:val="24"/>
          <w:szCs w:val="24"/>
          <w:lang w:val="sq-AL"/>
        </w:rPr>
        <w:t>;</w:t>
      </w:r>
    </w:p>
    <w:p w14:paraId="0773AC67" w14:textId="4A2201D8" w:rsidR="00492C9C" w:rsidRPr="0058349C" w:rsidRDefault="00492C9C" w:rsidP="00CE535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17. Ligji nr.</w:t>
      </w:r>
      <w:r w:rsidR="00CE535C">
        <w:rPr>
          <w:rFonts w:ascii="Garamond" w:hAnsi="Garamond" w:cs="MS Mincho"/>
          <w:sz w:val="24"/>
          <w:szCs w:val="24"/>
          <w:lang w:val="sq-AL"/>
        </w:rPr>
        <w:t xml:space="preserve"> </w:t>
      </w:r>
      <w:r w:rsidRPr="0058349C">
        <w:rPr>
          <w:rFonts w:ascii="Garamond" w:hAnsi="Garamond" w:cs="MS Mincho"/>
          <w:sz w:val="24"/>
          <w:szCs w:val="24"/>
          <w:lang w:val="sq-AL"/>
        </w:rPr>
        <w:t>8/2019</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skemat e cilësisë së produkteve bujqësore dhe ushqimore</w:t>
      </w:r>
      <w:r w:rsidR="00664693" w:rsidRPr="0058349C">
        <w:rPr>
          <w:rFonts w:ascii="Garamond" w:hAnsi="Garamond" w:cs="MS Mincho"/>
          <w:sz w:val="24"/>
          <w:szCs w:val="24"/>
          <w:lang w:val="sq-AL"/>
        </w:rPr>
        <w:t>”</w:t>
      </w:r>
      <w:r w:rsidR="00CE535C">
        <w:rPr>
          <w:rFonts w:ascii="Garamond" w:hAnsi="Garamond" w:cs="MS Mincho"/>
          <w:sz w:val="24"/>
          <w:szCs w:val="24"/>
          <w:lang w:val="sq-AL"/>
        </w:rPr>
        <w:t>;</w:t>
      </w:r>
    </w:p>
    <w:p w14:paraId="0773AC68" w14:textId="41AA0DD3" w:rsidR="00492C9C" w:rsidRPr="0058349C" w:rsidRDefault="00492C9C" w:rsidP="00CE535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18. Ligji nr. 38/2012</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shoqëritë e bashkëpunimit bujqësor</w:t>
      </w:r>
      <w:r w:rsidR="00664693" w:rsidRPr="0058349C">
        <w:rPr>
          <w:rFonts w:ascii="Garamond" w:hAnsi="Garamond" w:cs="MS Mincho"/>
          <w:sz w:val="24"/>
          <w:szCs w:val="24"/>
          <w:lang w:val="sq-AL"/>
        </w:rPr>
        <w:t>”</w:t>
      </w:r>
      <w:r w:rsidR="00CE535C">
        <w:rPr>
          <w:rFonts w:ascii="Garamond" w:hAnsi="Garamond" w:cs="MS Mincho"/>
          <w:sz w:val="24"/>
          <w:szCs w:val="24"/>
          <w:lang w:val="sq-AL"/>
        </w:rPr>
        <w:t>;</w:t>
      </w:r>
    </w:p>
    <w:p w14:paraId="0773AC69" w14:textId="61D29955" w:rsidR="00492C9C" w:rsidRPr="0058349C" w:rsidRDefault="00492C9C" w:rsidP="00CE535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19. Ligji nr. 8702/2000</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identifikimin dhe regjistrimin e kafshëve dhe të fermave blegtorale</w:t>
      </w:r>
      <w:r w:rsidR="00CE535C">
        <w:rPr>
          <w:rFonts w:ascii="Garamond" w:hAnsi="Garamond" w:cs="MS Mincho"/>
          <w:sz w:val="24"/>
          <w:szCs w:val="24"/>
          <w:lang w:val="sq-AL"/>
        </w:rPr>
        <w:t>;</w:t>
      </w:r>
    </w:p>
    <w:p w14:paraId="0773AC6A" w14:textId="307CDE37" w:rsidR="00492C9C" w:rsidRPr="0058349C" w:rsidRDefault="00492C9C" w:rsidP="00CE535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20. Ligji nr. 9441/2005</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prodhimin, grumbullimin, përpunimin dhe tregtimin e qumështit dhe të produkteve me bazë qumështi</w:t>
      </w:r>
      <w:r w:rsidR="00664693" w:rsidRPr="0058349C">
        <w:rPr>
          <w:rFonts w:ascii="Garamond" w:hAnsi="Garamond" w:cs="MS Mincho"/>
          <w:sz w:val="24"/>
          <w:szCs w:val="24"/>
          <w:lang w:val="sq-AL"/>
        </w:rPr>
        <w:t>”</w:t>
      </w:r>
      <w:r w:rsidR="00CE535C">
        <w:rPr>
          <w:rFonts w:ascii="Garamond" w:hAnsi="Garamond" w:cs="MS Mincho"/>
          <w:sz w:val="24"/>
          <w:szCs w:val="24"/>
          <w:lang w:val="sq-AL"/>
        </w:rPr>
        <w:t>;</w:t>
      </w:r>
    </w:p>
    <w:p w14:paraId="0773AC6B" w14:textId="74CBAE81" w:rsidR="00492C9C" w:rsidRPr="0058349C" w:rsidRDefault="00492C9C" w:rsidP="00CE535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lastRenderedPageBreak/>
        <w:t>21. Ligji nr. 9525/2005</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aderimin e Republikës së Shqipërisë në Konventën e vitit 1979</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ndotjen ndërkufitare të ajrit në distancë të madhe</w:t>
      </w:r>
      <w:r w:rsidR="00664693" w:rsidRPr="0058349C">
        <w:rPr>
          <w:rFonts w:ascii="Garamond" w:hAnsi="Garamond" w:cs="MS Mincho"/>
          <w:sz w:val="24"/>
          <w:szCs w:val="24"/>
          <w:lang w:val="sq-AL"/>
        </w:rPr>
        <w:t>”</w:t>
      </w:r>
      <w:r w:rsidR="00CE535C">
        <w:rPr>
          <w:rFonts w:ascii="Garamond" w:hAnsi="Garamond" w:cs="MS Mincho"/>
          <w:sz w:val="24"/>
          <w:szCs w:val="24"/>
          <w:lang w:val="sq-AL"/>
        </w:rPr>
        <w:t>;</w:t>
      </w:r>
    </w:p>
    <w:p w14:paraId="0773AC6C" w14:textId="33D1AD03" w:rsidR="00492C9C" w:rsidRPr="0058349C" w:rsidRDefault="00492C9C" w:rsidP="00CE535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22. Ligji nr.</w:t>
      </w:r>
      <w:r w:rsidR="00CE535C">
        <w:rPr>
          <w:rFonts w:ascii="Garamond" w:hAnsi="Garamond" w:cs="MS Mincho"/>
          <w:sz w:val="24"/>
          <w:szCs w:val="24"/>
          <w:lang w:val="sq-AL"/>
        </w:rPr>
        <w:t xml:space="preserve"> </w:t>
      </w:r>
      <w:r w:rsidRPr="0058349C">
        <w:rPr>
          <w:rFonts w:ascii="Garamond" w:hAnsi="Garamond" w:cs="MS Mincho"/>
          <w:sz w:val="24"/>
          <w:szCs w:val="24"/>
          <w:lang w:val="sq-AL"/>
        </w:rPr>
        <w:t>162/2014</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mbrojtjen e cilësisë së ajrit dhe mjedisit</w:t>
      </w:r>
      <w:r w:rsidR="00664693" w:rsidRPr="0058349C">
        <w:rPr>
          <w:rFonts w:ascii="Garamond" w:hAnsi="Garamond" w:cs="MS Mincho"/>
          <w:sz w:val="24"/>
          <w:szCs w:val="24"/>
          <w:lang w:val="sq-AL"/>
        </w:rPr>
        <w:t>”</w:t>
      </w:r>
      <w:r w:rsidR="00CE535C">
        <w:rPr>
          <w:rFonts w:ascii="Garamond" w:hAnsi="Garamond" w:cs="MS Mincho"/>
          <w:sz w:val="24"/>
          <w:szCs w:val="24"/>
          <w:lang w:val="sq-AL"/>
        </w:rPr>
        <w:t>;</w:t>
      </w:r>
    </w:p>
    <w:p w14:paraId="0773AC6D" w14:textId="54C72C79" w:rsidR="00492C9C" w:rsidRPr="0058349C" w:rsidRDefault="00492C9C" w:rsidP="00CE535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23. Ligji nr.</w:t>
      </w:r>
      <w:r w:rsidR="00CE535C">
        <w:rPr>
          <w:rFonts w:ascii="Garamond" w:hAnsi="Garamond" w:cs="MS Mincho"/>
          <w:sz w:val="24"/>
          <w:szCs w:val="24"/>
          <w:lang w:val="sq-AL"/>
        </w:rPr>
        <w:t xml:space="preserve"> </w:t>
      </w:r>
      <w:r w:rsidRPr="0058349C">
        <w:rPr>
          <w:rFonts w:ascii="Garamond" w:hAnsi="Garamond" w:cs="MS Mincho"/>
          <w:sz w:val="24"/>
          <w:szCs w:val="24"/>
          <w:lang w:val="sq-AL"/>
        </w:rPr>
        <w:t>155/2020</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ndryshimet klimatike</w:t>
      </w:r>
      <w:r w:rsidR="00CE535C">
        <w:rPr>
          <w:rFonts w:ascii="Garamond" w:hAnsi="Garamond" w:cs="MS Mincho"/>
          <w:sz w:val="24"/>
          <w:szCs w:val="24"/>
          <w:lang w:val="sq-AL"/>
        </w:rPr>
        <w:t>”;</w:t>
      </w:r>
    </w:p>
    <w:p w14:paraId="0773AC6E" w14:textId="7E7DBF6D" w:rsidR="00492C9C" w:rsidRPr="0058349C" w:rsidRDefault="00492C9C" w:rsidP="00CE535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24. Ligji nr.</w:t>
      </w:r>
      <w:r w:rsidR="00CE535C">
        <w:rPr>
          <w:rFonts w:ascii="Garamond" w:hAnsi="Garamond" w:cs="MS Mincho"/>
          <w:sz w:val="24"/>
          <w:szCs w:val="24"/>
          <w:lang w:val="sq-AL"/>
        </w:rPr>
        <w:t xml:space="preserve"> </w:t>
      </w:r>
      <w:r w:rsidRPr="0058349C">
        <w:rPr>
          <w:rFonts w:ascii="Garamond" w:hAnsi="Garamond" w:cs="MS Mincho"/>
          <w:sz w:val="24"/>
          <w:szCs w:val="24"/>
          <w:lang w:val="sq-AL"/>
        </w:rPr>
        <w:t>27/2016</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menaxhimin e kimikateve</w:t>
      </w:r>
      <w:r w:rsidR="00664693" w:rsidRPr="0058349C">
        <w:rPr>
          <w:rFonts w:ascii="Garamond" w:hAnsi="Garamond" w:cs="MS Mincho"/>
          <w:sz w:val="24"/>
          <w:szCs w:val="24"/>
          <w:lang w:val="sq-AL"/>
        </w:rPr>
        <w:t>”</w:t>
      </w:r>
      <w:r w:rsidR="00CE535C">
        <w:rPr>
          <w:rFonts w:ascii="Garamond" w:hAnsi="Garamond" w:cs="MS Mincho"/>
          <w:sz w:val="24"/>
          <w:szCs w:val="24"/>
          <w:lang w:val="sq-AL"/>
        </w:rPr>
        <w:t>;</w:t>
      </w:r>
    </w:p>
    <w:p w14:paraId="0773AC6F" w14:textId="7C340E38" w:rsidR="00492C9C" w:rsidRPr="0058349C" w:rsidRDefault="00492C9C" w:rsidP="00CE535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25. Ligji nr.</w:t>
      </w:r>
      <w:r w:rsidR="00CE535C">
        <w:rPr>
          <w:rFonts w:ascii="Garamond" w:hAnsi="Garamond" w:cs="MS Mincho"/>
          <w:sz w:val="24"/>
          <w:szCs w:val="24"/>
          <w:lang w:val="sq-AL"/>
        </w:rPr>
        <w:t xml:space="preserve"> </w:t>
      </w:r>
      <w:r w:rsidRPr="0058349C">
        <w:rPr>
          <w:rFonts w:ascii="Garamond" w:hAnsi="Garamond" w:cs="MS Mincho"/>
          <w:sz w:val="24"/>
          <w:szCs w:val="24"/>
          <w:lang w:val="sq-AL"/>
        </w:rPr>
        <w:t>10277/2010</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aderimin aderimin e Republikës së Shqipërisë në Konventën e Roterdamit</w:t>
      </w:r>
      <w:r w:rsidR="00CE535C">
        <w:rPr>
          <w:rFonts w:ascii="Garamond" w:hAnsi="Garamond" w:cs="MS Mincho"/>
          <w:sz w:val="24"/>
          <w:szCs w:val="24"/>
          <w:lang w:val="sq-AL"/>
        </w:rPr>
        <w:t>,</w:t>
      </w:r>
      <w:r w:rsidRPr="0058349C">
        <w:rPr>
          <w:rFonts w:ascii="Garamond" w:hAnsi="Garamond" w:cs="MS Mincho"/>
          <w:sz w:val="24"/>
          <w:szCs w:val="24"/>
          <w:lang w:val="sq-AL"/>
        </w:rPr>
        <w:t xml:space="preserve"> </w:t>
      </w:r>
      <w:r w:rsidR="00CE535C">
        <w:rPr>
          <w:rFonts w:ascii="Garamond" w:hAnsi="Garamond" w:cs="MS Mincho"/>
          <w:sz w:val="24"/>
          <w:szCs w:val="24"/>
          <w:lang w:val="sq-AL"/>
        </w:rPr>
        <w:t>‘</w:t>
      </w:r>
      <w:r w:rsidRPr="0058349C">
        <w:rPr>
          <w:rFonts w:ascii="Garamond" w:hAnsi="Garamond" w:cs="MS Mincho"/>
          <w:sz w:val="24"/>
          <w:szCs w:val="24"/>
          <w:lang w:val="sq-AL"/>
        </w:rPr>
        <w:t>Mbi procedurën e njoftimit të pëlqimit paraprak për disa kimikate dhe produkte të rrezikshme për mbrojtjen e bimëve në tregtinë ndërmkombëtare</w:t>
      </w:r>
      <w:r w:rsidR="00CE535C">
        <w:rPr>
          <w:rFonts w:ascii="Garamond" w:hAnsi="Garamond" w:cs="MS Mincho"/>
          <w:sz w:val="24"/>
          <w:szCs w:val="24"/>
          <w:lang w:val="sq-AL"/>
        </w:rPr>
        <w:t>’</w:t>
      </w:r>
      <w:r w:rsidR="00664693" w:rsidRPr="0058349C">
        <w:rPr>
          <w:rFonts w:ascii="Garamond" w:hAnsi="Garamond" w:cs="MS Mincho"/>
          <w:sz w:val="24"/>
          <w:szCs w:val="24"/>
          <w:lang w:val="sq-AL"/>
        </w:rPr>
        <w:t>”</w:t>
      </w:r>
      <w:r w:rsidR="00CE535C">
        <w:rPr>
          <w:rFonts w:ascii="Garamond" w:hAnsi="Garamond" w:cs="MS Mincho"/>
          <w:sz w:val="24"/>
          <w:szCs w:val="24"/>
          <w:lang w:val="sq-AL"/>
        </w:rPr>
        <w:t>;</w:t>
      </w:r>
    </w:p>
    <w:p w14:paraId="0773AC70" w14:textId="3E33999B" w:rsidR="00492C9C" w:rsidRPr="0058349C" w:rsidRDefault="00492C9C" w:rsidP="002D46D4">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26. Ligji nr.</w:t>
      </w:r>
      <w:r w:rsidR="00CE535C">
        <w:rPr>
          <w:rFonts w:ascii="Garamond" w:hAnsi="Garamond" w:cs="MS Mincho"/>
          <w:sz w:val="24"/>
          <w:szCs w:val="24"/>
          <w:lang w:val="sq-AL"/>
        </w:rPr>
        <w:t xml:space="preserve"> </w:t>
      </w:r>
      <w:r w:rsidRPr="0058349C">
        <w:rPr>
          <w:rFonts w:ascii="Garamond" w:hAnsi="Garamond" w:cs="MS Mincho"/>
          <w:sz w:val="24"/>
          <w:szCs w:val="24"/>
          <w:lang w:val="sq-AL"/>
        </w:rPr>
        <w:t>9263/2010</w:t>
      </w:r>
      <w:r w:rsidR="00A20C91" w:rsidRPr="002D46D4">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aderimin e Republikës së Shqipërisë në Konventën e Stokholmit</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2D46D4">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ndotësit organike të </w:t>
      </w:r>
      <w:r w:rsidR="002D46D4" w:rsidRPr="0058349C">
        <w:rPr>
          <w:rFonts w:ascii="Garamond" w:hAnsi="Garamond" w:cs="MS Mincho"/>
          <w:sz w:val="24"/>
          <w:szCs w:val="24"/>
          <w:lang w:val="sq-AL"/>
        </w:rPr>
        <w:t>qëndrueshëm</w:t>
      </w:r>
      <w:r w:rsidR="002D46D4">
        <w:rPr>
          <w:rFonts w:ascii="Garamond" w:hAnsi="Garamond" w:cs="MS Mincho"/>
          <w:sz w:val="24"/>
          <w:szCs w:val="24"/>
          <w:lang w:val="sq-AL"/>
        </w:rPr>
        <w:t>’</w:t>
      </w:r>
      <w:r w:rsidR="00664693" w:rsidRPr="0058349C">
        <w:rPr>
          <w:rFonts w:ascii="Garamond" w:hAnsi="Garamond" w:cs="MS Mincho"/>
          <w:sz w:val="24"/>
          <w:szCs w:val="24"/>
          <w:lang w:val="sq-AL"/>
        </w:rPr>
        <w:t>”</w:t>
      </w:r>
      <w:r w:rsidRPr="0058349C">
        <w:rPr>
          <w:rFonts w:ascii="Garamond" w:hAnsi="Garamond" w:cs="MS Mincho"/>
          <w:sz w:val="24"/>
          <w:szCs w:val="24"/>
          <w:lang w:val="sq-AL"/>
        </w:rPr>
        <w:t>.</w:t>
      </w:r>
    </w:p>
    <w:p w14:paraId="0773AC71" w14:textId="644B0EC1" w:rsidR="00492C9C" w:rsidRPr="0058349C" w:rsidRDefault="00492C9C" w:rsidP="002D46D4">
      <w:pPr>
        <w:keepLines/>
        <w:autoSpaceDE w:val="0"/>
        <w:autoSpaceDN w:val="0"/>
        <w:adjustRightInd w:val="0"/>
        <w:spacing w:after="0" w:line="240" w:lineRule="auto"/>
        <w:ind w:firstLine="284"/>
        <w:jc w:val="both"/>
        <w:outlineLvl w:val="1"/>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2.2 Dokumentet strategjik</w:t>
      </w:r>
      <w:r w:rsidR="002D46D4">
        <w:rPr>
          <w:rFonts w:ascii="Garamond" w:eastAsiaTheme="minorHAnsi" w:hAnsi="Garamond" w:cs="Arial"/>
          <w:b/>
          <w:bCs/>
          <w:sz w:val="24"/>
          <w:szCs w:val="24"/>
          <w:lang w:val="sq-AL"/>
        </w:rPr>
        <w:t>e</w:t>
      </w:r>
    </w:p>
    <w:p w14:paraId="0773AC72" w14:textId="0E76A889"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 xml:space="preserve">SBZHRP </w:t>
      </w:r>
      <w:r w:rsidR="00612507" w:rsidRPr="0058349C">
        <w:rPr>
          <w:rFonts w:ascii="Garamond" w:hAnsi="Garamond" w:cs="MS Mincho"/>
          <w:sz w:val="24"/>
          <w:szCs w:val="24"/>
          <w:lang w:val="sq-AL"/>
        </w:rPr>
        <w:t>2021–2027</w:t>
      </w:r>
      <w:r w:rsidRPr="0058349C">
        <w:rPr>
          <w:rFonts w:ascii="Garamond" w:hAnsi="Garamond" w:cs="MS Mincho"/>
          <w:sz w:val="24"/>
          <w:szCs w:val="24"/>
          <w:lang w:val="sq-AL"/>
        </w:rPr>
        <w:t xml:space="preserve"> konsolidon qëllimet e politikave dhe arritjet e reformave të realizuara, bazuar në dokumentet strategjike të ndërlidhura, në veçanti:</w:t>
      </w:r>
    </w:p>
    <w:p w14:paraId="0773AC73" w14:textId="3B355CF1"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Strategjinë Ndërsektoriale për Bujqësinë dhe Zhvillimin Rural (SNBZHR 2014</w:t>
      </w:r>
      <w:r w:rsidR="00414D5E">
        <w:rPr>
          <w:rFonts w:ascii="Garamond" w:hAnsi="Garamond" w:cs="MS Mincho"/>
          <w:sz w:val="24"/>
          <w:szCs w:val="24"/>
          <w:lang w:val="sq-AL"/>
        </w:rPr>
        <w:t>–</w:t>
      </w:r>
      <w:r w:rsidRPr="0058349C">
        <w:rPr>
          <w:rFonts w:ascii="Garamond" w:hAnsi="Garamond" w:cs="MS Mincho"/>
          <w:sz w:val="24"/>
          <w:szCs w:val="24"/>
          <w:lang w:val="sq-AL"/>
        </w:rPr>
        <w:t xml:space="preserve">2020; VKM </w:t>
      </w:r>
      <w:r w:rsidR="00414D5E" w:rsidRPr="0058349C">
        <w:rPr>
          <w:rFonts w:ascii="Garamond" w:hAnsi="Garamond" w:cs="MS Mincho"/>
          <w:sz w:val="24"/>
          <w:szCs w:val="24"/>
          <w:lang w:val="sq-AL"/>
        </w:rPr>
        <w:t>nr</w:t>
      </w:r>
      <w:r w:rsidR="00414D5E">
        <w:rPr>
          <w:rFonts w:ascii="Garamond" w:hAnsi="Garamond" w:cs="MS Mincho"/>
          <w:sz w:val="24"/>
          <w:szCs w:val="24"/>
          <w:lang w:val="sq-AL"/>
        </w:rPr>
        <w:t>. 709/</w:t>
      </w:r>
      <w:r w:rsidRPr="0058349C">
        <w:rPr>
          <w:rFonts w:ascii="Garamond" w:hAnsi="Garamond" w:cs="MS Mincho"/>
          <w:sz w:val="24"/>
          <w:szCs w:val="24"/>
          <w:lang w:val="sq-AL"/>
        </w:rPr>
        <w:t>29.10.2014);</w:t>
      </w:r>
    </w:p>
    <w:p w14:paraId="0773AC74" w14:textId="2E432ABA"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Strategjinë Kombëtare të Peshkimit 2016</w:t>
      </w:r>
      <w:r w:rsidR="00414D5E">
        <w:rPr>
          <w:rFonts w:ascii="Garamond" w:hAnsi="Garamond" w:cs="MS Mincho"/>
          <w:sz w:val="24"/>
          <w:szCs w:val="24"/>
          <w:lang w:val="sq-AL"/>
        </w:rPr>
        <w:t>–</w:t>
      </w:r>
      <w:r w:rsidRPr="0058349C">
        <w:rPr>
          <w:rFonts w:ascii="Garamond" w:hAnsi="Garamond" w:cs="MS Mincho"/>
          <w:sz w:val="24"/>
          <w:szCs w:val="24"/>
          <w:lang w:val="sq-AL"/>
        </w:rPr>
        <w:t xml:space="preserve">2021 (VKM </w:t>
      </w:r>
      <w:r w:rsidR="00414D5E" w:rsidRPr="0058349C">
        <w:rPr>
          <w:rFonts w:ascii="Garamond" w:hAnsi="Garamond" w:cs="MS Mincho"/>
          <w:sz w:val="24"/>
          <w:szCs w:val="24"/>
          <w:lang w:val="sq-AL"/>
        </w:rPr>
        <w:t>nr</w:t>
      </w:r>
      <w:r w:rsidRPr="0058349C">
        <w:rPr>
          <w:rFonts w:ascii="Garamond" w:hAnsi="Garamond" w:cs="MS Mincho"/>
          <w:sz w:val="24"/>
          <w:szCs w:val="24"/>
          <w:lang w:val="sq-AL"/>
        </w:rPr>
        <w:t>.</w:t>
      </w:r>
      <w:r w:rsidR="00414D5E">
        <w:rPr>
          <w:rFonts w:ascii="Garamond" w:hAnsi="Garamond" w:cs="MS Mincho"/>
          <w:sz w:val="24"/>
          <w:szCs w:val="24"/>
          <w:lang w:val="sq-AL"/>
        </w:rPr>
        <w:t xml:space="preserve"> 701/</w:t>
      </w:r>
      <w:r w:rsidRPr="0058349C">
        <w:rPr>
          <w:rFonts w:ascii="Garamond" w:hAnsi="Garamond" w:cs="MS Mincho"/>
          <w:sz w:val="24"/>
          <w:szCs w:val="24"/>
          <w:lang w:val="sq-AL"/>
        </w:rPr>
        <w:t>12.10.2016);</w:t>
      </w:r>
    </w:p>
    <w:p w14:paraId="0773AC75" w14:textId="1A09135F" w:rsidR="00492C9C" w:rsidRPr="0058349C" w:rsidRDefault="00492C9C" w:rsidP="00797859">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Strategjinë Kombëtare për Ujitjen dhe Kullimin 2019</w:t>
      </w:r>
      <w:r w:rsidR="00797859">
        <w:rPr>
          <w:rFonts w:ascii="Garamond" w:hAnsi="Garamond" w:cs="MS Mincho"/>
          <w:sz w:val="24"/>
          <w:szCs w:val="24"/>
          <w:lang w:val="sq-AL"/>
        </w:rPr>
        <w:t>–</w:t>
      </w:r>
      <w:r w:rsidRPr="0058349C">
        <w:rPr>
          <w:rFonts w:ascii="Garamond" w:hAnsi="Garamond" w:cs="MS Mincho"/>
          <w:sz w:val="24"/>
          <w:szCs w:val="24"/>
          <w:lang w:val="sq-AL"/>
        </w:rPr>
        <w:t xml:space="preserve">2021 (VKM </w:t>
      </w:r>
      <w:r w:rsidR="00797859" w:rsidRPr="0058349C">
        <w:rPr>
          <w:rFonts w:ascii="Garamond" w:hAnsi="Garamond" w:cs="MS Mincho"/>
          <w:sz w:val="24"/>
          <w:szCs w:val="24"/>
          <w:lang w:val="sq-AL"/>
        </w:rPr>
        <w:t>nr</w:t>
      </w:r>
      <w:r w:rsidR="00797859">
        <w:rPr>
          <w:rFonts w:ascii="Garamond" w:hAnsi="Garamond" w:cs="MS Mincho"/>
          <w:sz w:val="24"/>
          <w:szCs w:val="24"/>
          <w:lang w:val="sq-AL"/>
        </w:rPr>
        <w:t>. 345/</w:t>
      </w:r>
      <w:r w:rsidRPr="0058349C">
        <w:rPr>
          <w:rFonts w:ascii="Garamond" w:hAnsi="Garamond" w:cs="MS Mincho"/>
          <w:sz w:val="24"/>
          <w:szCs w:val="24"/>
          <w:lang w:val="sq-AL"/>
        </w:rPr>
        <w:t>22.5.2019) për infrastrukturën bujqësore;</w:t>
      </w:r>
    </w:p>
    <w:p w14:paraId="0773AC76" w14:textId="33D64486"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 xml:space="preserve">Strategjinë Kombëtare për Konsolidimin e Tokës (VKM </w:t>
      </w:r>
      <w:r w:rsidR="00214DCE" w:rsidRPr="0058349C">
        <w:rPr>
          <w:rFonts w:ascii="Garamond" w:hAnsi="Garamond" w:cs="MS Mincho"/>
          <w:sz w:val="24"/>
          <w:szCs w:val="24"/>
          <w:lang w:val="sq-AL"/>
        </w:rPr>
        <w:t>nr</w:t>
      </w:r>
      <w:r w:rsidRPr="0058349C">
        <w:rPr>
          <w:rFonts w:ascii="Garamond" w:hAnsi="Garamond" w:cs="MS Mincho"/>
          <w:sz w:val="24"/>
          <w:szCs w:val="24"/>
          <w:lang w:val="sq-AL"/>
        </w:rPr>
        <w:t>. 700</w:t>
      </w:r>
      <w:r w:rsidR="00797859">
        <w:rPr>
          <w:rFonts w:ascii="Garamond" w:hAnsi="Garamond" w:cs="MS Mincho"/>
          <w:sz w:val="24"/>
          <w:szCs w:val="24"/>
          <w:lang w:val="sq-AL"/>
        </w:rPr>
        <w:t>/</w:t>
      </w:r>
      <w:r w:rsidRPr="0058349C">
        <w:rPr>
          <w:rFonts w:ascii="Garamond" w:hAnsi="Garamond" w:cs="MS Mincho"/>
          <w:sz w:val="24"/>
          <w:szCs w:val="24"/>
          <w:lang w:val="sq-AL"/>
        </w:rPr>
        <w:t>12.10.2016);</w:t>
      </w:r>
    </w:p>
    <w:p w14:paraId="0773AC77" w14:textId="51E39990" w:rsidR="00492C9C" w:rsidRPr="0058349C" w:rsidRDefault="00492C9C" w:rsidP="00214DCE">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Politikat Strategjike për Mbrojtjen e Biodiversitetit 2016</w:t>
      </w:r>
      <w:r w:rsidR="00214DCE">
        <w:rPr>
          <w:rFonts w:ascii="Garamond" w:hAnsi="Garamond" w:cs="MS Mincho"/>
          <w:sz w:val="24"/>
          <w:szCs w:val="24"/>
          <w:lang w:val="sq-AL"/>
        </w:rPr>
        <w:t>–</w:t>
      </w:r>
      <w:r w:rsidRPr="0058349C">
        <w:rPr>
          <w:rFonts w:ascii="Garamond" w:hAnsi="Garamond" w:cs="MS Mincho"/>
          <w:sz w:val="24"/>
          <w:szCs w:val="24"/>
          <w:lang w:val="sq-AL"/>
        </w:rPr>
        <w:t xml:space="preserve">2020 (VKM </w:t>
      </w:r>
      <w:r w:rsidR="00214DCE" w:rsidRPr="0058349C">
        <w:rPr>
          <w:rFonts w:ascii="Garamond" w:hAnsi="Garamond" w:cs="MS Mincho"/>
          <w:sz w:val="24"/>
          <w:szCs w:val="24"/>
          <w:lang w:val="sq-AL"/>
        </w:rPr>
        <w:t>nr</w:t>
      </w:r>
      <w:r w:rsidRPr="0058349C">
        <w:rPr>
          <w:rFonts w:ascii="Garamond" w:hAnsi="Garamond" w:cs="MS Mincho"/>
          <w:sz w:val="24"/>
          <w:szCs w:val="24"/>
          <w:lang w:val="sq-AL"/>
        </w:rPr>
        <w:t>. 31</w:t>
      </w:r>
      <w:r w:rsidR="00797859">
        <w:rPr>
          <w:rFonts w:ascii="Garamond" w:hAnsi="Garamond" w:cs="MS Mincho"/>
          <w:sz w:val="24"/>
          <w:szCs w:val="24"/>
          <w:lang w:val="sq-AL"/>
        </w:rPr>
        <w:t>/</w:t>
      </w:r>
      <w:r w:rsidRPr="0058349C">
        <w:rPr>
          <w:rFonts w:ascii="Garamond" w:hAnsi="Garamond" w:cs="MS Mincho"/>
          <w:sz w:val="24"/>
          <w:szCs w:val="24"/>
          <w:lang w:val="sq-AL"/>
        </w:rPr>
        <w:t>20.1.2016);</w:t>
      </w:r>
    </w:p>
    <w:p w14:paraId="0773AC78" w14:textId="4DDB2265" w:rsidR="00492C9C" w:rsidRPr="0058349C" w:rsidRDefault="00492C9C" w:rsidP="00214DCE">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Strategjinë Kombëtare për Zhvillimin e Qëndrueshëm të Turizmit 2019</w:t>
      </w:r>
      <w:r w:rsidR="00214DCE">
        <w:rPr>
          <w:rFonts w:ascii="Garamond" w:hAnsi="Garamond" w:cs="MS Mincho"/>
          <w:sz w:val="24"/>
          <w:szCs w:val="24"/>
          <w:lang w:val="sq-AL"/>
        </w:rPr>
        <w:t>–</w:t>
      </w:r>
      <w:r w:rsidRPr="0058349C">
        <w:rPr>
          <w:rFonts w:ascii="Garamond" w:hAnsi="Garamond" w:cs="MS Mincho"/>
          <w:sz w:val="24"/>
          <w:szCs w:val="24"/>
          <w:lang w:val="sq-AL"/>
        </w:rPr>
        <w:t xml:space="preserve">2023 (VKM </w:t>
      </w:r>
      <w:r w:rsidR="00214DCE" w:rsidRPr="0058349C">
        <w:rPr>
          <w:rFonts w:ascii="Garamond" w:hAnsi="Garamond" w:cs="MS Mincho"/>
          <w:sz w:val="24"/>
          <w:szCs w:val="24"/>
          <w:lang w:val="sq-AL"/>
        </w:rPr>
        <w:t>nr</w:t>
      </w:r>
      <w:r w:rsidRPr="0058349C">
        <w:rPr>
          <w:rFonts w:ascii="Garamond" w:hAnsi="Garamond" w:cs="MS Mincho"/>
          <w:sz w:val="24"/>
          <w:szCs w:val="24"/>
          <w:lang w:val="sq-AL"/>
        </w:rPr>
        <w:t>. 413</w:t>
      </w:r>
      <w:r w:rsidR="00797859">
        <w:rPr>
          <w:rFonts w:ascii="Garamond" w:hAnsi="Garamond" w:cs="MS Mincho"/>
          <w:sz w:val="24"/>
          <w:szCs w:val="24"/>
          <w:lang w:val="sq-AL"/>
        </w:rPr>
        <w:t>/</w:t>
      </w:r>
      <w:r w:rsidR="00214DCE">
        <w:rPr>
          <w:rFonts w:ascii="Garamond" w:hAnsi="Garamond" w:cs="MS Mincho"/>
          <w:sz w:val="24"/>
          <w:szCs w:val="24"/>
          <w:lang w:val="sq-AL"/>
        </w:rPr>
        <w:t>19.</w:t>
      </w:r>
      <w:r w:rsidRPr="0058349C">
        <w:rPr>
          <w:rFonts w:ascii="Garamond" w:hAnsi="Garamond" w:cs="MS Mincho"/>
          <w:sz w:val="24"/>
          <w:szCs w:val="24"/>
          <w:lang w:val="sq-AL"/>
        </w:rPr>
        <w:t>6.2019)</w:t>
      </w:r>
      <w:r w:rsidR="00214DCE">
        <w:rPr>
          <w:rFonts w:ascii="Garamond" w:hAnsi="Garamond" w:cs="MS Mincho"/>
          <w:sz w:val="24"/>
          <w:szCs w:val="24"/>
          <w:lang w:val="sq-AL"/>
        </w:rPr>
        <w:t>,</w:t>
      </w:r>
      <w:r w:rsidRPr="0058349C">
        <w:rPr>
          <w:rFonts w:ascii="Garamond" w:hAnsi="Garamond" w:cs="MS Mincho"/>
          <w:sz w:val="24"/>
          <w:szCs w:val="24"/>
          <w:lang w:val="sq-AL"/>
        </w:rPr>
        <w:t xml:space="preserve"> në lidhje me zhvillimin e qëndrueshëm të turizmit agrorural; </w:t>
      </w:r>
    </w:p>
    <w:p w14:paraId="0773AC79" w14:textId="3F0D1437"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VKM</w:t>
      </w:r>
      <w:r w:rsidR="00214DCE">
        <w:rPr>
          <w:rFonts w:ascii="Garamond" w:hAnsi="Garamond" w:cs="MS Mincho"/>
          <w:sz w:val="24"/>
          <w:szCs w:val="24"/>
          <w:lang w:val="sq-AL"/>
        </w:rPr>
        <w:t>-në</w:t>
      </w:r>
      <w:r w:rsidRPr="0058349C">
        <w:rPr>
          <w:rFonts w:ascii="Garamond" w:hAnsi="Garamond" w:cs="MS Mincho"/>
          <w:sz w:val="24"/>
          <w:szCs w:val="24"/>
          <w:lang w:val="sq-AL"/>
        </w:rPr>
        <w:t xml:space="preserve"> nr. 595, datë 10.9.2014</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miratimin e Strategjisë Kombëtare për Cilësinë Ajrit të Mjedisit</w:t>
      </w:r>
      <w:r w:rsidR="00664693" w:rsidRPr="0058349C">
        <w:rPr>
          <w:rFonts w:ascii="Garamond" w:hAnsi="Garamond" w:cs="MS Mincho"/>
          <w:sz w:val="24"/>
          <w:szCs w:val="24"/>
          <w:lang w:val="sq-AL"/>
        </w:rPr>
        <w:t>”</w:t>
      </w:r>
      <w:r w:rsidRPr="0058349C">
        <w:rPr>
          <w:rFonts w:ascii="Garamond" w:hAnsi="Garamond" w:cs="MS Mincho"/>
          <w:sz w:val="24"/>
          <w:szCs w:val="24"/>
          <w:lang w:val="sq-AL"/>
        </w:rPr>
        <w:t>;</w:t>
      </w:r>
    </w:p>
    <w:p w14:paraId="0773AC7A" w14:textId="0837429A"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VKM</w:t>
      </w:r>
      <w:r w:rsidR="00214DCE">
        <w:rPr>
          <w:rFonts w:ascii="Garamond" w:hAnsi="Garamond" w:cs="MS Mincho"/>
          <w:sz w:val="24"/>
          <w:szCs w:val="24"/>
          <w:lang w:val="sq-AL"/>
        </w:rPr>
        <w:t>-në</w:t>
      </w:r>
      <w:r w:rsidRPr="0058349C">
        <w:rPr>
          <w:rFonts w:ascii="Garamond" w:hAnsi="Garamond" w:cs="MS Mincho"/>
          <w:sz w:val="24"/>
          <w:szCs w:val="24"/>
          <w:lang w:val="sq-AL"/>
        </w:rPr>
        <w:t xml:space="preserve"> nr. 412, datë 19.6.2019</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miratimin e Planit Kombëtar për Menaxhimin e Cilësisë së Ajrit</w:t>
      </w:r>
      <w:r w:rsidR="00664693" w:rsidRPr="0058349C">
        <w:rPr>
          <w:rFonts w:ascii="Garamond" w:hAnsi="Garamond" w:cs="MS Mincho"/>
          <w:sz w:val="24"/>
          <w:szCs w:val="24"/>
          <w:lang w:val="sq-AL"/>
        </w:rPr>
        <w:t>”</w:t>
      </w:r>
      <w:r w:rsidRPr="0058349C">
        <w:rPr>
          <w:rFonts w:ascii="Garamond" w:hAnsi="Garamond" w:cs="MS Mincho"/>
          <w:sz w:val="24"/>
          <w:szCs w:val="24"/>
          <w:lang w:val="sq-AL"/>
        </w:rPr>
        <w:t>;</w:t>
      </w:r>
    </w:p>
    <w:p w14:paraId="0773AC7B" w14:textId="006F0E3E"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VKM</w:t>
      </w:r>
      <w:r w:rsidR="00214DCE">
        <w:rPr>
          <w:rFonts w:ascii="Garamond" w:hAnsi="Garamond" w:cs="MS Mincho"/>
          <w:sz w:val="24"/>
          <w:szCs w:val="24"/>
          <w:lang w:val="sq-AL"/>
        </w:rPr>
        <w:t>-në</w:t>
      </w:r>
      <w:r w:rsidRPr="0058349C">
        <w:rPr>
          <w:rFonts w:ascii="Garamond" w:hAnsi="Garamond" w:cs="MS Mincho"/>
          <w:sz w:val="24"/>
          <w:szCs w:val="24"/>
          <w:lang w:val="sq-AL"/>
        </w:rPr>
        <w:t xml:space="preserve"> nr.</w:t>
      </w:r>
      <w:r w:rsidR="00214DCE">
        <w:rPr>
          <w:rFonts w:ascii="Garamond" w:hAnsi="Garamond" w:cs="MS Mincho"/>
          <w:sz w:val="24"/>
          <w:szCs w:val="24"/>
          <w:lang w:val="sq-AL"/>
        </w:rPr>
        <w:t xml:space="preserve"> </w:t>
      </w:r>
      <w:r w:rsidRPr="0058349C">
        <w:rPr>
          <w:rFonts w:ascii="Garamond" w:hAnsi="Garamond" w:cs="MS Mincho"/>
          <w:sz w:val="24"/>
          <w:szCs w:val="24"/>
          <w:lang w:val="sq-AL"/>
        </w:rPr>
        <w:t>162, datë 19.2.2020</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rregullat e hollë</w:t>
      </w:r>
      <w:r w:rsidR="00014970">
        <w:rPr>
          <w:rFonts w:ascii="Garamond" w:hAnsi="Garamond" w:cs="MS Mincho"/>
          <w:sz w:val="24"/>
          <w:szCs w:val="24"/>
          <w:lang w:val="sq-AL"/>
        </w:rPr>
        <w:t>s</w:t>
      </w:r>
      <w:r w:rsidRPr="0058349C">
        <w:rPr>
          <w:rFonts w:ascii="Garamond" w:hAnsi="Garamond" w:cs="MS Mincho"/>
          <w:sz w:val="24"/>
          <w:szCs w:val="24"/>
          <w:lang w:val="sq-AL"/>
        </w:rPr>
        <w:t>ishme për hartimin, miratimin, rishikimin dhe zbatimin e programeve të pakësimit të shkarkimeve në ajër</w:t>
      </w:r>
      <w:r w:rsidR="00664693" w:rsidRPr="0058349C">
        <w:rPr>
          <w:rFonts w:ascii="Garamond" w:hAnsi="Garamond" w:cs="MS Mincho"/>
          <w:sz w:val="24"/>
          <w:szCs w:val="24"/>
          <w:lang w:val="sq-AL"/>
        </w:rPr>
        <w:t>”</w:t>
      </w:r>
      <w:r w:rsidRPr="0058349C">
        <w:rPr>
          <w:rFonts w:ascii="Garamond" w:hAnsi="Garamond" w:cs="MS Mincho"/>
          <w:sz w:val="24"/>
          <w:szCs w:val="24"/>
          <w:lang w:val="sq-AL"/>
        </w:rPr>
        <w:t>;</w:t>
      </w:r>
    </w:p>
    <w:p w14:paraId="0773AC7C" w14:textId="46442111"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VKM</w:t>
      </w:r>
      <w:r w:rsidR="00214DCE">
        <w:rPr>
          <w:rFonts w:ascii="Garamond" w:hAnsi="Garamond" w:cs="MS Mincho"/>
          <w:sz w:val="24"/>
          <w:szCs w:val="24"/>
          <w:lang w:val="sq-AL"/>
        </w:rPr>
        <w:t>-në</w:t>
      </w:r>
      <w:r w:rsidRPr="0058349C">
        <w:rPr>
          <w:rFonts w:ascii="Garamond" w:hAnsi="Garamond" w:cs="MS Mincho"/>
          <w:sz w:val="24"/>
          <w:szCs w:val="24"/>
          <w:lang w:val="sq-AL"/>
        </w:rPr>
        <w:t xml:space="preserve"> nr. 872, datë 19.12.2021</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miratimin e planit kombëtar të energjisë dhe klimës</w:t>
      </w:r>
      <w:r w:rsidR="00664693" w:rsidRPr="0058349C">
        <w:rPr>
          <w:rFonts w:ascii="Garamond" w:hAnsi="Garamond" w:cs="MS Mincho"/>
          <w:sz w:val="24"/>
          <w:szCs w:val="24"/>
          <w:lang w:val="sq-AL"/>
        </w:rPr>
        <w:t>”</w:t>
      </w:r>
      <w:r w:rsidRPr="0058349C">
        <w:rPr>
          <w:rFonts w:ascii="Garamond" w:hAnsi="Garamond" w:cs="MS Mincho"/>
          <w:sz w:val="24"/>
          <w:szCs w:val="24"/>
          <w:lang w:val="sq-AL"/>
        </w:rPr>
        <w:t>;</w:t>
      </w:r>
    </w:p>
    <w:p w14:paraId="0773AC7D" w14:textId="3EB5644A"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VKM</w:t>
      </w:r>
      <w:r w:rsidR="00214DCE">
        <w:rPr>
          <w:rFonts w:ascii="Garamond" w:hAnsi="Garamond" w:cs="MS Mincho"/>
          <w:sz w:val="24"/>
          <w:szCs w:val="24"/>
          <w:lang w:val="sq-AL"/>
        </w:rPr>
        <w:t>-në</w:t>
      </w:r>
      <w:r w:rsidRPr="0058349C">
        <w:rPr>
          <w:rFonts w:ascii="Garamond" w:hAnsi="Garamond" w:cs="MS Mincho"/>
          <w:sz w:val="24"/>
          <w:szCs w:val="24"/>
          <w:lang w:val="sq-AL"/>
        </w:rPr>
        <w:t xml:space="preserve"> nr. 568, datë 6.10.2021</w:t>
      </w:r>
      <w:r w:rsidR="00A20C91">
        <w:rPr>
          <w:rFonts w:ascii="Garamond" w:hAnsi="Garamond" w:cs="MS Mincho"/>
          <w:sz w:val="24"/>
          <w:szCs w:val="24"/>
          <w:lang w:val="sq-AL"/>
        </w:rPr>
        <w:t>,</w:t>
      </w:r>
      <w:r w:rsidR="00D56192" w:rsidRPr="0058349C">
        <w:rPr>
          <w:rFonts w:ascii="Garamond" w:hAnsi="Garamond" w:cs="MS Mincho"/>
          <w:sz w:val="24"/>
          <w:szCs w:val="24"/>
          <w:lang w:val="sq-AL"/>
        </w:rPr>
        <w:t xml:space="preserve"> </w:t>
      </w:r>
      <w:r w:rsidR="00664693" w:rsidRPr="0058349C">
        <w:rPr>
          <w:rFonts w:ascii="Garamond" w:hAnsi="Garamond" w:cs="MS Mincho"/>
          <w:sz w:val="24"/>
          <w:szCs w:val="24"/>
          <w:lang w:val="sq-AL"/>
        </w:rPr>
        <w:t>“</w:t>
      </w:r>
      <w:r w:rsidR="00D56192" w:rsidRPr="0058349C">
        <w:rPr>
          <w:rFonts w:ascii="Garamond" w:hAnsi="Garamond" w:cs="MS Mincho"/>
          <w:sz w:val="24"/>
          <w:szCs w:val="24"/>
          <w:lang w:val="sq-AL"/>
        </w:rPr>
        <w:t>Për</w:t>
      </w:r>
      <w:r w:rsidRPr="0058349C">
        <w:rPr>
          <w:rFonts w:ascii="Garamond" w:hAnsi="Garamond" w:cs="MS Mincho"/>
          <w:sz w:val="24"/>
          <w:szCs w:val="24"/>
          <w:lang w:val="sq-AL"/>
        </w:rPr>
        <w:t xml:space="preserve"> miratimin e Kontributit Kombëtar të Përcaktuar</w:t>
      </w:r>
      <w:r w:rsidR="00664693" w:rsidRPr="0058349C">
        <w:rPr>
          <w:rFonts w:ascii="Garamond" w:hAnsi="Garamond" w:cs="MS Mincho"/>
          <w:sz w:val="24"/>
          <w:szCs w:val="24"/>
          <w:lang w:val="sq-AL"/>
        </w:rPr>
        <w:t>”</w:t>
      </w:r>
      <w:r w:rsidRPr="0058349C">
        <w:rPr>
          <w:rFonts w:ascii="Garamond" w:hAnsi="Garamond" w:cs="MS Mincho"/>
          <w:sz w:val="24"/>
          <w:szCs w:val="24"/>
          <w:lang w:val="sq-AL"/>
        </w:rPr>
        <w:t>;</w:t>
      </w:r>
    </w:p>
    <w:p w14:paraId="0773AC7E" w14:textId="69AEF484"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Parimet horizontale që lidhen me strategjitë kombëtare, si për Barazinë Gjinore, Decentralizimin dhe Qeverisjen Vendore, Reformën e Administratës Publike dhe kundër Korrupsionit.</w:t>
      </w:r>
    </w:p>
    <w:p w14:paraId="0773AC7F" w14:textId="77777777" w:rsidR="00492C9C" w:rsidRPr="0058349C" w:rsidRDefault="00492C9C" w:rsidP="00492C9C">
      <w:pPr>
        <w:keepLines/>
        <w:autoSpaceDE w:val="0"/>
        <w:autoSpaceDN w:val="0"/>
        <w:adjustRightInd w:val="0"/>
        <w:spacing w:after="0" w:line="240" w:lineRule="auto"/>
        <w:ind w:firstLine="284"/>
        <w:jc w:val="both"/>
        <w:outlineLvl w:val="1"/>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2.3 Arritjet dhe mësimet</w:t>
      </w:r>
    </w:p>
    <w:p w14:paraId="0773AC80" w14:textId="57F75F89"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Sektori i bujqësisë, zhvillimit rural dhe peshkimit përgjatë viteve të fundit ka pësuar transformime të rëndësishme dhe ka njohur një rritje progresive</w:t>
      </w:r>
      <w:r w:rsidR="00014970">
        <w:rPr>
          <w:rFonts w:ascii="Garamond" w:hAnsi="Garamond" w:cs="MS Mincho"/>
          <w:sz w:val="24"/>
          <w:szCs w:val="24"/>
          <w:lang w:val="sq-AL"/>
        </w:rPr>
        <w:t>,</w:t>
      </w:r>
      <w:r w:rsidRPr="0058349C">
        <w:rPr>
          <w:rFonts w:ascii="Garamond" w:hAnsi="Garamond" w:cs="MS Mincho"/>
          <w:sz w:val="24"/>
          <w:szCs w:val="24"/>
          <w:lang w:val="sq-AL"/>
        </w:rPr>
        <w:t xml:space="preserve"> referuar kjo treguesve të prodhimit, të ardhurave dhe </w:t>
      </w:r>
      <w:r w:rsidR="00014970">
        <w:rPr>
          <w:rFonts w:ascii="Garamond" w:hAnsi="Garamond" w:cs="MS Mincho"/>
          <w:sz w:val="24"/>
          <w:szCs w:val="24"/>
          <w:lang w:val="sq-AL"/>
        </w:rPr>
        <w:t xml:space="preserve">të </w:t>
      </w:r>
      <w:r w:rsidRPr="0058349C">
        <w:rPr>
          <w:rFonts w:ascii="Garamond" w:hAnsi="Garamond" w:cs="MS Mincho"/>
          <w:sz w:val="24"/>
          <w:szCs w:val="24"/>
          <w:lang w:val="sq-AL"/>
        </w:rPr>
        <w:t>punësimit të familjeve rurale. Po kështu</w:t>
      </w:r>
      <w:r w:rsidR="00014970">
        <w:rPr>
          <w:rFonts w:ascii="Garamond" w:hAnsi="Garamond" w:cs="MS Mincho"/>
          <w:sz w:val="24"/>
          <w:szCs w:val="24"/>
          <w:lang w:val="sq-AL"/>
        </w:rPr>
        <w:t>,</w:t>
      </w:r>
      <w:r w:rsidRPr="0058349C">
        <w:rPr>
          <w:rFonts w:ascii="Garamond" w:hAnsi="Garamond" w:cs="MS Mincho"/>
          <w:sz w:val="24"/>
          <w:szCs w:val="24"/>
          <w:lang w:val="sq-AL"/>
        </w:rPr>
        <w:t xml:space="preserve"> janë përmirësuar ndjeshëm edhe standardet e sigurisë ushqimore për konsumatorët.</w:t>
      </w:r>
    </w:p>
    <w:p w14:paraId="0773AC81" w14:textId="48530CAB"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Referuar të dhënave s</w:t>
      </w:r>
      <w:r w:rsidR="00014970">
        <w:rPr>
          <w:rFonts w:ascii="Garamond" w:hAnsi="Garamond" w:cs="MS Mincho"/>
          <w:sz w:val="24"/>
          <w:szCs w:val="24"/>
          <w:lang w:val="sq-AL"/>
        </w:rPr>
        <w:t>tatistikore, për periudhën 2017–</w:t>
      </w:r>
      <w:r w:rsidRPr="0058349C">
        <w:rPr>
          <w:rFonts w:ascii="Garamond" w:hAnsi="Garamond" w:cs="MS Mincho"/>
          <w:sz w:val="24"/>
          <w:szCs w:val="24"/>
          <w:lang w:val="sq-AL"/>
        </w:rPr>
        <w:t>2020, bujqësia është orientuar drejt produkteve me avantazhe konkurruese dhe krahasuese, të cilat sigurojnë edhe të ardhura më të mëdha për njësi sipërfaqe</w:t>
      </w:r>
      <w:r w:rsidR="00014970">
        <w:rPr>
          <w:rFonts w:ascii="Garamond" w:hAnsi="Garamond" w:cs="MS Mincho"/>
          <w:sz w:val="24"/>
          <w:szCs w:val="24"/>
          <w:lang w:val="sq-AL"/>
        </w:rPr>
        <w:t>je</w:t>
      </w:r>
      <w:r w:rsidRPr="0058349C">
        <w:rPr>
          <w:rFonts w:ascii="Garamond" w:hAnsi="Garamond" w:cs="MS Mincho"/>
          <w:sz w:val="24"/>
          <w:szCs w:val="24"/>
          <w:lang w:val="sq-AL"/>
        </w:rPr>
        <w:t xml:space="preserve"> dhe që kanë potencial për eksport.</w:t>
      </w:r>
    </w:p>
    <w:p w14:paraId="0773AC82" w14:textId="2CACCE3B" w:rsidR="00492C9C" w:rsidRPr="0058349C" w:rsidRDefault="00492C9C" w:rsidP="009F203D">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Në këto vite janë mbështetur dhe stimuluar ndryshimet në strukturën e mbjelljeve të produkteve bujqësore</w:t>
      </w:r>
      <w:r w:rsidR="000E6EE9">
        <w:rPr>
          <w:rFonts w:ascii="Garamond" w:hAnsi="Garamond" w:cs="MS Mincho"/>
          <w:sz w:val="24"/>
          <w:szCs w:val="24"/>
          <w:lang w:val="sq-AL"/>
        </w:rPr>
        <w:t>,</w:t>
      </w:r>
      <w:r w:rsidRPr="0058349C">
        <w:rPr>
          <w:rFonts w:ascii="Garamond" w:hAnsi="Garamond" w:cs="MS Mincho"/>
          <w:sz w:val="24"/>
          <w:szCs w:val="24"/>
          <w:lang w:val="sq-AL"/>
        </w:rPr>
        <w:t xml:space="preserve"> në funksion të rritjes së prodhimtarisë, zbatimit të standardeve të larta dhe plotësimin e kërkesave të tregjeve t</w:t>
      </w:r>
      <w:r w:rsidR="009F203D">
        <w:rPr>
          <w:rFonts w:ascii="Garamond" w:hAnsi="Garamond" w:cs="MS Mincho"/>
          <w:sz w:val="24"/>
          <w:szCs w:val="24"/>
          <w:lang w:val="sq-AL"/>
        </w:rPr>
        <w:t>ë</w:t>
      </w:r>
      <w:r w:rsidRPr="0058349C">
        <w:rPr>
          <w:rFonts w:ascii="Garamond" w:hAnsi="Garamond" w:cs="MS Mincho"/>
          <w:sz w:val="24"/>
          <w:szCs w:val="24"/>
          <w:lang w:val="sq-AL"/>
        </w:rPr>
        <w:t xml:space="preserve"> brendsh</w:t>
      </w:r>
      <w:r w:rsidR="009F203D">
        <w:rPr>
          <w:rFonts w:ascii="Garamond" w:hAnsi="Garamond" w:cs="MS Mincho"/>
          <w:sz w:val="24"/>
          <w:szCs w:val="24"/>
          <w:lang w:val="sq-AL"/>
        </w:rPr>
        <w:t>me</w:t>
      </w:r>
      <w:r w:rsidRPr="0058349C">
        <w:rPr>
          <w:rFonts w:ascii="Garamond" w:hAnsi="Garamond" w:cs="MS Mincho"/>
          <w:sz w:val="24"/>
          <w:szCs w:val="24"/>
          <w:lang w:val="sq-AL"/>
        </w:rPr>
        <w:t xml:space="preserve"> dhe atij ndërkombëtar. Ndryshimet më të mëdha në strukturën e mbjelljeve kanë ndodhur kryesisht në zinxhirët e vlerës të perimeve, pemëve frutore, ullinjve, agrumeve, bimëve mjekësore dhe aromatike, luleshtrydheve etj., jo vetëm për plotësimin e nevojave të tregut të brendshëm, por duke rritur në mënyrë të konsiderueshme edhe volumet e eksporteve.</w:t>
      </w:r>
    </w:p>
    <w:p w14:paraId="0773AC83" w14:textId="5144845D"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lastRenderedPageBreak/>
        <w:t>Veçanërisht</w:t>
      </w:r>
      <w:r w:rsidR="000E6EE9">
        <w:rPr>
          <w:rFonts w:ascii="Garamond" w:hAnsi="Garamond" w:cs="MS Mincho"/>
          <w:sz w:val="24"/>
          <w:szCs w:val="24"/>
          <w:lang w:val="sq-AL"/>
        </w:rPr>
        <w:t>,</w:t>
      </w:r>
      <w:r w:rsidRPr="0058349C">
        <w:rPr>
          <w:rFonts w:ascii="Garamond" w:hAnsi="Garamond" w:cs="MS Mincho"/>
          <w:sz w:val="24"/>
          <w:szCs w:val="24"/>
          <w:lang w:val="sq-AL"/>
        </w:rPr>
        <w:t xml:space="preserve"> pozitive ka qenë rritja e sipërfaqes dhe </w:t>
      </w:r>
      <w:r w:rsidR="00661BD2">
        <w:rPr>
          <w:rFonts w:ascii="Garamond" w:hAnsi="Garamond" w:cs="MS Mincho"/>
          <w:sz w:val="24"/>
          <w:szCs w:val="24"/>
          <w:lang w:val="sq-AL"/>
        </w:rPr>
        <w:t xml:space="preserve">e </w:t>
      </w:r>
      <w:r w:rsidRPr="0058349C">
        <w:rPr>
          <w:rFonts w:ascii="Garamond" w:hAnsi="Garamond" w:cs="MS Mincho"/>
          <w:sz w:val="24"/>
          <w:szCs w:val="24"/>
          <w:lang w:val="sq-AL"/>
        </w:rPr>
        <w:t xml:space="preserve">prodhimit të perimeve në serra dhe në tunele plastike. Vetëm sipërfaqja e serrave është rritur me rreth 22%. Pjesa më e madhe e këtij prodhimi ka destinacion eksportin në shumë vende të rajonit dhe më gjerë. </w:t>
      </w:r>
    </w:p>
    <w:p w14:paraId="0773AC84" w14:textId="129CCAD8"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Sektori i prodhimit blegtoral</w:t>
      </w:r>
      <w:r w:rsidR="00BC084C">
        <w:rPr>
          <w:rFonts w:ascii="Garamond" w:hAnsi="Garamond" w:cs="MS Mincho"/>
          <w:sz w:val="24"/>
          <w:szCs w:val="24"/>
          <w:lang w:val="sq-AL"/>
        </w:rPr>
        <w:t>,</w:t>
      </w:r>
      <w:r w:rsidRPr="0058349C">
        <w:rPr>
          <w:rFonts w:ascii="Garamond" w:hAnsi="Garamond" w:cs="MS Mincho"/>
          <w:sz w:val="24"/>
          <w:szCs w:val="24"/>
          <w:lang w:val="sq-AL"/>
        </w:rPr>
        <w:t xml:space="preserve"> me gjithë vështirësitë që paraqet puna për blegtorët ka qëndrueshmëri në prodhimin e qumështit</w:t>
      </w:r>
      <w:r w:rsidR="00BC084C">
        <w:rPr>
          <w:rFonts w:ascii="Garamond" w:hAnsi="Garamond" w:cs="MS Mincho"/>
          <w:sz w:val="24"/>
          <w:szCs w:val="24"/>
          <w:lang w:val="sq-AL"/>
        </w:rPr>
        <w:t>,</w:t>
      </w:r>
      <w:r w:rsidRPr="0058349C">
        <w:rPr>
          <w:rFonts w:ascii="Garamond" w:hAnsi="Garamond" w:cs="MS Mincho"/>
          <w:sz w:val="24"/>
          <w:szCs w:val="24"/>
          <w:lang w:val="sq-AL"/>
        </w:rPr>
        <w:t xml:space="preserve"> si nga gjedhi edhe të imtat</w:t>
      </w:r>
      <w:r w:rsidR="00BC084C">
        <w:rPr>
          <w:rFonts w:ascii="Garamond" w:hAnsi="Garamond" w:cs="MS Mincho"/>
          <w:sz w:val="24"/>
          <w:szCs w:val="24"/>
          <w:lang w:val="sq-AL"/>
        </w:rPr>
        <w:t>,</w:t>
      </w:r>
      <w:r w:rsidRPr="0058349C">
        <w:rPr>
          <w:rFonts w:ascii="Garamond" w:hAnsi="Garamond" w:cs="MS Mincho"/>
          <w:sz w:val="24"/>
          <w:szCs w:val="24"/>
          <w:lang w:val="sq-AL"/>
        </w:rPr>
        <w:t xml:space="preserve"> por edhe të mishit për furnizimin e tregut të brendshëm. Nevojat për qumësht</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 xml:space="preserve">plotësohen thuajse plotësisht nga prodhimi </w:t>
      </w:r>
      <w:r w:rsidR="00BC084C">
        <w:rPr>
          <w:rFonts w:ascii="Garamond" w:hAnsi="Garamond" w:cs="MS Mincho"/>
          <w:sz w:val="24"/>
          <w:szCs w:val="24"/>
          <w:lang w:val="sq-AL"/>
        </w:rPr>
        <w:t>vendës</w:t>
      </w:r>
      <w:r w:rsidRPr="0058349C">
        <w:rPr>
          <w:rFonts w:ascii="Garamond" w:hAnsi="Garamond" w:cs="MS Mincho"/>
          <w:sz w:val="24"/>
          <w:szCs w:val="24"/>
          <w:lang w:val="sq-AL"/>
        </w:rPr>
        <w:t>.</w:t>
      </w:r>
    </w:p>
    <w:p w14:paraId="0773AC85" w14:textId="706E5D38"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 xml:space="preserve">Fermerët blegtorë po arrijnë çmime më të larta për lëndën e parë nga tregu </w:t>
      </w:r>
      <w:r w:rsidR="00BC084C">
        <w:rPr>
          <w:rFonts w:ascii="Garamond" w:hAnsi="Garamond" w:cs="MS Mincho"/>
          <w:sz w:val="24"/>
          <w:szCs w:val="24"/>
          <w:lang w:val="sq-AL"/>
        </w:rPr>
        <w:t>vendës</w:t>
      </w:r>
      <w:r w:rsidRPr="0058349C">
        <w:rPr>
          <w:rFonts w:ascii="Garamond" w:hAnsi="Garamond" w:cs="MS Mincho"/>
          <w:sz w:val="24"/>
          <w:szCs w:val="24"/>
          <w:lang w:val="sq-AL"/>
        </w:rPr>
        <w:t xml:space="preserve"> dhe industria përpunuese. Sektori i shpendëve, prodhimi </w:t>
      </w:r>
      <w:r w:rsidR="00BC084C">
        <w:rPr>
          <w:rFonts w:ascii="Garamond" w:hAnsi="Garamond" w:cs="MS Mincho"/>
          <w:sz w:val="24"/>
          <w:szCs w:val="24"/>
          <w:lang w:val="sq-AL"/>
        </w:rPr>
        <w:t xml:space="preserve">i </w:t>
      </w:r>
      <w:r w:rsidRPr="0058349C">
        <w:rPr>
          <w:rFonts w:ascii="Garamond" w:hAnsi="Garamond" w:cs="MS Mincho"/>
          <w:sz w:val="24"/>
          <w:szCs w:val="24"/>
          <w:lang w:val="sq-AL"/>
        </w:rPr>
        <w:t xml:space="preserve">vezëve dhe </w:t>
      </w:r>
      <w:r w:rsidR="00BC084C">
        <w:rPr>
          <w:rFonts w:ascii="Garamond" w:hAnsi="Garamond" w:cs="MS Mincho"/>
          <w:sz w:val="24"/>
          <w:szCs w:val="24"/>
          <w:lang w:val="sq-AL"/>
        </w:rPr>
        <w:t xml:space="preserve">i </w:t>
      </w:r>
      <w:r w:rsidRPr="0058349C">
        <w:rPr>
          <w:rFonts w:ascii="Garamond" w:hAnsi="Garamond" w:cs="MS Mincho"/>
          <w:sz w:val="24"/>
          <w:szCs w:val="24"/>
          <w:lang w:val="sq-AL"/>
        </w:rPr>
        <w:t>mishit, përfaqësohet nga stabilimente moderne, të cilat kanë</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një performancë të mirë.</w:t>
      </w:r>
    </w:p>
    <w:p w14:paraId="0773AC86" w14:textId="25094756" w:rsidR="00492C9C" w:rsidRPr="0058349C" w:rsidRDefault="00492C9C" w:rsidP="00492C9C">
      <w:pPr>
        <w:autoSpaceDE w:val="0"/>
        <w:autoSpaceDN w:val="0"/>
        <w:adjustRightInd w:val="0"/>
        <w:spacing w:after="0" w:line="240" w:lineRule="auto"/>
        <w:ind w:firstLine="284"/>
        <w:jc w:val="both"/>
        <w:rPr>
          <w:rFonts w:ascii="Garamond" w:hAnsi="Garamond" w:cs="MS Mincho"/>
          <w:b/>
          <w:bCs/>
          <w:sz w:val="24"/>
          <w:szCs w:val="24"/>
          <w:lang w:val="sq-AL"/>
        </w:rPr>
      </w:pPr>
      <w:r w:rsidRPr="0058349C">
        <w:rPr>
          <w:rFonts w:ascii="Garamond" w:hAnsi="Garamond" w:cs="MS Mincho"/>
          <w:b/>
          <w:bCs/>
          <w:sz w:val="24"/>
          <w:szCs w:val="24"/>
          <w:lang w:val="sq-AL"/>
        </w:rPr>
        <w:t xml:space="preserve">Rritja e eksporteve të produkteve bujqësore dhe </w:t>
      </w:r>
      <w:r w:rsidR="00E972BA">
        <w:rPr>
          <w:rFonts w:ascii="Garamond" w:hAnsi="Garamond" w:cs="MS Mincho"/>
          <w:b/>
          <w:bCs/>
          <w:sz w:val="24"/>
          <w:szCs w:val="24"/>
          <w:lang w:val="sq-AL"/>
        </w:rPr>
        <w:t xml:space="preserve">të </w:t>
      </w:r>
      <w:r w:rsidRPr="0058349C">
        <w:rPr>
          <w:rFonts w:ascii="Garamond" w:hAnsi="Garamond" w:cs="MS Mincho"/>
          <w:b/>
          <w:bCs/>
          <w:sz w:val="24"/>
          <w:szCs w:val="24"/>
          <w:lang w:val="sq-AL"/>
        </w:rPr>
        <w:t>peshkimit</w:t>
      </w:r>
    </w:p>
    <w:p w14:paraId="0773AC87"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Eksportet nga bujqësia në vitin 2020 krahasuar me vitin 2017 janë rritur me 33.3%; peshkimi është rritur me 31.8%, ndërsa agroindustria me 23.7%.</w:t>
      </w:r>
    </w:p>
    <w:p w14:paraId="0773AC88" w14:textId="700267C9"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Eksportet</w:t>
      </w:r>
      <w:r w:rsidR="00E972BA">
        <w:rPr>
          <w:rFonts w:ascii="Garamond" w:hAnsi="Garamond" w:cs="MS Mincho"/>
          <w:sz w:val="24"/>
          <w:szCs w:val="24"/>
          <w:lang w:val="sq-AL"/>
        </w:rPr>
        <w:t>,</w:t>
      </w:r>
      <w:r w:rsidRPr="0058349C">
        <w:rPr>
          <w:rFonts w:ascii="Garamond" w:hAnsi="Garamond" w:cs="MS Mincho"/>
          <w:sz w:val="24"/>
          <w:szCs w:val="24"/>
          <w:lang w:val="sq-AL"/>
        </w:rPr>
        <w:t xml:space="preserve"> në total nga bujqësia, blegtoria, peshkimi dhe agroindustria në vitin 2020 u rritën me 27.5%, krahasuar me vitin 2017, ndërsa krahasuar me vitin 2013 janë rritur me 168.7%.</w:t>
      </w:r>
    </w:p>
    <w:p w14:paraId="0773AC89" w14:textId="1861247E"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Si rrjedhojë</w:t>
      </w:r>
      <w:r w:rsidR="00E972BA">
        <w:rPr>
          <w:rFonts w:ascii="Garamond" w:hAnsi="Garamond" w:cs="MS Mincho"/>
          <w:sz w:val="24"/>
          <w:szCs w:val="24"/>
          <w:lang w:val="sq-AL"/>
        </w:rPr>
        <w:t>,</w:t>
      </w:r>
      <w:r w:rsidRPr="0058349C">
        <w:rPr>
          <w:rFonts w:ascii="Garamond" w:hAnsi="Garamond" w:cs="MS Mincho"/>
          <w:sz w:val="24"/>
          <w:szCs w:val="24"/>
          <w:lang w:val="sq-AL"/>
        </w:rPr>
        <w:t xml:space="preserve"> raporti i eksporteve kundrejt importit ka njohur një përmirësim të vazhdueshëm dhe të ndjeshëm në favor të eksporteve. Kështu</w:t>
      </w:r>
      <w:r w:rsidR="00E972BA">
        <w:rPr>
          <w:rFonts w:ascii="Garamond" w:hAnsi="Garamond" w:cs="MS Mincho"/>
          <w:sz w:val="24"/>
          <w:szCs w:val="24"/>
          <w:lang w:val="sq-AL"/>
        </w:rPr>
        <w:t>,</w:t>
      </w:r>
      <w:r w:rsidRPr="0058349C">
        <w:rPr>
          <w:rFonts w:ascii="Garamond" w:hAnsi="Garamond" w:cs="MS Mincho"/>
          <w:sz w:val="24"/>
          <w:szCs w:val="24"/>
          <w:lang w:val="sq-AL"/>
        </w:rPr>
        <w:t xml:space="preserve"> ky raport</w:t>
      </w:r>
      <w:r w:rsidR="00E972BA">
        <w:rPr>
          <w:rFonts w:ascii="Garamond" w:hAnsi="Garamond" w:cs="MS Mincho"/>
          <w:sz w:val="24"/>
          <w:szCs w:val="24"/>
          <w:lang w:val="sq-AL"/>
        </w:rPr>
        <w:t>,</w:t>
      </w:r>
      <w:r w:rsidRPr="0058349C">
        <w:rPr>
          <w:rFonts w:ascii="Garamond" w:hAnsi="Garamond" w:cs="MS Mincho"/>
          <w:sz w:val="24"/>
          <w:szCs w:val="24"/>
          <w:lang w:val="sq-AL"/>
        </w:rPr>
        <w:t xml:space="preserve"> në fund të vitit 2020 arriti në 1:2.95 nga 1:5.92 që ishte në vitin 2013.</w:t>
      </w:r>
    </w:p>
    <w:p w14:paraId="0773AC8A"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b/>
          <w:bCs/>
          <w:sz w:val="24"/>
          <w:szCs w:val="24"/>
          <w:lang w:val="sq-AL"/>
        </w:rPr>
      </w:pPr>
      <w:r w:rsidRPr="0058349C">
        <w:rPr>
          <w:rFonts w:ascii="Garamond" w:hAnsi="Garamond" w:cs="MS Mincho"/>
          <w:b/>
          <w:bCs/>
          <w:sz w:val="24"/>
          <w:szCs w:val="24"/>
          <w:lang w:val="sq-AL"/>
        </w:rPr>
        <w:t>Rritja e numrit të pikave të grumbullimit të produkteve</w:t>
      </w:r>
    </w:p>
    <w:p w14:paraId="0773AC8B" w14:textId="60B09DA8"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Në shkallë vendi funksionojnë rreth 224 pika grumbullimi (172 pika të grumbullimit të frutave dhe perimeve, 42 pika grumbullimi për bimët mjekësore dhe aromatike</w:t>
      </w:r>
      <w:r w:rsidR="00E972BA">
        <w:rPr>
          <w:rFonts w:ascii="Garamond" w:hAnsi="Garamond" w:cs="MS Mincho"/>
          <w:sz w:val="24"/>
          <w:szCs w:val="24"/>
          <w:lang w:val="sq-AL"/>
        </w:rPr>
        <w:t>,</w:t>
      </w:r>
      <w:r w:rsidRPr="0058349C">
        <w:rPr>
          <w:rFonts w:ascii="Garamond" w:hAnsi="Garamond" w:cs="MS Mincho"/>
          <w:sz w:val="24"/>
          <w:szCs w:val="24"/>
          <w:lang w:val="sq-AL"/>
        </w:rPr>
        <w:t xml:space="preserve"> si dhe 10 pika të tjera me destinacione të ndryshme). Nga 224 pika grumbullimi në total 60 pika grumbullimi kryejnë aktivitet në qarkun Fier, 10 në Vlorë, 15 në Gjirokastër, 49 në Korçë, 11 në Elbasan, 15 në Berat, 12 në Tiranë, 19 në Durrës, 12 në Dibër, dhe nga 7 subjekte në qarqet Shkodër, Lezhë dhe Kukës. Nga 172 pika të grumbullimit të frutave dhe </w:t>
      </w:r>
      <w:r w:rsidR="00E972BA">
        <w:rPr>
          <w:rFonts w:ascii="Garamond" w:hAnsi="Garamond" w:cs="MS Mincho"/>
          <w:sz w:val="24"/>
          <w:szCs w:val="24"/>
          <w:lang w:val="sq-AL"/>
        </w:rPr>
        <w:t xml:space="preserve">të </w:t>
      </w:r>
      <w:r w:rsidRPr="0058349C">
        <w:rPr>
          <w:rFonts w:ascii="Garamond" w:hAnsi="Garamond" w:cs="MS Mincho"/>
          <w:sz w:val="24"/>
          <w:szCs w:val="24"/>
          <w:lang w:val="sq-AL"/>
        </w:rPr>
        <w:t>perimeve 70 prej tyre garantojnë magazinimin në dhoma frigoriferike. Këto të fundit janë të lokalizuara kryesisht në qarqet e Korçës, Dibrës dhe Fierit.</w:t>
      </w:r>
    </w:p>
    <w:p w14:paraId="0773AC8C" w14:textId="6AC25F20"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Pikat e</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grumbullimit bashkëpunojnë me rreth</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 xml:space="preserve">35 mijë fermerë. Ato janë të shpërndara në të gjithë territorin ku zhvillohet bujqësi intensive dhe që kryesisht synojnë eksportin e produkteve agroushqimore. </w:t>
      </w:r>
    </w:p>
    <w:p w14:paraId="0773AC8D" w14:textId="30CDE627" w:rsidR="00492C9C" w:rsidRPr="0058349C" w:rsidRDefault="00492C9C" w:rsidP="006134F8">
      <w:pPr>
        <w:autoSpaceDE w:val="0"/>
        <w:autoSpaceDN w:val="0"/>
        <w:adjustRightInd w:val="0"/>
        <w:spacing w:after="0" w:line="240" w:lineRule="auto"/>
        <w:ind w:firstLine="284"/>
        <w:jc w:val="both"/>
        <w:rPr>
          <w:rFonts w:ascii="Garamond" w:hAnsi="Garamond" w:cs="MS Mincho"/>
          <w:b/>
          <w:bCs/>
          <w:sz w:val="24"/>
          <w:szCs w:val="24"/>
          <w:lang w:val="sq-AL"/>
        </w:rPr>
      </w:pPr>
      <w:r w:rsidRPr="0058349C">
        <w:rPr>
          <w:rFonts w:ascii="Garamond" w:hAnsi="Garamond" w:cs="MS Mincho"/>
          <w:b/>
          <w:bCs/>
          <w:sz w:val="24"/>
          <w:szCs w:val="24"/>
          <w:lang w:val="sq-AL"/>
        </w:rPr>
        <w:t xml:space="preserve">Rritja e vazhdueshme e mbështetjes me financime për </w:t>
      </w:r>
      <w:r w:rsidR="00E972BA">
        <w:rPr>
          <w:rFonts w:ascii="Garamond" w:hAnsi="Garamond" w:cs="MS Mincho"/>
          <w:b/>
          <w:bCs/>
          <w:sz w:val="24"/>
          <w:szCs w:val="24"/>
          <w:lang w:val="sq-AL"/>
        </w:rPr>
        <w:t>investime për fermerët dhe agro</w:t>
      </w:r>
      <w:r w:rsidRPr="0058349C">
        <w:rPr>
          <w:rFonts w:ascii="Garamond" w:hAnsi="Garamond" w:cs="MS Mincho"/>
          <w:b/>
          <w:bCs/>
          <w:sz w:val="24"/>
          <w:szCs w:val="24"/>
          <w:lang w:val="sq-AL"/>
        </w:rPr>
        <w:t xml:space="preserve">përpunuesit dhe </w:t>
      </w:r>
      <w:r w:rsidR="00E972BA">
        <w:rPr>
          <w:rFonts w:ascii="Garamond" w:hAnsi="Garamond" w:cs="MS Mincho"/>
          <w:b/>
          <w:bCs/>
          <w:sz w:val="24"/>
          <w:szCs w:val="24"/>
          <w:lang w:val="sq-AL"/>
        </w:rPr>
        <w:t xml:space="preserve">për </w:t>
      </w:r>
      <w:r w:rsidRPr="0058349C">
        <w:rPr>
          <w:rFonts w:ascii="Garamond" w:hAnsi="Garamond" w:cs="MS Mincho"/>
          <w:b/>
          <w:bCs/>
          <w:sz w:val="24"/>
          <w:szCs w:val="24"/>
          <w:lang w:val="sq-AL"/>
        </w:rPr>
        <w:t>sipërmarrësit n</w:t>
      </w:r>
      <w:r w:rsidR="006134F8">
        <w:rPr>
          <w:rFonts w:ascii="Garamond" w:hAnsi="Garamond" w:cs="MS Mincho"/>
          <w:b/>
          <w:bCs/>
          <w:sz w:val="24"/>
          <w:szCs w:val="24"/>
          <w:lang w:val="sq-AL"/>
        </w:rPr>
        <w:t>ë</w:t>
      </w:r>
      <w:r w:rsidRPr="0058349C">
        <w:rPr>
          <w:rFonts w:ascii="Garamond" w:hAnsi="Garamond" w:cs="MS Mincho"/>
          <w:b/>
          <w:bCs/>
          <w:sz w:val="24"/>
          <w:szCs w:val="24"/>
          <w:lang w:val="sq-AL"/>
        </w:rPr>
        <w:t xml:space="preserve"> zonat rurale për diversifikim të aktivitetit ekonomik</w:t>
      </w:r>
    </w:p>
    <w:p w14:paraId="0773AC8E" w14:textId="71C2F669" w:rsidR="00492C9C" w:rsidRPr="0058349C" w:rsidRDefault="00492C9C" w:rsidP="003E2673">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MBZHR</w:t>
      </w:r>
      <w:r w:rsidR="006134F8">
        <w:rPr>
          <w:rFonts w:ascii="Garamond" w:hAnsi="Garamond" w:cs="MS Mincho"/>
          <w:sz w:val="24"/>
          <w:szCs w:val="24"/>
          <w:lang w:val="sq-AL"/>
        </w:rPr>
        <w:t>-ja,</w:t>
      </w:r>
      <w:r w:rsidRPr="0058349C">
        <w:rPr>
          <w:rFonts w:ascii="Garamond" w:hAnsi="Garamond" w:cs="MS Mincho"/>
          <w:sz w:val="24"/>
          <w:szCs w:val="24"/>
          <w:lang w:val="sq-AL"/>
        </w:rPr>
        <w:t xml:space="preserve"> gjatë viteve të fundit, në saj</w:t>
      </w:r>
      <w:r w:rsidR="00F675CF">
        <w:rPr>
          <w:rFonts w:ascii="Garamond" w:hAnsi="Garamond" w:cs="MS Mincho"/>
          <w:sz w:val="24"/>
          <w:szCs w:val="24"/>
          <w:lang w:val="sq-AL"/>
        </w:rPr>
        <w:t>e</w:t>
      </w:r>
      <w:r w:rsidRPr="0058349C">
        <w:rPr>
          <w:rFonts w:ascii="Garamond" w:hAnsi="Garamond" w:cs="MS Mincho"/>
          <w:sz w:val="24"/>
          <w:szCs w:val="24"/>
          <w:lang w:val="sq-AL"/>
        </w:rPr>
        <w:t xml:space="preserve"> të politikave që </w:t>
      </w:r>
      <w:r w:rsidR="003E2673">
        <w:rPr>
          <w:rFonts w:ascii="Garamond" w:hAnsi="Garamond" w:cs="MS Mincho"/>
          <w:sz w:val="24"/>
          <w:szCs w:val="24"/>
          <w:lang w:val="sq-AL"/>
        </w:rPr>
        <w:t>u</w:t>
      </w:r>
      <w:r w:rsidRPr="0058349C">
        <w:rPr>
          <w:rFonts w:ascii="Garamond" w:hAnsi="Garamond" w:cs="MS Mincho"/>
          <w:sz w:val="24"/>
          <w:szCs w:val="24"/>
          <w:lang w:val="sq-AL"/>
        </w:rPr>
        <w:t xml:space="preserve"> përgjigjen nevojave të fermerëve, agropërpunuesve dhe sipërmarrësve në zonat rurale, të krijimit të strukturave të nevojshme dhe instalimit të inst</w:t>
      </w:r>
      <w:r w:rsidR="00270916">
        <w:rPr>
          <w:rFonts w:ascii="Garamond" w:hAnsi="Garamond" w:cs="MS Mincho"/>
          <w:sz w:val="24"/>
          <w:szCs w:val="24"/>
          <w:lang w:val="sq-AL"/>
        </w:rPr>
        <w:t>rumenteve të përshtatsh</w:t>
      </w:r>
      <w:r w:rsidR="003E2673">
        <w:rPr>
          <w:rFonts w:ascii="Garamond" w:hAnsi="Garamond" w:cs="MS Mincho"/>
          <w:sz w:val="24"/>
          <w:szCs w:val="24"/>
          <w:lang w:val="sq-AL"/>
        </w:rPr>
        <w:t>me</w:t>
      </w:r>
      <w:r w:rsidRPr="0058349C">
        <w:rPr>
          <w:rFonts w:ascii="Garamond" w:hAnsi="Garamond" w:cs="MS Mincho"/>
          <w:sz w:val="24"/>
          <w:szCs w:val="24"/>
          <w:lang w:val="sq-AL"/>
        </w:rPr>
        <w:t xml:space="preserve"> ka rritur ndjeshëm investimet në bujqësi, zhvillim rural dhe në peshkim</w:t>
      </w:r>
      <w:r w:rsidR="00125BD8">
        <w:rPr>
          <w:rFonts w:ascii="Garamond" w:hAnsi="Garamond" w:cs="MS Mincho"/>
          <w:sz w:val="24"/>
          <w:szCs w:val="24"/>
          <w:lang w:val="sq-AL"/>
        </w:rPr>
        <w:t>,</w:t>
      </w:r>
      <w:r w:rsidRPr="0058349C">
        <w:rPr>
          <w:rFonts w:ascii="Garamond" w:hAnsi="Garamond" w:cs="MS Mincho"/>
          <w:sz w:val="24"/>
          <w:szCs w:val="24"/>
          <w:lang w:val="sq-AL"/>
        </w:rPr>
        <w:t xml:space="preserve"> duke i përdorur me efikasitet maksimal burimet financiare në dispozicion.</w:t>
      </w:r>
    </w:p>
    <w:p w14:paraId="0773AC8F" w14:textId="15B9F0F2" w:rsidR="00492C9C" w:rsidRPr="0058349C" w:rsidRDefault="00492C9C" w:rsidP="00270916">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Burimet financiare të përdorura vijnë</w:t>
      </w:r>
      <w:r w:rsidR="00125BD8">
        <w:rPr>
          <w:rFonts w:ascii="Garamond" w:hAnsi="Garamond" w:cs="MS Mincho"/>
          <w:sz w:val="24"/>
          <w:szCs w:val="24"/>
          <w:lang w:val="sq-AL"/>
        </w:rPr>
        <w:t>,</w:t>
      </w:r>
      <w:r w:rsidRPr="0058349C">
        <w:rPr>
          <w:rFonts w:ascii="Garamond" w:hAnsi="Garamond" w:cs="MS Mincho"/>
          <w:sz w:val="24"/>
          <w:szCs w:val="24"/>
          <w:lang w:val="sq-AL"/>
        </w:rPr>
        <w:t xml:space="preserve"> si nga buxheti i shtetit</w:t>
      </w:r>
      <w:r w:rsidR="00125BD8">
        <w:rPr>
          <w:rFonts w:ascii="Garamond" w:hAnsi="Garamond" w:cs="MS Mincho"/>
          <w:sz w:val="24"/>
          <w:szCs w:val="24"/>
          <w:lang w:val="sq-AL"/>
        </w:rPr>
        <w:t>,</w:t>
      </w:r>
      <w:r w:rsidRPr="0058349C">
        <w:rPr>
          <w:rFonts w:ascii="Garamond" w:hAnsi="Garamond" w:cs="MS Mincho"/>
          <w:sz w:val="24"/>
          <w:szCs w:val="24"/>
          <w:lang w:val="sq-AL"/>
        </w:rPr>
        <w:t xml:space="preserve"> ashtu edhe nga financimet e BE-s</w:t>
      </w:r>
      <w:r w:rsidR="00270916">
        <w:rPr>
          <w:rFonts w:ascii="Garamond" w:hAnsi="Garamond" w:cs="MS Mincho"/>
          <w:sz w:val="24"/>
          <w:szCs w:val="24"/>
          <w:lang w:val="sq-AL"/>
        </w:rPr>
        <w:t>ë</w:t>
      </w:r>
      <w:r w:rsidRPr="0058349C">
        <w:rPr>
          <w:rFonts w:ascii="Garamond" w:hAnsi="Garamond" w:cs="MS Mincho"/>
          <w:sz w:val="24"/>
          <w:szCs w:val="24"/>
          <w:lang w:val="sq-AL"/>
        </w:rPr>
        <w:t xml:space="preserve"> dhe </w:t>
      </w:r>
      <w:r w:rsidR="00125BD8">
        <w:rPr>
          <w:rFonts w:ascii="Garamond" w:hAnsi="Garamond" w:cs="MS Mincho"/>
          <w:sz w:val="24"/>
          <w:szCs w:val="24"/>
          <w:lang w:val="sq-AL"/>
        </w:rPr>
        <w:t xml:space="preserve">të </w:t>
      </w:r>
      <w:r w:rsidRPr="0058349C">
        <w:rPr>
          <w:rFonts w:ascii="Garamond" w:hAnsi="Garamond" w:cs="MS Mincho"/>
          <w:sz w:val="24"/>
          <w:szCs w:val="24"/>
          <w:lang w:val="sq-AL"/>
        </w:rPr>
        <w:t>donatorëve të ndryshëm</w:t>
      </w:r>
      <w:r w:rsidR="00125BD8">
        <w:rPr>
          <w:rFonts w:ascii="Garamond" w:hAnsi="Garamond" w:cs="MS Mincho"/>
          <w:sz w:val="24"/>
          <w:szCs w:val="24"/>
          <w:lang w:val="sq-AL"/>
        </w:rPr>
        <w:t>,</w:t>
      </w:r>
      <w:r w:rsidRPr="0058349C">
        <w:rPr>
          <w:rFonts w:ascii="Garamond" w:hAnsi="Garamond" w:cs="MS Mincho"/>
          <w:sz w:val="24"/>
          <w:szCs w:val="24"/>
          <w:lang w:val="sq-AL"/>
        </w:rPr>
        <w:t xml:space="preserve"> si dhe nga sistemi bankar</w:t>
      </w:r>
      <w:r w:rsidR="00125BD8">
        <w:rPr>
          <w:rFonts w:ascii="Garamond" w:hAnsi="Garamond" w:cs="MS Mincho"/>
          <w:sz w:val="24"/>
          <w:szCs w:val="24"/>
          <w:lang w:val="sq-AL"/>
        </w:rPr>
        <w:t>,</w:t>
      </w:r>
      <w:r w:rsidRPr="0058349C">
        <w:rPr>
          <w:rFonts w:ascii="Garamond" w:hAnsi="Garamond" w:cs="MS Mincho"/>
          <w:sz w:val="24"/>
          <w:szCs w:val="24"/>
          <w:lang w:val="sq-AL"/>
        </w:rPr>
        <w:t xml:space="preserve"> si BERZH</w:t>
      </w:r>
      <w:r w:rsidR="00D443B1">
        <w:rPr>
          <w:rFonts w:ascii="Garamond" w:hAnsi="Garamond" w:cs="MS Mincho"/>
          <w:sz w:val="24"/>
          <w:szCs w:val="24"/>
          <w:lang w:val="sq-AL"/>
        </w:rPr>
        <w:t>-së</w:t>
      </w:r>
      <w:r w:rsidRPr="0058349C">
        <w:rPr>
          <w:rFonts w:ascii="Garamond" w:hAnsi="Garamond" w:cs="MS Mincho"/>
          <w:sz w:val="24"/>
          <w:szCs w:val="24"/>
          <w:lang w:val="sq-AL"/>
        </w:rPr>
        <w:t>, Kf</w:t>
      </w:r>
      <w:r w:rsidR="00125BD8">
        <w:rPr>
          <w:rFonts w:ascii="Garamond" w:hAnsi="Garamond" w:cs="MS Mincho"/>
          <w:sz w:val="24"/>
          <w:szCs w:val="24"/>
          <w:lang w:val="sq-AL"/>
        </w:rPr>
        <w:t>W,</w:t>
      </w:r>
      <w:r w:rsidRPr="0058349C">
        <w:rPr>
          <w:rFonts w:ascii="Garamond" w:hAnsi="Garamond" w:cs="MS Mincho"/>
          <w:sz w:val="24"/>
          <w:szCs w:val="24"/>
          <w:lang w:val="sq-AL"/>
        </w:rPr>
        <w:t xml:space="preserve"> por edhe projektet bilaterale. </w:t>
      </w:r>
    </w:p>
    <w:p w14:paraId="0773AC90" w14:textId="1702EDE2" w:rsidR="00492C9C" w:rsidRPr="0058349C" w:rsidRDefault="00492C9C" w:rsidP="009E2DE8">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Nga buxheti kombëtar, nëpërmjet skemës kombëtare bujqësia, zhvillimi rural dhe peshkimi është mbështetur në periudhën 2017</w:t>
      </w:r>
      <w:r w:rsidR="00270916">
        <w:rPr>
          <w:rFonts w:ascii="Garamond" w:hAnsi="Garamond" w:cs="MS Mincho"/>
          <w:sz w:val="24"/>
          <w:szCs w:val="24"/>
          <w:lang w:val="sq-AL"/>
        </w:rPr>
        <w:t>–</w:t>
      </w:r>
      <w:r w:rsidRPr="0058349C">
        <w:rPr>
          <w:rFonts w:ascii="Garamond" w:hAnsi="Garamond" w:cs="MS Mincho"/>
          <w:sz w:val="24"/>
          <w:szCs w:val="24"/>
          <w:lang w:val="sq-AL"/>
        </w:rPr>
        <w:t>2020</w:t>
      </w:r>
      <w:r w:rsidR="00270916">
        <w:rPr>
          <w:rFonts w:ascii="Garamond" w:hAnsi="Garamond" w:cs="MS Mincho"/>
          <w:sz w:val="24"/>
          <w:szCs w:val="24"/>
          <w:lang w:val="sq-AL"/>
        </w:rPr>
        <w:t>,</w:t>
      </w:r>
      <w:r w:rsidRPr="0058349C">
        <w:rPr>
          <w:rFonts w:ascii="Garamond" w:hAnsi="Garamond" w:cs="MS Mincho"/>
          <w:sz w:val="24"/>
          <w:szCs w:val="24"/>
          <w:lang w:val="sq-AL"/>
        </w:rPr>
        <w:t xml:space="preserve"> me një fond prej rreth 3.8 miliard</w:t>
      </w:r>
      <w:r w:rsidR="00270916">
        <w:rPr>
          <w:rFonts w:ascii="Garamond" w:hAnsi="Garamond" w:cs="MS Mincho"/>
          <w:sz w:val="24"/>
          <w:szCs w:val="24"/>
          <w:lang w:val="sq-AL"/>
        </w:rPr>
        <w:t>ë</w:t>
      </w:r>
      <w:r w:rsidRPr="0058349C">
        <w:rPr>
          <w:rFonts w:ascii="Garamond" w:hAnsi="Garamond" w:cs="MS Mincho"/>
          <w:sz w:val="24"/>
          <w:szCs w:val="24"/>
          <w:lang w:val="sq-AL"/>
        </w:rPr>
        <w:t xml:space="preserve"> lekë</w:t>
      </w:r>
      <w:r w:rsidR="009E2DE8">
        <w:rPr>
          <w:rFonts w:ascii="Garamond" w:hAnsi="Garamond" w:cs="MS Mincho"/>
          <w:sz w:val="24"/>
          <w:szCs w:val="24"/>
          <w:lang w:val="sq-AL"/>
        </w:rPr>
        <w:t>sh</w:t>
      </w:r>
      <w:r w:rsidRPr="0058349C">
        <w:rPr>
          <w:rFonts w:ascii="Garamond" w:hAnsi="Garamond" w:cs="MS Mincho"/>
          <w:sz w:val="24"/>
          <w:szCs w:val="24"/>
          <w:lang w:val="sq-AL"/>
        </w:rPr>
        <w:t>. Shifra të cilat kanë pësuar rritje të konsiderueshme për vitin 2021 dhe 2022. Në të njëjtën periudhë</w:t>
      </w:r>
      <w:r w:rsidR="00270916">
        <w:rPr>
          <w:rFonts w:ascii="Garamond" w:hAnsi="Garamond" w:cs="MS Mincho"/>
          <w:sz w:val="24"/>
          <w:szCs w:val="24"/>
          <w:lang w:val="sq-AL"/>
        </w:rPr>
        <w:t>,</w:t>
      </w:r>
      <w:r w:rsidRPr="0058349C">
        <w:rPr>
          <w:rFonts w:ascii="Garamond" w:hAnsi="Garamond" w:cs="MS Mincho"/>
          <w:sz w:val="24"/>
          <w:szCs w:val="24"/>
          <w:lang w:val="sq-AL"/>
        </w:rPr>
        <w:t xml:space="preserve"> numri i fermerëve të prekur nga këto skema është rritur disa herë. Këto skema kanë shërbyer</w:t>
      </w:r>
      <w:r w:rsidR="009E2DE8">
        <w:rPr>
          <w:rFonts w:ascii="Garamond" w:hAnsi="Garamond" w:cs="MS Mincho"/>
          <w:sz w:val="24"/>
          <w:szCs w:val="24"/>
          <w:lang w:val="sq-AL"/>
        </w:rPr>
        <w:t>,</w:t>
      </w:r>
      <w:r w:rsidRPr="0058349C">
        <w:rPr>
          <w:rFonts w:ascii="Garamond" w:hAnsi="Garamond" w:cs="MS Mincho"/>
          <w:sz w:val="24"/>
          <w:szCs w:val="24"/>
          <w:lang w:val="sq-AL"/>
        </w:rPr>
        <w:t xml:space="preserve"> si për rritjen e prodhimit bujqësor e blegtoral, t</w:t>
      </w:r>
      <w:r w:rsidR="00270916">
        <w:rPr>
          <w:rFonts w:ascii="Garamond" w:hAnsi="Garamond" w:cs="MS Mincho"/>
          <w:sz w:val="24"/>
          <w:szCs w:val="24"/>
          <w:lang w:val="sq-AL"/>
        </w:rPr>
        <w:t>ë</w:t>
      </w:r>
      <w:r w:rsidRPr="0058349C">
        <w:rPr>
          <w:rFonts w:ascii="Garamond" w:hAnsi="Garamond" w:cs="MS Mincho"/>
          <w:sz w:val="24"/>
          <w:szCs w:val="24"/>
          <w:lang w:val="sq-AL"/>
        </w:rPr>
        <w:t xml:space="preserve"> mjaltit nga bletët</w:t>
      </w:r>
      <w:r w:rsidR="00270916">
        <w:rPr>
          <w:rFonts w:ascii="Garamond" w:hAnsi="Garamond" w:cs="MS Mincho"/>
          <w:sz w:val="24"/>
          <w:szCs w:val="24"/>
          <w:lang w:val="sq-AL"/>
        </w:rPr>
        <w:t>,</w:t>
      </w:r>
      <w:r w:rsidRPr="0058349C">
        <w:rPr>
          <w:rFonts w:ascii="Garamond" w:hAnsi="Garamond" w:cs="MS Mincho"/>
          <w:sz w:val="24"/>
          <w:szCs w:val="24"/>
          <w:lang w:val="sq-AL"/>
        </w:rPr>
        <w:t xml:space="preserve"> si nëpërmjet pagesave për krerë, gjedh apo t</w:t>
      </w:r>
      <w:r w:rsidR="00270916">
        <w:rPr>
          <w:rFonts w:ascii="Garamond" w:hAnsi="Garamond" w:cs="MS Mincho"/>
          <w:sz w:val="24"/>
          <w:szCs w:val="24"/>
          <w:lang w:val="sq-AL"/>
        </w:rPr>
        <w:t>ë</w:t>
      </w:r>
      <w:r w:rsidRPr="0058349C">
        <w:rPr>
          <w:rFonts w:ascii="Garamond" w:hAnsi="Garamond" w:cs="MS Mincho"/>
          <w:sz w:val="24"/>
          <w:szCs w:val="24"/>
          <w:lang w:val="sq-AL"/>
        </w:rPr>
        <w:t xml:space="preserve"> imta apo koshere, ashtu edhe për rritjen e sipërfaqeve të mbjella me kultura</w:t>
      </w:r>
      <w:r w:rsidR="00270916">
        <w:rPr>
          <w:rFonts w:ascii="Garamond" w:hAnsi="Garamond" w:cs="MS Mincho"/>
          <w:sz w:val="24"/>
          <w:szCs w:val="24"/>
          <w:lang w:val="sq-AL"/>
        </w:rPr>
        <w:t>,</w:t>
      </w:r>
      <w:r w:rsidRPr="0058349C">
        <w:rPr>
          <w:rFonts w:ascii="Garamond" w:hAnsi="Garamond" w:cs="MS Mincho"/>
          <w:sz w:val="24"/>
          <w:szCs w:val="24"/>
          <w:lang w:val="sq-AL"/>
        </w:rPr>
        <w:t xml:space="preserve"> me vlerë të lartë dhe me potencial për eksport, për rritjen e sipërfaqeve të se</w:t>
      </w:r>
      <w:r w:rsidR="00270916">
        <w:rPr>
          <w:rFonts w:ascii="Garamond" w:hAnsi="Garamond" w:cs="MS Mincho"/>
          <w:sz w:val="24"/>
          <w:szCs w:val="24"/>
          <w:lang w:val="sq-AL"/>
        </w:rPr>
        <w:t>r</w:t>
      </w:r>
      <w:r w:rsidRPr="0058349C">
        <w:rPr>
          <w:rFonts w:ascii="Garamond" w:hAnsi="Garamond" w:cs="MS Mincho"/>
          <w:sz w:val="24"/>
          <w:szCs w:val="24"/>
          <w:lang w:val="sq-AL"/>
        </w:rPr>
        <w:t>rave</w:t>
      </w:r>
      <w:r w:rsidR="00270916">
        <w:rPr>
          <w:rFonts w:ascii="Garamond" w:hAnsi="Garamond" w:cs="MS Mincho"/>
          <w:sz w:val="24"/>
          <w:szCs w:val="24"/>
          <w:lang w:val="sq-AL"/>
        </w:rPr>
        <w:t>,</w:t>
      </w:r>
      <w:r w:rsidRPr="0058349C">
        <w:rPr>
          <w:rFonts w:ascii="Garamond" w:hAnsi="Garamond" w:cs="MS Mincho"/>
          <w:sz w:val="24"/>
          <w:szCs w:val="24"/>
          <w:lang w:val="sq-AL"/>
        </w:rPr>
        <w:t xml:space="preserve"> por edhe për pajisjen më të mirë të flotës se peshkimit për ta bërë atë me eficiente. Që prej vitit 2021 ka filluar implementimi i skemës së mbështetjes të fermerëve me naftë pa akcizë, taksë karboni dhe taksë </w:t>
      </w:r>
      <w:r w:rsidRPr="0058349C">
        <w:rPr>
          <w:rFonts w:ascii="Garamond" w:hAnsi="Garamond" w:cs="MS Mincho"/>
          <w:sz w:val="24"/>
          <w:szCs w:val="24"/>
          <w:lang w:val="sq-AL"/>
        </w:rPr>
        <w:lastRenderedPageBreak/>
        <w:t>qarkullimi, për punimet e mekanizuara në bujqësi. Vetëm nëpërmjet kësaj skeme</w:t>
      </w:r>
      <w:r w:rsidR="009E2DE8">
        <w:rPr>
          <w:rFonts w:ascii="Garamond" w:hAnsi="Garamond" w:cs="MS Mincho"/>
          <w:sz w:val="24"/>
          <w:szCs w:val="24"/>
          <w:lang w:val="sq-AL"/>
        </w:rPr>
        <w:t>,</w:t>
      </w:r>
      <w:r w:rsidRPr="0058349C">
        <w:rPr>
          <w:rFonts w:ascii="Garamond" w:hAnsi="Garamond" w:cs="MS Mincho"/>
          <w:sz w:val="24"/>
          <w:szCs w:val="24"/>
          <w:lang w:val="sq-AL"/>
        </w:rPr>
        <w:t xml:space="preserve"> </w:t>
      </w:r>
      <w:r w:rsidR="009E2DE8">
        <w:rPr>
          <w:rFonts w:ascii="Garamond" w:hAnsi="Garamond" w:cs="MS Mincho"/>
          <w:sz w:val="24"/>
          <w:szCs w:val="24"/>
          <w:lang w:val="sq-AL"/>
        </w:rPr>
        <w:t>m</w:t>
      </w:r>
      <w:r w:rsidRPr="0058349C">
        <w:rPr>
          <w:rFonts w:ascii="Garamond" w:hAnsi="Garamond" w:cs="MS Mincho"/>
          <w:sz w:val="24"/>
          <w:szCs w:val="24"/>
          <w:lang w:val="sq-AL"/>
        </w:rPr>
        <w:t>ë 2021</w:t>
      </w:r>
      <w:r w:rsidR="009E2DE8">
        <w:rPr>
          <w:rFonts w:ascii="Garamond" w:hAnsi="Garamond" w:cs="MS Mincho"/>
          <w:sz w:val="24"/>
          <w:szCs w:val="24"/>
          <w:lang w:val="sq-AL"/>
        </w:rPr>
        <w:t>-shin</w:t>
      </w:r>
      <w:r w:rsidRPr="0058349C">
        <w:rPr>
          <w:rFonts w:ascii="Garamond" w:hAnsi="Garamond" w:cs="MS Mincho"/>
          <w:sz w:val="24"/>
          <w:szCs w:val="24"/>
          <w:lang w:val="sq-AL"/>
        </w:rPr>
        <w:t xml:space="preserve"> kanë përfituar rreth 20 mijë fermerë.</w:t>
      </w:r>
    </w:p>
    <w:p w14:paraId="0773AC91" w14:textId="77241DF8" w:rsidR="00492C9C" w:rsidRPr="0058349C" w:rsidRDefault="00492C9C" w:rsidP="00183D84">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MBZHR</w:t>
      </w:r>
      <w:r w:rsidR="00F758DF">
        <w:rPr>
          <w:rFonts w:ascii="Garamond" w:hAnsi="Garamond" w:cs="MS Mincho"/>
          <w:sz w:val="24"/>
          <w:szCs w:val="24"/>
          <w:lang w:val="sq-AL"/>
        </w:rPr>
        <w:t>-ja</w:t>
      </w:r>
      <w:r w:rsidRPr="0058349C">
        <w:rPr>
          <w:rFonts w:ascii="Garamond" w:hAnsi="Garamond" w:cs="MS Mincho"/>
          <w:sz w:val="24"/>
          <w:szCs w:val="24"/>
          <w:lang w:val="sq-AL"/>
        </w:rPr>
        <w:t>, duke filluar nga viti 2017, ka arritur të ndërtojë institucione eficiente, të marrë akreditimin nga BE</w:t>
      </w:r>
      <w:r w:rsidR="00F758DF">
        <w:rPr>
          <w:rFonts w:ascii="Garamond" w:hAnsi="Garamond" w:cs="MS Mincho"/>
          <w:sz w:val="24"/>
          <w:szCs w:val="24"/>
          <w:lang w:val="sq-AL"/>
        </w:rPr>
        <w:t>-ja</w:t>
      </w:r>
      <w:r w:rsidRPr="0058349C">
        <w:rPr>
          <w:rFonts w:ascii="Garamond" w:hAnsi="Garamond" w:cs="MS Mincho"/>
          <w:sz w:val="24"/>
          <w:szCs w:val="24"/>
          <w:lang w:val="sq-AL"/>
        </w:rPr>
        <w:t xml:space="preserve"> (DG-AGRI)</w:t>
      </w:r>
      <w:r w:rsidR="00FE43C8">
        <w:rPr>
          <w:rFonts w:ascii="Garamond" w:hAnsi="Garamond" w:cs="MS Mincho"/>
          <w:sz w:val="24"/>
          <w:szCs w:val="24"/>
          <w:lang w:val="sq-AL"/>
        </w:rPr>
        <w:t>,</w:t>
      </w:r>
      <w:r w:rsidRPr="0058349C">
        <w:rPr>
          <w:rFonts w:ascii="Garamond" w:hAnsi="Garamond" w:cs="MS Mincho"/>
          <w:sz w:val="24"/>
          <w:szCs w:val="24"/>
          <w:lang w:val="sq-AL"/>
        </w:rPr>
        <w:t xml:space="preserve"> si për institucionet e AZHBR-së</w:t>
      </w:r>
      <w:r w:rsidR="00FE43C8">
        <w:rPr>
          <w:rFonts w:ascii="Garamond" w:hAnsi="Garamond" w:cs="MS Mincho"/>
          <w:sz w:val="24"/>
          <w:szCs w:val="24"/>
          <w:lang w:val="sq-AL"/>
        </w:rPr>
        <w:t>,</w:t>
      </w:r>
      <w:r w:rsidRPr="0058349C">
        <w:rPr>
          <w:rFonts w:ascii="Garamond" w:hAnsi="Garamond" w:cs="MS Mincho"/>
          <w:sz w:val="24"/>
          <w:szCs w:val="24"/>
          <w:lang w:val="sq-AL"/>
        </w:rPr>
        <w:t xml:space="preserve"> ashtu edhe të </w:t>
      </w:r>
      <w:r w:rsidR="00FE43C8" w:rsidRPr="0058349C">
        <w:rPr>
          <w:rFonts w:ascii="Garamond" w:hAnsi="Garamond" w:cs="MS Mincho"/>
          <w:sz w:val="24"/>
          <w:szCs w:val="24"/>
          <w:lang w:val="sq-AL"/>
        </w:rPr>
        <w:t>autoritetit menaxhue</w:t>
      </w:r>
      <w:r w:rsidRPr="0058349C">
        <w:rPr>
          <w:rFonts w:ascii="Garamond" w:hAnsi="Garamond" w:cs="MS Mincho"/>
          <w:sz w:val="24"/>
          <w:szCs w:val="24"/>
          <w:lang w:val="sq-AL"/>
        </w:rPr>
        <w:t>s së bashku me programin IPARD II të hartuar nga MBZHR</w:t>
      </w:r>
      <w:r w:rsidR="00FE43C8">
        <w:rPr>
          <w:rFonts w:ascii="Garamond" w:hAnsi="Garamond" w:cs="MS Mincho"/>
          <w:sz w:val="24"/>
          <w:szCs w:val="24"/>
          <w:lang w:val="sq-AL"/>
        </w:rPr>
        <w:t>-ja</w:t>
      </w:r>
      <w:r w:rsidR="000768A6">
        <w:rPr>
          <w:rFonts w:ascii="Garamond" w:hAnsi="Garamond" w:cs="MS Mincho"/>
          <w:sz w:val="24"/>
          <w:szCs w:val="24"/>
          <w:lang w:val="sq-AL"/>
        </w:rPr>
        <w:t>,</w:t>
      </w:r>
      <w:r w:rsidRPr="0058349C">
        <w:rPr>
          <w:rFonts w:ascii="Garamond" w:hAnsi="Garamond" w:cs="MS Mincho"/>
          <w:sz w:val="24"/>
          <w:szCs w:val="24"/>
          <w:lang w:val="sq-AL"/>
        </w:rPr>
        <w:t xml:space="preserve"> duke krijuar të gjitha kushtet e kërkuara nga BE (DG-AGRI)</w:t>
      </w:r>
      <w:r w:rsidR="00B83108">
        <w:rPr>
          <w:rFonts w:ascii="Garamond" w:hAnsi="Garamond" w:cs="MS Mincho"/>
          <w:sz w:val="24"/>
          <w:szCs w:val="24"/>
          <w:lang w:val="sq-AL"/>
        </w:rPr>
        <w:t>,</w:t>
      </w:r>
      <w:r w:rsidRPr="0058349C">
        <w:rPr>
          <w:rFonts w:ascii="Garamond" w:hAnsi="Garamond" w:cs="MS Mincho"/>
          <w:sz w:val="24"/>
          <w:szCs w:val="24"/>
          <w:lang w:val="sq-AL"/>
        </w:rPr>
        <w:t xml:space="preserve"> për të përthithë me shumë sukses, duke u konsideruar kështu si një rast pozitiv midis vendeve të rajonit t</w:t>
      </w:r>
      <w:r w:rsidR="00183D84">
        <w:rPr>
          <w:rFonts w:ascii="Garamond" w:hAnsi="Garamond" w:cs="MS Mincho"/>
          <w:sz w:val="24"/>
          <w:szCs w:val="24"/>
          <w:lang w:val="sq-AL"/>
        </w:rPr>
        <w:t>ë</w:t>
      </w:r>
      <w:r w:rsidRPr="0058349C">
        <w:rPr>
          <w:rFonts w:ascii="Garamond" w:hAnsi="Garamond" w:cs="MS Mincho"/>
          <w:sz w:val="24"/>
          <w:szCs w:val="24"/>
          <w:lang w:val="sq-AL"/>
        </w:rPr>
        <w:t xml:space="preserve"> Ballkanit Perëndimor, për efikasitetin e zbatimit të mbështetjes financiare të BE-së</w:t>
      </w:r>
      <w:r w:rsidR="00EC798C">
        <w:rPr>
          <w:rFonts w:ascii="Garamond" w:hAnsi="Garamond" w:cs="MS Mincho"/>
          <w:sz w:val="24"/>
          <w:szCs w:val="24"/>
          <w:lang w:val="sq-AL"/>
        </w:rPr>
        <w:t>,</w:t>
      </w:r>
      <w:r w:rsidRPr="0058349C">
        <w:rPr>
          <w:rFonts w:ascii="Garamond" w:hAnsi="Garamond" w:cs="MS Mincho"/>
          <w:sz w:val="24"/>
          <w:szCs w:val="24"/>
          <w:lang w:val="sq-AL"/>
        </w:rPr>
        <w:t xml:space="preserve"> që mundësohet në zbatim të </w:t>
      </w:r>
      <w:r w:rsidR="00EC798C" w:rsidRPr="0058349C">
        <w:rPr>
          <w:rFonts w:ascii="Garamond" w:hAnsi="Garamond" w:cs="MS Mincho"/>
          <w:sz w:val="24"/>
          <w:szCs w:val="24"/>
          <w:lang w:val="sq-AL"/>
        </w:rPr>
        <w:t>programi</w:t>
      </w:r>
      <w:r w:rsidR="00EC798C">
        <w:rPr>
          <w:rFonts w:ascii="Garamond" w:hAnsi="Garamond" w:cs="MS Mincho"/>
          <w:sz w:val="24"/>
          <w:szCs w:val="24"/>
          <w:lang w:val="sq-AL"/>
        </w:rPr>
        <w:t>t</w:t>
      </w:r>
      <w:r w:rsidR="00EC798C" w:rsidRPr="0058349C">
        <w:rPr>
          <w:rFonts w:ascii="Garamond" w:hAnsi="Garamond" w:cs="MS Mincho"/>
          <w:sz w:val="24"/>
          <w:szCs w:val="24"/>
          <w:lang w:val="sq-AL"/>
        </w:rPr>
        <w:t xml:space="preserve"> </w:t>
      </w:r>
      <w:r w:rsidRPr="0058349C">
        <w:rPr>
          <w:rFonts w:ascii="Garamond" w:hAnsi="Garamond" w:cs="MS Mincho"/>
          <w:sz w:val="24"/>
          <w:szCs w:val="24"/>
          <w:lang w:val="sq-AL"/>
        </w:rPr>
        <w:t>IPARD II. L</w:t>
      </w:r>
      <w:r w:rsidR="00EC798C">
        <w:rPr>
          <w:rFonts w:ascii="Garamond" w:hAnsi="Garamond" w:cs="MS Mincho"/>
          <w:sz w:val="24"/>
          <w:szCs w:val="24"/>
          <w:lang w:val="sq-AL"/>
        </w:rPr>
        <w:t>i</w:t>
      </w:r>
      <w:r w:rsidRPr="0058349C">
        <w:rPr>
          <w:rFonts w:ascii="Garamond" w:hAnsi="Garamond" w:cs="MS Mincho"/>
          <w:sz w:val="24"/>
          <w:szCs w:val="24"/>
          <w:lang w:val="sq-AL"/>
        </w:rPr>
        <w:t xml:space="preserve">vrimi </w:t>
      </w:r>
      <w:r w:rsidR="00271E3D">
        <w:rPr>
          <w:rFonts w:ascii="Garamond" w:hAnsi="Garamond" w:cs="MS Mincho"/>
          <w:sz w:val="24"/>
          <w:szCs w:val="24"/>
          <w:lang w:val="sq-AL"/>
        </w:rPr>
        <w:t>i</w:t>
      </w:r>
      <w:r w:rsidRPr="0058349C">
        <w:rPr>
          <w:rFonts w:ascii="Garamond" w:hAnsi="Garamond" w:cs="MS Mincho"/>
          <w:sz w:val="24"/>
          <w:szCs w:val="24"/>
          <w:lang w:val="sq-AL"/>
        </w:rPr>
        <w:t xml:space="preserve"> fondeve</w:t>
      </w:r>
      <w:r w:rsidR="00EC798C">
        <w:rPr>
          <w:rFonts w:ascii="Garamond" w:hAnsi="Garamond" w:cs="MS Mincho"/>
          <w:sz w:val="24"/>
          <w:szCs w:val="24"/>
          <w:lang w:val="sq-AL"/>
        </w:rPr>
        <w:t>,</w:t>
      </w:r>
      <w:r w:rsidRPr="0058349C">
        <w:rPr>
          <w:rFonts w:ascii="Garamond" w:hAnsi="Garamond" w:cs="MS Mincho"/>
          <w:sz w:val="24"/>
          <w:szCs w:val="24"/>
          <w:lang w:val="sq-AL"/>
        </w:rPr>
        <w:t xml:space="preserve"> në kuadër të këtij programi</w:t>
      </w:r>
      <w:r w:rsidR="00EC798C">
        <w:rPr>
          <w:rFonts w:ascii="Garamond" w:hAnsi="Garamond" w:cs="MS Mincho"/>
          <w:sz w:val="24"/>
          <w:szCs w:val="24"/>
          <w:lang w:val="sq-AL"/>
        </w:rPr>
        <w:t>,</w:t>
      </w:r>
      <w:r w:rsidRPr="0058349C">
        <w:rPr>
          <w:rFonts w:ascii="Garamond" w:hAnsi="Garamond" w:cs="MS Mincho"/>
          <w:sz w:val="24"/>
          <w:szCs w:val="24"/>
          <w:lang w:val="sq-AL"/>
        </w:rPr>
        <w:t xml:space="preserve"> pasi u krijua baza e nevojshme institucionale dhe infrastrukturore ka</w:t>
      </w:r>
      <w:r w:rsidRPr="0058349C">
        <w:rPr>
          <w:rFonts w:ascii="Garamond" w:hAnsi="Garamond" w:cs="MS Mincho"/>
          <w:b/>
          <w:bCs/>
          <w:sz w:val="24"/>
          <w:szCs w:val="24"/>
          <w:lang w:val="sq-AL"/>
        </w:rPr>
        <w:t xml:space="preserve"> </w:t>
      </w:r>
      <w:r w:rsidRPr="0058349C">
        <w:rPr>
          <w:rFonts w:ascii="Garamond" w:hAnsi="Garamond" w:cs="MS Mincho"/>
          <w:sz w:val="24"/>
          <w:szCs w:val="24"/>
          <w:lang w:val="sq-AL"/>
        </w:rPr>
        <w:t>filluar në vitin 2019</w:t>
      </w:r>
      <w:r w:rsidR="00EC798C">
        <w:rPr>
          <w:rFonts w:ascii="Garamond" w:hAnsi="Garamond" w:cs="MS Mincho"/>
          <w:sz w:val="24"/>
          <w:szCs w:val="24"/>
          <w:lang w:val="sq-AL"/>
        </w:rPr>
        <w:t>,</w:t>
      </w:r>
      <w:r w:rsidRPr="0058349C">
        <w:rPr>
          <w:rFonts w:ascii="Garamond" w:hAnsi="Garamond" w:cs="MS Mincho"/>
          <w:sz w:val="24"/>
          <w:szCs w:val="24"/>
          <w:lang w:val="sq-AL"/>
        </w:rPr>
        <w:t xml:space="preserve"> me një financim total prej 94 milion</w:t>
      </w:r>
      <w:r w:rsidR="00EC798C">
        <w:rPr>
          <w:rFonts w:ascii="Garamond" w:hAnsi="Garamond" w:cs="MS Mincho"/>
          <w:sz w:val="24"/>
          <w:szCs w:val="24"/>
          <w:lang w:val="sq-AL"/>
        </w:rPr>
        <w:t>ë</w:t>
      </w:r>
      <w:r w:rsidRPr="0058349C">
        <w:rPr>
          <w:rFonts w:ascii="Garamond" w:hAnsi="Garamond" w:cs="MS Mincho"/>
          <w:sz w:val="24"/>
          <w:szCs w:val="24"/>
          <w:lang w:val="sq-AL"/>
        </w:rPr>
        <w:t xml:space="preserve"> </w:t>
      </w:r>
      <w:r w:rsidR="00EC798C" w:rsidRPr="0058349C">
        <w:rPr>
          <w:rFonts w:ascii="Garamond" w:hAnsi="Garamond" w:cs="MS Mincho"/>
          <w:sz w:val="24"/>
          <w:szCs w:val="24"/>
          <w:lang w:val="sq-AL"/>
        </w:rPr>
        <w:t>euro</w:t>
      </w:r>
      <w:r w:rsidR="00EC798C">
        <w:rPr>
          <w:rFonts w:ascii="Garamond" w:hAnsi="Garamond" w:cs="MS Mincho"/>
          <w:sz w:val="24"/>
          <w:szCs w:val="24"/>
          <w:lang w:val="sq-AL"/>
        </w:rPr>
        <w:t>sh</w:t>
      </w:r>
      <w:r w:rsidR="00EC798C" w:rsidRPr="0058349C">
        <w:rPr>
          <w:rFonts w:ascii="Garamond" w:hAnsi="Garamond" w:cs="MS Mincho"/>
          <w:sz w:val="24"/>
          <w:szCs w:val="24"/>
          <w:lang w:val="sq-AL"/>
        </w:rPr>
        <w:t xml:space="preserve"> </w:t>
      </w:r>
      <w:r w:rsidRPr="0058349C">
        <w:rPr>
          <w:rFonts w:ascii="Garamond" w:hAnsi="Garamond" w:cs="MS Mincho"/>
          <w:sz w:val="24"/>
          <w:szCs w:val="24"/>
          <w:lang w:val="sq-AL"/>
        </w:rPr>
        <w:t>(nga të cilat 71 milion</w:t>
      </w:r>
      <w:r w:rsidR="00EC798C">
        <w:rPr>
          <w:rFonts w:ascii="Garamond" w:hAnsi="Garamond" w:cs="MS Mincho"/>
          <w:sz w:val="24"/>
          <w:szCs w:val="24"/>
          <w:lang w:val="sq-AL"/>
        </w:rPr>
        <w:t>ë</w:t>
      </w:r>
      <w:r w:rsidRPr="0058349C">
        <w:rPr>
          <w:rFonts w:ascii="Garamond" w:hAnsi="Garamond" w:cs="MS Mincho"/>
          <w:sz w:val="24"/>
          <w:szCs w:val="24"/>
          <w:lang w:val="sq-AL"/>
        </w:rPr>
        <w:t xml:space="preserve"> financim i Bashkimit Evropian dhe 23 milion</w:t>
      </w:r>
      <w:r w:rsidR="00EC798C">
        <w:rPr>
          <w:rFonts w:ascii="Garamond" w:hAnsi="Garamond" w:cs="MS Mincho"/>
          <w:sz w:val="24"/>
          <w:szCs w:val="24"/>
          <w:lang w:val="sq-AL"/>
        </w:rPr>
        <w:t xml:space="preserve">ë </w:t>
      </w:r>
      <w:r w:rsidR="00EC798C" w:rsidRPr="0058349C">
        <w:rPr>
          <w:rFonts w:ascii="Garamond" w:hAnsi="Garamond" w:cs="MS Mincho"/>
          <w:sz w:val="24"/>
          <w:szCs w:val="24"/>
          <w:lang w:val="sq-AL"/>
        </w:rPr>
        <w:t xml:space="preserve">euro </w:t>
      </w:r>
      <w:r w:rsidRPr="0058349C">
        <w:rPr>
          <w:rFonts w:ascii="Garamond" w:hAnsi="Garamond" w:cs="MS Mincho"/>
          <w:sz w:val="24"/>
          <w:szCs w:val="24"/>
          <w:lang w:val="sq-AL"/>
        </w:rPr>
        <w:t>nga qeveria shqiptare) ka siguruar mbështetje për fermat e mëdha dhe agrobiznesin. Në kuadër të programit IPARD II janë mbështetur investime</w:t>
      </w:r>
      <w:r w:rsidR="00EC798C">
        <w:rPr>
          <w:rFonts w:ascii="Garamond" w:hAnsi="Garamond" w:cs="MS Mincho"/>
          <w:sz w:val="24"/>
          <w:szCs w:val="24"/>
          <w:lang w:val="sq-AL"/>
        </w:rPr>
        <w:t>,</w:t>
      </w:r>
      <w:r w:rsidRPr="0058349C">
        <w:rPr>
          <w:rFonts w:ascii="Garamond" w:hAnsi="Garamond" w:cs="MS Mincho"/>
          <w:sz w:val="24"/>
          <w:szCs w:val="24"/>
          <w:lang w:val="sq-AL"/>
        </w:rPr>
        <w:t xml:space="preserve"> në kuadër të tr</w:t>
      </w:r>
      <w:r w:rsidR="00EC798C">
        <w:rPr>
          <w:rFonts w:ascii="Garamond" w:hAnsi="Garamond" w:cs="MS Mincho"/>
          <w:sz w:val="24"/>
          <w:szCs w:val="24"/>
          <w:lang w:val="sq-AL"/>
        </w:rPr>
        <w:t>i</w:t>
      </w:r>
      <w:r w:rsidRPr="0058349C">
        <w:rPr>
          <w:rFonts w:ascii="Garamond" w:hAnsi="Garamond" w:cs="MS Mincho"/>
          <w:sz w:val="24"/>
          <w:szCs w:val="24"/>
          <w:lang w:val="sq-AL"/>
        </w:rPr>
        <w:t xml:space="preserve"> masave</w:t>
      </w:r>
      <w:r w:rsidR="00EC798C">
        <w:rPr>
          <w:rFonts w:ascii="Garamond" w:hAnsi="Garamond" w:cs="MS Mincho"/>
          <w:sz w:val="24"/>
          <w:szCs w:val="24"/>
          <w:lang w:val="sq-AL"/>
        </w:rPr>
        <w:t>,</w:t>
      </w:r>
      <w:r w:rsidRPr="0058349C">
        <w:rPr>
          <w:rFonts w:ascii="Garamond" w:hAnsi="Garamond" w:cs="MS Mincho"/>
          <w:sz w:val="24"/>
          <w:szCs w:val="24"/>
          <w:lang w:val="sq-AL"/>
        </w:rPr>
        <w:t xml:space="preserve"> si vijon:</w:t>
      </w:r>
    </w:p>
    <w:p w14:paraId="0773AC92" w14:textId="51E0DECB"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1. Investime në ferma</w:t>
      </w:r>
      <w:r w:rsidR="00EC798C">
        <w:rPr>
          <w:rFonts w:ascii="Garamond" w:hAnsi="Garamond" w:cs="MS Mincho"/>
          <w:sz w:val="24"/>
          <w:szCs w:val="24"/>
          <w:lang w:val="sq-AL"/>
        </w:rPr>
        <w:t>,</w:t>
      </w:r>
      <w:r w:rsidRPr="0058349C">
        <w:rPr>
          <w:rFonts w:ascii="Garamond" w:hAnsi="Garamond" w:cs="MS Mincho"/>
          <w:sz w:val="24"/>
          <w:szCs w:val="24"/>
          <w:lang w:val="sq-AL"/>
        </w:rPr>
        <w:t xml:space="preserve"> me qëllim modernizimin e prodhimit, rritjen e produktivitetit dhe </w:t>
      </w:r>
      <w:r w:rsidR="00EC798C">
        <w:rPr>
          <w:rFonts w:ascii="Garamond" w:hAnsi="Garamond" w:cs="MS Mincho"/>
          <w:sz w:val="24"/>
          <w:szCs w:val="24"/>
          <w:lang w:val="sq-AL"/>
        </w:rPr>
        <w:t>arritjen e standardeve të BE-së;</w:t>
      </w:r>
    </w:p>
    <w:p w14:paraId="0773AC93" w14:textId="6D6B1395" w:rsidR="00492C9C" w:rsidRPr="0058349C" w:rsidRDefault="00EC798C" w:rsidP="00492C9C">
      <w:pPr>
        <w:autoSpaceDE w:val="0"/>
        <w:autoSpaceDN w:val="0"/>
        <w:adjustRightInd w:val="0"/>
        <w:spacing w:after="0" w:line="240" w:lineRule="auto"/>
        <w:ind w:firstLine="284"/>
        <w:jc w:val="both"/>
        <w:rPr>
          <w:rFonts w:ascii="Garamond" w:hAnsi="Garamond" w:cs="MS Mincho"/>
          <w:sz w:val="24"/>
          <w:szCs w:val="24"/>
          <w:lang w:val="sq-AL"/>
        </w:rPr>
      </w:pPr>
      <w:r>
        <w:rPr>
          <w:rFonts w:ascii="Garamond" w:hAnsi="Garamond" w:cs="MS Mincho"/>
          <w:sz w:val="24"/>
          <w:szCs w:val="24"/>
          <w:lang w:val="sq-AL"/>
        </w:rPr>
        <w:t>2. Investime në agro</w:t>
      </w:r>
      <w:r w:rsidR="00492C9C" w:rsidRPr="0058349C">
        <w:rPr>
          <w:rFonts w:ascii="Garamond" w:hAnsi="Garamond" w:cs="MS Mincho"/>
          <w:sz w:val="24"/>
          <w:szCs w:val="24"/>
          <w:lang w:val="sq-AL"/>
        </w:rPr>
        <w:t>përpunimin dhe marketingun e produk</w:t>
      </w:r>
      <w:r>
        <w:rPr>
          <w:rFonts w:ascii="Garamond" w:hAnsi="Garamond" w:cs="MS Mincho"/>
          <w:sz w:val="24"/>
          <w:szCs w:val="24"/>
          <w:lang w:val="sq-AL"/>
        </w:rPr>
        <w:t>teve bujqësore dhe të peshkimit;</w:t>
      </w:r>
    </w:p>
    <w:p w14:paraId="0773AC94" w14:textId="36BEC7AA"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3. Investime për diversifikimin e aktiviteteve ekonomike në zonat rurale</w:t>
      </w:r>
      <w:r w:rsidR="00EC798C">
        <w:rPr>
          <w:rFonts w:ascii="Garamond" w:hAnsi="Garamond" w:cs="MS Mincho"/>
          <w:sz w:val="24"/>
          <w:szCs w:val="24"/>
          <w:lang w:val="sq-AL"/>
        </w:rPr>
        <w:t>,</w:t>
      </w:r>
      <w:r w:rsidRPr="0058349C">
        <w:rPr>
          <w:rFonts w:ascii="Garamond" w:hAnsi="Garamond" w:cs="MS Mincho"/>
          <w:sz w:val="24"/>
          <w:szCs w:val="24"/>
          <w:lang w:val="sq-AL"/>
        </w:rPr>
        <w:t xml:space="preserve"> për të shfrytëzuar me mirë atraktivitetin që ato ofrojnë për turizmin rural dhe agroturizmin</w:t>
      </w:r>
      <w:r w:rsidR="00EC798C">
        <w:rPr>
          <w:rFonts w:ascii="Garamond" w:hAnsi="Garamond" w:cs="MS Mincho"/>
          <w:sz w:val="24"/>
          <w:szCs w:val="24"/>
          <w:lang w:val="sq-AL"/>
        </w:rPr>
        <w:t>,</w:t>
      </w:r>
      <w:r w:rsidRPr="0058349C">
        <w:rPr>
          <w:rFonts w:ascii="Garamond" w:hAnsi="Garamond" w:cs="MS Mincho"/>
          <w:sz w:val="24"/>
          <w:szCs w:val="24"/>
          <w:lang w:val="sq-AL"/>
        </w:rPr>
        <w:t xml:space="preserve"> si edhe aktiviteteve të artizanatit</w:t>
      </w:r>
      <w:r w:rsidR="00EC798C">
        <w:rPr>
          <w:rFonts w:ascii="Garamond" w:hAnsi="Garamond" w:cs="MS Mincho"/>
          <w:sz w:val="24"/>
          <w:szCs w:val="24"/>
          <w:lang w:val="sq-AL"/>
        </w:rPr>
        <w:t>,</w:t>
      </w:r>
      <w:r w:rsidRPr="0058349C">
        <w:rPr>
          <w:rFonts w:ascii="Garamond" w:hAnsi="Garamond" w:cs="MS Mincho"/>
          <w:sz w:val="24"/>
          <w:szCs w:val="24"/>
          <w:lang w:val="sq-AL"/>
        </w:rPr>
        <w:t xml:space="preserve"> në mbështetje të ekonomisë, punësimit dhe të ardhurave</w:t>
      </w:r>
      <w:r w:rsidR="00EC798C">
        <w:rPr>
          <w:rFonts w:ascii="Garamond" w:hAnsi="Garamond" w:cs="MS Mincho"/>
          <w:sz w:val="24"/>
          <w:szCs w:val="24"/>
          <w:lang w:val="sq-AL"/>
        </w:rPr>
        <w:t>,</w:t>
      </w:r>
      <w:r w:rsidRPr="0058349C">
        <w:rPr>
          <w:rFonts w:ascii="Garamond" w:hAnsi="Garamond" w:cs="MS Mincho"/>
          <w:sz w:val="24"/>
          <w:szCs w:val="24"/>
          <w:lang w:val="sq-AL"/>
        </w:rPr>
        <w:t xml:space="preserve"> duke u bërë një faktor nxitës për të tërhequr aktorët ekonomikë dhe</w:t>
      </w:r>
      <w:r w:rsidR="00EC798C">
        <w:rPr>
          <w:rFonts w:ascii="Garamond" w:hAnsi="Garamond" w:cs="MS Mincho"/>
          <w:sz w:val="24"/>
          <w:szCs w:val="24"/>
          <w:lang w:val="sq-AL"/>
        </w:rPr>
        <w:t>,</w:t>
      </w:r>
      <w:r w:rsidRPr="0058349C">
        <w:rPr>
          <w:rFonts w:ascii="Garamond" w:hAnsi="Garamond" w:cs="MS Mincho"/>
          <w:sz w:val="24"/>
          <w:szCs w:val="24"/>
          <w:lang w:val="sq-AL"/>
        </w:rPr>
        <w:t xml:space="preserve"> veçanërisht të rinjtë të qëndrojnë dhe të shfrytëzojë burimet natyrore dhe ekonomike të zonave malore. </w:t>
      </w:r>
    </w:p>
    <w:p w14:paraId="0773AC95" w14:textId="7B3BCF55" w:rsidR="00492C9C" w:rsidRPr="0058349C" w:rsidRDefault="00492C9C" w:rsidP="00EC798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Në fund të vitit 2020, ashtu siç ishte planifikuar</w:t>
      </w:r>
      <w:r w:rsidR="00EC798C">
        <w:rPr>
          <w:rFonts w:ascii="Garamond" w:hAnsi="Garamond" w:cs="MS Mincho"/>
          <w:sz w:val="24"/>
          <w:szCs w:val="24"/>
          <w:lang w:val="sq-AL"/>
        </w:rPr>
        <w:t>,</w:t>
      </w:r>
      <w:r w:rsidRPr="0058349C">
        <w:rPr>
          <w:rFonts w:ascii="Garamond" w:hAnsi="Garamond" w:cs="MS Mincho"/>
          <w:sz w:val="24"/>
          <w:szCs w:val="24"/>
          <w:lang w:val="sq-AL"/>
        </w:rPr>
        <w:t xml:space="preserve"> i tërë fondi i vënë në dispozicion është l</w:t>
      </w:r>
      <w:r w:rsidR="00EC798C">
        <w:rPr>
          <w:rFonts w:ascii="Garamond" w:hAnsi="Garamond" w:cs="MS Mincho"/>
          <w:sz w:val="24"/>
          <w:szCs w:val="24"/>
          <w:lang w:val="sq-AL"/>
        </w:rPr>
        <w:t>i</w:t>
      </w:r>
      <w:r w:rsidRPr="0058349C">
        <w:rPr>
          <w:rFonts w:ascii="Garamond" w:hAnsi="Garamond" w:cs="MS Mincho"/>
          <w:sz w:val="24"/>
          <w:szCs w:val="24"/>
          <w:lang w:val="sq-AL"/>
        </w:rPr>
        <w:t>vruar plotësisht në dobi të aktor</w:t>
      </w:r>
      <w:r w:rsidR="00EC798C">
        <w:rPr>
          <w:rFonts w:ascii="Garamond" w:hAnsi="Garamond" w:cs="MS Mincho"/>
          <w:sz w:val="24"/>
          <w:szCs w:val="24"/>
          <w:lang w:val="sq-AL"/>
        </w:rPr>
        <w:t>ë</w:t>
      </w:r>
      <w:r w:rsidRPr="0058349C">
        <w:rPr>
          <w:rFonts w:ascii="Garamond" w:hAnsi="Garamond" w:cs="MS Mincho"/>
          <w:sz w:val="24"/>
          <w:szCs w:val="24"/>
          <w:lang w:val="sq-AL"/>
        </w:rPr>
        <w:t>ve ekonomikë në bujqësi, zhvillim rural dhe peshkim</w:t>
      </w:r>
      <w:r w:rsidR="00714C04">
        <w:rPr>
          <w:rFonts w:ascii="Garamond" w:hAnsi="Garamond" w:cs="MS Mincho"/>
          <w:sz w:val="24"/>
          <w:szCs w:val="24"/>
          <w:lang w:val="sq-AL"/>
        </w:rPr>
        <w:t>,</w:t>
      </w:r>
      <w:r w:rsidRPr="0058349C">
        <w:rPr>
          <w:rFonts w:ascii="Garamond" w:hAnsi="Garamond" w:cs="MS Mincho"/>
          <w:sz w:val="24"/>
          <w:szCs w:val="24"/>
          <w:lang w:val="sq-AL"/>
        </w:rPr>
        <w:t xml:space="preserve"> gjë që dëshmon edhe për dinamikën pozitive të këtyre sektorëve.</w:t>
      </w:r>
    </w:p>
    <w:p w14:paraId="0773AC96" w14:textId="7EFEB9AB" w:rsidR="00492C9C" w:rsidRPr="0058349C" w:rsidRDefault="00492C9C" w:rsidP="00332FD2">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Që nga viti 2021</w:t>
      </w:r>
      <w:r w:rsidR="00714C04">
        <w:rPr>
          <w:rFonts w:ascii="Garamond" w:hAnsi="Garamond" w:cs="MS Mincho"/>
          <w:sz w:val="24"/>
          <w:szCs w:val="24"/>
          <w:lang w:val="sq-AL"/>
        </w:rPr>
        <w:t>,</w:t>
      </w:r>
      <w:r w:rsidRPr="0058349C">
        <w:rPr>
          <w:rFonts w:ascii="Garamond" w:hAnsi="Garamond" w:cs="MS Mincho"/>
          <w:sz w:val="24"/>
          <w:szCs w:val="24"/>
          <w:lang w:val="sq-AL"/>
        </w:rPr>
        <w:t xml:space="preserve"> MBZHR</w:t>
      </w:r>
      <w:r w:rsidR="00714C04">
        <w:rPr>
          <w:rFonts w:ascii="Garamond" w:hAnsi="Garamond" w:cs="MS Mincho"/>
          <w:sz w:val="24"/>
          <w:szCs w:val="24"/>
          <w:lang w:val="sq-AL"/>
        </w:rPr>
        <w:t>-ja</w:t>
      </w:r>
      <w:r w:rsidRPr="0058349C">
        <w:rPr>
          <w:rFonts w:ascii="Garamond" w:hAnsi="Garamond" w:cs="MS Mincho"/>
          <w:sz w:val="24"/>
          <w:szCs w:val="24"/>
          <w:lang w:val="sq-AL"/>
        </w:rPr>
        <w:t xml:space="preserve"> po punon intensivisht nëpërmjet institucioneve të saj</w:t>
      </w:r>
      <w:r w:rsidR="00332FD2">
        <w:rPr>
          <w:rFonts w:ascii="Garamond" w:hAnsi="Garamond" w:cs="MS Mincho"/>
          <w:sz w:val="24"/>
          <w:szCs w:val="24"/>
          <w:lang w:val="sq-AL"/>
        </w:rPr>
        <w:t>,</w:t>
      </w:r>
      <w:r w:rsidRPr="0058349C">
        <w:rPr>
          <w:rFonts w:ascii="Garamond" w:hAnsi="Garamond" w:cs="MS Mincho"/>
          <w:sz w:val="24"/>
          <w:szCs w:val="24"/>
          <w:lang w:val="sq-AL"/>
        </w:rPr>
        <w:t xml:space="preserve"> si AZHBR dhe AM</w:t>
      </w:r>
      <w:r w:rsidR="00332FD2">
        <w:rPr>
          <w:rFonts w:ascii="Garamond" w:hAnsi="Garamond" w:cs="MS Mincho"/>
          <w:sz w:val="24"/>
          <w:szCs w:val="24"/>
          <w:lang w:val="sq-AL"/>
        </w:rPr>
        <w:t>,</w:t>
      </w:r>
      <w:r w:rsidRPr="0058349C">
        <w:rPr>
          <w:rFonts w:ascii="Garamond" w:hAnsi="Garamond" w:cs="MS Mincho"/>
          <w:sz w:val="24"/>
          <w:szCs w:val="24"/>
          <w:lang w:val="sq-AL"/>
        </w:rPr>
        <w:t xml:space="preserve"> që të hartojë dhe të mundësojë akreditimin dhe zbatim</w:t>
      </w:r>
      <w:r w:rsidR="00332FD2">
        <w:rPr>
          <w:rFonts w:ascii="Garamond" w:hAnsi="Garamond" w:cs="MS Mincho"/>
          <w:sz w:val="24"/>
          <w:szCs w:val="24"/>
          <w:lang w:val="sq-AL"/>
        </w:rPr>
        <w:t>in e programit IPARD III 2022–</w:t>
      </w:r>
      <w:r w:rsidRPr="0058349C">
        <w:rPr>
          <w:rFonts w:ascii="Garamond" w:hAnsi="Garamond" w:cs="MS Mincho"/>
          <w:sz w:val="24"/>
          <w:szCs w:val="24"/>
          <w:lang w:val="sq-AL"/>
        </w:rPr>
        <w:t>2027, i cili do të mundësojë investimin në total të 145 milion</w:t>
      </w:r>
      <w:r w:rsidR="00332FD2">
        <w:rPr>
          <w:rFonts w:ascii="Garamond" w:hAnsi="Garamond" w:cs="MS Mincho"/>
          <w:sz w:val="24"/>
          <w:szCs w:val="24"/>
          <w:lang w:val="sq-AL"/>
        </w:rPr>
        <w:t>ë</w:t>
      </w:r>
      <w:r w:rsidRPr="0058349C">
        <w:rPr>
          <w:rFonts w:ascii="Garamond" w:hAnsi="Garamond" w:cs="MS Mincho"/>
          <w:sz w:val="24"/>
          <w:szCs w:val="24"/>
          <w:lang w:val="sq-AL"/>
        </w:rPr>
        <w:t xml:space="preserve"> </w:t>
      </w:r>
      <w:r w:rsidR="00332FD2" w:rsidRPr="0058349C">
        <w:rPr>
          <w:rFonts w:ascii="Garamond" w:hAnsi="Garamond" w:cs="MS Mincho"/>
          <w:sz w:val="24"/>
          <w:szCs w:val="24"/>
          <w:lang w:val="sq-AL"/>
        </w:rPr>
        <w:t>euro</w:t>
      </w:r>
      <w:r w:rsidR="00332FD2">
        <w:rPr>
          <w:rFonts w:ascii="Garamond" w:hAnsi="Garamond" w:cs="MS Mincho"/>
          <w:sz w:val="24"/>
          <w:szCs w:val="24"/>
          <w:lang w:val="sq-AL"/>
        </w:rPr>
        <w:t>ve,</w:t>
      </w:r>
      <w:r w:rsidR="00332FD2" w:rsidRPr="0058349C">
        <w:rPr>
          <w:rFonts w:ascii="Garamond" w:hAnsi="Garamond" w:cs="MS Mincho"/>
          <w:sz w:val="24"/>
          <w:szCs w:val="24"/>
          <w:lang w:val="sq-AL"/>
        </w:rPr>
        <w:t xml:space="preserve"> </w:t>
      </w:r>
      <w:r w:rsidRPr="0058349C">
        <w:rPr>
          <w:rFonts w:ascii="Garamond" w:hAnsi="Garamond" w:cs="MS Mincho"/>
          <w:sz w:val="24"/>
          <w:szCs w:val="24"/>
          <w:lang w:val="sq-AL"/>
        </w:rPr>
        <w:t>nga t</w:t>
      </w:r>
      <w:r w:rsidR="00332FD2">
        <w:rPr>
          <w:rFonts w:ascii="Garamond" w:hAnsi="Garamond" w:cs="MS Mincho"/>
          <w:sz w:val="24"/>
          <w:szCs w:val="24"/>
          <w:lang w:val="sq-AL"/>
        </w:rPr>
        <w:t>ë</w:t>
      </w:r>
      <w:r w:rsidRPr="0058349C">
        <w:rPr>
          <w:rFonts w:ascii="Garamond" w:hAnsi="Garamond" w:cs="MS Mincho"/>
          <w:sz w:val="24"/>
          <w:szCs w:val="24"/>
          <w:lang w:val="sq-AL"/>
        </w:rPr>
        <w:t xml:space="preserve"> cilat 75% nga buxheti i vënë në dispozicion nga BE</w:t>
      </w:r>
      <w:r w:rsidR="00332FD2">
        <w:rPr>
          <w:rFonts w:ascii="Garamond" w:hAnsi="Garamond" w:cs="MS Mincho"/>
          <w:sz w:val="24"/>
          <w:szCs w:val="24"/>
          <w:lang w:val="sq-AL"/>
        </w:rPr>
        <w:t>-ja</w:t>
      </w:r>
      <w:r w:rsidRPr="0058349C">
        <w:rPr>
          <w:rFonts w:ascii="Garamond" w:hAnsi="Garamond" w:cs="MS Mincho"/>
          <w:sz w:val="24"/>
          <w:szCs w:val="24"/>
          <w:lang w:val="sq-AL"/>
        </w:rPr>
        <w:t xml:space="preserve"> dhe 25% nga buxheti kombëtar. Në këtë program janë përfshirë nëntë masa mbështetëse</w:t>
      </w:r>
      <w:r w:rsidR="00332FD2">
        <w:rPr>
          <w:rFonts w:ascii="Garamond" w:hAnsi="Garamond" w:cs="MS Mincho"/>
          <w:sz w:val="24"/>
          <w:szCs w:val="24"/>
          <w:lang w:val="sq-AL"/>
        </w:rPr>
        <w:t>,</w:t>
      </w:r>
      <w:r w:rsidRPr="0058349C">
        <w:rPr>
          <w:rFonts w:ascii="Garamond" w:hAnsi="Garamond" w:cs="MS Mincho"/>
          <w:sz w:val="24"/>
          <w:szCs w:val="24"/>
          <w:lang w:val="sq-AL"/>
        </w:rPr>
        <w:t xml:space="preserve"> duke zgjeruar kështu</w:t>
      </w:r>
      <w:r w:rsidR="00332FD2">
        <w:rPr>
          <w:rFonts w:ascii="Garamond" w:hAnsi="Garamond" w:cs="MS Mincho"/>
          <w:sz w:val="24"/>
          <w:szCs w:val="24"/>
          <w:lang w:val="sq-AL"/>
        </w:rPr>
        <w:t>,</w:t>
      </w:r>
      <w:r w:rsidRPr="0058349C">
        <w:rPr>
          <w:rFonts w:ascii="Garamond" w:hAnsi="Garamond" w:cs="MS Mincho"/>
          <w:sz w:val="24"/>
          <w:szCs w:val="24"/>
          <w:lang w:val="sq-AL"/>
        </w:rPr>
        <w:t xml:space="preserve"> si gamën e fushave të mbështetjes</w:t>
      </w:r>
      <w:r w:rsidR="00332FD2">
        <w:rPr>
          <w:rFonts w:ascii="Garamond" w:hAnsi="Garamond" w:cs="MS Mincho"/>
          <w:sz w:val="24"/>
          <w:szCs w:val="24"/>
          <w:lang w:val="sq-AL"/>
        </w:rPr>
        <w:t>,</w:t>
      </w:r>
      <w:r w:rsidRPr="0058349C">
        <w:rPr>
          <w:rFonts w:ascii="Garamond" w:hAnsi="Garamond" w:cs="MS Mincho"/>
          <w:sz w:val="24"/>
          <w:szCs w:val="24"/>
          <w:lang w:val="sq-AL"/>
        </w:rPr>
        <w:t xml:space="preserve"> ashtu edhe bazën dhe numrin e përfituesve të mundshëm. Nga nëntë masat e përfshira në program</w:t>
      </w:r>
      <w:r w:rsidR="00332FD2">
        <w:rPr>
          <w:rFonts w:ascii="Garamond" w:hAnsi="Garamond" w:cs="MS Mincho"/>
          <w:sz w:val="24"/>
          <w:szCs w:val="24"/>
          <w:lang w:val="sq-AL"/>
        </w:rPr>
        <w:t>,</w:t>
      </w:r>
      <w:r w:rsidRPr="0058349C">
        <w:rPr>
          <w:rFonts w:ascii="Garamond" w:hAnsi="Garamond" w:cs="MS Mincho"/>
          <w:sz w:val="24"/>
          <w:szCs w:val="24"/>
          <w:lang w:val="sq-AL"/>
        </w:rPr>
        <w:t xml:space="preserve"> pesë prej tyre janë të reja</w:t>
      </w:r>
      <w:r w:rsidR="00332FD2">
        <w:rPr>
          <w:rFonts w:ascii="Garamond" w:hAnsi="Garamond" w:cs="MS Mincho"/>
          <w:sz w:val="24"/>
          <w:szCs w:val="24"/>
          <w:lang w:val="sq-AL"/>
        </w:rPr>
        <w:t>,</w:t>
      </w:r>
      <w:r w:rsidRPr="0058349C">
        <w:rPr>
          <w:rFonts w:ascii="Garamond" w:hAnsi="Garamond" w:cs="MS Mincho"/>
          <w:sz w:val="24"/>
          <w:szCs w:val="24"/>
          <w:lang w:val="sq-AL"/>
        </w:rPr>
        <w:t xml:space="preserve"> ndërsa katër prej tyre janë ato të cilat janë zbatuar në kuadër të IPARD II dhe për të cilat është grumbulluar eksperienca e nevojshme dhe janë nxjerrë mësimet për zbatimin e shpejtë dhe eficient të tyre. </w:t>
      </w:r>
    </w:p>
    <w:p w14:paraId="0773AC97" w14:textId="304C9B7B" w:rsidR="00492C9C" w:rsidRPr="0058349C" w:rsidRDefault="00492C9C" w:rsidP="001755EB">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Krahas mbështetjes financiare</w:t>
      </w:r>
      <w:r w:rsidR="00047DD7">
        <w:rPr>
          <w:rFonts w:ascii="Garamond" w:hAnsi="Garamond" w:cs="MS Mincho"/>
          <w:sz w:val="24"/>
          <w:szCs w:val="24"/>
          <w:lang w:val="sq-AL"/>
        </w:rPr>
        <w:t>,</w:t>
      </w:r>
      <w:r w:rsidRPr="0058349C">
        <w:rPr>
          <w:rFonts w:ascii="Garamond" w:hAnsi="Garamond" w:cs="MS Mincho"/>
          <w:sz w:val="24"/>
          <w:szCs w:val="24"/>
          <w:lang w:val="sq-AL"/>
        </w:rPr>
        <w:t xml:space="preserve"> nëpërmjet skemave kombëtare dhe ato të IPARD</w:t>
      </w:r>
      <w:r w:rsidR="00047DD7">
        <w:rPr>
          <w:rFonts w:ascii="Garamond" w:hAnsi="Garamond" w:cs="MS Mincho"/>
          <w:sz w:val="24"/>
          <w:szCs w:val="24"/>
          <w:lang w:val="sq-AL"/>
        </w:rPr>
        <w:t>-së</w:t>
      </w:r>
      <w:r w:rsidRPr="0058349C">
        <w:rPr>
          <w:rFonts w:ascii="Garamond" w:hAnsi="Garamond" w:cs="MS Mincho"/>
          <w:sz w:val="24"/>
          <w:szCs w:val="24"/>
          <w:lang w:val="sq-AL"/>
        </w:rPr>
        <w:t>, MBZHR</w:t>
      </w:r>
      <w:r w:rsidR="00047DD7">
        <w:rPr>
          <w:rFonts w:ascii="Garamond" w:hAnsi="Garamond" w:cs="MS Mincho"/>
          <w:sz w:val="24"/>
          <w:szCs w:val="24"/>
          <w:lang w:val="sq-AL"/>
        </w:rPr>
        <w:t>-së</w:t>
      </w:r>
      <w:r w:rsidRPr="0058349C">
        <w:rPr>
          <w:rFonts w:ascii="Garamond" w:hAnsi="Garamond" w:cs="MS Mincho"/>
          <w:sz w:val="24"/>
          <w:szCs w:val="24"/>
          <w:lang w:val="sq-AL"/>
        </w:rPr>
        <w:t xml:space="preserve"> me mbështetjen e Qeverisë Shqiptare ka mbështetur sektorin e bujqësisë edhe nëpërmjet instrumentit të </w:t>
      </w:r>
      <w:r w:rsidR="00047DD7" w:rsidRPr="0058349C">
        <w:rPr>
          <w:rFonts w:ascii="Garamond" w:hAnsi="Garamond" w:cs="MS Mincho"/>
          <w:sz w:val="24"/>
          <w:szCs w:val="24"/>
          <w:lang w:val="sq-AL"/>
        </w:rPr>
        <w:t xml:space="preserve">lehtësimit </w:t>
      </w:r>
      <w:r w:rsidRPr="0058349C">
        <w:rPr>
          <w:rFonts w:ascii="Garamond" w:hAnsi="Garamond" w:cs="MS Mincho"/>
          <w:sz w:val="24"/>
          <w:szCs w:val="24"/>
          <w:lang w:val="sq-AL"/>
        </w:rPr>
        <w:t>të aksesit në financim nga bankat për fermerët dhe agrobiznesin</w:t>
      </w:r>
      <w:r w:rsidR="00047DD7">
        <w:rPr>
          <w:rFonts w:ascii="Garamond" w:hAnsi="Garamond" w:cs="MS Mincho"/>
          <w:sz w:val="24"/>
          <w:szCs w:val="24"/>
          <w:lang w:val="sq-AL"/>
        </w:rPr>
        <w:t>,</w:t>
      </w:r>
      <w:r w:rsidRPr="0058349C">
        <w:rPr>
          <w:rFonts w:ascii="Garamond" w:hAnsi="Garamond" w:cs="MS Mincho"/>
          <w:sz w:val="24"/>
          <w:szCs w:val="24"/>
          <w:lang w:val="sq-AL"/>
        </w:rPr>
        <w:t xml:space="preserve"> nëpërmjet </w:t>
      </w:r>
      <w:r w:rsidRPr="0058349C">
        <w:rPr>
          <w:rFonts w:ascii="Garamond" w:hAnsi="Garamond" w:cs="MS Mincho"/>
          <w:b/>
          <w:bCs/>
          <w:sz w:val="24"/>
          <w:szCs w:val="24"/>
          <w:lang w:val="sq-AL"/>
        </w:rPr>
        <w:t xml:space="preserve">Fondit Kombëtar të Garancisë të </w:t>
      </w:r>
      <w:r w:rsidR="00047DD7" w:rsidRPr="0058349C">
        <w:rPr>
          <w:rFonts w:ascii="Garamond" w:hAnsi="Garamond" w:cs="MS Mincho"/>
          <w:b/>
          <w:bCs/>
          <w:sz w:val="24"/>
          <w:szCs w:val="24"/>
          <w:lang w:val="sq-AL"/>
        </w:rPr>
        <w:t xml:space="preserve">Kredive </w:t>
      </w:r>
      <w:r w:rsidRPr="0058349C">
        <w:rPr>
          <w:rFonts w:ascii="Garamond" w:hAnsi="Garamond" w:cs="MS Mincho"/>
          <w:b/>
          <w:bCs/>
          <w:sz w:val="24"/>
          <w:szCs w:val="24"/>
          <w:lang w:val="sq-AL"/>
        </w:rPr>
        <w:t>për Bujqësinë të ofruar nga BERZH</w:t>
      </w:r>
      <w:r w:rsidR="00047DD7">
        <w:rPr>
          <w:rFonts w:ascii="Garamond" w:hAnsi="Garamond" w:cs="MS Mincho"/>
          <w:b/>
          <w:bCs/>
          <w:sz w:val="24"/>
          <w:szCs w:val="24"/>
          <w:lang w:val="sq-AL"/>
        </w:rPr>
        <w:t>-i,</w:t>
      </w:r>
      <w:r w:rsidRPr="0058349C">
        <w:rPr>
          <w:rFonts w:ascii="Garamond" w:hAnsi="Garamond" w:cs="MS Mincho"/>
          <w:b/>
          <w:bCs/>
          <w:sz w:val="24"/>
          <w:szCs w:val="24"/>
          <w:lang w:val="sq-AL"/>
        </w:rPr>
        <w:t xml:space="preserve"> në bashkëfinancim me Qeverinë Shqiptare. Ky fond </w:t>
      </w:r>
      <w:r w:rsidRPr="0058349C">
        <w:rPr>
          <w:rFonts w:ascii="Garamond" w:hAnsi="Garamond" w:cs="MS Mincho"/>
          <w:sz w:val="24"/>
          <w:szCs w:val="24"/>
          <w:lang w:val="sq-AL"/>
        </w:rPr>
        <w:t>shërben si një instrument mbështetës financiar për nxitjen e investimeve private në bujqësi</w:t>
      </w:r>
      <w:r w:rsidR="00047DD7">
        <w:rPr>
          <w:rFonts w:ascii="Garamond" w:hAnsi="Garamond" w:cs="MS Mincho"/>
          <w:sz w:val="24"/>
          <w:szCs w:val="24"/>
          <w:lang w:val="sq-AL"/>
        </w:rPr>
        <w:t>,</w:t>
      </w:r>
      <w:r w:rsidRPr="0058349C">
        <w:rPr>
          <w:rFonts w:ascii="Garamond" w:hAnsi="Garamond" w:cs="MS Mincho"/>
          <w:sz w:val="24"/>
          <w:szCs w:val="24"/>
          <w:lang w:val="sq-AL"/>
        </w:rPr>
        <w:t xml:space="preserve"> sidomos të investimeve të IPARD</w:t>
      </w:r>
      <w:r w:rsidR="00047DD7">
        <w:rPr>
          <w:rFonts w:ascii="Garamond" w:hAnsi="Garamond" w:cs="MS Mincho"/>
          <w:sz w:val="24"/>
          <w:szCs w:val="24"/>
          <w:lang w:val="sq-AL"/>
        </w:rPr>
        <w:t>-së,</w:t>
      </w:r>
      <w:r w:rsidRPr="0058349C">
        <w:rPr>
          <w:rFonts w:ascii="Garamond" w:hAnsi="Garamond" w:cs="MS Mincho"/>
          <w:sz w:val="24"/>
          <w:szCs w:val="24"/>
          <w:lang w:val="sq-AL"/>
        </w:rPr>
        <w:t xml:space="preserve"> të cilat kërkojnë një financim paraprak nga përfituesit. Kontributi i Qeverisë Shqiptare prej 36 milionë </w:t>
      </w:r>
      <w:r w:rsidR="00047DD7" w:rsidRPr="0058349C">
        <w:rPr>
          <w:rFonts w:ascii="Garamond" w:hAnsi="Garamond" w:cs="MS Mincho"/>
          <w:sz w:val="24"/>
          <w:szCs w:val="24"/>
          <w:lang w:val="sq-AL"/>
        </w:rPr>
        <w:t>euro</w:t>
      </w:r>
      <w:r w:rsidR="00047DD7">
        <w:rPr>
          <w:rFonts w:ascii="Garamond" w:hAnsi="Garamond" w:cs="MS Mincho"/>
          <w:sz w:val="24"/>
          <w:szCs w:val="24"/>
          <w:lang w:val="sq-AL"/>
        </w:rPr>
        <w:t>sh</w:t>
      </w:r>
      <w:r w:rsidRPr="0058349C">
        <w:rPr>
          <w:rFonts w:ascii="Garamond" w:hAnsi="Garamond" w:cs="MS Mincho"/>
          <w:sz w:val="24"/>
          <w:szCs w:val="24"/>
          <w:lang w:val="sq-AL"/>
        </w:rPr>
        <w:t xml:space="preserve">, ka shërbyer për mbulimin e riskut të kredive të këqija nga </w:t>
      </w:r>
      <w:r w:rsidR="00047DD7" w:rsidRPr="0058349C">
        <w:rPr>
          <w:rFonts w:ascii="Garamond" w:hAnsi="Garamond" w:cs="MS Mincho"/>
          <w:sz w:val="24"/>
          <w:szCs w:val="24"/>
          <w:lang w:val="sq-AL"/>
        </w:rPr>
        <w:t>institucionet financiare pjesëmarrëse</w:t>
      </w:r>
      <w:r w:rsidRPr="0058349C">
        <w:rPr>
          <w:rFonts w:ascii="Garamond" w:hAnsi="Garamond" w:cs="MS Mincho"/>
          <w:sz w:val="24"/>
          <w:szCs w:val="24"/>
          <w:lang w:val="sq-AL"/>
        </w:rPr>
        <w:t xml:space="preserve">, duke synuar gjenerimin e 180 milionë </w:t>
      </w:r>
      <w:r w:rsidR="00047DD7" w:rsidRPr="0058349C">
        <w:rPr>
          <w:rFonts w:ascii="Garamond" w:hAnsi="Garamond" w:cs="MS Mincho"/>
          <w:sz w:val="24"/>
          <w:szCs w:val="24"/>
          <w:lang w:val="sq-AL"/>
        </w:rPr>
        <w:t>euro</w:t>
      </w:r>
      <w:r w:rsidR="00047DD7">
        <w:rPr>
          <w:rFonts w:ascii="Garamond" w:hAnsi="Garamond" w:cs="MS Mincho"/>
          <w:sz w:val="24"/>
          <w:szCs w:val="24"/>
          <w:lang w:val="sq-AL"/>
        </w:rPr>
        <w:t>ve</w:t>
      </w:r>
      <w:r w:rsidR="00767BF7">
        <w:rPr>
          <w:rFonts w:ascii="Garamond" w:hAnsi="Garamond" w:cs="MS Mincho"/>
          <w:sz w:val="24"/>
          <w:szCs w:val="24"/>
          <w:lang w:val="sq-AL"/>
        </w:rPr>
        <w:t>,</w:t>
      </w:r>
      <w:r w:rsidR="00047DD7" w:rsidRPr="0058349C">
        <w:rPr>
          <w:rFonts w:ascii="Garamond" w:hAnsi="Garamond" w:cs="MS Mincho"/>
          <w:sz w:val="24"/>
          <w:szCs w:val="24"/>
          <w:lang w:val="sq-AL"/>
        </w:rPr>
        <w:t xml:space="preserve"> </w:t>
      </w:r>
      <w:r w:rsidRPr="0058349C">
        <w:rPr>
          <w:rFonts w:ascii="Garamond" w:hAnsi="Garamond" w:cs="MS Mincho"/>
          <w:sz w:val="24"/>
          <w:szCs w:val="24"/>
          <w:lang w:val="sq-AL"/>
        </w:rPr>
        <w:t>në vlerë kredie për sektorin bujqësor dhe zhvillimin rural në vend. Krahas fondit të garancisë të instaluar nga Qeveria Shqiptare dhe BERZH</w:t>
      </w:r>
      <w:r w:rsidR="001755EB">
        <w:rPr>
          <w:rFonts w:ascii="Garamond" w:hAnsi="Garamond" w:cs="MS Mincho"/>
          <w:sz w:val="24"/>
          <w:szCs w:val="24"/>
          <w:lang w:val="sq-AL"/>
        </w:rPr>
        <w:t>-i</w:t>
      </w:r>
      <w:r w:rsidRPr="0058349C">
        <w:rPr>
          <w:rFonts w:ascii="Garamond" w:hAnsi="Garamond" w:cs="MS Mincho"/>
          <w:sz w:val="24"/>
          <w:szCs w:val="24"/>
          <w:lang w:val="sq-AL"/>
        </w:rPr>
        <w:t xml:space="preserve"> është arritur të përthithen edhe fondet të vëna në dispozicion nga BE dhe Banka Gjermane për Rindërtim dhe Zhvillim (Kf</w:t>
      </w:r>
      <w:r w:rsidR="001755EB">
        <w:rPr>
          <w:rFonts w:ascii="Garamond" w:hAnsi="Garamond" w:cs="MS Mincho"/>
          <w:sz w:val="24"/>
          <w:szCs w:val="24"/>
          <w:lang w:val="sq-AL"/>
        </w:rPr>
        <w:t>W</w:t>
      </w:r>
      <w:r w:rsidRPr="0058349C">
        <w:rPr>
          <w:rFonts w:ascii="Garamond" w:hAnsi="Garamond" w:cs="MS Mincho"/>
          <w:sz w:val="24"/>
          <w:szCs w:val="24"/>
          <w:lang w:val="sq-AL"/>
        </w:rPr>
        <w:t>)</w:t>
      </w:r>
      <w:r w:rsidR="001755EB">
        <w:rPr>
          <w:rFonts w:ascii="Garamond" w:hAnsi="Garamond" w:cs="MS Mincho"/>
          <w:sz w:val="24"/>
          <w:szCs w:val="24"/>
          <w:lang w:val="sq-AL"/>
        </w:rPr>
        <w:t>,</w:t>
      </w:r>
      <w:r w:rsidRPr="0058349C">
        <w:rPr>
          <w:rFonts w:ascii="Garamond" w:hAnsi="Garamond" w:cs="MS Mincho"/>
          <w:sz w:val="24"/>
          <w:szCs w:val="24"/>
          <w:lang w:val="sq-AL"/>
        </w:rPr>
        <w:t xml:space="preserve"> nëpërmjet të cilave është ofruar një fond i dytë </w:t>
      </w:r>
      <w:r w:rsidR="001755EB">
        <w:rPr>
          <w:rFonts w:ascii="Garamond" w:hAnsi="Garamond" w:cs="MS Mincho"/>
          <w:sz w:val="24"/>
          <w:szCs w:val="24"/>
          <w:lang w:val="sq-AL"/>
        </w:rPr>
        <w:t>i</w:t>
      </w:r>
      <w:r w:rsidRPr="0058349C">
        <w:rPr>
          <w:rFonts w:ascii="Garamond" w:hAnsi="Garamond" w:cs="MS Mincho"/>
          <w:sz w:val="24"/>
          <w:szCs w:val="24"/>
          <w:lang w:val="sq-AL"/>
        </w:rPr>
        <w:t xml:space="preserve"> garantimit të kredive për këta sektorë.</w:t>
      </w:r>
    </w:p>
    <w:p w14:paraId="0773AC98" w14:textId="6530C648" w:rsidR="00492C9C" w:rsidRPr="0058349C" w:rsidRDefault="00492C9C" w:rsidP="00492C9C">
      <w:pPr>
        <w:autoSpaceDE w:val="0"/>
        <w:autoSpaceDN w:val="0"/>
        <w:adjustRightInd w:val="0"/>
        <w:spacing w:after="0" w:line="240" w:lineRule="auto"/>
        <w:ind w:firstLine="284"/>
        <w:jc w:val="both"/>
        <w:rPr>
          <w:rFonts w:ascii="Garamond" w:hAnsi="Garamond" w:cs="MS Mincho"/>
          <w:b/>
          <w:bCs/>
          <w:sz w:val="24"/>
          <w:szCs w:val="24"/>
          <w:lang w:val="sq-AL"/>
        </w:rPr>
      </w:pPr>
      <w:r w:rsidRPr="0058349C">
        <w:rPr>
          <w:rFonts w:ascii="Garamond" w:hAnsi="Garamond" w:cs="MS Mincho"/>
          <w:b/>
          <w:bCs/>
          <w:sz w:val="24"/>
          <w:szCs w:val="24"/>
          <w:lang w:val="sq-AL"/>
        </w:rPr>
        <w:t xml:space="preserve">Një mbështetje e rëndësishme për sektorët bujqësor, </w:t>
      </w:r>
      <w:r w:rsidR="001755EB">
        <w:rPr>
          <w:rFonts w:ascii="Garamond" w:hAnsi="Garamond" w:cs="MS Mincho"/>
          <w:b/>
          <w:bCs/>
          <w:sz w:val="24"/>
          <w:szCs w:val="24"/>
          <w:lang w:val="sq-AL"/>
        </w:rPr>
        <w:t xml:space="preserve">të </w:t>
      </w:r>
      <w:r w:rsidRPr="0058349C">
        <w:rPr>
          <w:rFonts w:ascii="Garamond" w:hAnsi="Garamond" w:cs="MS Mincho"/>
          <w:b/>
          <w:bCs/>
          <w:sz w:val="24"/>
          <w:szCs w:val="24"/>
          <w:lang w:val="sq-AL"/>
        </w:rPr>
        <w:t xml:space="preserve">zhvillimit rural dhe </w:t>
      </w:r>
      <w:r w:rsidR="001755EB">
        <w:rPr>
          <w:rFonts w:ascii="Garamond" w:hAnsi="Garamond" w:cs="MS Mincho"/>
          <w:b/>
          <w:bCs/>
          <w:sz w:val="24"/>
          <w:szCs w:val="24"/>
          <w:lang w:val="sq-AL"/>
        </w:rPr>
        <w:t xml:space="preserve">të </w:t>
      </w:r>
      <w:r w:rsidRPr="0058349C">
        <w:rPr>
          <w:rFonts w:ascii="Garamond" w:hAnsi="Garamond" w:cs="MS Mincho"/>
          <w:b/>
          <w:bCs/>
          <w:sz w:val="24"/>
          <w:szCs w:val="24"/>
          <w:lang w:val="sq-AL"/>
        </w:rPr>
        <w:t>peshkimit kanë qenë edhe incentivat fiskale të financuara nga Qeveria Shqiptare</w:t>
      </w:r>
      <w:r w:rsidR="001755EB">
        <w:rPr>
          <w:rFonts w:ascii="Garamond" w:hAnsi="Garamond" w:cs="MS Mincho"/>
          <w:b/>
          <w:bCs/>
          <w:sz w:val="24"/>
          <w:szCs w:val="24"/>
          <w:lang w:val="sq-AL"/>
        </w:rPr>
        <w:t>,</w:t>
      </w:r>
      <w:r w:rsidRPr="0058349C">
        <w:rPr>
          <w:rFonts w:ascii="Garamond" w:hAnsi="Garamond" w:cs="MS Mincho"/>
          <w:b/>
          <w:bCs/>
          <w:sz w:val="24"/>
          <w:szCs w:val="24"/>
          <w:lang w:val="sq-AL"/>
        </w:rPr>
        <w:t xml:space="preserve"> si vijon:</w:t>
      </w:r>
    </w:p>
    <w:p w14:paraId="0773AC99"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1. Heqja/reduktimi i TVSH-së për inputet bujqësore, që përfshijnë plehrat kimike, pesticidet, farërat dhe fidanët;</w:t>
      </w:r>
    </w:p>
    <w:p w14:paraId="0773AC9A" w14:textId="1B33B61D"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lastRenderedPageBreak/>
        <w:t>2. Heqja e TVSH-së për makinat bujqësore</w:t>
      </w:r>
      <w:r w:rsidR="001755EB">
        <w:rPr>
          <w:rFonts w:ascii="Garamond" w:hAnsi="Garamond" w:cs="MS Mincho"/>
          <w:sz w:val="24"/>
          <w:szCs w:val="24"/>
          <w:lang w:val="sq-AL"/>
        </w:rPr>
        <w:t>,</w:t>
      </w:r>
      <w:r w:rsidRPr="0058349C">
        <w:rPr>
          <w:rFonts w:ascii="Garamond" w:hAnsi="Garamond" w:cs="MS Mincho"/>
          <w:sz w:val="24"/>
          <w:szCs w:val="24"/>
          <w:lang w:val="sq-AL"/>
        </w:rPr>
        <w:t xml:space="preserve"> si në import ashtu dhe brenda vendit;</w:t>
      </w:r>
    </w:p>
    <w:p w14:paraId="0773AC9B" w14:textId="50E622AC" w:rsidR="00492C9C" w:rsidRPr="0058349C" w:rsidRDefault="00492C9C" w:rsidP="001755EB">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3. Heqja e pragut t</w:t>
      </w:r>
      <w:r w:rsidR="001755EB">
        <w:rPr>
          <w:rFonts w:ascii="Garamond" w:hAnsi="Garamond" w:cs="MS Mincho"/>
          <w:sz w:val="24"/>
          <w:szCs w:val="24"/>
          <w:lang w:val="sq-AL"/>
        </w:rPr>
        <w:t xml:space="preserve">ë </w:t>
      </w:r>
      <w:r w:rsidRPr="0058349C">
        <w:rPr>
          <w:rFonts w:ascii="Garamond" w:hAnsi="Garamond" w:cs="MS Mincho"/>
          <w:sz w:val="24"/>
          <w:szCs w:val="24"/>
          <w:lang w:val="sq-AL"/>
        </w:rPr>
        <w:t>xhiros për efekt rimbursimi të TVSH-së dhe reduktimin e</w:t>
      </w:r>
      <w:r w:rsidR="00CF7694" w:rsidRPr="0058349C">
        <w:rPr>
          <w:rFonts w:ascii="Garamond" w:hAnsi="Garamond" w:cs="MS Mincho"/>
          <w:sz w:val="24"/>
          <w:szCs w:val="24"/>
          <w:lang w:val="sq-AL"/>
        </w:rPr>
        <w:t xml:space="preserve"> </w:t>
      </w:r>
      <w:r w:rsidR="001755EB">
        <w:rPr>
          <w:rFonts w:ascii="Garamond" w:hAnsi="Garamond" w:cs="MS Mincho"/>
          <w:sz w:val="24"/>
          <w:szCs w:val="24"/>
          <w:lang w:val="sq-AL"/>
        </w:rPr>
        <w:t>tatim-</w:t>
      </w:r>
      <w:r w:rsidRPr="0058349C">
        <w:rPr>
          <w:rFonts w:ascii="Garamond" w:hAnsi="Garamond" w:cs="MS Mincho"/>
          <w:sz w:val="24"/>
          <w:szCs w:val="24"/>
          <w:lang w:val="sq-AL"/>
        </w:rPr>
        <w:t xml:space="preserve">fitimit në 5% për </w:t>
      </w:r>
      <w:r w:rsidR="00664693" w:rsidRPr="0058349C">
        <w:rPr>
          <w:rFonts w:ascii="Garamond" w:hAnsi="Garamond" w:cs="MS Mincho"/>
          <w:sz w:val="24"/>
          <w:szCs w:val="24"/>
          <w:lang w:val="sq-AL"/>
        </w:rPr>
        <w:t>“</w:t>
      </w:r>
      <w:r w:rsidRPr="0058349C">
        <w:rPr>
          <w:rFonts w:ascii="Garamond" w:hAnsi="Garamond" w:cs="MS Mincho"/>
          <w:sz w:val="24"/>
          <w:szCs w:val="24"/>
          <w:lang w:val="sq-AL"/>
        </w:rPr>
        <w:t>Shoqëritë e Bashkëpunimit Bujqësor, që operojnë në fushën e bujqësisë</w:t>
      </w:r>
      <w:r w:rsidR="001755EB">
        <w:rPr>
          <w:rFonts w:ascii="Garamond" w:hAnsi="Garamond" w:cs="MS Mincho"/>
          <w:sz w:val="24"/>
          <w:szCs w:val="24"/>
          <w:lang w:val="sq-AL"/>
        </w:rPr>
        <w:t>”</w:t>
      </w:r>
      <w:r w:rsidRPr="0058349C">
        <w:rPr>
          <w:rFonts w:ascii="Garamond" w:hAnsi="Garamond" w:cs="MS Mincho"/>
          <w:sz w:val="24"/>
          <w:szCs w:val="24"/>
          <w:lang w:val="sq-AL"/>
        </w:rPr>
        <w:t xml:space="preserve">; </w:t>
      </w:r>
    </w:p>
    <w:p w14:paraId="0773AC9C" w14:textId="32D804E6"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 xml:space="preserve">4. Paketa e </w:t>
      </w:r>
      <w:r w:rsidR="001755EB" w:rsidRPr="0058349C">
        <w:rPr>
          <w:rFonts w:ascii="Garamond" w:hAnsi="Garamond" w:cs="MS Mincho"/>
          <w:sz w:val="24"/>
          <w:szCs w:val="24"/>
          <w:lang w:val="sq-AL"/>
        </w:rPr>
        <w:t>agroturizmit</w:t>
      </w:r>
      <w:r w:rsidRPr="0058349C">
        <w:rPr>
          <w:rFonts w:ascii="Garamond" w:hAnsi="Garamond" w:cs="MS Mincho"/>
          <w:sz w:val="24"/>
          <w:szCs w:val="24"/>
          <w:lang w:val="sq-AL"/>
        </w:rPr>
        <w:t xml:space="preserve">, për subjektet e certifikuar si </w:t>
      </w:r>
      <w:r w:rsidR="001755EB" w:rsidRPr="0058349C">
        <w:rPr>
          <w:rFonts w:ascii="Garamond" w:hAnsi="Garamond" w:cs="MS Mincho"/>
          <w:sz w:val="24"/>
          <w:szCs w:val="24"/>
          <w:lang w:val="sq-AL"/>
        </w:rPr>
        <w:t>agroturizëm</w:t>
      </w:r>
      <w:r w:rsidRPr="0058349C">
        <w:rPr>
          <w:rFonts w:ascii="Garamond" w:hAnsi="Garamond" w:cs="MS Mincho"/>
          <w:sz w:val="24"/>
          <w:szCs w:val="24"/>
          <w:lang w:val="sq-AL"/>
        </w:rPr>
        <w:t>:</w:t>
      </w:r>
    </w:p>
    <w:p w14:paraId="0773AC9D" w14:textId="1CB950EC" w:rsidR="00492C9C" w:rsidRPr="0058349C" w:rsidRDefault="00D56192"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Symbol"/>
          <w:sz w:val="24"/>
          <w:szCs w:val="24"/>
          <w:lang w:val="sq-AL"/>
        </w:rPr>
        <w:t>-</w:t>
      </w:r>
      <w:r w:rsidR="00492C9C" w:rsidRPr="0058349C">
        <w:rPr>
          <w:rFonts w:ascii="Garamond" w:eastAsiaTheme="minorHAnsi" w:hAnsi="Garamond" w:cs="Symbol"/>
          <w:sz w:val="24"/>
          <w:szCs w:val="24"/>
          <w:lang w:val="sq-AL"/>
        </w:rPr>
        <w:t xml:space="preserve"> </w:t>
      </w:r>
      <w:r w:rsidR="00492C9C" w:rsidRPr="0058349C">
        <w:rPr>
          <w:rFonts w:ascii="Garamond" w:hAnsi="Garamond" w:cs="MS Mincho"/>
          <w:sz w:val="24"/>
          <w:szCs w:val="24"/>
          <w:lang w:val="sq-AL"/>
        </w:rPr>
        <w:t>6%</w:t>
      </w:r>
      <w:r w:rsidR="001755EB">
        <w:rPr>
          <w:rFonts w:ascii="Garamond" w:hAnsi="Garamond" w:cs="MS Mincho"/>
          <w:sz w:val="24"/>
          <w:szCs w:val="24"/>
          <w:lang w:val="sq-AL"/>
        </w:rPr>
        <w:t xml:space="preserve"> </w:t>
      </w:r>
      <w:r w:rsidR="00492C9C" w:rsidRPr="0058349C">
        <w:rPr>
          <w:rFonts w:ascii="Garamond" w:hAnsi="Garamond" w:cs="MS Mincho"/>
          <w:sz w:val="24"/>
          <w:szCs w:val="24"/>
          <w:lang w:val="sq-AL"/>
        </w:rPr>
        <w:t>TVSH</w:t>
      </w:r>
      <w:r w:rsidR="001755EB">
        <w:rPr>
          <w:rFonts w:ascii="Garamond" w:hAnsi="Garamond" w:cs="MS Mincho"/>
          <w:sz w:val="24"/>
          <w:szCs w:val="24"/>
          <w:lang w:val="sq-AL"/>
        </w:rPr>
        <w:t>;</w:t>
      </w:r>
      <w:r w:rsidR="00492C9C" w:rsidRPr="0058349C">
        <w:rPr>
          <w:rFonts w:ascii="Garamond" w:hAnsi="Garamond" w:cs="MS Mincho"/>
          <w:sz w:val="24"/>
          <w:szCs w:val="24"/>
          <w:lang w:val="sq-AL"/>
        </w:rPr>
        <w:t xml:space="preserve"> </w:t>
      </w:r>
    </w:p>
    <w:p w14:paraId="0773AC9E" w14:textId="1FAD5ED7" w:rsidR="00492C9C" w:rsidRPr="0058349C" w:rsidRDefault="00D56192"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Symbol"/>
          <w:sz w:val="24"/>
          <w:szCs w:val="24"/>
          <w:lang w:val="sq-AL"/>
        </w:rPr>
        <w:t>-</w:t>
      </w:r>
      <w:r w:rsidR="00492C9C" w:rsidRPr="0058349C">
        <w:rPr>
          <w:rFonts w:ascii="Garamond" w:eastAsiaTheme="minorHAnsi" w:hAnsi="Garamond" w:cs="Symbol"/>
          <w:sz w:val="24"/>
          <w:szCs w:val="24"/>
          <w:lang w:val="sq-AL"/>
        </w:rPr>
        <w:t xml:space="preserve"> </w:t>
      </w:r>
      <w:r w:rsidR="00492C9C" w:rsidRPr="0058349C">
        <w:rPr>
          <w:rFonts w:ascii="Garamond" w:hAnsi="Garamond" w:cs="MS Mincho"/>
          <w:sz w:val="24"/>
          <w:szCs w:val="24"/>
          <w:lang w:val="sq-AL"/>
        </w:rPr>
        <w:t>5% Tatim</w:t>
      </w:r>
      <w:r w:rsidR="002D2105">
        <w:rPr>
          <w:rFonts w:ascii="Garamond" w:hAnsi="Garamond" w:cs="MS Mincho"/>
          <w:sz w:val="24"/>
          <w:szCs w:val="24"/>
          <w:lang w:val="sq-AL"/>
        </w:rPr>
        <w:t>-</w:t>
      </w:r>
      <w:r w:rsidR="001755EB" w:rsidRPr="0058349C">
        <w:rPr>
          <w:rFonts w:ascii="Garamond" w:hAnsi="Garamond" w:cs="MS Mincho"/>
          <w:sz w:val="24"/>
          <w:szCs w:val="24"/>
          <w:lang w:val="sq-AL"/>
        </w:rPr>
        <w:t>fitimi</w:t>
      </w:r>
      <w:r w:rsidR="001755EB">
        <w:rPr>
          <w:rFonts w:ascii="Garamond" w:hAnsi="Garamond" w:cs="MS Mincho"/>
          <w:sz w:val="24"/>
          <w:szCs w:val="24"/>
          <w:lang w:val="sq-AL"/>
        </w:rPr>
        <w:t>;</w:t>
      </w:r>
    </w:p>
    <w:p w14:paraId="0773AC9F" w14:textId="28183058" w:rsidR="00492C9C" w:rsidRPr="0058349C" w:rsidRDefault="00D56192"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Symbol"/>
          <w:sz w:val="24"/>
          <w:szCs w:val="24"/>
          <w:lang w:val="sq-AL"/>
        </w:rPr>
        <w:t>-</w:t>
      </w:r>
      <w:r w:rsidR="00492C9C" w:rsidRPr="0058349C">
        <w:rPr>
          <w:rFonts w:ascii="Garamond" w:eastAsiaTheme="minorHAnsi" w:hAnsi="Garamond" w:cs="Symbol"/>
          <w:sz w:val="24"/>
          <w:szCs w:val="24"/>
          <w:lang w:val="sq-AL"/>
        </w:rPr>
        <w:t xml:space="preserve"> </w:t>
      </w:r>
      <w:r w:rsidR="00492C9C" w:rsidRPr="0058349C">
        <w:rPr>
          <w:rFonts w:ascii="Garamond" w:hAnsi="Garamond" w:cs="MS Mincho"/>
          <w:sz w:val="24"/>
          <w:szCs w:val="24"/>
          <w:lang w:val="sq-AL"/>
        </w:rPr>
        <w:t xml:space="preserve">0% Taksë </w:t>
      </w:r>
      <w:r w:rsidR="001755EB" w:rsidRPr="0058349C">
        <w:rPr>
          <w:rFonts w:ascii="Garamond" w:hAnsi="Garamond" w:cs="MS Mincho"/>
          <w:sz w:val="24"/>
          <w:szCs w:val="24"/>
          <w:lang w:val="sq-AL"/>
        </w:rPr>
        <w:t>ndikimi në infrastrukturë</w:t>
      </w:r>
      <w:r w:rsidR="001755EB">
        <w:rPr>
          <w:rFonts w:ascii="Garamond" w:hAnsi="Garamond" w:cs="MS Mincho"/>
          <w:sz w:val="24"/>
          <w:szCs w:val="24"/>
          <w:lang w:val="sq-AL"/>
        </w:rPr>
        <w:t>.</w:t>
      </w:r>
    </w:p>
    <w:p w14:paraId="0773ACA0" w14:textId="68F9300A" w:rsidR="00492C9C" w:rsidRPr="0058349C" w:rsidRDefault="00492C9C" w:rsidP="00183D84">
      <w:pPr>
        <w:autoSpaceDE w:val="0"/>
        <w:autoSpaceDN w:val="0"/>
        <w:adjustRightInd w:val="0"/>
        <w:spacing w:after="0" w:line="240" w:lineRule="auto"/>
        <w:ind w:firstLine="284"/>
        <w:jc w:val="both"/>
        <w:rPr>
          <w:rFonts w:ascii="Garamond" w:hAnsi="Garamond" w:cs="MS Mincho"/>
          <w:b/>
          <w:bCs/>
          <w:sz w:val="24"/>
          <w:szCs w:val="24"/>
          <w:lang w:val="sq-AL"/>
        </w:rPr>
      </w:pPr>
      <w:r w:rsidRPr="0058349C">
        <w:rPr>
          <w:rFonts w:ascii="Garamond" w:hAnsi="Garamond" w:cs="MS Mincho"/>
          <w:b/>
          <w:bCs/>
          <w:sz w:val="24"/>
          <w:szCs w:val="24"/>
          <w:lang w:val="sq-AL"/>
        </w:rPr>
        <w:t>Në kuadër të përmirësimit të infrastrukturës mbështetëse në funksion t</w:t>
      </w:r>
      <w:r w:rsidR="00183D84">
        <w:rPr>
          <w:rFonts w:ascii="Garamond" w:hAnsi="Garamond" w:cs="MS Mincho"/>
          <w:b/>
          <w:bCs/>
          <w:sz w:val="24"/>
          <w:szCs w:val="24"/>
          <w:lang w:val="sq-AL"/>
        </w:rPr>
        <w:t>ë</w:t>
      </w:r>
      <w:r w:rsidRPr="0058349C">
        <w:rPr>
          <w:rFonts w:ascii="Garamond" w:hAnsi="Garamond" w:cs="MS Mincho"/>
          <w:b/>
          <w:bCs/>
          <w:sz w:val="24"/>
          <w:szCs w:val="24"/>
          <w:lang w:val="sq-AL"/>
        </w:rPr>
        <w:t xml:space="preserve"> sektorëve të bujqësisë, zhvillimit rural dhe peshkimit zhvillime pozitive ka pasur në drejtim të përmirësimit të infrastrukturës së ujitjes, kullimit dhe mbrojtjes nga përmbytja</w:t>
      </w:r>
      <w:r w:rsidR="001755EB">
        <w:rPr>
          <w:rFonts w:ascii="Garamond" w:hAnsi="Garamond" w:cs="MS Mincho"/>
          <w:b/>
          <w:bCs/>
          <w:sz w:val="24"/>
          <w:szCs w:val="24"/>
          <w:lang w:val="sq-AL"/>
        </w:rPr>
        <w:t>,</w:t>
      </w:r>
      <w:r w:rsidRPr="0058349C">
        <w:rPr>
          <w:rFonts w:ascii="Garamond" w:hAnsi="Garamond" w:cs="MS Mincho"/>
          <w:b/>
          <w:bCs/>
          <w:sz w:val="24"/>
          <w:szCs w:val="24"/>
          <w:lang w:val="sq-AL"/>
        </w:rPr>
        <w:t xml:space="preserve"> duke financuar rreth 13,6 miliardë lekë.</w:t>
      </w:r>
    </w:p>
    <w:p w14:paraId="0773ACA1" w14:textId="3B889FE7" w:rsidR="00492C9C" w:rsidRPr="0058349C" w:rsidRDefault="00492C9C" w:rsidP="001755EB">
      <w:pPr>
        <w:autoSpaceDE w:val="0"/>
        <w:autoSpaceDN w:val="0"/>
        <w:adjustRightInd w:val="0"/>
        <w:spacing w:after="0" w:line="240" w:lineRule="auto"/>
        <w:ind w:firstLine="284"/>
        <w:jc w:val="both"/>
        <w:rPr>
          <w:rFonts w:ascii="Garamond" w:eastAsiaTheme="minorHAnsi" w:hAnsi="Garamond" w:cs="Arial"/>
          <w:sz w:val="24"/>
          <w:szCs w:val="24"/>
          <w:lang w:val="sq-AL"/>
        </w:rPr>
      </w:pPr>
      <w:r w:rsidRPr="0058349C">
        <w:rPr>
          <w:rFonts w:ascii="Garamond" w:eastAsiaTheme="minorHAnsi" w:hAnsi="Garamond" w:cs="Arial"/>
          <w:i/>
          <w:iCs/>
          <w:sz w:val="24"/>
          <w:szCs w:val="24"/>
          <w:lang w:val="sq-AL"/>
        </w:rPr>
        <w:t xml:space="preserve">Në ujitje: </w:t>
      </w:r>
      <w:r w:rsidRPr="0058349C">
        <w:rPr>
          <w:rFonts w:ascii="Garamond" w:eastAsiaTheme="minorHAnsi" w:hAnsi="Garamond" w:cs="Arial"/>
          <w:sz w:val="24"/>
          <w:szCs w:val="24"/>
          <w:lang w:val="sq-AL"/>
        </w:rPr>
        <w:t>Sipërfaqja e ujitshme</w:t>
      </w:r>
      <w:r w:rsidR="0015684A">
        <w:rPr>
          <w:rFonts w:ascii="Garamond" w:eastAsiaTheme="minorHAnsi" w:hAnsi="Garamond" w:cs="Arial"/>
          <w:sz w:val="24"/>
          <w:szCs w:val="24"/>
          <w:lang w:val="sq-AL"/>
        </w:rPr>
        <w:t>,</w:t>
      </w:r>
      <w:r w:rsidRPr="0058349C">
        <w:rPr>
          <w:rFonts w:ascii="Garamond" w:eastAsiaTheme="minorHAnsi" w:hAnsi="Garamond" w:cs="Arial"/>
          <w:sz w:val="24"/>
          <w:szCs w:val="24"/>
          <w:lang w:val="sq-AL"/>
        </w:rPr>
        <w:t xml:space="preserve"> me infrastruktur</w:t>
      </w:r>
      <w:r w:rsidR="001755EB">
        <w:rPr>
          <w:rFonts w:ascii="Garamond" w:eastAsiaTheme="minorHAnsi" w:hAnsi="Garamond" w:cs="Arial"/>
          <w:sz w:val="24"/>
          <w:szCs w:val="24"/>
          <w:lang w:val="sq-AL"/>
        </w:rPr>
        <w:t>ë</w:t>
      </w:r>
      <w:r w:rsidRPr="0058349C">
        <w:rPr>
          <w:rFonts w:ascii="Garamond" w:eastAsiaTheme="minorHAnsi" w:hAnsi="Garamond" w:cs="Arial"/>
          <w:sz w:val="24"/>
          <w:szCs w:val="24"/>
          <w:lang w:val="sq-AL"/>
        </w:rPr>
        <w:t xml:space="preserve"> të rehabilituar dhe </w:t>
      </w:r>
      <w:r w:rsidR="001755EB">
        <w:rPr>
          <w:rFonts w:ascii="Garamond" w:eastAsiaTheme="minorHAnsi" w:hAnsi="Garamond" w:cs="Arial"/>
          <w:sz w:val="24"/>
          <w:szCs w:val="24"/>
          <w:lang w:val="sq-AL"/>
        </w:rPr>
        <w:t xml:space="preserve">të </w:t>
      </w:r>
      <w:r w:rsidRPr="0058349C">
        <w:rPr>
          <w:rFonts w:ascii="Garamond" w:eastAsiaTheme="minorHAnsi" w:hAnsi="Garamond" w:cs="Arial"/>
          <w:sz w:val="24"/>
          <w:szCs w:val="24"/>
          <w:lang w:val="sq-AL"/>
        </w:rPr>
        <w:t>përmirësuar, është</w:t>
      </w:r>
      <w:r w:rsidR="00CF7694" w:rsidRPr="0058349C">
        <w:rPr>
          <w:rFonts w:ascii="Garamond" w:eastAsiaTheme="minorHAnsi" w:hAnsi="Garamond" w:cs="Arial"/>
          <w:sz w:val="24"/>
          <w:szCs w:val="24"/>
          <w:lang w:val="sq-AL"/>
        </w:rPr>
        <w:t xml:space="preserve"> </w:t>
      </w:r>
      <w:r w:rsidRPr="0058349C">
        <w:rPr>
          <w:rFonts w:ascii="Garamond" w:eastAsiaTheme="minorHAnsi" w:hAnsi="Garamond" w:cs="Arial"/>
          <w:sz w:val="24"/>
          <w:szCs w:val="24"/>
          <w:lang w:val="sq-AL"/>
        </w:rPr>
        <w:t>shtuar me rreth 40 000 ha nga</w:t>
      </w:r>
      <w:r w:rsidR="00CF7694" w:rsidRPr="0058349C">
        <w:rPr>
          <w:rFonts w:ascii="Garamond" w:eastAsiaTheme="minorHAnsi" w:hAnsi="Garamond" w:cs="Arial"/>
          <w:sz w:val="24"/>
          <w:szCs w:val="24"/>
          <w:lang w:val="sq-AL"/>
        </w:rPr>
        <w:t xml:space="preserve"> </w:t>
      </w:r>
      <w:r w:rsidRPr="0058349C">
        <w:rPr>
          <w:rFonts w:ascii="Garamond" w:eastAsiaTheme="minorHAnsi" w:hAnsi="Garamond" w:cs="Arial"/>
          <w:sz w:val="24"/>
          <w:szCs w:val="24"/>
          <w:lang w:val="sq-AL"/>
        </w:rPr>
        <w:t>205 000 ha në fund të 2016 në rreth 255 000 ha në 2020, duke impaktuar kryesisht zonat me bujqësi intensive të vendit. Janë rehabilituar 14 diga të rezervuarëve për ujitje për rritjen e sigurisë së tyre dhe garantimin e burimit ujor.</w:t>
      </w:r>
      <w:r w:rsidR="00CF7694" w:rsidRPr="0058349C">
        <w:rPr>
          <w:rFonts w:ascii="Garamond" w:eastAsiaTheme="minorHAnsi" w:hAnsi="Garamond" w:cs="Arial"/>
          <w:sz w:val="24"/>
          <w:szCs w:val="24"/>
          <w:lang w:val="sq-AL"/>
        </w:rPr>
        <w:t xml:space="preserve"> </w:t>
      </w:r>
    </w:p>
    <w:p w14:paraId="0773ACA2" w14:textId="036B4540" w:rsidR="00492C9C" w:rsidRPr="0058349C" w:rsidRDefault="00492C9C" w:rsidP="00492C9C">
      <w:pPr>
        <w:autoSpaceDE w:val="0"/>
        <w:autoSpaceDN w:val="0"/>
        <w:adjustRightInd w:val="0"/>
        <w:spacing w:after="0" w:line="240" w:lineRule="auto"/>
        <w:ind w:firstLine="284"/>
        <w:jc w:val="both"/>
        <w:rPr>
          <w:rFonts w:ascii="Garamond" w:eastAsiaTheme="minorHAnsi" w:hAnsi="Garamond" w:cs="Arial"/>
          <w:b/>
          <w:bCs/>
          <w:i/>
          <w:iCs/>
          <w:sz w:val="24"/>
          <w:szCs w:val="24"/>
          <w:lang w:val="sq-AL"/>
        </w:rPr>
      </w:pPr>
      <w:r w:rsidRPr="0058349C">
        <w:rPr>
          <w:rFonts w:ascii="Garamond" w:eastAsiaTheme="minorHAnsi" w:hAnsi="Garamond" w:cs="Arial"/>
          <w:i/>
          <w:iCs/>
          <w:sz w:val="24"/>
          <w:szCs w:val="24"/>
          <w:lang w:val="sq-AL"/>
        </w:rPr>
        <w:t>Në kullim:</w:t>
      </w:r>
      <w:r w:rsidRPr="0058349C">
        <w:rPr>
          <w:rFonts w:ascii="Garamond" w:eastAsiaTheme="minorHAnsi" w:hAnsi="Garamond" w:cs="Arial"/>
          <w:b/>
          <w:bCs/>
          <w:i/>
          <w:iCs/>
          <w:sz w:val="24"/>
          <w:szCs w:val="24"/>
          <w:lang w:val="sq-AL"/>
        </w:rPr>
        <w:t xml:space="preserve"> </w:t>
      </w:r>
      <w:r w:rsidRPr="0058349C">
        <w:rPr>
          <w:rFonts w:ascii="Garamond" w:eastAsiaTheme="minorHAnsi" w:hAnsi="Garamond" w:cs="Arial"/>
          <w:sz w:val="24"/>
          <w:szCs w:val="24"/>
          <w:lang w:val="sq-AL"/>
        </w:rPr>
        <w:t>nëpërmjet pastrimit të kanaleve kullues</w:t>
      </w:r>
      <w:r w:rsidRPr="0058349C">
        <w:rPr>
          <w:rFonts w:ascii="Garamond" w:eastAsiaTheme="minorHAnsi" w:hAnsi="Garamond" w:cs="Arial"/>
          <w:b/>
          <w:bCs/>
          <w:i/>
          <w:iCs/>
          <w:sz w:val="24"/>
          <w:szCs w:val="24"/>
          <w:lang w:val="sq-AL"/>
        </w:rPr>
        <w:t xml:space="preserve"> </w:t>
      </w:r>
      <w:r w:rsidRPr="0058349C">
        <w:rPr>
          <w:rFonts w:ascii="Garamond" w:eastAsiaTheme="minorHAnsi" w:hAnsi="Garamond" w:cs="Arial"/>
          <w:sz w:val="24"/>
          <w:szCs w:val="24"/>
          <w:lang w:val="sq-AL"/>
        </w:rPr>
        <w:t>me flotën e ekskavatorëve është përmirësuar kullimi në rreth 230 000 ha nga 280 000 ha të sipërfaqes totale të tokës bujqësore</w:t>
      </w:r>
      <w:r w:rsidR="0015684A">
        <w:rPr>
          <w:rFonts w:ascii="Garamond" w:eastAsiaTheme="minorHAnsi" w:hAnsi="Garamond" w:cs="Arial"/>
          <w:sz w:val="24"/>
          <w:szCs w:val="24"/>
          <w:lang w:val="sq-AL"/>
        </w:rPr>
        <w:t>,</w:t>
      </w:r>
      <w:r w:rsidRPr="0058349C">
        <w:rPr>
          <w:rFonts w:ascii="Garamond" w:eastAsiaTheme="minorHAnsi" w:hAnsi="Garamond" w:cs="Arial"/>
          <w:sz w:val="24"/>
          <w:szCs w:val="24"/>
          <w:lang w:val="sq-AL"/>
        </w:rPr>
        <w:t xml:space="preserve"> që kullohen aktualisht.</w:t>
      </w:r>
    </w:p>
    <w:p w14:paraId="0773ACA3" w14:textId="454C640B" w:rsidR="00492C9C" w:rsidRPr="0058349C" w:rsidRDefault="00492C9C" w:rsidP="00492C9C">
      <w:pPr>
        <w:autoSpaceDE w:val="0"/>
        <w:autoSpaceDN w:val="0"/>
        <w:adjustRightInd w:val="0"/>
        <w:spacing w:after="0" w:line="240" w:lineRule="auto"/>
        <w:ind w:firstLine="284"/>
        <w:jc w:val="both"/>
        <w:rPr>
          <w:rFonts w:ascii="Garamond" w:eastAsiaTheme="minorHAnsi" w:hAnsi="Garamond" w:cs="Arial"/>
          <w:sz w:val="24"/>
          <w:szCs w:val="24"/>
          <w:lang w:val="sq-AL"/>
        </w:rPr>
      </w:pPr>
      <w:r w:rsidRPr="0058349C">
        <w:rPr>
          <w:rFonts w:ascii="Garamond" w:eastAsiaTheme="minorHAnsi" w:hAnsi="Garamond" w:cs="Arial"/>
          <w:i/>
          <w:iCs/>
          <w:sz w:val="24"/>
          <w:szCs w:val="24"/>
          <w:lang w:val="sq-AL"/>
        </w:rPr>
        <w:t xml:space="preserve">Në mbrojtjen nga përmbytja: </w:t>
      </w:r>
      <w:r w:rsidRPr="0058349C">
        <w:rPr>
          <w:rFonts w:ascii="Garamond" w:eastAsiaTheme="minorHAnsi" w:hAnsi="Garamond" w:cs="Arial"/>
          <w:sz w:val="24"/>
          <w:szCs w:val="24"/>
          <w:lang w:val="sq-AL"/>
        </w:rPr>
        <w:t>Janë rehabilituar dhe ndërtuar rreth 60 km argjinatura mbrojtëse në lumenjtë kryesorë të vendit</w:t>
      </w:r>
      <w:r w:rsidR="0015684A">
        <w:rPr>
          <w:rFonts w:ascii="Garamond" w:eastAsiaTheme="minorHAnsi" w:hAnsi="Garamond" w:cs="Arial"/>
          <w:sz w:val="24"/>
          <w:szCs w:val="24"/>
          <w:lang w:val="sq-AL"/>
        </w:rPr>
        <w:t>,</w:t>
      </w:r>
      <w:r w:rsidRPr="0058349C">
        <w:rPr>
          <w:rFonts w:ascii="Garamond" w:eastAsiaTheme="minorHAnsi" w:hAnsi="Garamond" w:cs="Arial"/>
          <w:sz w:val="24"/>
          <w:szCs w:val="24"/>
          <w:lang w:val="sq-AL"/>
        </w:rPr>
        <w:t xml:space="preserve"> duke rritur ndjeshëm sigurinë e mbrojtjes nga përmbytja në zonat problematike.</w:t>
      </w:r>
    </w:p>
    <w:p w14:paraId="0773ACA4" w14:textId="77777777" w:rsidR="00492C9C" w:rsidRPr="0058349C" w:rsidRDefault="00492C9C" w:rsidP="00492C9C">
      <w:pPr>
        <w:autoSpaceDE w:val="0"/>
        <w:autoSpaceDN w:val="0"/>
        <w:adjustRightInd w:val="0"/>
        <w:spacing w:after="0" w:line="240" w:lineRule="auto"/>
        <w:ind w:firstLine="284"/>
        <w:jc w:val="both"/>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Diversifikimi i aktiviteteve ekonomike në zonat rurale:</w:t>
      </w:r>
    </w:p>
    <w:p w14:paraId="0773ACA6" w14:textId="0903049A" w:rsidR="00492C9C" w:rsidRPr="0058349C" w:rsidRDefault="00492C9C" w:rsidP="0015684A">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Një dimension tjetër shumë i rëndësishëm i politikave për zhvillimin bujqësor dhe rural është edhe diversifikimi i aktiviteteve ekonomike në zonat ru</w:t>
      </w:r>
      <w:r w:rsidR="0015684A">
        <w:rPr>
          <w:rFonts w:ascii="Garamond" w:hAnsi="Garamond" w:cs="MS Mincho"/>
          <w:sz w:val="24"/>
          <w:szCs w:val="24"/>
          <w:lang w:val="sq-AL"/>
        </w:rPr>
        <w:t xml:space="preserve">rale, nëpërmjet mbështetjes për </w:t>
      </w:r>
      <w:r w:rsidRPr="0058349C">
        <w:rPr>
          <w:rFonts w:ascii="Garamond" w:hAnsi="Garamond" w:cs="MS Mincho"/>
          <w:sz w:val="24"/>
          <w:szCs w:val="24"/>
          <w:lang w:val="sq-AL"/>
        </w:rPr>
        <w:t>investime në agroturizëm, turizmit rural (bujtinat), ngritjen e inkubatorëve të prodhimit dhe produktet tradicionale</w:t>
      </w:r>
      <w:r w:rsidR="0015684A">
        <w:rPr>
          <w:rFonts w:ascii="Garamond" w:hAnsi="Garamond" w:cs="MS Mincho"/>
          <w:sz w:val="24"/>
          <w:szCs w:val="24"/>
          <w:lang w:val="sq-AL"/>
        </w:rPr>
        <w:t>,</w:t>
      </w:r>
      <w:r w:rsidRPr="0058349C">
        <w:rPr>
          <w:rFonts w:ascii="Garamond" w:hAnsi="Garamond" w:cs="MS Mincho"/>
          <w:sz w:val="24"/>
          <w:szCs w:val="24"/>
          <w:lang w:val="sq-AL"/>
        </w:rPr>
        <w:t xml:space="preserve"> si dhe</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 xml:space="preserve">projekte infrastrukturore </w:t>
      </w:r>
      <w:r w:rsidRPr="0015684A">
        <w:rPr>
          <w:rFonts w:ascii="Garamond" w:hAnsi="Garamond" w:cs="MS Mincho"/>
          <w:sz w:val="24"/>
          <w:szCs w:val="24"/>
          <w:lang w:val="sq-AL"/>
        </w:rPr>
        <w:t>në zonat rurale.</w:t>
      </w:r>
    </w:p>
    <w:p w14:paraId="0773ACA7" w14:textId="60FC9B68"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Në fushën e sigurisë ushqimore</w:t>
      </w:r>
      <w:r w:rsidRPr="0058349C">
        <w:rPr>
          <w:rFonts w:ascii="Garamond" w:hAnsi="Garamond" w:cs="MS Mincho"/>
          <w:sz w:val="24"/>
          <w:szCs w:val="24"/>
          <w:lang w:val="sq-AL"/>
        </w:rPr>
        <w:t xml:space="preserve"> ka një përmirësim të ndjeshëm të standardeve të prodhimit dhe </w:t>
      </w:r>
      <w:r w:rsidR="001F4973">
        <w:rPr>
          <w:rFonts w:ascii="Garamond" w:hAnsi="Garamond" w:cs="MS Mincho"/>
          <w:sz w:val="24"/>
          <w:szCs w:val="24"/>
          <w:lang w:val="sq-AL"/>
        </w:rPr>
        <w:t xml:space="preserve">të </w:t>
      </w:r>
      <w:r w:rsidRPr="0058349C">
        <w:rPr>
          <w:rFonts w:ascii="Garamond" w:hAnsi="Garamond" w:cs="MS Mincho"/>
          <w:sz w:val="24"/>
          <w:szCs w:val="24"/>
          <w:lang w:val="sq-AL"/>
        </w:rPr>
        <w:t>kontrollit</w:t>
      </w:r>
      <w:r w:rsidR="001F4973">
        <w:rPr>
          <w:rFonts w:ascii="Garamond" w:hAnsi="Garamond" w:cs="MS Mincho"/>
          <w:sz w:val="24"/>
          <w:szCs w:val="24"/>
          <w:lang w:val="sq-AL"/>
        </w:rPr>
        <w:t>,</w:t>
      </w:r>
      <w:r w:rsidRPr="0058349C">
        <w:rPr>
          <w:rFonts w:ascii="Garamond" w:hAnsi="Garamond" w:cs="MS Mincho"/>
          <w:sz w:val="24"/>
          <w:szCs w:val="24"/>
          <w:lang w:val="sq-AL"/>
        </w:rPr>
        <w:t xml:space="preserve"> dhe </w:t>
      </w:r>
      <w:r w:rsidR="001F4973">
        <w:rPr>
          <w:rFonts w:ascii="Garamond" w:hAnsi="Garamond" w:cs="MS Mincho"/>
          <w:sz w:val="24"/>
          <w:szCs w:val="24"/>
          <w:lang w:val="sq-AL"/>
        </w:rPr>
        <w:t xml:space="preserve">të </w:t>
      </w:r>
      <w:r w:rsidRPr="0058349C">
        <w:rPr>
          <w:rFonts w:ascii="Garamond" w:hAnsi="Garamond" w:cs="MS Mincho"/>
          <w:sz w:val="24"/>
          <w:szCs w:val="24"/>
          <w:lang w:val="sq-AL"/>
        </w:rPr>
        <w:t>gjurmueshmërisë përgjatë të gjithë zinxhirit ushqimor. Siguria që i ofrohet konsumatorit shqiptar nëpërmjet ushqimit është rritur ndjeshëm. Në këtë kuadër</w:t>
      </w:r>
      <w:r w:rsidR="001F4973">
        <w:rPr>
          <w:rFonts w:ascii="Garamond" w:hAnsi="Garamond" w:cs="MS Mincho"/>
          <w:sz w:val="24"/>
          <w:szCs w:val="24"/>
          <w:lang w:val="sq-AL"/>
        </w:rPr>
        <w:t>,</w:t>
      </w:r>
      <w:r w:rsidRPr="0058349C">
        <w:rPr>
          <w:rFonts w:ascii="Garamond" w:hAnsi="Garamond" w:cs="MS Mincho"/>
          <w:sz w:val="24"/>
          <w:szCs w:val="24"/>
          <w:lang w:val="sq-AL"/>
        </w:rPr>
        <w:t xml:space="preserve"> rrjeti i laboratorëve të sigurisë ushqimore është përafruar më tepër me standardet e BE-së dhe është rritur numri i analizave dhe </w:t>
      </w:r>
      <w:r w:rsidR="001F4973">
        <w:rPr>
          <w:rFonts w:ascii="Garamond" w:hAnsi="Garamond" w:cs="MS Mincho"/>
          <w:sz w:val="24"/>
          <w:szCs w:val="24"/>
          <w:lang w:val="sq-AL"/>
        </w:rPr>
        <w:t xml:space="preserve">i </w:t>
      </w:r>
      <w:r w:rsidRPr="0058349C">
        <w:rPr>
          <w:rFonts w:ascii="Garamond" w:hAnsi="Garamond" w:cs="MS Mincho"/>
          <w:sz w:val="24"/>
          <w:szCs w:val="24"/>
          <w:lang w:val="sq-AL"/>
        </w:rPr>
        <w:t xml:space="preserve">laboratorëve të akredituar. </w:t>
      </w:r>
    </w:p>
    <w:p w14:paraId="0773ACA8" w14:textId="69DBE4F8" w:rsidR="00492C9C" w:rsidRPr="0058349C" w:rsidRDefault="00492C9C" w:rsidP="000C77D4">
      <w:pPr>
        <w:autoSpaceDE w:val="0"/>
        <w:autoSpaceDN w:val="0"/>
        <w:adjustRightInd w:val="0"/>
        <w:spacing w:after="0" w:line="240" w:lineRule="auto"/>
        <w:ind w:firstLine="284"/>
        <w:jc w:val="both"/>
        <w:rPr>
          <w:rFonts w:ascii="Garamond" w:eastAsiaTheme="minorHAnsi" w:hAnsi="Garamond"/>
          <w:sz w:val="24"/>
          <w:szCs w:val="24"/>
          <w:lang w:val="sq-AL"/>
        </w:rPr>
      </w:pPr>
      <w:r w:rsidRPr="0058349C">
        <w:rPr>
          <w:rFonts w:ascii="Garamond" w:hAnsi="Garamond" w:cs="MS Mincho"/>
          <w:b/>
          <w:bCs/>
          <w:sz w:val="24"/>
          <w:szCs w:val="24"/>
          <w:lang w:val="sq-AL"/>
        </w:rPr>
        <w:t>Sektori i peshkimit</w:t>
      </w:r>
      <w:r w:rsidRPr="0058349C">
        <w:rPr>
          <w:rFonts w:ascii="Garamond" w:hAnsi="Garamond" w:cs="MS Mincho"/>
          <w:sz w:val="24"/>
          <w:szCs w:val="24"/>
          <w:lang w:val="sq-AL"/>
        </w:rPr>
        <w:t xml:space="preserve"> është një nga sektorët ekonomikë më vitalë, me rritjen më të shpejtë dhe</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me perspektiva shumë të mira zhvillimi. Prodhimet tona të peshkimit janë të një cilësie shumë të lartë dhe konkurrojnë denjësisht në tregjet më të mira ndërkombëtare</w:t>
      </w:r>
      <w:r w:rsidR="001F4973">
        <w:rPr>
          <w:rFonts w:ascii="Garamond" w:hAnsi="Garamond" w:cs="MS Mincho"/>
          <w:sz w:val="24"/>
          <w:szCs w:val="24"/>
          <w:lang w:val="sq-AL"/>
        </w:rPr>
        <w:t>,</w:t>
      </w:r>
      <w:r w:rsidRPr="0058349C">
        <w:rPr>
          <w:rFonts w:ascii="Garamond" w:hAnsi="Garamond" w:cs="MS Mincho"/>
          <w:sz w:val="24"/>
          <w:szCs w:val="24"/>
          <w:lang w:val="sq-AL"/>
        </w:rPr>
        <w:t xml:space="preserve"> duke zënë gjithmonë e më shumë vend në tregjet e huaja. Eksportet e prodhimeve peshkore janë rritur me rreth 3 herë në krahasim me vitin 2013, ndërsa investimet në industrinë përpunuese kapin vlerën e më shumë se 40</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milion</w:t>
      </w:r>
      <w:r w:rsidR="001F4973">
        <w:rPr>
          <w:rFonts w:ascii="Garamond" w:hAnsi="Garamond" w:cs="MS Mincho"/>
          <w:sz w:val="24"/>
          <w:szCs w:val="24"/>
          <w:lang w:val="sq-AL"/>
        </w:rPr>
        <w:t>ë</w:t>
      </w:r>
      <w:r w:rsidRPr="0058349C">
        <w:rPr>
          <w:rFonts w:ascii="Garamond" w:hAnsi="Garamond" w:cs="MS Mincho"/>
          <w:sz w:val="24"/>
          <w:szCs w:val="24"/>
          <w:lang w:val="sq-AL"/>
        </w:rPr>
        <w:t xml:space="preserve"> €. Synimi i MBZHBR</w:t>
      </w:r>
      <w:r w:rsidR="001F4973">
        <w:rPr>
          <w:rFonts w:ascii="Garamond" w:hAnsi="Garamond" w:cs="MS Mincho"/>
          <w:sz w:val="24"/>
          <w:szCs w:val="24"/>
          <w:lang w:val="sq-AL"/>
        </w:rPr>
        <w:t>-së</w:t>
      </w:r>
      <w:r w:rsidRPr="0058349C">
        <w:rPr>
          <w:rFonts w:ascii="Garamond" w:hAnsi="Garamond" w:cs="MS Mincho"/>
          <w:sz w:val="24"/>
          <w:szCs w:val="24"/>
          <w:lang w:val="sq-AL"/>
        </w:rPr>
        <w:t xml:space="preserve"> është të rrisë vlerën e shtuar të produkteve</w:t>
      </w:r>
      <w:r w:rsidR="000C77D4">
        <w:rPr>
          <w:rFonts w:ascii="Garamond" w:hAnsi="Garamond" w:cs="MS Mincho"/>
          <w:sz w:val="24"/>
          <w:szCs w:val="24"/>
          <w:lang w:val="sq-AL"/>
        </w:rPr>
        <w:t>,</w:t>
      </w:r>
      <w:r w:rsidRPr="0058349C">
        <w:rPr>
          <w:rFonts w:ascii="Garamond" w:hAnsi="Garamond" w:cs="MS Mincho"/>
          <w:sz w:val="24"/>
          <w:szCs w:val="24"/>
          <w:lang w:val="sq-AL"/>
        </w:rPr>
        <w:t xml:space="preserve"> duke rritur nivelin e përpunimit të produkteve të peshkimit n</w:t>
      </w:r>
      <w:r w:rsidR="000C77D4">
        <w:rPr>
          <w:rFonts w:ascii="Garamond" w:hAnsi="Garamond" w:cs="MS Mincho"/>
          <w:sz w:val="24"/>
          <w:szCs w:val="24"/>
          <w:lang w:val="sq-AL"/>
        </w:rPr>
        <w:t>ë</w:t>
      </w:r>
      <w:r w:rsidRPr="0058349C">
        <w:rPr>
          <w:rFonts w:ascii="Garamond" w:hAnsi="Garamond" w:cs="MS Mincho"/>
          <w:sz w:val="24"/>
          <w:szCs w:val="24"/>
          <w:lang w:val="sq-AL"/>
        </w:rPr>
        <w:t xml:space="preserve"> vend.</w:t>
      </w:r>
    </w:p>
    <w:p w14:paraId="0773ACA9" w14:textId="77777777" w:rsidR="00492C9C" w:rsidRPr="0058349C" w:rsidRDefault="00492C9C" w:rsidP="00492C9C">
      <w:pPr>
        <w:keepLines/>
        <w:autoSpaceDE w:val="0"/>
        <w:autoSpaceDN w:val="0"/>
        <w:adjustRightInd w:val="0"/>
        <w:spacing w:after="0" w:line="240" w:lineRule="auto"/>
        <w:ind w:firstLine="284"/>
        <w:jc w:val="both"/>
        <w:outlineLvl w:val="1"/>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2.4 Fuqizimi i kapaciteteve të burimeve njerëzore</w:t>
      </w:r>
    </w:p>
    <w:p w14:paraId="0773ACAA" w14:textId="3657A9C8" w:rsidR="00492C9C" w:rsidRPr="0058349C" w:rsidRDefault="00492C9C" w:rsidP="00F74EC2">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Ndërkohë që është bërë progres në këtë drejtim, sipas analizave të bëra dhe sfidave që kanë</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përpara këta sektorë</w:t>
      </w:r>
      <w:r w:rsidR="00F74EC2">
        <w:rPr>
          <w:rFonts w:ascii="Garamond" w:hAnsi="Garamond" w:cs="MS Mincho"/>
          <w:sz w:val="24"/>
          <w:szCs w:val="24"/>
          <w:lang w:val="sq-AL"/>
        </w:rPr>
        <w:t xml:space="preserve">, </w:t>
      </w:r>
      <w:r w:rsidRPr="0058349C">
        <w:rPr>
          <w:rFonts w:ascii="Garamond" w:hAnsi="Garamond" w:cs="MS Mincho"/>
          <w:sz w:val="24"/>
          <w:szCs w:val="24"/>
          <w:lang w:val="sq-AL"/>
        </w:rPr>
        <w:t>duke filluar nga fermerët dhe në nivelin e MBZHR</w:t>
      </w:r>
      <w:r w:rsidR="00F74EC2">
        <w:rPr>
          <w:rFonts w:ascii="Garamond" w:hAnsi="Garamond" w:cs="MS Mincho"/>
          <w:sz w:val="24"/>
          <w:szCs w:val="24"/>
          <w:lang w:val="sq-AL"/>
        </w:rPr>
        <w:t>-së</w:t>
      </w:r>
      <w:r w:rsidRPr="0058349C">
        <w:rPr>
          <w:rFonts w:ascii="Garamond" w:hAnsi="Garamond" w:cs="MS Mincho"/>
          <w:sz w:val="24"/>
          <w:szCs w:val="24"/>
          <w:lang w:val="sq-AL"/>
        </w:rPr>
        <w:t>, janë të nevojshme përpjekje të shtuara për ngritjen e kapaciteteve të burimeve njerëzore, përmirësimin e infrastrukturës për transferimin e njohurive dhe futjen në</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 xml:space="preserve">shkallë më të gjerë të inovacionit dhe </w:t>
      </w:r>
      <w:r w:rsidR="00F74EC2">
        <w:rPr>
          <w:rFonts w:ascii="Garamond" w:hAnsi="Garamond" w:cs="MS Mincho"/>
          <w:sz w:val="24"/>
          <w:szCs w:val="24"/>
          <w:lang w:val="sq-AL"/>
        </w:rPr>
        <w:t xml:space="preserve">të </w:t>
      </w:r>
      <w:r w:rsidRPr="0058349C">
        <w:rPr>
          <w:rFonts w:ascii="Garamond" w:hAnsi="Garamond" w:cs="MS Mincho"/>
          <w:sz w:val="24"/>
          <w:szCs w:val="24"/>
          <w:lang w:val="sq-AL"/>
        </w:rPr>
        <w:t>digjitalizimit.</w:t>
      </w:r>
    </w:p>
    <w:p w14:paraId="0773ACAB" w14:textId="531D2873"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Për të përballuar sfida</w:t>
      </w:r>
      <w:r w:rsidR="00F74EC2">
        <w:rPr>
          <w:rFonts w:ascii="Garamond" w:hAnsi="Garamond" w:cs="MS Mincho"/>
          <w:sz w:val="24"/>
          <w:szCs w:val="24"/>
          <w:lang w:val="sq-AL"/>
        </w:rPr>
        <w:t>,</w:t>
      </w:r>
      <w:r w:rsidRPr="0058349C">
        <w:rPr>
          <w:rFonts w:ascii="Garamond" w:hAnsi="Garamond" w:cs="MS Mincho"/>
          <w:sz w:val="24"/>
          <w:szCs w:val="24"/>
          <w:lang w:val="sq-AL"/>
        </w:rPr>
        <w:t xml:space="preserve"> si</w:t>
      </w:r>
      <w:r w:rsidR="00F74EC2">
        <w:rPr>
          <w:rFonts w:ascii="Garamond" w:hAnsi="Garamond" w:cs="MS Mincho"/>
          <w:sz w:val="24"/>
          <w:szCs w:val="24"/>
          <w:lang w:val="sq-AL"/>
        </w:rPr>
        <w:t>:</w:t>
      </w:r>
      <w:r w:rsidRPr="0058349C">
        <w:rPr>
          <w:rFonts w:ascii="Garamond" w:hAnsi="Garamond" w:cs="MS Mincho"/>
          <w:sz w:val="24"/>
          <w:szCs w:val="24"/>
          <w:lang w:val="sq-AL"/>
        </w:rPr>
        <w:t xml:space="preserve"> ekonomia e gjelbër, mirëruajtja e biodiversitetit, efektet e ndryshimit të klimës me pasoja mbi prodhimin bujqësor, të cilat afektojnë fermerët dhe aktorët ekonomikë në zonat rurale</w:t>
      </w:r>
      <w:r w:rsidR="00F74EC2">
        <w:rPr>
          <w:rFonts w:ascii="Garamond" w:hAnsi="Garamond" w:cs="MS Mincho"/>
          <w:sz w:val="24"/>
          <w:szCs w:val="24"/>
          <w:lang w:val="sq-AL"/>
        </w:rPr>
        <w:t>,</w:t>
      </w:r>
      <w:r w:rsidRPr="0058349C">
        <w:rPr>
          <w:rFonts w:ascii="Garamond" w:hAnsi="Garamond" w:cs="MS Mincho"/>
          <w:sz w:val="24"/>
          <w:szCs w:val="24"/>
          <w:lang w:val="sq-AL"/>
        </w:rPr>
        <w:t xml:space="preserve"> si dhe në sektorin e peshkimit, parashikohet të ndërmerren reforma institucionale dhe strukturore</w:t>
      </w:r>
      <w:r w:rsidR="00F74EC2">
        <w:rPr>
          <w:rFonts w:ascii="Garamond" w:hAnsi="Garamond" w:cs="MS Mincho"/>
          <w:sz w:val="24"/>
          <w:szCs w:val="24"/>
          <w:lang w:val="sq-AL"/>
        </w:rPr>
        <w:t>,</w:t>
      </w:r>
      <w:r w:rsidRPr="0058349C">
        <w:rPr>
          <w:rFonts w:ascii="Garamond" w:hAnsi="Garamond" w:cs="MS Mincho"/>
          <w:sz w:val="24"/>
          <w:szCs w:val="24"/>
          <w:lang w:val="sq-AL"/>
        </w:rPr>
        <w:t xml:space="preserve"> që tashmë kanë filluar dhe do të fuqizohen më tej</w:t>
      </w:r>
      <w:r w:rsidR="00F74EC2">
        <w:rPr>
          <w:rFonts w:ascii="Garamond" w:hAnsi="Garamond" w:cs="MS Mincho"/>
          <w:sz w:val="24"/>
          <w:szCs w:val="24"/>
          <w:lang w:val="sq-AL"/>
        </w:rPr>
        <w:t>,</w:t>
      </w:r>
      <w:r w:rsidRPr="0058349C">
        <w:rPr>
          <w:rFonts w:ascii="Garamond" w:hAnsi="Garamond" w:cs="MS Mincho"/>
          <w:sz w:val="24"/>
          <w:szCs w:val="24"/>
          <w:lang w:val="sq-AL"/>
        </w:rPr>
        <w:t xml:space="preserve"> nëpërmjet masave të planifikuara në këtë strategji për rritjen e kapaciteteve, të bashkëpunimit, shpërndarjen efikase të njohurive dhe inovacionit</w:t>
      </w:r>
      <w:r w:rsidR="00F74EC2">
        <w:rPr>
          <w:rFonts w:ascii="Garamond" w:hAnsi="Garamond" w:cs="MS Mincho"/>
          <w:sz w:val="24"/>
          <w:szCs w:val="24"/>
          <w:lang w:val="sq-AL"/>
        </w:rPr>
        <w:t>,</w:t>
      </w:r>
      <w:r w:rsidRPr="0058349C">
        <w:rPr>
          <w:rFonts w:ascii="Garamond" w:hAnsi="Garamond" w:cs="MS Mincho"/>
          <w:sz w:val="24"/>
          <w:szCs w:val="24"/>
          <w:lang w:val="sq-AL"/>
        </w:rPr>
        <w:t xml:space="preserve"> duke fuqizuar përdorimin e mjeteve dhe </w:t>
      </w:r>
      <w:r w:rsidR="00F74EC2">
        <w:rPr>
          <w:rFonts w:ascii="Garamond" w:hAnsi="Garamond" w:cs="MS Mincho"/>
          <w:sz w:val="24"/>
          <w:szCs w:val="24"/>
          <w:lang w:val="sq-AL"/>
        </w:rPr>
        <w:t xml:space="preserve">të </w:t>
      </w:r>
      <w:r w:rsidRPr="0058349C">
        <w:rPr>
          <w:rFonts w:ascii="Garamond" w:hAnsi="Garamond" w:cs="MS Mincho"/>
          <w:sz w:val="24"/>
          <w:szCs w:val="24"/>
          <w:lang w:val="sq-AL"/>
        </w:rPr>
        <w:t>instrumenteve digjital</w:t>
      </w:r>
      <w:r w:rsidR="00F74EC2">
        <w:rPr>
          <w:rFonts w:ascii="Garamond" w:hAnsi="Garamond" w:cs="MS Mincho"/>
          <w:sz w:val="24"/>
          <w:szCs w:val="24"/>
          <w:lang w:val="sq-AL"/>
        </w:rPr>
        <w:t>e</w:t>
      </w:r>
      <w:r w:rsidRPr="0058349C">
        <w:rPr>
          <w:rFonts w:ascii="Garamond" w:hAnsi="Garamond" w:cs="MS Mincho"/>
          <w:sz w:val="24"/>
          <w:szCs w:val="24"/>
          <w:lang w:val="sq-AL"/>
        </w:rPr>
        <w:t>.</w:t>
      </w:r>
    </w:p>
    <w:p w14:paraId="0773ACAC" w14:textId="316416C6"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lastRenderedPageBreak/>
        <w:t>Në këtë aspekt</w:t>
      </w:r>
      <w:r w:rsidR="004F35B6">
        <w:rPr>
          <w:rFonts w:ascii="Garamond" w:hAnsi="Garamond" w:cs="MS Mincho"/>
          <w:sz w:val="24"/>
          <w:szCs w:val="24"/>
          <w:lang w:val="sq-AL"/>
        </w:rPr>
        <w:t>,</w:t>
      </w:r>
      <w:r w:rsidRPr="0058349C">
        <w:rPr>
          <w:rFonts w:ascii="Garamond" w:hAnsi="Garamond" w:cs="MS Mincho"/>
          <w:sz w:val="24"/>
          <w:szCs w:val="24"/>
          <w:lang w:val="sq-AL"/>
        </w:rPr>
        <w:t xml:space="preserve"> angazhimi i studentëve të ekselencës është një kontribut me përfitim të dyfishtë</w:t>
      </w:r>
      <w:r w:rsidR="004F35B6">
        <w:rPr>
          <w:rFonts w:ascii="Garamond" w:hAnsi="Garamond" w:cs="MS Mincho"/>
          <w:sz w:val="24"/>
          <w:szCs w:val="24"/>
          <w:lang w:val="sq-AL"/>
        </w:rPr>
        <w:t>,</w:t>
      </w:r>
      <w:r w:rsidRPr="0058349C">
        <w:rPr>
          <w:rFonts w:ascii="Garamond" w:hAnsi="Garamond" w:cs="MS Mincho"/>
          <w:sz w:val="24"/>
          <w:szCs w:val="24"/>
          <w:lang w:val="sq-AL"/>
        </w:rPr>
        <w:t xml:space="preserve"> si për institucionet, por edhe për vetë të rinjtë e punësuar. Për më tepër, është forcuar më shumë bashkëpunimi me Universitetin Bujqësor, por edhe me modelet pilot të bizneseve nga sektori privat.</w:t>
      </w:r>
    </w:p>
    <w:p w14:paraId="0773ACAD" w14:textId="3E88C085" w:rsidR="00492C9C" w:rsidRPr="00285580" w:rsidRDefault="00492C9C" w:rsidP="00285580">
      <w:pPr>
        <w:keepLines/>
        <w:autoSpaceDE w:val="0"/>
        <w:autoSpaceDN w:val="0"/>
        <w:adjustRightInd w:val="0"/>
        <w:spacing w:after="0" w:line="240" w:lineRule="auto"/>
        <w:ind w:firstLine="284"/>
        <w:jc w:val="both"/>
        <w:outlineLvl w:val="0"/>
        <w:rPr>
          <w:rFonts w:ascii="Garamond" w:eastAsiaTheme="minorHAnsi" w:hAnsi="Garamond" w:cs="Arial"/>
          <w:b/>
          <w:bCs/>
          <w:sz w:val="24"/>
          <w:szCs w:val="24"/>
          <w:lang w:val="sq-AL"/>
        </w:rPr>
      </w:pPr>
      <w:r w:rsidRPr="00285580">
        <w:rPr>
          <w:rFonts w:ascii="Garamond" w:eastAsiaTheme="minorHAnsi" w:hAnsi="Garamond" w:cs="Arial"/>
          <w:b/>
          <w:bCs/>
          <w:sz w:val="24"/>
          <w:szCs w:val="24"/>
          <w:lang w:val="sq-AL"/>
        </w:rPr>
        <w:t>3</w:t>
      </w:r>
      <w:r w:rsidR="004F35B6" w:rsidRPr="00285580">
        <w:rPr>
          <w:rFonts w:ascii="Garamond" w:eastAsiaTheme="minorHAnsi" w:hAnsi="Garamond" w:cs="Arial"/>
          <w:b/>
          <w:bCs/>
          <w:sz w:val="24"/>
          <w:szCs w:val="24"/>
          <w:lang w:val="sq-AL"/>
        </w:rPr>
        <w:t>.</w:t>
      </w:r>
      <w:r w:rsidR="00CF7694" w:rsidRPr="00285580">
        <w:rPr>
          <w:rFonts w:ascii="Garamond" w:eastAsiaTheme="minorHAnsi" w:hAnsi="Garamond" w:cs="Arial"/>
          <w:b/>
          <w:bCs/>
          <w:sz w:val="24"/>
          <w:szCs w:val="24"/>
          <w:lang w:val="sq-AL"/>
        </w:rPr>
        <w:t xml:space="preserve"> </w:t>
      </w:r>
      <w:r w:rsidRPr="00285580">
        <w:rPr>
          <w:rFonts w:ascii="Garamond" w:eastAsiaTheme="minorHAnsi" w:hAnsi="Garamond" w:cs="Arial"/>
          <w:b/>
          <w:bCs/>
          <w:sz w:val="24"/>
          <w:szCs w:val="24"/>
          <w:lang w:val="sq-AL"/>
        </w:rPr>
        <w:t>Pjesa II</w:t>
      </w:r>
      <w:r w:rsidR="004F35B6" w:rsidRPr="00285580">
        <w:rPr>
          <w:rFonts w:ascii="Garamond" w:eastAsiaTheme="minorHAnsi" w:hAnsi="Garamond" w:cs="Arial"/>
          <w:b/>
          <w:bCs/>
          <w:sz w:val="24"/>
          <w:szCs w:val="24"/>
          <w:lang w:val="sq-AL"/>
        </w:rPr>
        <w:t>:</w:t>
      </w:r>
      <w:r w:rsidRPr="00285580">
        <w:rPr>
          <w:rFonts w:ascii="Garamond" w:eastAsiaTheme="minorHAnsi" w:hAnsi="Garamond" w:cs="Arial"/>
          <w:b/>
          <w:bCs/>
          <w:sz w:val="24"/>
          <w:szCs w:val="24"/>
          <w:lang w:val="sq-AL"/>
        </w:rPr>
        <w:t xml:space="preserve"> Vizioni, politikat, objektivat e përgjithshëm dhe objektivat specifik</w:t>
      </w:r>
      <w:r w:rsidR="00285580" w:rsidRPr="00285580">
        <w:rPr>
          <w:rFonts w:ascii="Garamond" w:eastAsiaTheme="minorHAnsi" w:hAnsi="Garamond" w:cs="Arial"/>
          <w:b/>
          <w:bCs/>
          <w:sz w:val="24"/>
          <w:szCs w:val="24"/>
          <w:lang w:val="sq-AL"/>
        </w:rPr>
        <w:t>ë</w:t>
      </w:r>
    </w:p>
    <w:p w14:paraId="0773ACAE" w14:textId="73D23079" w:rsidR="00492C9C" w:rsidRPr="00285580" w:rsidRDefault="00492C9C" w:rsidP="00492C9C">
      <w:pPr>
        <w:autoSpaceDE w:val="0"/>
        <w:autoSpaceDN w:val="0"/>
        <w:adjustRightInd w:val="0"/>
        <w:spacing w:after="0" w:line="240" w:lineRule="auto"/>
        <w:ind w:firstLine="284"/>
        <w:jc w:val="both"/>
        <w:rPr>
          <w:rFonts w:ascii="Garamond" w:hAnsi="Garamond" w:cs="MS Mincho"/>
          <w:b/>
          <w:bCs/>
          <w:sz w:val="24"/>
          <w:szCs w:val="24"/>
          <w:lang w:val="sq-AL"/>
        </w:rPr>
      </w:pPr>
      <w:r w:rsidRPr="00285580">
        <w:rPr>
          <w:rFonts w:ascii="Garamond" w:hAnsi="Garamond" w:cs="MS Mincho"/>
          <w:b/>
          <w:bCs/>
          <w:sz w:val="24"/>
          <w:szCs w:val="24"/>
          <w:lang w:val="sq-AL"/>
        </w:rPr>
        <w:t>Vizioni i Strategjisë për Bujqësinë, Zhvill</w:t>
      </w:r>
      <w:r w:rsidR="00285580">
        <w:rPr>
          <w:rFonts w:ascii="Garamond" w:hAnsi="Garamond" w:cs="MS Mincho"/>
          <w:b/>
          <w:bCs/>
          <w:sz w:val="24"/>
          <w:szCs w:val="24"/>
          <w:lang w:val="sq-AL"/>
        </w:rPr>
        <w:t>imin Rural dhe Peshkimin 2021–</w:t>
      </w:r>
      <w:r w:rsidRPr="00285580">
        <w:rPr>
          <w:rFonts w:ascii="Garamond" w:hAnsi="Garamond" w:cs="MS Mincho"/>
          <w:b/>
          <w:bCs/>
          <w:sz w:val="24"/>
          <w:szCs w:val="24"/>
          <w:lang w:val="sq-AL"/>
        </w:rPr>
        <w:t>2027</w:t>
      </w:r>
    </w:p>
    <w:p w14:paraId="0773ACAF" w14:textId="03B1E4EA" w:rsidR="00492C9C" w:rsidRPr="0058349C" w:rsidRDefault="00492C9C" w:rsidP="004F35B6">
      <w:pPr>
        <w:autoSpaceDE w:val="0"/>
        <w:autoSpaceDN w:val="0"/>
        <w:adjustRightInd w:val="0"/>
        <w:spacing w:after="0" w:line="240" w:lineRule="auto"/>
        <w:ind w:firstLine="284"/>
        <w:jc w:val="both"/>
        <w:rPr>
          <w:rFonts w:ascii="Garamond" w:hAnsi="Garamond" w:cs="MS Mincho"/>
          <w:sz w:val="24"/>
          <w:szCs w:val="24"/>
          <w:lang w:val="sq-AL"/>
        </w:rPr>
      </w:pPr>
      <w:r w:rsidRPr="00285580">
        <w:rPr>
          <w:rFonts w:ascii="Garamond" w:eastAsiaTheme="minorHAnsi" w:hAnsi="Garamond" w:cs="&quot;Arial Narrow&quot;,sans-serif"/>
          <w:sz w:val="24"/>
          <w:szCs w:val="24"/>
          <w:lang w:val="sq-AL"/>
        </w:rPr>
        <w:t xml:space="preserve">- </w:t>
      </w:r>
      <w:r w:rsidRPr="00285580">
        <w:rPr>
          <w:rFonts w:ascii="Garamond" w:hAnsi="Garamond" w:cs="MS Mincho"/>
          <w:sz w:val="24"/>
          <w:szCs w:val="24"/>
          <w:lang w:val="sq-AL"/>
        </w:rPr>
        <w:t xml:space="preserve">Të mundësojë që zonat rurale dhe sektorët e bujqësisë, agroindustrisë dhe peshkimit, në Shqipëri të zhvillohen në mënyrë të qëndrueshme, të efektshme, bazuar në inovacion dhe </w:t>
      </w:r>
      <w:r w:rsidR="00285580">
        <w:rPr>
          <w:rFonts w:ascii="Garamond" w:hAnsi="Garamond" w:cs="MS Mincho"/>
          <w:sz w:val="24"/>
          <w:szCs w:val="24"/>
          <w:lang w:val="sq-AL"/>
        </w:rPr>
        <w:t xml:space="preserve">në </w:t>
      </w:r>
      <w:r w:rsidRPr="00285580">
        <w:rPr>
          <w:rFonts w:ascii="Garamond" w:hAnsi="Garamond" w:cs="MS Mincho"/>
          <w:sz w:val="24"/>
          <w:szCs w:val="24"/>
          <w:lang w:val="sq-AL"/>
        </w:rPr>
        <w:t>digjitalizim, që të përballojnë më mirë presionet e tregut kombëtar dhe ndërkombëtar</w:t>
      </w:r>
      <w:r w:rsidR="00B57585">
        <w:rPr>
          <w:rFonts w:ascii="Garamond" w:hAnsi="Garamond" w:cs="MS Mincho"/>
          <w:sz w:val="24"/>
          <w:szCs w:val="24"/>
          <w:lang w:val="sq-AL"/>
        </w:rPr>
        <w:t>,</w:t>
      </w:r>
      <w:r w:rsidRPr="00285580">
        <w:rPr>
          <w:rFonts w:ascii="Garamond" w:hAnsi="Garamond" w:cs="MS Mincho"/>
          <w:sz w:val="24"/>
          <w:szCs w:val="24"/>
          <w:lang w:val="sq-AL"/>
        </w:rPr>
        <w:t xml:space="preserve"> si edhe</w:t>
      </w:r>
      <w:r w:rsidRPr="0058349C">
        <w:rPr>
          <w:rFonts w:ascii="Garamond" w:hAnsi="Garamond" w:cs="MS Mincho"/>
          <w:sz w:val="24"/>
          <w:szCs w:val="24"/>
          <w:lang w:val="sq-AL"/>
        </w:rPr>
        <w:t xml:space="preserve"> sfidat që lidhen me ndryshimet klimatike, biodiversitetin, dhe ekonominë e gjelbër</w:t>
      </w:r>
      <w:r w:rsidR="00B57585">
        <w:rPr>
          <w:rFonts w:ascii="Garamond" w:hAnsi="Garamond" w:cs="MS Mincho"/>
          <w:sz w:val="24"/>
          <w:szCs w:val="24"/>
          <w:lang w:val="sq-AL"/>
        </w:rPr>
        <w:t>,</w:t>
      </w:r>
      <w:r w:rsidRPr="0058349C">
        <w:rPr>
          <w:rFonts w:ascii="Garamond" w:hAnsi="Garamond" w:cs="MS Mincho"/>
          <w:sz w:val="24"/>
          <w:szCs w:val="24"/>
          <w:lang w:val="sq-AL"/>
        </w:rPr>
        <w:t xml:space="preserve"> nëpërmjet menaxhimit të qëndrueshëm të burimeve natyrore, duke kontribuar në përmirësimin e cilësisë të jetës së banorëve dhe rritur atraktivitetin ndaj zonave rurale.</w:t>
      </w:r>
    </w:p>
    <w:p w14:paraId="0773ACB0" w14:textId="4357F020"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quot;Arial Narrow&quot;,sans-serif"/>
          <w:sz w:val="24"/>
          <w:szCs w:val="24"/>
          <w:lang w:val="sq-AL"/>
        </w:rPr>
        <w:t xml:space="preserve">- </w:t>
      </w:r>
      <w:r w:rsidRPr="0058349C">
        <w:rPr>
          <w:rFonts w:ascii="Garamond" w:hAnsi="Garamond" w:cs="MS Mincho"/>
          <w:sz w:val="24"/>
          <w:szCs w:val="24"/>
          <w:lang w:val="sq-AL"/>
        </w:rPr>
        <w:t>Adresimi i sfidave kryesore ekonomike, mjedisore dhe sociale</w:t>
      </w:r>
      <w:r w:rsidR="00B57585">
        <w:rPr>
          <w:rFonts w:ascii="Garamond" w:hAnsi="Garamond" w:cs="MS Mincho"/>
          <w:sz w:val="24"/>
          <w:szCs w:val="24"/>
          <w:lang w:val="sq-AL"/>
        </w:rPr>
        <w:t>,</w:t>
      </w:r>
      <w:r w:rsidRPr="0058349C">
        <w:rPr>
          <w:rFonts w:ascii="Garamond" w:hAnsi="Garamond" w:cs="MS Mincho"/>
          <w:sz w:val="24"/>
          <w:szCs w:val="24"/>
          <w:lang w:val="sq-AL"/>
        </w:rPr>
        <w:t xml:space="preserve"> si edhe ato të tregjeve ndërkombëtare për të përmirësuar mundësitë për zhvillimin e bujqësisë, peshkimit dhe biznesit në zonat rurale, duke i</w:t>
      </w:r>
      <w:r w:rsidR="00AD37B2">
        <w:rPr>
          <w:rFonts w:ascii="Garamond" w:hAnsi="Garamond" w:cs="MS Mincho"/>
          <w:sz w:val="24"/>
          <w:szCs w:val="24"/>
          <w:lang w:val="sq-AL"/>
        </w:rPr>
        <w:t>u</w:t>
      </w:r>
      <w:r w:rsidRPr="0058349C">
        <w:rPr>
          <w:rFonts w:ascii="Garamond" w:hAnsi="Garamond" w:cs="MS Mincho"/>
          <w:sz w:val="24"/>
          <w:szCs w:val="24"/>
          <w:lang w:val="sq-AL"/>
        </w:rPr>
        <w:t xml:space="preserve"> kushtuar vëmendje të veçantë barazisë gjinore dhe tërheqjes së fermerëve dhe sipërmarrësve të rinj, për të përmbushur prioritetet e politikave të sektorit dhe për të përballuar sfidat e procesit të përafrimit dhe </w:t>
      </w:r>
      <w:r w:rsidR="00653D3B">
        <w:rPr>
          <w:rFonts w:ascii="Garamond" w:hAnsi="Garamond" w:cs="MS Mincho"/>
          <w:sz w:val="24"/>
          <w:szCs w:val="24"/>
          <w:lang w:val="sq-AL"/>
        </w:rPr>
        <w:t xml:space="preserve">të </w:t>
      </w:r>
      <w:r w:rsidRPr="0058349C">
        <w:rPr>
          <w:rFonts w:ascii="Garamond" w:hAnsi="Garamond" w:cs="MS Mincho"/>
          <w:sz w:val="24"/>
          <w:szCs w:val="24"/>
          <w:lang w:val="sq-AL"/>
        </w:rPr>
        <w:t>anëtarësimit në BE-së.</w:t>
      </w:r>
    </w:p>
    <w:p w14:paraId="0773ACB1" w14:textId="3073B3CE" w:rsidR="00492C9C" w:rsidRPr="0058349C" w:rsidRDefault="00492C9C" w:rsidP="00653D3B">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quot;Arial Narrow&quot;,sans-serif"/>
          <w:sz w:val="24"/>
          <w:szCs w:val="24"/>
          <w:lang w:val="sq-AL"/>
        </w:rPr>
        <w:t xml:space="preserve">- </w:t>
      </w:r>
      <w:r w:rsidRPr="0058349C">
        <w:rPr>
          <w:rFonts w:ascii="Garamond" w:hAnsi="Garamond" w:cs="MS Mincho"/>
          <w:sz w:val="24"/>
          <w:szCs w:val="24"/>
          <w:lang w:val="sq-AL"/>
        </w:rPr>
        <w:t>Këta sektorë ekonomik</w:t>
      </w:r>
      <w:r w:rsidR="00653D3B">
        <w:rPr>
          <w:rFonts w:ascii="Garamond" w:hAnsi="Garamond" w:cs="MS Mincho"/>
          <w:sz w:val="24"/>
          <w:szCs w:val="24"/>
          <w:lang w:val="sq-AL"/>
        </w:rPr>
        <w:t>ë</w:t>
      </w:r>
      <w:r w:rsidRPr="0058349C">
        <w:rPr>
          <w:rFonts w:ascii="Garamond" w:hAnsi="Garamond" w:cs="MS Mincho"/>
          <w:sz w:val="24"/>
          <w:szCs w:val="24"/>
          <w:lang w:val="sq-AL"/>
        </w:rPr>
        <w:t xml:space="preserve"> të zhvillohen dhe të operojnë</w:t>
      </w:r>
      <w:r w:rsidR="00653D3B">
        <w:rPr>
          <w:rFonts w:ascii="Garamond" w:hAnsi="Garamond" w:cs="MS Mincho"/>
          <w:sz w:val="24"/>
          <w:szCs w:val="24"/>
          <w:lang w:val="sq-AL"/>
        </w:rPr>
        <w:t>,</w:t>
      </w:r>
      <w:r w:rsidRPr="0058349C">
        <w:rPr>
          <w:rFonts w:ascii="Garamond" w:hAnsi="Garamond" w:cs="MS Mincho"/>
          <w:sz w:val="24"/>
          <w:szCs w:val="24"/>
          <w:lang w:val="sq-AL"/>
        </w:rPr>
        <w:t xml:space="preserve"> në përputhje me prioritetet e përgjithshme të politikave kombëtare në këtë sektor dhe me ambiciet e procesit të anëtarësimit në BE.</w:t>
      </w:r>
    </w:p>
    <w:p w14:paraId="0773ACB2" w14:textId="33D8EEC5"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 xml:space="preserve">Misioni i SBZHRP </w:t>
      </w:r>
      <w:r w:rsidR="00612507" w:rsidRPr="0058349C">
        <w:rPr>
          <w:rFonts w:ascii="Garamond" w:hAnsi="Garamond" w:cs="MS Mincho"/>
          <w:b/>
          <w:bCs/>
          <w:sz w:val="24"/>
          <w:szCs w:val="24"/>
          <w:lang w:val="sq-AL"/>
        </w:rPr>
        <w:t>2021–2027</w:t>
      </w:r>
      <w:r w:rsidRPr="0058349C">
        <w:rPr>
          <w:rFonts w:ascii="Garamond" w:hAnsi="Garamond" w:cs="MS Mincho"/>
          <w:sz w:val="24"/>
          <w:szCs w:val="24"/>
          <w:lang w:val="sq-AL"/>
        </w:rPr>
        <w:t xml:space="preserve"> ës</w:t>
      </w:r>
      <w:r w:rsidR="00022BCE">
        <w:rPr>
          <w:rFonts w:ascii="Garamond" w:hAnsi="Garamond" w:cs="MS Mincho"/>
          <w:sz w:val="24"/>
          <w:szCs w:val="24"/>
          <w:lang w:val="sq-AL"/>
        </w:rPr>
        <w:t>htë shumëdimensional dhe shumë</w:t>
      </w:r>
      <w:r w:rsidRPr="0058349C">
        <w:rPr>
          <w:rFonts w:ascii="Garamond" w:hAnsi="Garamond" w:cs="MS Mincho"/>
          <w:sz w:val="24"/>
          <w:szCs w:val="24"/>
          <w:lang w:val="sq-AL"/>
        </w:rPr>
        <w:t>funksionësh. Funksioni kryesor është si</w:t>
      </w:r>
      <w:r w:rsidR="00D67529">
        <w:rPr>
          <w:rFonts w:ascii="Garamond" w:hAnsi="Garamond" w:cs="MS Mincho"/>
          <w:sz w:val="24"/>
          <w:szCs w:val="24"/>
          <w:lang w:val="sq-AL"/>
        </w:rPr>
        <w:t>gurimi i ushqimit. Sektori agro</w:t>
      </w:r>
      <w:r w:rsidRPr="0058349C">
        <w:rPr>
          <w:rFonts w:ascii="Garamond" w:hAnsi="Garamond" w:cs="MS Mincho"/>
          <w:sz w:val="24"/>
          <w:szCs w:val="24"/>
          <w:lang w:val="sq-AL"/>
        </w:rPr>
        <w:t>ushqimor dhe peshkimi zënë një peshë të rëndësishme në ekonominë e vendit</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 xml:space="preserve">dhe kontributi në PBB në vitin 2020 ishte rreth 19.3%. </w:t>
      </w:r>
    </w:p>
    <w:p w14:paraId="0773ACB3" w14:textId="7A7F5FB5" w:rsidR="00492C9C" w:rsidRPr="0058349C" w:rsidRDefault="00492C9C" w:rsidP="00467BC6">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Ndërkohë</w:t>
      </w:r>
      <w:r w:rsidR="00653D3B">
        <w:rPr>
          <w:rFonts w:ascii="Garamond" w:hAnsi="Garamond" w:cs="MS Mincho"/>
          <w:sz w:val="24"/>
          <w:szCs w:val="24"/>
          <w:lang w:val="sq-AL"/>
        </w:rPr>
        <w:t>,</w:t>
      </w:r>
      <w:r w:rsidRPr="0058349C">
        <w:rPr>
          <w:rFonts w:ascii="Garamond" w:hAnsi="Garamond" w:cs="MS Mincho"/>
          <w:sz w:val="24"/>
          <w:szCs w:val="24"/>
          <w:lang w:val="sq-AL"/>
        </w:rPr>
        <w:t xml:space="preserve"> strategjia synon mbështetjen, zhvillimin dhe fuqizimin e mëtejshëm të një num</w:t>
      </w:r>
      <w:r w:rsidR="00467BC6">
        <w:rPr>
          <w:rFonts w:ascii="Garamond" w:hAnsi="Garamond" w:cs="MS Mincho"/>
          <w:sz w:val="24"/>
          <w:szCs w:val="24"/>
          <w:lang w:val="sq-AL"/>
        </w:rPr>
        <w:t>ri</w:t>
      </w:r>
      <w:r w:rsidRPr="0058349C">
        <w:rPr>
          <w:rFonts w:ascii="Garamond" w:hAnsi="Garamond" w:cs="MS Mincho"/>
          <w:sz w:val="24"/>
          <w:szCs w:val="24"/>
          <w:lang w:val="sq-AL"/>
        </w:rPr>
        <w:t xml:space="preserve"> funksionesh të tjera me rëndësi të veçantë për shoqërinë dhe grupet e ndryshme konsumatore të produkteve jashtë prodhimit bujqësor, që përkthehen nga ana tjetër në kontribut ekonomik dhe në atë për uljen e varfërisë</w:t>
      </w:r>
      <w:r w:rsidR="00653D3B">
        <w:rPr>
          <w:rFonts w:ascii="Garamond" w:hAnsi="Garamond" w:cs="MS Mincho"/>
          <w:sz w:val="24"/>
          <w:szCs w:val="24"/>
          <w:lang w:val="sq-AL"/>
        </w:rPr>
        <w:t>,</w:t>
      </w:r>
      <w:r w:rsidRPr="0058349C">
        <w:rPr>
          <w:rFonts w:ascii="Garamond" w:hAnsi="Garamond" w:cs="MS Mincho"/>
          <w:sz w:val="24"/>
          <w:szCs w:val="24"/>
          <w:lang w:val="sq-AL"/>
        </w:rPr>
        <w:t xml:space="preserve"> si p.sh.</w:t>
      </w:r>
      <w:r w:rsidR="00467BC6">
        <w:rPr>
          <w:rFonts w:ascii="Garamond" w:hAnsi="Garamond" w:cs="MS Mincho"/>
          <w:sz w:val="24"/>
          <w:szCs w:val="24"/>
          <w:lang w:val="sq-AL"/>
        </w:rPr>
        <w:t>;</w:t>
      </w:r>
    </w:p>
    <w:p w14:paraId="0773ACB4" w14:textId="555693D0" w:rsidR="00492C9C" w:rsidRPr="0058349C" w:rsidRDefault="00492C9C" w:rsidP="00467BC6">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Symbol"/>
          <w:sz w:val="24"/>
          <w:szCs w:val="24"/>
          <w:lang w:val="sq-AL"/>
        </w:rPr>
        <w:t>-</w:t>
      </w:r>
      <w:r w:rsidR="00D56192" w:rsidRPr="0058349C">
        <w:rPr>
          <w:rFonts w:ascii="Garamond" w:eastAsiaTheme="minorHAnsi" w:hAnsi="Garamond" w:cs="Symbol"/>
          <w:sz w:val="24"/>
          <w:szCs w:val="24"/>
          <w:lang w:val="sq-AL"/>
        </w:rPr>
        <w:t xml:space="preserve"> </w:t>
      </w:r>
      <w:r w:rsidRPr="0058349C">
        <w:rPr>
          <w:rFonts w:ascii="Garamond" w:hAnsi="Garamond" w:cs="MS Mincho"/>
          <w:sz w:val="24"/>
          <w:szCs w:val="24"/>
          <w:lang w:val="sq-AL"/>
        </w:rPr>
        <w:t>Kontributi në sektorin e bujqësisë nëpërmjet garantimit të një ushqimi të sigurt dhe me vlera të larta ushqyese për konsumatorët</w:t>
      </w:r>
      <w:r w:rsidR="00467BC6">
        <w:rPr>
          <w:rFonts w:ascii="Garamond" w:hAnsi="Garamond" w:cs="MS Mincho"/>
          <w:sz w:val="24"/>
          <w:szCs w:val="24"/>
          <w:lang w:val="sq-AL"/>
        </w:rPr>
        <w:t xml:space="preserve">, </w:t>
      </w:r>
      <w:r w:rsidRPr="0058349C">
        <w:rPr>
          <w:rFonts w:ascii="Garamond" w:hAnsi="Garamond" w:cs="MS Mincho"/>
          <w:sz w:val="24"/>
          <w:szCs w:val="24"/>
          <w:lang w:val="sq-AL"/>
        </w:rPr>
        <w:t>duke kontribuar n</w:t>
      </w:r>
      <w:r w:rsidR="00467BC6">
        <w:rPr>
          <w:rFonts w:ascii="Garamond" w:hAnsi="Garamond" w:cs="MS Mincho"/>
          <w:sz w:val="24"/>
          <w:szCs w:val="24"/>
          <w:lang w:val="sq-AL"/>
        </w:rPr>
        <w:t>ë</w:t>
      </w:r>
      <w:r w:rsidRPr="0058349C">
        <w:rPr>
          <w:rFonts w:ascii="Garamond" w:hAnsi="Garamond" w:cs="MS Mincho"/>
          <w:sz w:val="24"/>
          <w:szCs w:val="24"/>
          <w:lang w:val="sq-AL"/>
        </w:rPr>
        <w:t xml:space="preserve"> shëndetin e popullsisë dhe indirekt në aftësinë në punë</w:t>
      </w:r>
      <w:r w:rsidR="00467BC6">
        <w:rPr>
          <w:rFonts w:ascii="Garamond" w:hAnsi="Garamond" w:cs="MS Mincho"/>
          <w:sz w:val="24"/>
          <w:szCs w:val="24"/>
          <w:lang w:val="sq-AL"/>
        </w:rPr>
        <w:t>;</w:t>
      </w:r>
    </w:p>
    <w:p w14:paraId="0773ACB5" w14:textId="15BE0E31" w:rsidR="00492C9C" w:rsidRPr="0058349C" w:rsidRDefault="00492C9C" w:rsidP="00467BC6">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Symbol"/>
          <w:sz w:val="24"/>
          <w:szCs w:val="24"/>
          <w:lang w:val="sq-AL"/>
        </w:rPr>
        <w:t>-</w:t>
      </w:r>
      <w:r w:rsidR="00D56192" w:rsidRPr="0058349C">
        <w:rPr>
          <w:rFonts w:ascii="Garamond" w:eastAsiaTheme="minorHAnsi" w:hAnsi="Garamond" w:cs="Symbol"/>
          <w:sz w:val="24"/>
          <w:szCs w:val="24"/>
          <w:lang w:val="sq-AL"/>
        </w:rPr>
        <w:t xml:space="preserve"> </w:t>
      </w:r>
      <w:r w:rsidRPr="0058349C">
        <w:rPr>
          <w:rFonts w:ascii="Garamond" w:hAnsi="Garamond" w:cs="MS Mincho"/>
          <w:sz w:val="24"/>
          <w:szCs w:val="24"/>
          <w:lang w:val="sq-AL"/>
        </w:rPr>
        <w:t xml:space="preserve">Kontributi në zhvillimin e turizmit rural dhe të kulturës dhe </w:t>
      </w:r>
      <w:r w:rsidR="00653D3B">
        <w:rPr>
          <w:rFonts w:ascii="Garamond" w:hAnsi="Garamond" w:cs="MS Mincho"/>
          <w:sz w:val="24"/>
          <w:szCs w:val="24"/>
          <w:lang w:val="sq-AL"/>
        </w:rPr>
        <w:t xml:space="preserve">në </w:t>
      </w:r>
      <w:r w:rsidRPr="0058349C">
        <w:rPr>
          <w:rFonts w:ascii="Garamond" w:hAnsi="Garamond" w:cs="MS Mincho"/>
          <w:sz w:val="24"/>
          <w:szCs w:val="24"/>
          <w:lang w:val="sq-AL"/>
        </w:rPr>
        <w:t>agroturizmin, nëpërmjet ndikimit pozitiv në peizazh, mirëmbajtjen e sipërfaqeve livadhore, të kullotave etj.</w:t>
      </w:r>
      <w:r w:rsidR="00467BC6">
        <w:rPr>
          <w:rFonts w:ascii="Garamond" w:hAnsi="Garamond" w:cs="MS Mincho"/>
          <w:sz w:val="24"/>
          <w:szCs w:val="24"/>
          <w:lang w:val="sq-AL"/>
        </w:rPr>
        <w:t>;</w:t>
      </w:r>
    </w:p>
    <w:p w14:paraId="0773ACB6" w14:textId="02396F68"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Symbol"/>
          <w:sz w:val="24"/>
          <w:szCs w:val="24"/>
          <w:lang w:val="sq-AL"/>
        </w:rPr>
        <w:t>-</w:t>
      </w:r>
      <w:r w:rsidR="00D56192" w:rsidRPr="0058349C">
        <w:rPr>
          <w:rFonts w:ascii="Garamond" w:eastAsiaTheme="minorHAnsi" w:hAnsi="Garamond" w:cs="Symbol"/>
          <w:sz w:val="24"/>
          <w:szCs w:val="24"/>
          <w:lang w:val="sq-AL"/>
        </w:rPr>
        <w:t xml:space="preserve"> </w:t>
      </w:r>
      <w:r w:rsidR="00395B6C">
        <w:rPr>
          <w:rFonts w:ascii="Garamond" w:hAnsi="Garamond" w:cs="MS Mincho"/>
          <w:sz w:val="24"/>
          <w:szCs w:val="24"/>
          <w:lang w:val="sq-AL"/>
        </w:rPr>
        <w:t>Kontributi</w:t>
      </w:r>
      <w:r w:rsidR="00797859">
        <w:rPr>
          <w:rFonts w:ascii="Garamond" w:hAnsi="Garamond" w:cs="MS Mincho"/>
          <w:sz w:val="24"/>
          <w:szCs w:val="24"/>
          <w:lang w:val="sq-AL"/>
        </w:rPr>
        <w:t>/</w:t>
      </w:r>
      <w:r w:rsidRPr="0058349C">
        <w:rPr>
          <w:rFonts w:ascii="Garamond" w:hAnsi="Garamond" w:cs="MS Mincho"/>
          <w:sz w:val="24"/>
          <w:szCs w:val="24"/>
          <w:lang w:val="sq-AL"/>
        </w:rPr>
        <w:t>funksioni në biodiversitet dhe në mjedis</w:t>
      </w:r>
      <w:r w:rsidR="00467BC6">
        <w:rPr>
          <w:rFonts w:ascii="Garamond" w:hAnsi="Garamond" w:cs="MS Mincho"/>
          <w:sz w:val="24"/>
          <w:szCs w:val="24"/>
          <w:lang w:val="sq-AL"/>
        </w:rPr>
        <w:t>,</w:t>
      </w:r>
      <w:r w:rsidRPr="0058349C">
        <w:rPr>
          <w:rFonts w:ascii="Garamond" w:hAnsi="Garamond" w:cs="MS Mincho"/>
          <w:sz w:val="24"/>
          <w:szCs w:val="24"/>
          <w:lang w:val="sq-AL"/>
        </w:rPr>
        <w:t xml:space="preserve"> duke ulur ndikimin e praktikave të dëmshme në prodhim bujqësor, blegtoral dhe peshkimit, nëpërmjet reduktimit të përdorimit të PMB-ve, të antibiotikëve apo </w:t>
      </w:r>
      <w:r w:rsidR="00467BC6">
        <w:rPr>
          <w:rFonts w:ascii="Garamond" w:hAnsi="Garamond" w:cs="MS Mincho"/>
          <w:sz w:val="24"/>
          <w:szCs w:val="24"/>
          <w:lang w:val="sq-AL"/>
        </w:rPr>
        <w:t xml:space="preserve">të </w:t>
      </w:r>
      <w:r w:rsidRPr="0058349C">
        <w:rPr>
          <w:rFonts w:ascii="Garamond" w:hAnsi="Garamond" w:cs="MS Mincho"/>
          <w:sz w:val="24"/>
          <w:szCs w:val="24"/>
          <w:lang w:val="sq-AL"/>
        </w:rPr>
        <w:t xml:space="preserve">trajtimit me standarde të larta të mbetjeve nga aktiviteti ekonomik i sektorit. </w:t>
      </w:r>
    </w:p>
    <w:p w14:paraId="0773ACB7" w14:textId="77777777" w:rsidR="00492C9C" w:rsidRPr="0058349C" w:rsidRDefault="00492C9C" w:rsidP="00492C9C">
      <w:pPr>
        <w:keepLines/>
        <w:autoSpaceDE w:val="0"/>
        <w:autoSpaceDN w:val="0"/>
        <w:adjustRightInd w:val="0"/>
        <w:spacing w:after="0" w:line="240" w:lineRule="auto"/>
        <w:ind w:firstLine="284"/>
        <w:jc w:val="both"/>
        <w:outlineLvl w:val="1"/>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3.1 Situata e përgjithshme në bujqësi dhe zonat rurale</w:t>
      </w:r>
    </w:p>
    <w:p w14:paraId="0773ACB8" w14:textId="1ACEE935" w:rsidR="00492C9C" w:rsidRPr="0058349C" w:rsidRDefault="00492C9C" w:rsidP="00653D3B">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Sipërfaqja e përgjithshme e territorit</w:t>
      </w:r>
      <w:r w:rsidRPr="0058349C">
        <w:rPr>
          <w:rFonts w:ascii="Garamond" w:hAnsi="Garamond" w:cs="MS Mincho"/>
          <w:sz w:val="24"/>
          <w:szCs w:val="24"/>
          <w:lang w:val="sq-AL"/>
        </w:rPr>
        <w:t xml:space="preserve"> të Shqipërisë është 28,748 km². Pyjet konsiderohen si një ndër burimet kryesore natyrore</w:t>
      </w:r>
      <w:r w:rsidR="00653D3B">
        <w:rPr>
          <w:rFonts w:ascii="Garamond" w:hAnsi="Garamond" w:cs="MS Mincho"/>
          <w:sz w:val="24"/>
          <w:szCs w:val="24"/>
          <w:lang w:val="sq-AL"/>
        </w:rPr>
        <w:t>,</w:t>
      </w:r>
      <w:r w:rsidRPr="0058349C">
        <w:rPr>
          <w:rFonts w:ascii="Garamond" w:hAnsi="Garamond" w:cs="MS Mincho"/>
          <w:sz w:val="24"/>
          <w:szCs w:val="24"/>
          <w:lang w:val="sq-AL"/>
        </w:rPr>
        <w:t xml:space="preserve"> që mbulojnë 41.6% të sipërfaqes së përgjithshme, rreth 24% është tokë bujqësore dhe 16% kullota dhe livadhe të përhershme. Shqipëria është</w:t>
      </w:r>
      <w:r w:rsidR="00653D3B">
        <w:rPr>
          <w:rFonts w:ascii="Garamond" w:hAnsi="Garamond" w:cs="MS Mincho"/>
          <w:sz w:val="24"/>
          <w:szCs w:val="24"/>
          <w:lang w:val="sq-AL"/>
        </w:rPr>
        <w:t>,</w:t>
      </w:r>
      <w:r w:rsidRPr="0058349C">
        <w:rPr>
          <w:rFonts w:ascii="Garamond" w:hAnsi="Garamond" w:cs="MS Mincho"/>
          <w:sz w:val="24"/>
          <w:szCs w:val="24"/>
          <w:lang w:val="sq-AL"/>
        </w:rPr>
        <w:t xml:space="preserve"> gjithashtu</w:t>
      </w:r>
      <w:r w:rsidR="00653D3B">
        <w:rPr>
          <w:rFonts w:ascii="Garamond" w:hAnsi="Garamond" w:cs="MS Mincho"/>
          <w:sz w:val="24"/>
          <w:szCs w:val="24"/>
          <w:lang w:val="sq-AL"/>
        </w:rPr>
        <w:t>,</w:t>
      </w:r>
      <w:r w:rsidRPr="0058349C">
        <w:rPr>
          <w:rFonts w:ascii="Garamond" w:hAnsi="Garamond" w:cs="MS Mincho"/>
          <w:sz w:val="24"/>
          <w:szCs w:val="24"/>
          <w:lang w:val="sq-AL"/>
        </w:rPr>
        <w:t xml:space="preserve"> e pasur me burime ujore me një vijë bregdetare prej 476 km, ku zhvillohen aktivitetet e peshkimit. Peshkimi në </w:t>
      </w:r>
      <w:r w:rsidR="000F35FE">
        <w:rPr>
          <w:rFonts w:ascii="Garamond" w:hAnsi="Garamond" w:cs="MS Mincho"/>
          <w:sz w:val="24"/>
          <w:szCs w:val="24"/>
          <w:lang w:val="sq-AL"/>
        </w:rPr>
        <w:t>ujërat e brendshme</w:t>
      </w:r>
      <w:r w:rsidRPr="0058349C">
        <w:rPr>
          <w:rFonts w:ascii="Garamond" w:hAnsi="Garamond" w:cs="MS Mincho"/>
          <w:sz w:val="24"/>
          <w:szCs w:val="24"/>
          <w:lang w:val="sq-AL"/>
        </w:rPr>
        <w:t xml:space="preserve"> mbështetet në 10,600 ha të ndarë në tetë laguna bregdetare dhe në më shumë se 100 liqene natyrore me një sipërfaqe totale prej 1,210 km². Vendi </w:t>
      </w:r>
      <w:r w:rsidR="00653D3B">
        <w:rPr>
          <w:rFonts w:ascii="Garamond" w:hAnsi="Garamond" w:cs="MS Mincho"/>
          <w:sz w:val="24"/>
          <w:szCs w:val="24"/>
          <w:lang w:val="sq-AL"/>
        </w:rPr>
        <w:t>ynë</w:t>
      </w:r>
      <w:r w:rsidRPr="0058349C">
        <w:rPr>
          <w:rFonts w:ascii="Garamond" w:hAnsi="Garamond" w:cs="MS Mincho"/>
          <w:sz w:val="24"/>
          <w:szCs w:val="24"/>
          <w:lang w:val="sq-AL"/>
        </w:rPr>
        <w:t xml:space="preserve"> është i njohur për diversitetin e tij të lartë të ekosistemeve dhe habitateve të pasura me biodiversitet. Territori i vendit është mjaft i larmishëm dhe përfshin ekosistemet detare, zonat bregdetare, liqenet, lumenjtë, shkurret me gjelbërim të përhershëm dhe gjethegjerë, pyjet gjethegjerë, pyjet me pisha, kullo</w:t>
      </w:r>
      <w:r w:rsidR="00AB24F3">
        <w:rPr>
          <w:rFonts w:ascii="Garamond" w:hAnsi="Garamond" w:cs="MS Mincho"/>
          <w:sz w:val="24"/>
          <w:szCs w:val="24"/>
          <w:lang w:val="sq-AL"/>
        </w:rPr>
        <w:t>tat dhe livadhet alpine dhe nën</w:t>
      </w:r>
      <w:r w:rsidRPr="0058349C">
        <w:rPr>
          <w:rFonts w:ascii="Garamond" w:hAnsi="Garamond" w:cs="MS Mincho"/>
          <w:sz w:val="24"/>
          <w:szCs w:val="24"/>
          <w:lang w:val="sq-AL"/>
        </w:rPr>
        <w:t xml:space="preserve">alpine, si dhe ekosistemet malore të larta. </w:t>
      </w:r>
    </w:p>
    <w:p w14:paraId="0773ACB9" w14:textId="2E4141CA" w:rsidR="00492C9C" w:rsidRPr="0058349C" w:rsidRDefault="00492C9C" w:rsidP="00AB24F3">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lastRenderedPageBreak/>
        <w:t>Organizimi administrativo-territorial</w:t>
      </w:r>
      <w:r w:rsidRPr="0058349C">
        <w:rPr>
          <w:rFonts w:ascii="Garamond" w:hAnsi="Garamond" w:cs="MS Mincho"/>
          <w:sz w:val="24"/>
          <w:szCs w:val="24"/>
          <w:lang w:val="sq-AL"/>
        </w:rPr>
        <w:t xml:space="preserve"> e ndan Shqipërinë në 12 qarqe dhe 61 bashki. Sipas tipologjisë urbane-rurale të BE-së, klasifikohen tr</w:t>
      </w:r>
      <w:r w:rsidR="00AB24F3">
        <w:rPr>
          <w:rFonts w:ascii="Garamond" w:hAnsi="Garamond" w:cs="MS Mincho"/>
          <w:sz w:val="24"/>
          <w:szCs w:val="24"/>
          <w:lang w:val="sq-AL"/>
        </w:rPr>
        <w:t>i</w:t>
      </w:r>
      <w:r w:rsidRPr="0058349C">
        <w:rPr>
          <w:rFonts w:ascii="Garamond" w:hAnsi="Garamond" w:cs="MS Mincho"/>
          <w:sz w:val="24"/>
          <w:szCs w:val="24"/>
          <w:lang w:val="sq-AL"/>
        </w:rPr>
        <w:t xml:space="preserve"> kategori (niveli NUTS 3 = rajone): rajone kryesisht urbane, rajone të ndërmjetme rurale dhe rajone kryesisht rurale</w:t>
      </w:r>
      <w:r w:rsidR="006B6399" w:rsidRPr="00AB24F3">
        <w:rPr>
          <w:vertAlign w:val="superscript"/>
        </w:rPr>
        <w:footnoteReference w:id="2"/>
      </w:r>
      <w:r w:rsidRPr="0058349C">
        <w:rPr>
          <w:rFonts w:ascii="Garamond" w:hAnsi="Garamond" w:cs="MS Mincho"/>
          <w:sz w:val="24"/>
          <w:szCs w:val="24"/>
          <w:lang w:val="sq-AL"/>
        </w:rPr>
        <w:t>. Sipas këtij klasifikimi, rajoni me mbizotërim urban është Tirana, rajone të ndërmjetme rurale janë: Durrësi, Shkodra d</w:t>
      </w:r>
      <w:r w:rsidR="00AB24F3">
        <w:rPr>
          <w:rFonts w:ascii="Garamond" w:hAnsi="Garamond" w:cs="MS Mincho"/>
          <w:sz w:val="24"/>
          <w:szCs w:val="24"/>
          <w:lang w:val="sq-AL"/>
        </w:rPr>
        <w:t>he Korça;</w:t>
      </w:r>
      <w:r w:rsidRPr="0058349C">
        <w:rPr>
          <w:rFonts w:ascii="Garamond" w:hAnsi="Garamond" w:cs="MS Mincho"/>
          <w:sz w:val="24"/>
          <w:szCs w:val="24"/>
          <w:lang w:val="sq-AL"/>
        </w:rPr>
        <w:t xml:space="preserve"> dhe rajone kryesisht rurale</w:t>
      </w:r>
      <w:r w:rsidR="00AB24F3">
        <w:rPr>
          <w:rFonts w:ascii="Garamond" w:hAnsi="Garamond" w:cs="MS Mincho"/>
          <w:sz w:val="24"/>
          <w:szCs w:val="24"/>
          <w:lang w:val="sq-AL"/>
        </w:rPr>
        <w:t>:</w:t>
      </w:r>
      <w:r w:rsidRPr="0058349C">
        <w:rPr>
          <w:rFonts w:ascii="Garamond" w:hAnsi="Garamond" w:cs="MS Mincho"/>
          <w:sz w:val="24"/>
          <w:szCs w:val="24"/>
          <w:lang w:val="sq-AL"/>
        </w:rPr>
        <w:t xml:space="preserve"> janë Berati, Dibra, Elbasani, Fieri, Gjirokastra, Kukësi, Lezha dhe Vlora.</w:t>
      </w:r>
    </w:p>
    <w:p w14:paraId="0773ACBA" w14:textId="7EF0C102" w:rsidR="00492C9C" w:rsidRPr="00AB24F3" w:rsidRDefault="00DF6621" w:rsidP="00AB24F3">
      <w:pPr>
        <w:autoSpaceDE w:val="0"/>
        <w:autoSpaceDN w:val="0"/>
        <w:adjustRightInd w:val="0"/>
        <w:spacing w:after="0" w:line="240" w:lineRule="auto"/>
        <w:jc w:val="center"/>
        <w:rPr>
          <w:rFonts w:ascii="Garamond" w:hAnsi="Garamond" w:cs="MS Mincho"/>
          <w:i/>
          <w:iCs/>
          <w:sz w:val="20"/>
          <w:szCs w:val="20"/>
          <w:lang w:val="sq-AL"/>
        </w:rPr>
      </w:pPr>
      <w:r>
        <w:rPr>
          <w:rFonts w:ascii="Garamond" w:hAnsi="Garamond" w:cs="MS Mincho"/>
          <w:b/>
          <w:bCs/>
          <w:i/>
          <w:iCs/>
          <w:sz w:val="20"/>
          <w:szCs w:val="20"/>
          <w:lang w:val="sq-AL"/>
        </w:rPr>
        <w:t>Figura 3-</w:t>
      </w:r>
      <w:r w:rsidR="00492C9C" w:rsidRPr="00AB24F3">
        <w:rPr>
          <w:rFonts w:ascii="Garamond" w:hAnsi="Garamond" w:cs="MS Mincho"/>
          <w:b/>
          <w:bCs/>
          <w:i/>
          <w:iCs/>
          <w:sz w:val="20"/>
          <w:szCs w:val="20"/>
          <w:lang w:val="sq-AL"/>
        </w:rPr>
        <w:t xml:space="preserve">1: </w:t>
      </w:r>
      <w:r w:rsidR="00492C9C" w:rsidRPr="00AB24F3">
        <w:rPr>
          <w:rFonts w:ascii="Garamond" w:hAnsi="Garamond" w:cs="MS Mincho"/>
          <w:i/>
          <w:iCs/>
          <w:sz w:val="20"/>
          <w:szCs w:val="20"/>
          <w:lang w:val="sq-AL"/>
        </w:rPr>
        <w:t>Klasifikimi rural i rajoneve në Shqipëri (Tipologjia urbane-rurale e BE-së, rajonet e nivelit NUTS 3)</w:t>
      </w:r>
    </w:p>
    <w:p w14:paraId="0773ACBB" w14:textId="77777777" w:rsidR="00492C9C" w:rsidRPr="0058349C" w:rsidRDefault="006B6399" w:rsidP="00AB24F3">
      <w:pPr>
        <w:autoSpaceDE w:val="0"/>
        <w:autoSpaceDN w:val="0"/>
        <w:adjustRightInd w:val="0"/>
        <w:spacing w:after="0" w:line="240" w:lineRule="auto"/>
        <w:ind w:firstLine="284"/>
        <w:jc w:val="center"/>
        <w:rPr>
          <w:rFonts w:ascii="Garamond" w:hAnsi="Garamond" w:cs="MS Mincho"/>
          <w:sz w:val="24"/>
          <w:szCs w:val="24"/>
          <w:lang w:val="sq-AL"/>
        </w:rPr>
      </w:pPr>
      <w:r w:rsidRPr="0058349C">
        <w:rPr>
          <w:rFonts w:ascii="Garamond" w:hAnsi="Garamond" w:cs="MS Mincho"/>
          <w:noProof/>
          <w:sz w:val="24"/>
          <w:szCs w:val="24"/>
        </w:rPr>
        <w:drawing>
          <wp:inline distT="0" distB="0" distL="0" distR="0" wp14:anchorId="0773BAC0" wp14:editId="0773BAC1">
            <wp:extent cx="5629275" cy="26098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29275" cy="2609850"/>
                    </a:xfrm>
                    <a:prstGeom prst="rect">
                      <a:avLst/>
                    </a:prstGeom>
                    <a:noFill/>
                  </pic:spPr>
                </pic:pic>
              </a:graphicData>
            </a:graphic>
          </wp:inline>
        </w:drawing>
      </w:r>
    </w:p>
    <w:p w14:paraId="0773ACBC" w14:textId="77777777" w:rsidR="00492C9C" w:rsidRPr="0058349C" w:rsidRDefault="00492C9C" w:rsidP="00264AE4">
      <w:pPr>
        <w:autoSpaceDE w:val="0"/>
        <w:autoSpaceDN w:val="0"/>
        <w:adjustRightInd w:val="0"/>
        <w:spacing w:after="0" w:line="240" w:lineRule="auto"/>
        <w:jc w:val="center"/>
        <w:rPr>
          <w:rFonts w:ascii="Garamond" w:hAnsi="Garamond" w:cs="MS Mincho"/>
          <w:sz w:val="24"/>
          <w:szCs w:val="24"/>
          <w:lang w:val="sq-AL"/>
        </w:rPr>
      </w:pPr>
      <w:r w:rsidRPr="0058349C">
        <w:rPr>
          <w:rFonts w:ascii="Garamond" w:hAnsi="Garamond" w:cs="MS Mincho"/>
          <w:sz w:val="24"/>
          <w:szCs w:val="24"/>
          <w:lang w:val="sq-AL"/>
        </w:rPr>
        <w:t>Burimi: INSTAT (2014)</w:t>
      </w:r>
    </w:p>
    <w:p w14:paraId="0773ACBD" w14:textId="77777777" w:rsidR="00250914" w:rsidRPr="0058349C" w:rsidRDefault="00250914" w:rsidP="00492C9C">
      <w:pPr>
        <w:autoSpaceDE w:val="0"/>
        <w:autoSpaceDN w:val="0"/>
        <w:adjustRightInd w:val="0"/>
        <w:spacing w:after="0" w:line="240" w:lineRule="auto"/>
        <w:ind w:firstLine="284"/>
        <w:jc w:val="both"/>
        <w:rPr>
          <w:rFonts w:ascii="Garamond" w:hAnsi="Garamond" w:cs="MS Mincho"/>
          <w:sz w:val="24"/>
          <w:szCs w:val="24"/>
          <w:lang w:val="sq-AL"/>
        </w:rPr>
      </w:pPr>
    </w:p>
    <w:p w14:paraId="0773ACBE"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 xml:space="preserve">Shqipëria ka një </w:t>
      </w:r>
      <w:r w:rsidRPr="0058349C">
        <w:rPr>
          <w:rFonts w:ascii="Garamond" w:hAnsi="Garamond" w:cs="MS Mincho"/>
          <w:b/>
          <w:bCs/>
          <w:sz w:val="24"/>
          <w:szCs w:val="24"/>
          <w:lang w:val="sq-AL"/>
        </w:rPr>
        <w:t>popullsi totale</w:t>
      </w:r>
      <w:r w:rsidRPr="0058349C">
        <w:rPr>
          <w:rFonts w:ascii="Garamond" w:hAnsi="Garamond" w:cs="MS Mincho"/>
          <w:sz w:val="24"/>
          <w:szCs w:val="24"/>
          <w:lang w:val="sq-AL"/>
        </w:rPr>
        <w:t xml:space="preserve"> prej 2,845,955 banorësh (1 janar 2020, INSTAT 2020), nga të cilët 1,429,088 janë gra. Dendësia e popullsisë është 100 banorë për km². </w:t>
      </w:r>
    </w:p>
    <w:p w14:paraId="0773ACBF" w14:textId="48E8219E"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Popullsia rurale</w:t>
      </w:r>
      <w:r w:rsidRPr="0058349C">
        <w:rPr>
          <w:rFonts w:ascii="Garamond" w:hAnsi="Garamond" w:cs="MS Mincho"/>
          <w:sz w:val="24"/>
          <w:szCs w:val="24"/>
          <w:lang w:val="sq-AL"/>
        </w:rPr>
        <w:t xml:space="preserve"> llogaritet në 964,791 banorë (2019). Përqindja e popullsisë rurale ka rënë vazhdimisht nga 42,57% në vitin 2015 në 38,89% në vitin 2019, e shkaktuar nga </w:t>
      </w:r>
      <w:r w:rsidRPr="0058349C">
        <w:rPr>
          <w:rFonts w:ascii="Garamond" w:hAnsi="Garamond" w:cs="MS Mincho"/>
          <w:b/>
          <w:bCs/>
          <w:sz w:val="24"/>
          <w:szCs w:val="24"/>
          <w:lang w:val="sq-AL"/>
        </w:rPr>
        <w:t>migrimi jashtë</w:t>
      </w:r>
      <w:r w:rsidRPr="0058349C">
        <w:rPr>
          <w:rFonts w:ascii="Garamond" w:hAnsi="Garamond" w:cs="MS Mincho"/>
          <w:sz w:val="24"/>
          <w:szCs w:val="24"/>
          <w:lang w:val="sq-AL"/>
        </w:rPr>
        <w:t xml:space="preserve"> dhe përgjithësisht nivelet më të ulëta të lindjeve. Emigrantët tërhiqen kryesisht nga zonat urbane, pasi shkalla e urbanizimit është në rritje pavarësisht nga një rënie e përgjithshme e popullsisë. Sipas parashikimeve, popullsia shqiptare do të ulet me 100,000 njerëz në rreth 2.75 milionë në viti</w:t>
      </w:r>
      <w:r w:rsidR="00C10E8F">
        <w:rPr>
          <w:rFonts w:ascii="Garamond" w:hAnsi="Garamond" w:cs="MS Mincho"/>
          <w:sz w:val="24"/>
          <w:szCs w:val="24"/>
          <w:lang w:val="sq-AL"/>
        </w:rPr>
        <w:t>n 2031 krahasuar me vitin 2020.</w:t>
      </w:r>
    </w:p>
    <w:p w14:paraId="0773ACC0" w14:textId="0FCF65A4" w:rsidR="00492C9C" w:rsidRPr="0058349C" w:rsidRDefault="00492C9C" w:rsidP="00C10E8F">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Disponueshmëria dhe cilësia</w:t>
      </w:r>
      <w:r w:rsidRPr="0058349C">
        <w:rPr>
          <w:rFonts w:ascii="Garamond" w:hAnsi="Garamond" w:cs="MS Mincho"/>
          <w:b/>
          <w:bCs/>
          <w:sz w:val="24"/>
          <w:szCs w:val="24"/>
          <w:lang w:val="sq-AL"/>
        </w:rPr>
        <w:t xml:space="preserve"> e infrastrukturës rurale dhe </w:t>
      </w:r>
      <w:r w:rsidR="00C10E8F">
        <w:rPr>
          <w:rFonts w:ascii="Garamond" w:hAnsi="Garamond" w:cs="MS Mincho"/>
          <w:b/>
          <w:bCs/>
          <w:sz w:val="24"/>
          <w:szCs w:val="24"/>
          <w:lang w:val="sq-AL"/>
        </w:rPr>
        <w:t xml:space="preserve">e </w:t>
      </w:r>
      <w:r w:rsidRPr="0058349C">
        <w:rPr>
          <w:rFonts w:ascii="Garamond" w:hAnsi="Garamond" w:cs="MS Mincho"/>
          <w:b/>
          <w:bCs/>
          <w:sz w:val="24"/>
          <w:szCs w:val="24"/>
          <w:lang w:val="sq-AL"/>
        </w:rPr>
        <w:t>shërbimeve</w:t>
      </w:r>
      <w:r w:rsidRPr="0058349C">
        <w:rPr>
          <w:rFonts w:ascii="Garamond" w:hAnsi="Garamond" w:cs="MS Mincho"/>
          <w:sz w:val="24"/>
          <w:szCs w:val="24"/>
          <w:lang w:val="sq-AL"/>
        </w:rPr>
        <w:t xml:space="preserve"> bazë janë në proces zhvillimi në zonat rurale, por mbetet sfidues veçanërisht në zonat e thella dhe malore: me gjithë vëmendjen e rritur, akoma mbeten për t</w:t>
      </w:r>
      <w:r w:rsidR="00C10E8F">
        <w:rPr>
          <w:rFonts w:ascii="Garamond" w:hAnsi="Garamond" w:cs="MS Mincho"/>
          <w:sz w:val="24"/>
          <w:szCs w:val="24"/>
          <w:lang w:val="sq-AL"/>
        </w:rPr>
        <w:t>’</w:t>
      </w:r>
      <w:r w:rsidRPr="0058349C">
        <w:rPr>
          <w:rFonts w:ascii="Garamond" w:hAnsi="Garamond" w:cs="MS Mincho"/>
          <w:sz w:val="24"/>
          <w:szCs w:val="24"/>
          <w:lang w:val="sq-AL"/>
        </w:rPr>
        <w:t xml:space="preserve">u përmirësuar furnizimi i qëndrueshëm me energji elektrike, sistemet e administrimit të ujërave të zeza dhe </w:t>
      </w:r>
      <w:r w:rsidR="00C10E8F">
        <w:rPr>
          <w:rFonts w:ascii="Garamond" w:hAnsi="Garamond" w:cs="MS Mincho"/>
          <w:sz w:val="24"/>
          <w:szCs w:val="24"/>
          <w:lang w:val="sq-AL"/>
        </w:rPr>
        <w:t xml:space="preserve">të </w:t>
      </w:r>
      <w:r w:rsidRPr="0058349C">
        <w:rPr>
          <w:rFonts w:ascii="Garamond" w:hAnsi="Garamond" w:cs="MS Mincho"/>
          <w:sz w:val="24"/>
          <w:szCs w:val="24"/>
          <w:lang w:val="sq-AL"/>
        </w:rPr>
        <w:t>kanalizimeve, grumbullimi i mbetjeve, rrjeti rrugor rajonal dhe rural ose konektiviteti digjital (brez i gjerë).</w:t>
      </w:r>
    </w:p>
    <w:p w14:paraId="0773ACC1" w14:textId="0EE254FE"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Zhvillimi ekonomik në</w:t>
      </w:r>
      <w:r w:rsidRPr="0058349C">
        <w:rPr>
          <w:rFonts w:ascii="Garamond" w:hAnsi="Garamond" w:cs="MS Mincho"/>
          <w:sz w:val="24"/>
          <w:szCs w:val="24"/>
          <w:lang w:val="sq-AL"/>
        </w:rPr>
        <w:t xml:space="preserve"> </w:t>
      </w:r>
      <w:r w:rsidRPr="0058349C">
        <w:rPr>
          <w:rFonts w:ascii="Garamond" w:hAnsi="Garamond" w:cs="MS Mincho"/>
          <w:b/>
          <w:bCs/>
          <w:sz w:val="24"/>
          <w:szCs w:val="24"/>
          <w:lang w:val="sq-AL"/>
        </w:rPr>
        <w:t>zonat rurale</w:t>
      </w:r>
      <w:r w:rsidRPr="0058349C">
        <w:rPr>
          <w:rFonts w:ascii="Garamond" w:hAnsi="Garamond" w:cs="MS Mincho"/>
          <w:sz w:val="24"/>
          <w:szCs w:val="24"/>
          <w:lang w:val="sq-AL"/>
        </w:rPr>
        <w:t xml:space="preserve"> karakterizohet nga një mbizotërim i sektorit ekonomik nga bujqësia. Sektori bujqësor përjeton rritje të qëndrueshme, me formim vjetor të kapitalit fiks bruto (FBKF) prej rreth 53.7 milionë </w:t>
      </w:r>
      <w:r w:rsidR="00DA21B8" w:rsidRPr="0058349C">
        <w:rPr>
          <w:rFonts w:ascii="Garamond" w:hAnsi="Garamond" w:cs="MS Mincho"/>
          <w:sz w:val="24"/>
          <w:szCs w:val="24"/>
          <w:lang w:val="sq-AL"/>
        </w:rPr>
        <w:t>euro</w:t>
      </w:r>
      <w:r w:rsidR="00DA21B8">
        <w:rPr>
          <w:rFonts w:ascii="Garamond" w:hAnsi="Garamond" w:cs="MS Mincho"/>
          <w:sz w:val="24"/>
          <w:szCs w:val="24"/>
          <w:lang w:val="sq-AL"/>
        </w:rPr>
        <w:t>sh</w:t>
      </w:r>
      <w:r w:rsidRPr="0058349C">
        <w:rPr>
          <w:rFonts w:ascii="Garamond" w:hAnsi="Garamond" w:cs="MS Mincho"/>
          <w:sz w:val="24"/>
          <w:szCs w:val="24"/>
          <w:lang w:val="sq-AL"/>
        </w:rPr>
        <w:t xml:space="preserve"> dhe rritje të produktivitetit vjetor (VSHB për njësi të fuqisë punëtore në bujqësi) prej 5,680 </w:t>
      </w:r>
      <w:r w:rsidR="00DA21B8" w:rsidRPr="0058349C">
        <w:rPr>
          <w:rFonts w:ascii="Garamond" w:hAnsi="Garamond" w:cs="MS Mincho"/>
          <w:sz w:val="24"/>
          <w:szCs w:val="24"/>
          <w:lang w:val="sq-AL"/>
        </w:rPr>
        <w:t>euro</w:t>
      </w:r>
      <w:r w:rsidR="00DA21B8">
        <w:rPr>
          <w:rFonts w:ascii="Garamond" w:hAnsi="Garamond" w:cs="MS Mincho"/>
          <w:sz w:val="24"/>
          <w:szCs w:val="24"/>
          <w:lang w:val="sq-AL"/>
        </w:rPr>
        <w:t>sh</w:t>
      </w:r>
      <w:r w:rsidR="00DA21B8" w:rsidRPr="0058349C">
        <w:rPr>
          <w:rFonts w:ascii="Garamond" w:hAnsi="Garamond" w:cs="MS Mincho"/>
          <w:sz w:val="24"/>
          <w:szCs w:val="24"/>
          <w:lang w:val="sq-AL"/>
        </w:rPr>
        <w:t xml:space="preserve"> </w:t>
      </w:r>
      <w:r w:rsidRPr="0058349C">
        <w:rPr>
          <w:rFonts w:ascii="Garamond" w:hAnsi="Garamond" w:cs="MS Mincho"/>
          <w:sz w:val="24"/>
          <w:szCs w:val="24"/>
          <w:lang w:val="sq-AL"/>
        </w:rPr>
        <w:t>në vitin 2020. Kontributi i bujqësisë në totalin e vlerës së shtuar bruto të ekonomisë (VSHB) është rreth 22% ndaj VSHB-së kombëtare.</w:t>
      </w:r>
    </w:p>
    <w:p w14:paraId="0773ACC2" w14:textId="4EA3B584"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 xml:space="preserve">Në vitin 2019, 36.4% e </w:t>
      </w:r>
      <w:r w:rsidRPr="0058349C">
        <w:rPr>
          <w:rFonts w:ascii="Garamond" w:hAnsi="Garamond" w:cs="MS Mincho"/>
          <w:b/>
          <w:bCs/>
          <w:sz w:val="24"/>
          <w:szCs w:val="24"/>
          <w:lang w:val="sq-AL"/>
        </w:rPr>
        <w:t xml:space="preserve">forcës </w:t>
      </w:r>
      <w:r w:rsidRPr="0058349C">
        <w:rPr>
          <w:rFonts w:ascii="Garamond" w:hAnsi="Garamond" w:cs="MS Mincho"/>
          <w:sz w:val="24"/>
          <w:szCs w:val="24"/>
          <w:lang w:val="sq-AL"/>
        </w:rPr>
        <w:t xml:space="preserve">totale </w:t>
      </w:r>
      <w:r w:rsidRPr="0058349C">
        <w:rPr>
          <w:rFonts w:ascii="Garamond" w:hAnsi="Garamond" w:cs="MS Mincho"/>
          <w:b/>
          <w:bCs/>
          <w:sz w:val="24"/>
          <w:szCs w:val="24"/>
          <w:lang w:val="sq-AL"/>
        </w:rPr>
        <w:t>të fuqisë punëtore</w:t>
      </w:r>
      <w:r w:rsidRPr="0058349C">
        <w:rPr>
          <w:rFonts w:ascii="Garamond" w:hAnsi="Garamond" w:cs="MS Mincho"/>
          <w:sz w:val="24"/>
          <w:szCs w:val="24"/>
          <w:lang w:val="sq-AL"/>
        </w:rPr>
        <w:t xml:space="preserve"> ishte në bujqësi, pylltari dhe peshkim me një rënie totale prej mbi 10% gjatë dekadës së fundit</w:t>
      </w:r>
      <w:r w:rsidR="00DA21B8">
        <w:rPr>
          <w:rFonts w:ascii="Garamond" w:hAnsi="Garamond" w:cs="MS Mincho"/>
          <w:sz w:val="24"/>
          <w:szCs w:val="24"/>
          <w:lang w:val="sq-AL"/>
        </w:rPr>
        <w:t>,</w:t>
      </w:r>
      <w:r w:rsidRPr="0058349C">
        <w:rPr>
          <w:rFonts w:ascii="Garamond" w:hAnsi="Garamond" w:cs="MS Mincho"/>
          <w:sz w:val="24"/>
          <w:szCs w:val="24"/>
          <w:lang w:val="sq-AL"/>
        </w:rPr>
        <w:t xml:space="preserve"> për shkak të migrimit dhe </w:t>
      </w:r>
      <w:r w:rsidR="00DA21B8">
        <w:rPr>
          <w:rFonts w:ascii="Garamond" w:hAnsi="Garamond" w:cs="MS Mincho"/>
          <w:sz w:val="24"/>
          <w:szCs w:val="24"/>
          <w:lang w:val="sq-AL"/>
        </w:rPr>
        <w:t xml:space="preserve">të </w:t>
      </w:r>
      <w:r w:rsidRPr="0058349C">
        <w:rPr>
          <w:rFonts w:ascii="Garamond" w:hAnsi="Garamond" w:cs="MS Mincho"/>
          <w:sz w:val="24"/>
          <w:szCs w:val="24"/>
          <w:lang w:val="sq-AL"/>
        </w:rPr>
        <w:t xml:space="preserve">rritjes së </w:t>
      </w:r>
      <w:r w:rsidRPr="0058349C">
        <w:rPr>
          <w:rFonts w:ascii="Garamond" w:hAnsi="Garamond" w:cs="MS Mincho"/>
          <w:sz w:val="24"/>
          <w:szCs w:val="24"/>
          <w:lang w:val="sq-AL"/>
        </w:rPr>
        <w:lastRenderedPageBreak/>
        <w:t xml:space="preserve">produktivitetit. </w:t>
      </w:r>
      <w:r w:rsidRPr="0058349C">
        <w:rPr>
          <w:rFonts w:ascii="Garamond" w:hAnsi="Garamond" w:cs="MS Mincho"/>
          <w:b/>
          <w:bCs/>
          <w:sz w:val="24"/>
          <w:szCs w:val="24"/>
          <w:lang w:val="sq-AL"/>
        </w:rPr>
        <w:t xml:space="preserve">Shkalla </w:t>
      </w:r>
      <w:r w:rsidRPr="0058349C">
        <w:rPr>
          <w:rFonts w:ascii="Garamond" w:hAnsi="Garamond" w:cs="MS Mincho"/>
          <w:sz w:val="24"/>
          <w:szCs w:val="24"/>
          <w:lang w:val="sq-AL"/>
        </w:rPr>
        <w:t xml:space="preserve">zyrtare </w:t>
      </w:r>
      <w:r w:rsidRPr="0058349C">
        <w:rPr>
          <w:rFonts w:ascii="Garamond" w:hAnsi="Garamond" w:cs="MS Mincho"/>
          <w:b/>
          <w:bCs/>
          <w:sz w:val="24"/>
          <w:szCs w:val="24"/>
          <w:lang w:val="sq-AL"/>
        </w:rPr>
        <w:t>e papunësisë</w:t>
      </w:r>
      <w:r w:rsidRPr="0058349C">
        <w:rPr>
          <w:rFonts w:ascii="Garamond" w:hAnsi="Garamond" w:cs="MS Mincho"/>
          <w:sz w:val="24"/>
          <w:szCs w:val="24"/>
          <w:lang w:val="sq-AL"/>
        </w:rPr>
        <w:t xml:space="preserve"> në zonat rurale konsiderohet më e ulët se në zonat urbane. </w:t>
      </w:r>
      <w:r w:rsidRPr="0058349C">
        <w:rPr>
          <w:rFonts w:ascii="Garamond" w:hAnsi="Garamond" w:cs="MS Mincho"/>
          <w:b/>
          <w:bCs/>
          <w:sz w:val="24"/>
          <w:szCs w:val="24"/>
          <w:lang w:val="sq-AL"/>
        </w:rPr>
        <w:t>Paga mesatare mujore bruto në bujqësi</w:t>
      </w:r>
      <w:r w:rsidRPr="0058349C">
        <w:rPr>
          <w:rFonts w:ascii="Garamond" w:hAnsi="Garamond" w:cs="MS Mincho"/>
          <w:sz w:val="24"/>
          <w:szCs w:val="24"/>
          <w:lang w:val="sq-AL"/>
        </w:rPr>
        <w:t>, pylltari dhe peshkim tenton që të arrijë mesataren kombëtare ishte 33,359 lekë në vitin 2020</w:t>
      </w:r>
      <w:r w:rsidRPr="00C97CA1">
        <w:rPr>
          <w:rFonts w:ascii="Garamond" w:hAnsi="Garamond" w:cs="MS Mincho"/>
          <w:sz w:val="24"/>
          <w:szCs w:val="24"/>
          <w:lang w:val="sq-AL"/>
        </w:rPr>
        <w:t xml:space="preserve">. </w:t>
      </w:r>
    </w:p>
    <w:p w14:paraId="0773ACC3" w14:textId="29084DE7" w:rsidR="00492C9C" w:rsidRPr="0058349C" w:rsidRDefault="00492C9C" w:rsidP="007C46E2">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Prodhimi bujqësor</w:t>
      </w:r>
      <w:r w:rsidRPr="0058349C">
        <w:rPr>
          <w:rFonts w:ascii="Garamond" w:hAnsi="Garamond" w:cs="MS Mincho"/>
          <w:sz w:val="24"/>
          <w:szCs w:val="24"/>
          <w:lang w:val="sq-AL"/>
        </w:rPr>
        <w:t xml:space="preserve"> dominohet nga fermat e vogla dhe fermat familjare. 85% e fermave klasifikohen si të vogla. Në periudhën 2020</w:t>
      </w:r>
      <w:r w:rsidR="00C97CA1">
        <w:rPr>
          <w:rFonts w:ascii="Garamond" w:hAnsi="Garamond" w:cs="MS Mincho"/>
          <w:sz w:val="24"/>
          <w:szCs w:val="24"/>
          <w:lang w:val="sq-AL"/>
        </w:rPr>
        <w:t>–</w:t>
      </w:r>
      <w:r w:rsidRPr="0058349C">
        <w:rPr>
          <w:rFonts w:ascii="Garamond" w:hAnsi="Garamond" w:cs="MS Mincho"/>
          <w:sz w:val="24"/>
          <w:szCs w:val="24"/>
          <w:lang w:val="sq-AL"/>
        </w:rPr>
        <w:t>2022, edhe falë integrimit të një pjese të rëndësishme të fermerëve në skemat kombëtare të mbështetjes</w:t>
      </w:r>
      <w:r w:rsidR="00F90167">
        <w:rPr>
          <w:rFonts w:ascii="Garamond" w:hAnsi="Garamond" w:cs="MS Mincho"/>
          <w:sz w:val="24"/>
          <w:szCs w:val="24"/>
          <w:lang w:val="sq-AL"/>
        </w:rPr>
        <w:t>,</w:t>
      </w:r>
      <w:r w:rsidRPr="0058349C">
        <w:rPr>
          <w:rFonts w:ascii="Garamond" w:hAnsi="Garamond" w:cs="MS Mincho"/>
          <w:sz w:val="24"/>
          <w:szCs w:val="24"/>
          <w:lang w:val="sq-AL"/>
        </w:rPr>
        <w:t xml:space="preserve"> ku mbështetja ndaj naftës ka pasur një rrol thelbësor, numri i fermerëve të pajisur me NIPT fermeri është rritur ndjeshëm. Kështu</w:t>
      </w:r>
      <w:r w:rsidR="00F90167">
        <w:rPr>
          <w:rFonts w:ascii="Garamond" w:hAnsi="Garamond" w:cs="MS Mincho"/>
          <w:sz w:val="24"/>
          <w:szCs w:val="24"/>
          <w:lang w:val="sq-AL"/>
        </w:rPr>
        <w:t>,</w:t>
      </w:r>
      <w:r w:rsidRPr="0058349C">
        <w:rPr>
          <w:rFonts w:ascii="Garamond" w:hAnsi="Garamond" w:cs="MS Mincho"/>
          <w:sz w:val="24"/>
          <w:szCs w:val="24"/>
          <w:lang w:val="sq-AL"/>
        </w:rPr>
        <w:t xml:space="preserve"> në vitin 2021 dhe </w:t>
      </w:r>
      <w:r w:rsidR="007C46E2">
        <w:rPr>
          <w:rFonts w:ascii="Garamond" w:hAnsi="Garamond" w:cs="MS Mincho"/>
          <w:sz w:val="24"/>
          <w:szCs w:val="24"/>
          <w:lang w:val="sq-AL"/>
        </w:rPr>
        <w:t xml:space="preserve">në </w:t>
      </w:r>
      <w:r w:rsidRPr="0058349C">
        <w:rPr>
          <w:rFonts w:ascii="Garamond" w:hAnsi="Garamond" w:cs="MS Mincho"/>
          <w:sz w:val="24"/>
          <w:szCs w:val="24"/>
          <w:lang w:val="sq-AL"/>
        </w:rPr>
        <w:t xml:space="preserve">muajt </w:t>
      </w:r>
      <w:r w:rsidR="00F90167">
        <w:rPr>
          <w:rFonts w:ascii="Garamond" w:hAnsi="Garamond" w:cs="MS Mincho"/>
          <w:sz w:val="24"/>
          <w:szCs w:val="24"/>
          <w:lang w:val="sq-AL"/>
        </w:rPr>
        <w:t>e</w:t>
      </w:r>
      <w:r w:rsidRPr="0058349C">
        <w:rPr>
          <w:rFonts w:ascii="Garamond" w:hAnsi="Garamond" w:cs="MS Mincho"/>
          <w:sz w:val="24"/>
          <w:szCs w:val="24"/>
          <w:lang w:val="sq-AL"/>
        </w:rPr>
        <w:t xml:space="preserve"> parë të vitit 2022, janë pajisur me NIPT fermeri dyfishi i fermerëve që kanë marrë NIPT fermeri për periudhën 2017</w:t>
      </w:r>
      <w:r w:rsidR="007C46E2">
        <w:rPr>
          <w:rFonts w:ascii="Garamond" w:hAnsi="Garamond" w:cs="MS Mincho"/>
          <w:sz w:val="24"/>
          <w:szCs w:val="24"/>
          <w:lang w:val="sq-AL"/>
        </w:rPr>
        <w:t>–</w:t>
      </w:r>
      <w:r w:rsidRPr="0058349C">
        <w:rPr>
          <w:rFonts w:ascii="Garamond" w:hAnsi="Garamond" w:cs="MS Mincho"/>
          <w:sz w:val="24"/>
          <w:szCs w:val="24"/>
          <w:lang w:val="sq-AL"/>
        </w:rPr>
        <w:t>2020. Madhësia mesatare e pandryshuar prej 1.2 ha, e kombinuar me fragmentimin dhe të drejtën e paqartë të pronës janë sfidat kryesore për rritjen dhe konkurrencën e sektorit të bujqësisë. Megjithatë, pronarët e vegjël luajnë rol kritik për sigurimin e ushqimit të popullsisë shqiptare, si dhe për uljen e varfërisë në zonat rurale, por janë të integruar në mënyrë të pamjaftueshme në zinxhirët e shkurtër të furnizimit. Vështirësitë strukturore të trashëguara të fermave, po mbështeten nga politika publike</w:t>
      </w:r>
      <w:r w:rsidR="00585C99">
        <w:rPr>
          <w:rFonts w:ascii="Garamond" w:hAnsi="Garamond" w:cs="MS Mincho"/>
          <w:sz w:val="24"/>
          <w:szCs w:val="24"/>
          <w:lang w:val="sq-AL"/>
        </w:rPr>
        <w:t>,</w:t>
      </w:r>
      <w:r w:rsidRPr="0058349C">
        <w:rPr>
          <w:rFonts w:ascii="Garamond" w:hAnsi="Garamond" w:cs="MS Mincho"/>
          <w:sz w:val="24"/>
          <w:szCs w:val="24"/>
          <w:lang w:val="sq-AL"/>
        </w:rPr>
        <w:t xml:space="preserve"> të cilat synojnë bashkimin e fermerëve në procesin e tregtimit të produkteve bujqësore.</w:t>
      </w:r>
    </w:p>
    <w:p w14:paraId="0773ACC4" w14:textId="66C18DDE" w:rsidR="00492C9C" w:rsidRPr="0058349C" w:rsidRDefault="00492C9C" w:rsidP="002B7930">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Agropërpunimi</w:t>
      </w:r>
      <w:r w:rsidRPr="0058349C">
        <w:rPr>
          <w:rFonts w:ascii="Garamond" w:hAnsi="Garamond" w:cs="MS Mincho"/>
          <w:sz w:val="24"/>
          <w:szCs w:val="24"/>
          <w:lang w:val="sq-AL"/>
        </w:rPr>
        <w:t xml:space="preserve"> është rritur ndjeshëm gjatë 10 viteve të fundit duke arritur në 24.4% të xhiros totale të bujqësisë. Tendencat janë shumë pozitive, të cilat tregojnë se sektori ka potencial të lartë për zhvillim dhe krijimin e vendeve të punës. Xhiroja e sektorit është pothuajse dyfishuar, ndërkohë që punësimi është rritur me rreth 20%, mbështetur nga rritja e kërkesës së brendshme për produkte të përpunuara dhe rritja e eksportit të produkteve me origjinë bimore, ndërkohë që mundësimi i eksportit të produkteve me origjinë shtazore është në proces realizimi me disa prej vendeve të rajonit, por edhe në të ardhmen me vendet e Bashkimit Evropian, pas përfundimit të procesit të reformave të rëndësishme të ndërmarra në fushën e sigurisë ushqimore në të cilat është angazhuar sektori. </w:t>
      </w:r>
    </w:p>
    <w:p w14:paraId="0773ACC5" w14:textId="1373A648" w:rsidR="00492C9C" w:rsidRPr="0058349C" w:rsidRDefault="00492C9C" w:rsidP="00AF325B">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Erozioni, degradimi i tokës, si pasojë e terrenit të vështirë kodrinor dhe malor dhe humbja e tokës bujqësore</w:t>
      </w:r>
      <w:r w:rsidRPr="0058349C">
        <w:rPr>
          <w:rFonts w:ascii="Garamond" w:hAnsi="Garamond" w:cs="MS Mincho"/>
          <w:sz w:val="24"/>
          <w:szCs w:val="24"/>
          <w:lang w:val="sq-AL"/>
        </w:rPr>
        <w:t xml:space="preserve"> për përdorime</w:t>
      </w:r>
      <w:r w:rsidR="00AF325B">
        <w:rPr>
          <w:rFonts w:ascii="Garamond" w:hAnsi="Garamond" w:cs="MS Mincho"/>
          <w:sz w:val="24"/>
          <w:szCs w:val="24"/>
          <w:lang w:val="sq-AL"/>
        </w:rPr>
        <w:t>,</w:t>
      </w:r>
      <w:r w:rsidRPr="0058349C">
        <w:rPr>
          <w:rFonts w:ascii="Garamond" w:hAnsi="Garamond" w:cs="MS Mincho"/>
          <w:sz w:val="24"/>
          <w:szCs w:val="24"/>
          <w:lang w:val="sq-AL"/>
        </w:rPr>
        <w:t xml:space="preserve"> për qëllime të tjera</w:t>
      </w:r>
      <w:r w:rsidR="00AF325B">
        <w:rPr>
          <w:rFonts w:ascii="Garamond" w:hAnsi="Garamond" w:cs="MS Mincho"/>
          <w:sz w:val="24"/>
          <w:szCs w:val="24"/>
          <w:lang w:val="sq-AL"/>
        </w:rPr>
        <w:t>,</w:t>
      </w:r>
      <w:r w:rsidRPr="0058349C">
        <w:rPr>
          <w:rFonts w:ascii="Garamond" w:hAnsi="Garamond" w:cs="MS Mincho"/>
          <w:sz w:val="24"/>
          <w:szCs w:val="24"/>
          <w:lang w:val="sq-AL"/>
        </w:rPr>
        <w:t xml:space="preserve"> mbeten sfida të vazhdueshme. Tendencat e ndryshimeve klimatike të parashikuara për Shqipërinë, tregojnë rritje të temperaturës mujore prej 1</w:t>
      </w:r>
      <w:r w:rsidR="004617D1">
        <w:rPr>
          <w:rFonts w:ascii="Garamond" w:hAnsi="Garamond" w:cs="MS Mincho"/>
          <w:sz w:val="24"/>
          <w:szCs w:val="24"/>
          <w:lang w:val="sq-AL"/>
        </w:rPr>
        <w:t>–</w:t>
      </w:r>
      <w:r w:rsidRPr="0058349C">
        <w:rPr>
          <w:rFonts w:ascii="Garamond" w:hAnsi="Garamond" w:cs="MS Mincho"/>
          <w:sz w:val="24"/>
          <w:szCs w:val="24"/>
          <w:lang w:val="sq-AL"/>
        </w:rPr>
        <w:t>2°C gjatë verës, ndryshueshmëri të reshjeve dhe shtim të ngjarjeve ekstreme të motit, duke përbërë një tjetër sfidë për prodhimin bujqësor, furnizimin me ujë, sigurimin e ushqimit dhe rritjen ekonomike për shumicën e popullsisë rurale.</w:t>
      </w:r>
    </w:p>
    <w:p w14:paraId="0773ACC7" w14:textId="3CD0CDE7" w:rsidR="00492C9C" w:rsidRPr="0058349C" w:rsidRDefault="00492C9C" w:rsidP="00AF325B">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 xml:space="preserve">Zonat rurale në Shqipëri kanë një </w:t>
      </w:r>
      <w:r w:rsidRPr="0058349C">
        <w:rPr>
          <w:rFonts w:ascii="Garamond" w:hAnsi="Garamond" w:cs="MS Mincho"/>
          <w:b/>
          <w:bCs/>
          <w:sz w:val="24"/>
          <w:szCs w:val="24"/>
          <w:lang w:val="sq-AL"/>
        </w:rPr>
        <w:t>potencial të lartë për turizmin e qëndrueshëm të bazuar në natyrë,</w:t>
      </w:r>
      <w:r w:rsidRPr="0058349C">
        <w:rPr>
          <w:rFonts w:ascii="Garamond" w:hAnsi="Garamond" w:cs="MS Mincho"/>
          <w:sz w:val="24"/>
          <w:szCs w:val="24"/>
          <w:lang w:val="sq-AL"/>
        </w:rPr>
        <w:t xml:space="preserve"> por i cili po vlerësohet dhe lidhet me sektorët e tjerë të ekonomisë lokale, si bujqësia. Sektori i turizmit, i cili ofron punësim tërheqës për të rinjtë dhe gratë, është një </w:t>
      </w:r>
      <w:r w:rsidRPr="0058349C">
        <w:rPr>
          <w:rFonts w:ascii="Garamond" w:hAnsi="Garamond" w:cs="MS Mincho"/>
          <w:b/>
          <w:bCs/>
          <w:sz w:val="24"/>
          <w:szCs w:val="24"/>
          <w:lang w:val="sq-AL"/>
        </w:rPr>
        <w:t>forcë shtytëse e rimëkëmbjes</w:t>
      </w:r>
      <w:r w:rsidR="00AF325B">
        <w:rPr>
          <w:rFonts w:ascii="Garamond" w:hAnsi="Garamond" w:cs="MS Mincho"/>
          <w:b/>
          <w:bCs/>
          <w:sz w:val="24"/>
          <w:szCs w:val="24"/>
          <w:lang w:val="sq-AL"/>
        </w:rPr>
        <w:t xml:space="preserve"> </w:t>
      </w:r>
      <w:r w:rsidRPr="0058349C">
        <w:rPr>
          <w:rFonts w:ascii="Garamond" w:hAnsi="Garamond" w:cs="MS Mincho"/>
          <w:b/>
          <w:bCs/>
          <w:sz w:val="24"/>
          <w:szCs w:val="24"/>
          <w:lang w:val="sq-AL"/>
        </w:rPr>
        <w:t>ekonomike</w:t>
      </w:r>
      <w:r w:rsidR="00AF325B">
        <w:rPr>
          <w:rFonts w:ascii="Garamond" w:hAnsi="Garamond" w:cs="MS Mincho"/>
          <w:b/>
          <w:bCs/>
          <w:sz w:val="24"/>
          <w:szCs w:val="24"/>
          <w:lang w:val="sq-AL"/>
        </w:rPr>
        <w:t>,</w:t>
      </w:r>
      <w:r w:rsidRPr="0058349C">
        <w:rPr>
          <w:rFonts w:ascii="Garamond" w:hAnsi="Garamond" w:cs="MS Mincho"/>
          <w:b/>
          <w:bCs/>
          <w:sz w:val="24"/>
          <w:szCs w:val="24"/>
          <w:lang w:val="sq-AL"/>
        </w:rPr>
        <w:t xml:space="preserve"> sidomos </w:t>
      </w:r>
      <w:r w:rsidRPr="0058349C">
        <w:rPr>
          <w:rFonts w:ascii="Garamond" w:hAnsi="Garamond" w:cs="MS Mincho"/>
          <w:sz w:val="24"/>
          <w:szCs w:val="24"/>
          <w:lang w:val="sq-AL"/>
        </w:rPr>
        <w:t>pas përfundimit të pandemisë COVID-19</w:t>
      </w:r>
      <w:r w:rsidR="002F2E53">
        <w:rPr>
          <w:rFonts w:ascii="Garamond" w:hAnsi="Garamond" w:cs="MS Mincho"/>
          <w:sz w:val="24"/>
          <w:szCs w:val="24"/>
          <w:lang w:val="sq-AL"/>
        </w:rPr>
        <w:t>,</w:t>
      </w:r>
      <w:r w:rsidRPr="0058349C">
        <w:rPr>
          <w:rFonts w:ascii="Garamond" w:hAnsi="Garamond" w:cs="MS Mincho"/>
          <w:sz w:val="24"/>
          <w:szCs w:val="24"/>
          <w:lang w:val="sq-AL"/>
        </w:rPr>
        <w:t xml:space="preserve"> bazuar në strategjinë </w:t>
      </w:r>
      <w:r w:rsidR="00664693" w:rsidRPr="0058349C">
        <w:rPr>
          <w:rFonts w:ascii="Garamond" w:hAnsi="Garamond" w:cs="MS Mincho"/>
          <w:sz w:val="24"/>
          <w:szCs w:val="24"/>
          <w:lang w:val="sq-AL"/>
        </w:rPr>
        <w:t>“</w:t>
      </w:r>
      <w:r w:rsidRPr="0058349C">
        <w:rPr>
          <w:rFonts w:ascii="Garamond" w:hAnsi="Garamond" w:cs="MS Mincho"/>
          <w:sz w:val="24"/>
          <w:szCs w:val="24"/>
          <w:lang w:val="sq-AL"/>
        </w:rPr>
        <w:t>e rindërtimit</w:t>
      </w:r>
      <w:r w:rsidR="00664693" w:rsidRPr="0058349C">
        <w:rPr>
          <w:rFonts w:ascii="Garamond" w:hAnsi="Garamond" w:cs="MS Mincho"/>
          <w:sz w:val="24"/>
          <w:szCs w:val="24"/>
          <w:lang w:val="sq-AL"/>
        </w:rPr>
        <w:t>”</w:t>
      </w:r>
      <w:r w:rsidRPr="0058349C">
        <w:rPr>
          <w:rFonts w:ascii="Garamond" w:hAnsi="Garamond" w:cs="MS Mincho"/>
          <w:sz w:val="24"/>
          <w:szCs w:val="24"/>
          <w:lang w:val="sq-AL"/>
        </w:rPr>
        <w:t xml:space="preserve"> me fokus në rritjen e standardizimit dhe certifikimit për t’i shërbyer pritshmërive më të larta të turistëve. Zhvillimi i sektorit po nxjerr në pah nevojën për të punësuar të kualifikuar në sektor. Sektori shihet si një prej motorëve të zhvillimit të zonave rurale</w:t>
      </w:r>
      <w:r w:rsidR="002F2E53">
        <w:rPr>
          <w:rFonts w:ascii="Garamond" w:hAnsi="Garamond" w:cs="MS Mincho"/>
          <w:sz w:val="24"/>
          <w:szCs w:val="24"/>
          <w:lang w:val="sq-AL"/>
        </w:rPr>
        <w:t>,</w:t>
      </w:r>
      <w:r w:rsidRPr="0058349C">
        <w:rPr>
          <w:rFonts w:ascii="Garamond" w:hAnsi="Garamond" w:cs="MS Mincho"/>
          <w:sz w:val="24"/>
          <w:szCs w:val="24"/>
          <w:lang w:val="sq-AL"/>
        </w:rPr>
        <w:t xml:space="preserve"> duke lidhur kështu në të njëjtën pikë prodhimin, përpunimin, shërbimet ndaj produktit. Pritet të ketë kërkesa në rritje të banorëve për aktivitete rekreative dhe rritje të vlerësimit të tyre për zonat rurale. </w:t>
      </w:r>
    </w:p>
    <w:p w14:paraId="0773ACC8" w14:textId="3177F674"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Prodhimi total primar nga peshkimi</w:t>
      </w:r>
      <w:r w:rsidRPr="0058349C">
        <w:rPr>
          <w:rFonts w:ascii="Garamond" w:hAnsi="Garamond" w:cs="MS Mincho"/>
          <w:sz w:val="24"/>
          <w:szCs w:val="24"/>
          <w:lang w:val="sq-AL"/>
        </w:rPr>
        <w:t xml:space="preserve"> është rritur në mënyrë të konsiderueshme në vitet e fundit, ku akuakultura detare dhe peshkimi kanë kontribuar në mënyrë të ndjeshme në rritjen e sektorit</w:t>
      </w:r>
      <w:r w:rsidR="002F2E53">
        <w:rPr>
          <w:rFonts w:ascii="Garamond" w:hAnsi="Garamond" w:cs="MS Mincho"/>
          <w:sz w:val="24"/>
          <w:szCs w:val="24"/>
          <w:lang w:val="sq-AL"/>
        </w:rPr>
        <w:t>,</w:t>
      </w:r>
      <w:r w:rsidRPr="0058349C">
        <w:rPr>
          <w:rFonts w:ascii="Garamond" w:hAnsi="Garamond" w:cs="MS Mincho"/>
          <w:sz w:val="24"/>
          <w:szCs w:val="24"/>
          <w:lang w:val="sq-AL"/>
        </w:rPr>
        <w:t xml:space="preserve"> ndërsa ujërat e brendshme dhe lagunat bregdetare kanë pasur një kontribut më të kufizuar. Peshkimi detar zë më shumë se 52% të sasisë së kapur</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dhe 61% të vlerës, ndërsa ujërat bregdetare dhe ato të brendshme përbëjnë 21% të sasisë së kapur,</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por vetëm 13% të vlerës (2019). Peshkimi artizanal është një faktor i rëndësishëm ekonomik për komunitetet bregdetare, por një pjesë e madhe e sasisë së</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kapur mbetet e paregjistruar.</w:t>
      </w:r>
    </w:p>
    <w:p w14:paraId="0773ACC9" w14:textId="57F8857D" w:rsidR="00492C9C" w:rsidRPr="0058349C" w:rsidRDefault="00492C9C" w:rsidP="003C58E2">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Punësimi me kohë të plotë në peshkim dhe akuakulturë</w:t>
      </w:r>
      <w:r w:rsidRPr="0058349C">
        <w:rPr>
          <w:rFonts w:ascii="Garamond" w:hAnsi="Garamond" w:cs="MS Mincho"/>
          <w:sz w:val="24"/>
          <w:szCs w:val="24"/>
          <w:lang w:val="sq-AL"/>
        </w:rPr>
        <w:t xml:space="preserve"> vlerësohet në 9,279 persona</w:t>
      </w:r>
      <w:r w:rsidR="002F2E53">
        <w:rPr>
          <w:rFonts w:ascii="Garamond" w:hAnsi="Garamond" w:cs="MS Mincho"/>
          <w:sz w:val="24"/>
          <w:szCs w:val="24"/>
          <w:lang w:val="sq-AL"/>
        </w:rPr>
        <w:t>,</w:t>
      </w:r>
      <w:r w:rsidRPr="0058349C">
        <w:rPr>
          <w:rFonts w:ascii="Garamond" w:hAnsi="Garamond" w:cs="MS Mincho"/>
          <w:sz w:val="24"/>
          <w:szCs w:val="24"/>
          <w:lang w:val="sq-AL"/>
        </w:rPr>
        <w:t xml:space="preserve"> me një numër të konsiderueshëm grash të punësuara në industrinë përpunuese dhe shërbimet ndihmëse (viti 2020). Eksportet e peshkut dhe </w:t>
      </w:r>
      <w:r w:rsidR="002F2E53">
        <w:rPr>
          <w:rFonts w:ascii="Garamond" w:hAnsi="Garamond" w:cs="MS Mincho"/>
          <w:sz w:val="24"/>
          <w:szCs w:val="24"/>
          <w:lang w:val="sq-AL"/>
        </w:rPr>
        <w:t xml:space="preserve">të </w:t>
      </w:r>
      <w:r w:rsidRPr="0058349C">
        <w:rPr>
          <w:rFonts w:ascii="Garamond" w:hAnsi="Garamond" w:cs="MS Mincho"/>
          <w:sz w:val="24"/>
          <w:szCs w:val="24"/>
          <w:lang w:val="sq-AL"/>
        </w:rPr>
        <w:t xml:space="preserve">prodhimeve të detit janë trefishuar në shtatë </w:t>
      </w:r>
      <w:r w:rsidRPr="0058349C">
        <w:rPr>
          <w:rFonts w:ascii="Garamond" w:hAnsi="Garamond" w:cs="MS Mincho"/>
          <w:sz w:val="24"/>
          <w:szCs w:val="24"/>
          <w:lang w:val="sq-AL"/>
        </w:rPr>
        <w:lastRenderedPageBreak/>
        <w:t>v</w:t>
      </w:r>
      <w:r w:rsidR="003C58E2">
        <w:rPr>
          <w:rFonts w:ascii="Garamond" w:hAnsi="Garamond" w:cs="MS Mincho"/>
          <w:sz w:val="24"/>
          <w:szCs w:val="24"/>
          <w:lang w:val="sq-AL"/>
        </w:rPr>
        <w:t>jetët</w:t>
      </w:r>
      <w:r w:rsidRPr="0058349C">
        <w:rPr>
          <w:rFonts w:ascii="Garamond" w:hAnsi="Garamond" w:cs="MS Mincho"/>
          <w:sz w:val="24"/>
          <w:szCs w:val="24"/>
          <w:lang w:val="sq-AL"/>
        </w:rPr>
        <w:t xml:space="preserve"> e fundit</w:t>
      </w:r>
      <w:r w:rsidR="003C58E2">
        <w:rPr>
          <w:rFonts w:ascii="Garamond" w:hAnsi="Garamond" w:cs="MS Mincho"/>
          <w:sz w:val="24"/>
          <w:szCs w:val="24"/>
          <w:lang w:val="sq-AL"/>
        </w:rPr>
        <w:t>,</w:t>
      </w:r>
      <w:r w:rsidRPr="0058349C">
        <w:rPr>
          <w:rFonts w:ascii="Garamond" w:hAnsi="Garamond" w:cs="MS Mincho"/>
          <w:sz w:val="24"/>
          <w:szCs w:val="24"/>
          <w:lang w:val="sq-AL"/>
        </w:rPr>
        <w:t xml:space="preserve"> duke arritur 104 milionë </w:t>
      </w:r>
      <w:r w:rsidR="003C58E2" w:rsidRPr="0058349C">
        <w:rPr>
          <w:rFonts w:ascii="Garamond" w:hAnsi="Garamond" w:cs="MS Mincho"/>
          <w:sz w:val="24"/>
          <w:szCs w:val="24"/>
          <w:lang w:val="sq-AL"/>
        </w:rPr>
        <w:t xml:space="preserve">euro </w:t>
      </w:r>
      <w:r w:rsidRPr="0058349C">
        <w:rPr>
          <w:rFonts w:ascii="Garamond" w:hAnsi="Garamond" w:cs="MS Mincho"/>
          <w:sz w:val="24"/>
          <w:szCs w:val="24"/>
          <w:lang w:val="sq-AL"/>
        </w:rPr>
        <w:t>në vitin 2020. Industria e përpunimit të peshkut është e fokusuar në eksportimin drejt tregut të BE-së. Industria përpunuese e produkteve peshkore shfrytëzon jo më shumë se 39% të kapaciteteve ekzistuese dhe kjo i jep mundësi të vazhdueshme sektorit për t</w:t>
      </w:r>
      <w:r w:rsidR="00BA2530">
        <w:rPr>
          <w:rFonts w:ascii="Garamond" w:hAnsi="Garamond" w:cs="MS Mincho"/>
          <w:sz w:val="24"/>
          <w:szCs w:val="24"/>
          <w:lang w:val="sq-AL"/>
        </w:rPr>
        <w:t>’</w:t>
      </w:r>
      <w:r w:rsidRPr="0058349C">
        <w:rPr>
          <w:rFonts w:ascii="Garamond" w:hAnsi="Garamond" w:cs="MS Mincho"/>
          <w:sz w:val="24"/>
          <w:szCs w:val="24"/>
          <w:lang w:val="sq-AL"/>
        </w:rPr>
        <w:t>u zhvilluar edhe në të ardhmen. Akuakultura është bërë më e rëndësishme, duke përbërë 27% të sasisë totale</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dhe 26% të vlerës, veçanërisht për produktet e peshkut të kultivuar në det. Tashmë, tendenca dominohet nga shtimi i pjesës së kultivuar krahasuar me atë të zënë në det. Megjithatë, importi i produkteve të akuakulturës detare është i nevojshëm për të plotësuar kërkesën e brendshme, në rritjen e të cilës ka kontribuar edhe zhvillimi i turizmit.</w:t>
      </w:r>
    </w:p>
    <w:p w14:paraId="0773ACCB" w14:textId="099741A1" w:rsidR="00492C9C" w:rsidRPr="0058349C" w:rsidRDefault="00492C9C" w:rsidP="00EB774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Burimet bregdetare</w:t>
      </w:r>
      <w:r w:rsidRPr="0058349C">
        <w:rPr>
          <w:rFonts w:ascii="Garamond" w:hAnsi="Garamond" w:cs="MS Mincho"/>
          <w:sz w:val="24"/>
          <w:szCs w:val="24"/>
          <w:lang w:val="sq-AL"/>
        </w:rPr>
        <w:t xml:space="preserve"> </w:t>
      </w:r>
      <w:r w:rsidRPr="0058349C">
        <w:rPr>
          <w:rFonts w:ascii="Garamond" w:hAnsi="Garamond" w:cs="MS Mincho"/>
          <w:b/>
          <w:bCs/>
          <w:sz w:val="24"/>
          <w:szCs w:val="24"/>
          <w:lang w:val="sq-AL"/>
        </w:rPr>
        <w:t>dhe detare</w:t>
      </w:r>
      <w:r w:rsidRPr="0058349C">
        <w:rPr>
          <w:rFonts w:ascii="Garamond" w:hAnsi="Garamond" w:cs="MS Mincho"/>
          <w:sz w:val="24"/>
          <w:szCs w:val="24"/>
          <w:lang w:val="sq-AL"/>
        </w:rPr>
        <w:t xml:space="preserve"> janë pasuri ekonomike me një vlerë të lartë, potenciali i plotë i të cilave parashikohet që të eksplorohet në mënyrë më të plotë në Shqipëri. Zhvillimi i mëtejshëm i ekonomisë blu do të mundësohet nga transferimi dhe përthithja e kërkimit shkencor dhe inovacionit, investimet në biznese të reja detare dhe në bioekonomi, duke përfshirë modelet e qëndrueshme të turizmit, të cilat do të krijojnë vende pune dhe në të njëjtën kohë të rrisin zhvillimin e drejtuar në nivel loka</w:t>
      </w:r>
      <w:r w:rsidR="00EB774C">
        <w:rPr>
          <w:rFonts w:ascii="Garamond" w:hAnsi="Garamond" w:cs="MS Mincho"/>
          <w:sz w:val="24"/>
          <w:szCs w:val="24"/>
          <w:lang w:val="sq-AL"/>
        </w:rPr>
        <w:t>l me rëndësi të lartë sociale-</w:t>
      </w:r>
      <w:r w:rsidRPr="0058349C">
        <w:rPr>
          <w:rFonts w:ascii="Garamond" w:hAnsi="Garamond" w:cs="MS Mincho"/>
          <w:sz w:val="24"/>
          <w:szCs w:val="24"/>
          <w:lang w:val="sq-AL"/>
        </w:rPr>
        <w:t>ekonomike dhe kulturore për komunitetet bregdetare.</w:t>
      </w:r>
    </w:p>
    <w:p w14:paraId="0773ACCC"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Transformimi i shpejtë i prodhimit bujqësor dhe peshkimit, i nevojshëm për të ndërtuar sisteme të qëndrueshme ushqimore, kërkon fermerë, peshkatarë dhe operatorë përpunues ekonomikisht të qëndrueshëm dhe të aftë që të përballin sfidat.</w:t>
      </w:r>
    </w:p>
    <w:p w14:paraId="0773ACCE" w14:textId="77777777" w:rsidR="00492C9C" w:rsidRPr="0058349C" w:rsidRDefault="00492C9C" w:rsidP="00492C9C">
      <w:pPr>
        <w:keepLines/>
        <w:autoSpaceDE w:val="0"/>
        <w:autoSpaceDN w:val="0"/>
        <w:adjustRightInd w:val="0"/>
        <w:spacing w:after="0" w:line="240" w:lineRule="auto"/>
        <w:ind w:firstLine="284"/>
        <w:jc w:val="both"/>
        <w:outlineLvl w:val="1"/>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 xml:space="preserve">Politikat dhe objektivat e përgjithshëm </w:t>
      </w:r>
    </w:p>
    <w:p w14:paraId="0773ACCF" w14:textId="2A5E68DD" w:rsidR="00492C9C" w:rsidRPr="0058349C" w:rsidRDefault="00037728" w:rsidP="00037728">
      <w:pPr>
        <w:autoSpaceDE w:val="0"/>
        <w:autoSpaceDN w:val="0"/>
        <w:adjustRightInd w:val="0"/>
        <w:spacing w:after="0" w:line="240" w:lineRule="auto"/>
        <w:ind w:firstLine="284"/>
        <w:jc w:val="both"/>
        <w:rPr>
          <w:rFonts w:ascii="Garamond" w:hAnsi="Garamond" w:cs="MS Mincho"/>
          <w:sz w:val="24"/>
          <w:szCs w:val="24"/>
          <w:lang w:val="sq-AL"/>
        </w:rPr>
      </w:pPr>
      <w:r>
        <w:rPr>
          <w:rFonts w:ascii="Garamond" w:hAnsi="Garamond" w:cs="MS Mincho"/>
          <w:sz w:val="24"/>
          <w:szCs w:val="24"/>
          <w:lang w:val="sq-AL"/>
        </w:rPr>
        <w:t>SBZHRP 2021–</w:t>
      </w:r>
      <w:r w:rsidR="00492C9C" w:rsidRPr="0058349C">
        <w:rPr>
          <w:rFonts w:ascii="Garamond" w:hAnsi="Garamond" w:cs="MS Mincho"/>
          <w:sz w:val="24"/>
          <w:szCs w:val="24"/>
          <w:lang w:val="sq-AL"/>
        </w:rPr>
        <w:t>2027 përmban tr</w:t>
      </w:r>
      <w:r>
        <w:rPr>
          <w:rFonts w:ascii="Garamond" w:hAnsi="Garamond" w:cs="MS Mincho"/>
          <w:sz w:val="24"/>
          <w:szCs w:val="24"/>
          <w:lang w:val="sq-AL"/>
        </w:rPr>
        <w:t>i</w:t>
      </w:r>
      <w:r w:rsidR="00492C9C" w:rsidRPr="0058349C">
        <w:rPr>
          <w:rFonts w:ascii="Garamond" w:hAnsi="Garamond" w:cs="MS Mincho"/>
          <w:sz w:val="24"/>
          <w:szCs w:val="24"/>
          <w:lang w:val="sq-AL"/>
        </w:rPr>
        <w:t xml:space="preserve"> fusha politikash, katër objektiva të për</w:t>
      </w:r>
      <w:r>
        <w:rPr>
          <w:rFonts w:ascii="Garamond" w:hAnsi="Garamond" w:cs="MS Mincho"/>
          <w:sz w:val="24"/>
          <w:szCs w:val="24"/>
          <w:lang w:val="sq-AL"/>
        </w:rPr>
        <w:t>gjithshëm dhe dy objektiva ndër</w:t>
      </w:r>
      <w:r w:rsidR="00492C9C" w:rsidRPr="0058349C">
        <w:rPr>
          <w:rFonts w:ascii="Garamond" w:hAnsi="Garamond" w:cs="MS Mincho"/>
          <w:sz w:val="24"/>
          <w:szCs w:val="24"/>
          <w:lang w:val="sq-AL"/>
        </w:rPr>
        <w:t>sektorialë</w:t>
      </w:r>
      <w:r>
        <w:rPr>
          <w:rFonts w:ascii="Garamond" w:hAnsi="Garamond" w:cs="MS Mincho"/>
          <w:sz w:val="24"/>
          <w:szCs w:val="24"/>
          <w:lang w:val="sq-AL"/>
        </w:rPr>
        <w:t>,</w:t>
      </w:r>
      <w:r w:rsidR="00492C9C" w:rsidRPr="0058349C">
        <w:rPr>
          <w:rFonts w:ascii="Garamond" w:hAnsi="Garamond" w:cs="MS Mincho"/>
          <w:sz w:val="24"/>
          <w:szCs w:val="24"/>
          <w:lang w:val="sq-AL"/>
        </w:rPr>
        <w:t xml:space="preserve"> si vijon:</w:t>
      </w:r>
    </w:p>
    <w:p w14:paraId="0773ACD0" w14:textId="77777777" w:rsidR="00492C9C" w:rsidRPr="0058349C" w:rsidRDefault="00492C9C" w:rsidP="00492C9C">
      <w:pPr>
        <w:keepLines/>
        <w:autoSpaceDE w:val="0"/>
        <w:autoSpaceDN w:val="0"/>
        <w:adjustRightInd w:val="0"/>
        <w:spacing w:after="0" w:line="240" w:lineRule="auto"/>
        <w:ind w:firstLine="284"/>
        <w:jc w:val="both"/>
        <w:outlineLvl w:val="2"/>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 xml:space="preserve">Politika 1: Zhvillimi i qëndrueshëm i bujqësisë dhe i zonave rurale </w:t>
      </w:r>
    </w:p>
    <w:p w14:paraId="0773ACD1" w14:textId="03114BDF" w:rsidR="00492C9C" w:rsidRPr="0058349C" w:rsidRDefault="00492C9C" w:rsidP="00492C9C">
      <w:pPr>
        <w:autoSpaceDE w:val="0"/>
        <w:autoSpaceDN w:val="0"/>
        <w:adjustRightInd w:val="0"/>
        <w:spacing w:after="0" w:line="240" w:lineRule="auto"/>
        <w:ind w:firstLine="284"/>
        <w:jc w:val="both"/>
        <w:rPr>
          <w:rFonts w:ascii="Garamond" w:hAnsi="Garamond" w:cs="MS Mincho"/>
          <w:b/>
          <w:bCs/>
          <w:sz w:val="24"/>
          <w:szCs w:val="24"/>
          <w:lang w:val="sq-AL"/>
        </w:rPr>
      </w:pPr>
      <w:r w:rsidRPr="0058349C">
        <w:rPr>
          <w:rFonts w:ascii="Garamond" w:hAnsi="Garamond" w:cs="MS Mincho"/>
          <w:b/>
          <w:bCs/>
          <w:sz w:val="24"/>
          <w:szCs w:val="24"/>
          <w:lang w:val="sq-AL"/>
        </w:rPr>
        <w:t>Politika 1 përmban tre objektiva të përgjithshëm</w:t>
      </w:r>
      <w:r w:rsidR="00037728">
        <w:rPr>
          <w:rFonts w:ascii="Garamond" w:hAnsi="Garamond" w:cs="MS Mincho"/>
          <w:b/>
          <w:bCs/>
          <w:sz w:val="24"/>
          <w:szCs w:val="24"/>
          <w:lang w:val="sq-AL"/>
        </w:rPr>
        <w:t>,</w:t>
      </w:r>
      <w:r w:rsidRPr="0058349C">
        <w:rPr>
          <w:rFonts w:ascii="Garamond" w:hAnsi="Garamond" w:cs="MS Mincho"/>
          <w:b/>
          <w:bCs/>
          <w:sz w:val="24"/>
          <w:szCs w:val="24"/>
          <w:lang w:val="sq-AL"/>
        </w:rPr>
        <w:t xml:space="preserve"> si vijon:</w:t>
      </w:r>
    </w:p>
    <w:p w14:paraId="0773ACD2"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1. Promovimi i prodhimit të qëndrueshëm dhe të cilësisë së ushqimit nëpërmjet zhvillimit të një sektori konkurrues dhe inovativ agroushqimor:</w:t>
      </w:r>
      <w:r w:rsidRPr="0058349C">
        <w:rPr>
          <w:rFonts w:ascii="Garamond" w:hAnsi="Garamond" w:cs="MS Mincho"/>
          <w:sz w:val="24"/>
          <w:szCs w:val="24"/>
          <w:lang w:val="sq-AL"/>
        </w:rPr>
        <w:t xml:space="preserve"> Përmirësimi i efektshmërisë dhe prodhimit të qëndrueshëm në fermë, rritja e orientimit drejt tregut të sektorit të agropërpunimit ushqimor, harmonizimi në mënyrë progresive i tij me standardet e BE-së, gjë që do të japë një përgjigje më të mirë ndaj kërkesave të konsumatorëve për ushqim të sigurt, me vlera ushqyese dhe të qëndrueshëm.</w:t>
      </w:r>
    </w:p>
    <w:p w14:paraId="0773ACD3" w14:textId="5074158B"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 xml:space="preserve">2. Menaxhimi i </w:t>
      </w:r>
      <w:r w:rsidR="00D94644" w:rsidRPr="0058349C">
        <w:rPr>
          <w:rFonts w:ascii="Garamond" w:hAnsi="Garamond" w:cs="MS Mincho"/>
          <w:b/>
          <w:bCs/>
          <w:sz w:val="24"/>
          <w:szCs w:val="24"/>
          <w:lang w:val="sq-AL"/>
        </w:rPr>
        <w:t>qëndrueshëm</w:t>
      </w:r>
      <w:r w:rsidRPr="0058349C">
        <w:rPr>
          <w:rFonts w:ascii="Garamond" w:hAnsi="Garamond" w:cs="MS Mincho"/>
          <w:b/>
          <w:bCs/>
          <w:sz w:val="24"/>
          <w:szCs w:val="24"/>
          <w:lang w:val="sq-AL"/>
        </w:rPr>
        <w:t xml:space="preserve"> i burimeve natyrore dhe marrja e masave për zbutjen e efekteve negative</w:t>
      </w:r>
      <w:r w:rsidR="00D94644">
        <w:rPr>
          <w:rFonts w:ascii="Garamond" w:hAnsi="Garamond" w:cs="MS Mincho"/>
          <w:b/>
          <w:bCs/>
          <w:sz w:val="24"/>
          <w:szCs w:val="24"/>
          <w:lang w:val="sq-AL"/>
        </w:rPr>
        <w:t>,</w:t>
      </w:r>
      <w:r w:rsidRPr="0058349C">
        <w:rPr>
          <w:rFonts w:ascii="Garamond" w:hAnsi="Garamond" w:cs="MS Mincho"/>
          <w:b/>
          <w:bCs/>
          <w:sz w:val="24"/>
          <w:szCs w:val="24"/>
          <w:lang w:val="sq-AL"/>
        </w:rPr>
        <w:t xml:space="preserve"> si pasojë e ndryshimeve klimatike: </w:t>
      </w:r>
      <w:r w:rsidRPr="0058349C">
        <w:rPr>
          <w:rFonts w:ascii="Garamond" w:hAnsi="Garamond" w:cs="MS Mincho"/>
          <w:sz w:val="24"/>
          <w:szCs w:val="24"/>
          <w:lang w:val="sq-AL"/>
        </w:rPr>
        <w:t>Kontribut i shtuar për kujdesin ndaj mjedisit, përshtatjen dhe zbutjen e efekteve të klimës, mbrojtjen e biodiversitetit dhe të peizazhit.</w:t>
      </w:r>
    </w:p>
    <w:p w14:paraId="0773ACD4"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 xml:space="preserve">3. Forcimi i strukturës social-ekonomike të zonave rurale: </w:t>
      </w:r>
      <w:r w:rsidRPr="0058349C">
        <w:rPr>
          <w:rFonts w:ascii="Garamond" w:hAnsi="Garamond" w:cs="MS Mincho"/>
          <w:sz w:val="24"/>
          <w:szCs w:val="24"/>
          <w:lang w:val="sq-AL"/>
        </w:rPr>
        <w:t>Promovimi i</w:t>
      </w:r>
      <w:r w:rsidRPr="0058349C">
        <w:rPr>
          <w:rFonts w:ascii="Garamond" w:hAnsi="Garamond" w:cs="MS Mincho"/>
          <w:b/>
          <w:bCs/>
          <w:sz w:val="24"/>
          <w:szCs w:val="24"/>
          <w:lang w:val="sq-AL"/>
        </w:rPr>
        <w:t xml:space="preserve"> </w:t>
      </w:r>
      <w:r w:rsidRPr="0058349C">
        <w:rPr>
          <w:rFonts w:ascii="Garamond" w:hAnsi="Garamond" w:cs="MS Mincho"/>
          <w:sz w:val="24"/>
          <w:szCs w:val="24"/>
          <w:lang w:val="sq-AL"/>
        </w:rPr>
        <w:t>zhvillimit lokal nëpërmjet përmirësimit të mundësive të punësimit dhe të zhvillimit të biznesit brenda dhe jashtë fermës bujqësore, si dhe përmes iniciativave për zhvillim të territorit të udhëhequra nga komuniteti.</w:t>
      </w:r>
    </w:p>
    <w:p w14:paraId="0773ACD5" w14:textId="00272A5E" w:rsidR="00492C9C" w:rsidRPr="0058349C" w:rsidRDefault="00492C9C" w:rsidP="00492C9C">
      <w:pPr>
        <w:keepLines/>
        <w:autoSpaceDE w:val="0"/>
        <w:autoSpaceDN w:val="0"/>
        <w:adjustRightInd w:val="0"/>
        <w:spacing w:after="0" w:line="240" w:lineRule="auto"/>
        <w:ind w:firstLine="284"/>
        <w:jc w:val="both"/>
        <w:outlineLvl w:val="2"/>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Politika 2: Zhvillimi i qëndrueshëm i peshkimit</w:t>
      </w:r>
      <w:r w:rsidR="00CF7694" w:rsidRPr="0058349C">
        <w:rPr>
          <w:rFonts w:ascii="Garamond" w:eastAsiaTheme="minorHAnsi" w:hAnsi="Garamond" w:cs="Arial"/>
          <w:b/>
          <w:bCs/>
          <w:sz w:val="24"/>
          <w:szCs w:val="24"/>
          <w:lang w:val="sq-AL"/>
        </w:rPr>
        <w:t xml:space="preserve"> </w:t>
      </w:r>
      <w:r w:rsidRPr="0058349C">
        <w:rPr>
          <w:rFonts w:ascii="Garamond" w:eastAsiaTheme="minorHAnsi" w:hAnsi="Garamond" w:cs="Arial"/>
          <w:b/>
          <w:bCs/>
          <w:sz w:val="24"/>
          <w:szCs w:val="24"/>
          <w:lang w:val="sq-AL"/>
        </w:rPr>
        <w:t xml:space="preserve">dhe ekonomisë blu </w:t>
      </w:r>
    </w:p>
    <w:p w14:paraId="0773ACD6"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b/>
          <w:bCs/>
          <w:sz w:val="24"/>
          <w:szCs w:val="24"/>
          <w:lang w:val="sq-AL"/>
        </w:rPr>
      </w:pPr>
      <w:r w:rsidRPr="0058349C">
        <w:rPr>
          <w:rFonts w:ascii="Garamond" w:hAnsi="Garamond" w:cs="MS Mincho"/>
          <w:b/>
          <w:bCs/>
          <w:sz w:val="24"/>
          <w:szCs w:val="24"/>
          <w:lang w:val="sq-AL"/>
        </w:rPr>
        <w:t xml:space="preserve">Politika 2 përmban një objektiv të përgjithshëm si vijon </w:t>
      </w:r>
    </w:p>
    <w:p w14:paraId="0773ACD7" w14:textId="106B4D9D"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1. Nxitja e zhvillimit të qëndrueshëm detar dhe të ujërave të brendshme:</w:t>
      </w:r>
      <w:r w:rsidRPr="0058349C">
        <w:rPr>
          <w:rFonts w:ascii="Garamond" w:hAnsi="Garamond" w:cs="MS Mincho"/>
          <w:sz w:val="24"/>
          <w:szCs w:val="24"/>
          <w:lang w:val="sq-AL"/>
        </w:rPr>
        <w:t xml:space="preserve"> Forcimi i akuakulturës dhe </w:t>
      </w:r>
      <w:r w:rsidR="00D94644">
        <w:rPr>
          <w:rFonts w:ascii="Garamond" w:hAnsi="Garamond" w:cs="MS Mincho"/>
          <w:sz w:val="24"/>
          <w:szCs w:val="24"/>
          <w:lang w:val="sq-AL"/>
        </w:rPr>
        <w:t xml:space="preserve">i </w:t>
      </w:r>
      <w:r w:rsidRPr="0058349C">
        <w:rPr>
          <w:rFonts w:ascii="Garamond" w:hAnsi="Garamond" w:cs="MS Mincho"/>
          <w:sz w:val="24"/>
          <w:szCs w:val="24"/>
          <w:lang w:val="sq-AL"/>
        </w:rPr>
        <w:t>tregjeve konkurruese dhe të qëndrueshme, si dhe komuniteteve bregdetare me ekonomi të suksesshme, duke përfshirë ekonominë blu të qëndrueshme, si edhe nxitja e peshkimit të qëndrueshëm dhe mirëruajtja e burimeve biologjike.</w:t>
      </w:r>
    </w:p>
    <w:p w14:paraId="0773ACD8" w14:textId="77777777" w:rsidR="00492C9C" w:rsidRPr="0058349C" w:rsidRDefault="00492C9C" w:rsidP="00492C9C">
      <w:pPr>
        <w:keepLines/>
        <w:autoSpaceDE w:val="0"/>
        <w:autoSpaceDN w:val="0"/>
        <w:adjustRightInd w:val="0"/>
        <w:spacing w:after="0" w:line="240" w:lineRule="auto"/>
        <w:ind w:firstLine="284"/>
        <w:jc w:val="both"/>
        <w:outlineLvl w:val="2"/>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 xml:space="preserve">Politika 3: Zhvillimi kapaciteteve administrative dhe institucionale, bashkëpunimi i aktorëve, inovacioni dhe digjitalizimi </w:t>
      </w:r>
    </w:p>
    <w:p w14:paraId="0773ACD9" w14:textId="6C509281" w:rsidR="00492C9C" w:rsidRPr="0058349C" w:rsidRDefault="00492C9C" w:rsidP="00492C9C">
      <w:pPr>
        <w:autoSpaceDE w:val="0"/>
        <w:autoSpaceDN w:val="0"/>
        <w:adjustRightInd w:val="0"/>
        <w:spacing w:after="0" w:line="240" w:lineRule="auto"/>
        <w:ind w:firstLine="284"/>
        <w:jc w:val="both"/>
        <w:rPr>
          <w:rFonts w:ascii="Garamond" w:hAnsi="Garamond" w:cs="MS Mincho"/>
          <w:b/>
          <w:bCs/>
          <w:sz w:val="24"/>
          <w:szCs w:val="24"/>
          <w:lang w:val="sq-AL"/>
        </w:rPr>
      </w:pPr>
      <w:r w:rsidRPr="0058349C">
        <w:rPr>
          <w:rFonts w:ascii="Garamond" w:hAnsi="Garamond" w:cs="MS Mincho"/>
          <w:b/>
          <w:bCs/>
          <w:sz w:val="24"/>
          <w:szCs w:val="24"/>
          <w:lang w:val="sq-AL"/>
        </w:rPr>
        <w:t>Politik</w:t>
      </w:r>
      <w:r w:rsidR="00A15E3D">
        <w:rPr>
          <w:rFonts w:ascii="Garamond" w:hAnsi="Garamond" w:cs="MS Mincho"/>
          <w:b/>
          <w:bCs/>
          <w:sz w:val="24"/>
          <w:szCs w:val="24"/>
          <w:lang w:val="sq-AL"/>
        </w:rPr>
        <w:t>a III përmban dy objektiva ndër</w:t>
      </w:r>
      <w:r w:rsidRPr="0058349C">
        <w:rPr>
          <w:rFonts w:ascii="Garamond" w:hAnsi="Garamond" w:cs="MS Mincho"/>
          <w:b/>
          <w:bCs/>
          <w:sz w:val="24"/>
          <w:szCs w:val="24"/>
          <w:lang w:val="sq-AL"/>
        </w:rPr>
        <w:t>sektorialë</w:t>
      </w:r>
      <w:r w:rsidR="00A15E3D">
        <w:rPr>
          <w:rFonts w:ascii="Garamond" w:hAnsi="Garamond" w:cs="MS Mincho"/>
          <w:b/>
          <w:bCs/>
          <w:sz w:val="24"/>
          <w:szCs w:val="24"/>
          <w:lang w:val="sq-AL"/>
        </w:rPr>
        <w:t>,</w:t>
      </w:r>
      <w:r w:rsidRPr="0058349C">
        <w:rPr>
          <w:rFonts w:ascii="Garamond" w:hAnsi="Garamond" w:cs="MS Mincho"/>
          <w:b/>
          <w:bCs/>
          <w:sz w:val="24"/>
          <w:szCs w:val="24"/>
          <w:lang w:val="sq-AL"/>
        </w:rPr>
        <w:t xml:space="preserve"> si vijon: </w:t>
      </w:r>
    </w:p>
    <w:p w14:paraId="0773ACDA" w14:textId="702A4F1D"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 xml:space="preserve">1. </w:t>
      </w:r>
      <w:r w:rsidRPr="0058349C">
        <w:rPr>
          <w:rFonts w:ascii="Garamond" w:hAnsi="Garamond" w:cs="MS Mincho"/>
          <w:b/>
          <w:bCs/>
          <w:sz w:val="24"/>
          <w:szCs w:val="24"/>
          <w:lang w:val="sq-AL"/>
        </w:rPr>
        <w:t xml:space="preserve">Forcimi i kapaciteteve institucionale dhe </w:t>
      </w:r>
      <w:r w:rsidRPr="0058349C">
        <w:rPr>
          <w:rFonts w:ascii="Garamond" w:hAnsi="Garamond" w:cs="MS Mincho"/>
          <w:sz w:val="24"/>
          <w:szCs w:val="24"/>
          <w:lang w:val="sq-AL"/>
        </w:rPr>
        <w:t xml:space="preserve">administrative për përafrimin me </w:t>
      </w:r>
      <w:r w:rsidR="00B25257" w:rsidRPr="00B25257">
        <w:rPr>
          <w:rFonts w:ascii="Garamond" w:hAnsi="Garamond" w:cs="MS Mincho"/>
          <w:i/>
          <w:iCs/>
          <w:sz w:val="24"/>
          <w:szCs w:val="24"/>
          <w:lang w:val="sq-AL"/>
        </w:rPr>
        <w:t>acquis</w:t>
      </w:r>
      <w:r w:rsidRPr="00A15E3D">
        <w:rPr>
          <w:rFonts w:ascii="Garamond" w:hAnsi="Garamond" w:cs="MS Mincho"/>
          <w:i/>
          <w:iCs/>
          <w:sz w:val="24"/>
          <w:szCs w:val="24"/>
          <w:lang w:val="sq-AL"/>
        </w:rPr>
        <w:t xml:space="preserve"> communautaire</w:t>
      </w:r>
      <w:r w:rsidRPr="0058349C">
        <w:rPr>
          <w:rFonts w:ascii="Garamond" w:hAnsi="Garamond" w:cs="MS Mincho"/>
          <w:sz w:val="24"/>
          <w:szCs w:val="24"/>
          <w:lang w:val="sq-AL"/>
        </w:rPr>
        <w:t xml:space="preserve"> të BE-së në klasterin dhe kapitujt përkatës;</w:t>
      </w:r>
    </w:p>
    <w:p w14:paraId="0773ACDB" w14:textId="10C31D7F"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 xml:space="preserve">2. </w:t>
      </w:r>
      <w:r w:rsidRPr="0058349C">
        <w:rPr>
          <w:rFonts w:ascii="Garamond" w:hAnsi="Garamond" w:cs="MS Mincho"/>
          <w:b/>
          <w:bCs/>
          <w:sz w:val="24"/>
          <w:szCs w:val="24"/>
          <w:lang w:val="sq-AL"/>
        </w:rPr>
        <w:t xml:space="preserve">Transferimi i njohurive dhe </w:t>
      </w:r>
      <w:r w:rsidR="00A15E3D">
        <w:rPr>
          <w:rFonts w:ascii="Garamond" w:hAnsi="Garamond" w:cs="MS Mincho"/>
          <w:b/>
          <w:bCs/>
          <w:sz w:val="24"/>
          <w:szCs w:val="24"/>
          <w:lang w:val="sq-AL"/>
        </w:rPr>
        <w:t xml:space="preserve">i </w:t>
      </w:r>
      <w:r w:rsidRPr="0058349C">
        <w:rPr>
          <w:rFonts w:ascii="Garamond" w:hAnsi="Garamond" w:cs="MS Mincho"/>
          <w:b/>
          <w:bCs/>
          <w:sz w:val="24"/>
          <w:szCs w:val="24"/>
          <w:lang w:val="sq-AL"/>
        </w:rPr>
        <w:t xml:space="preserve">inovacionit </w:t>
      </w:r>
      <w:r w:rsidRPr="0058349C">
        <w:rPr>
          <w:rFonts w:ascii="Garamond" w:hAnsi="Garamond" w:cs="MS Mincho"/>
          <w:sz w:val="24"/>
          <w:szCs w:val="24"/>
          <w:lang w:val="sq-AL"/>
        </w:rPr>
        <w:t>në bujqësi</w:t>
      </w:r>
      <w:r w:rsidRPr="0058349C">
        <w:rPr>
          <w:rFonts w:ascii="Garamond" w:hAnsi="Garamond" w:cs="MS Mincho"/>
          <w:b/>
          <w:bCs/>
          <w:sz w:val="24"/>
          <w:szCs w:val="24"/>
          <w:lang w:val="sq-AL"/>
        </w:rPr>
        <w:t xml:space="preserve"> </w:t>
      </w:r>
      <w:r w:rsidRPr="0058349C">
        <w:rPr>
          <w:rFonts w:ascii="Garamond" w:hAnsi="Garamond" w:cs="MS Mincho"/>
          <w:sz w:val="24"/>
          <w:szCs w:val="24"/>
          <w:lang w:val="sq-AL"/>
        </w:rPr>
        <w:t>dhe në zonat rurale</w:t>
      </w:r>
      <w:r w:rsidR="00A15E3D">
        <w:rPr>
          <w:rFonts w:ascii="Garamond" w:hAnsi="Garamond" w:cs="MS Mincho"/>
          <w:sz w:val="24"/>
          <w:szCs w:val="24"/>
          <w:lang w:val="sq-AL"/>
        </w:rPr>
        <w:t>,</w:t>
      </w:r>
      <w:r w:rsidRPr="0058349C">
        <w:rPr>
          <w:rFonts w:ascii="Garamond" w:hAnsi="Garamond" w:cs="MS Mincho"/>
          <w:sz w:val="24"/>
          <w:szCs w:val="24"/>
          <w:lang w:val="sq-AL"/>
        </w:rPr>
        <w:t xml:space="preserve"> si dhe nxitja e përvetësimit dhe </w:t>
      </w:r>
      <w:r w:rsidR="00A15E3D">
        <w:rPr>
          <w:rFonts w:ascii="Garamond" w:hAnsi="Garamond" w:cs="MS Mincho"/>
          <w:sz w:val="24"/>
          <w:szCs w:val="24"/>
          <w:lang w:val="sq-AL"/>
        </w:rPr>
        <w:t xml:space="preserve">e </w:t>
      </w:r>
      <w:r w:rsidRPr="0058349C">
        <w:rPr>
          <w:rFonts w:ascii="Garamond" w:hAnsi="Garamond" w:cs="MS Mincho"/>
          <w:sz w:val="24"/>
          <w:szCs w:val="24"/>
          <w:lang w:val="sq-AL"/>
        </w:rPr>
        <w:t>vënies së tyre në zbatim.</w:t>
      </w:r>
    </w:p>
    <w:p w14:paraId="0773ACDC" w14:textId="28A7E1B6" w:rsidR="00492C9C" w:rsidRPr="0058349C" w:rsidRDefault="00492C9C" w:rsidP="00E95BE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lastRenderedPageBreak/>
        <w:t>Më tej</w:t>
      </w:r>
      <w:r w:rsidR="00E95BEC">
        <w:rPr>
          <w:rFonts w:ascii="Garamond" w:hAnsi="Garamond" w:cs="MS Mincho"/>
          <w:sz w:val="24"/>
          <w:szCs w:val="24"/>
          <w:lang w:val="sq-AL"/>
        </w:rPr>
        <w:t>, SBZHRP 2021–</w:t>
      </w:r>
      <w:r w:rsidRPr="0058349C">
        <w:rPr>
          <w:rFonts w:ascii="Garamond" w:hAnsi="Garamond" w:cs="MS Mincho"/>
          <w:sz w:val="24"/>
          <w:szCs w:val="24"/>
          <w:lang w:val="sq-AL"/>
        </w:rPr>
        <w:t xml:space="preserve">2027 synon forcimin e politikave të koordinimit dhe </w:t>
      </w:r>
      <w:r w:rsidR="00E95BEC">
        <w:rPr>
          <w:rFonts w:ascii="Garamond" w:hAnsi="Garamond" w:cs="MS Mincho"/>
          <w:sz w:val="24"/>
          <w:szCs w:val="24"/>
          <w:lang w:val="sq-AL"/>
        </w:rPr>
        <w:t xml:space="preserve">të </w:t>
      </w:r>
      <w:r w:rsidRPr="0058349C">
        <w:rPr>
          <w:rFonts w:ascii="Garamond" w:hAnsi="Garamond" w:cs="MS Mincho"/>
          <w:sz w:val="24"/>
          <w:szCs w:val="24"/>
          <w:lang w:val="sq-AL"/>
        </w:rPr>
        <w:t xml:space="preserve">komunikimit dhe forcimin e mekanizmave të performancës dhe </w:t>
      </w:r>
      <w:r w:rsidR="00E95BEC">
        <w:rPr>
          <w:rFonts w:ascii="Garamond" w:hAnsi="Garamond" w:cs="MS Mincho"/>
          <w:sz w:val="24"/>
          <w:szCs w:val="24"/>
          <w:lang w:val="sq-AL"/>
        </w:rPr>
        <w:t xml:space="preserve">të </w:t>
      </w:r>
      <w:r w:rsidRPr="0058349C">
        <w:rPr>
          <w:rFonts w:ascii="Garamond" w:hAnsi="Garamond" w:cs="MS Mincho"/>
          <w:sz w:val="24"/>
          <w:szCs w:val="24"/>
          <w:lang w:val="sq-AL"/>
        </w:rPr>
        <w:t xml:space="preserve">menaxhimit të rrezikut, së bashku me mekanizmin përkatës të monitorimit dhe </w:t>
      </w:r>
      <w:r w:rsidR="00E95BEC">
        <w:rPr>
          <w:rFonts w:ascii="Garamond" w:hAnsi="Garamond" w:cs="MS Mincho"/>
          <w:sz w:val="24"/>
          <w:szCs w:val="24"/>
          <w:lang w:val="sq-AL"/>
        </w:rPr>
        <w:t xml:space="preserve">të </w:t>
      </w:r>
      <w:r w:rsidRPr="0058349C">
        <w:rPr>
          <w:rFonts w:ascii="Garamond" w:hAnsi="Garamond" w:cs="MS Mincho"/>
          <w:sz w:val="24"/>
          <w:szCs w:val="24"/>
          <w:lang w:val="sq-AL"/>
        </w:rPr>
        <w:t>vlerësimit</w:t>
      </w:r>
      <w:r w:rsidR="00E95BEC">
        <w:rPr>
          <w:rFonts w:ascii="Garamond" w:hAnsi="Garamond" w:cs="MS Mincho"/>
          <w:sz w:val="24"/>
          <w:szCs w:val="24"/>
          <w:lang w:val="sq-AL"/>
        </w:rPr>
        <w:t>,</w:t>
      </w:r>
      <w:r w:rsidRPr="0058349C">
        <w:rPr>
          <w:rFonts w:ascii="Garamond" w:hAnsi="Garamond" w:cs="MS Mincho"/>
          <w:sz w:val="24"/>
          <w:szCs w:val="24"/>
          <w:lang w:val="sq-AL"/>
        </w:rPr>
        <w:t xml:space="preserve"> që është hartuar në përputhje me </w:t>
      </w:r>
      <w:r w:rsidR="00E95BEC" w:rsidRPr="0058349C">
        <w:rPr>
          <w:rFonts w:ascii="Garamond" w:hAnsi="Garamond" w:cs="MS Mincho"/>
          <w:sz w:val="24"/>
          <w:szCs w:val="24"/>
          <w:lang w:val="sq-AL"/>
        </w:rPr>
        <w:t xml:space="preserve">urdhrin </w:t>
      </w:r>
      <w:r w:rsidRPr="0058349C">
        <w:rPr>
          <w:rFonts w:ascii="Garamond" w:hAnsi="Garamond" w:cs="MS Mincho"/>
          <w:sz w:val="24"/>
          <w:szCs w:val="24"/>
          <w:lang w:val="sq-AL"/>
        </w:rPr>
        <w:t>përkatës të Kryeministrit.</w:t>
      </w:r>
    </w:p>
    <w:p w14:paraId="0773ACDD" w14:textId="77777777" w:rsidR="00492C9C" w:rsidRPr="0058349C" w:rsidRDefault="00492C9C" w:rsidP="00492C9C">
      <w:pPr>
        <w:keepLines/>
        <w:autoSpaceDE w:val="0"/>
        <w:autoSpaceDN w:val="0"/>
        <w:adjustRightInd w:val="0"/>
        <w:spacing w:after="0" w:line="240" w:lineRule="auto"/>
        <w:ind w:firstLine="284"/>
        <w:jc w:val="both"/>
        <w:outlineLvl w:val="1"/>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3.2 Situata në lidhje me politikat respektive</w:t>
      </w:r>
    </w:p>
    <w:p w14:paraId="0773ACDE" w14:textId="65681DCA" w:rsidR="00492C9C" w:rsidRPr="0058349C" w:rsidRDefault="00492C9C" w:rsidP="00916FD7">
      <w:pPr>
        <w:autoSpaceDE w:val="0"/>
        <w:autoSpaceDN w:val="0"/>
        <w:adjustRightInd w:val="0"/>
        <w:spacing w:after="0" w:line="240" w:lineRule="auto"/>
        <w:ind w:firstLine="284"/>
        <w:jc w:val="both"/>
        <w:outlineLvl w:val="2"/>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3.2.1 Politika 1</w:t>
      </w:r>
      <w:r w:rsidR="00916FD7">
        <w:rPr>
          <w:rFonts w:ascii="Garamond" w:eastAsiaTheme="minorHAnsi" w:hAnsi="Garamond" w:cs="Arial"/>
          <w:b/>
          <w:bCs/>
          <w:sz w:val="24"/>
          <w:szCs w:val="24"/>
          <w:lang w:val="sq-AL"/>
        </w:rPr>
        <w:t>:</w:t>
      </w:r>
      <w:r w:rsidRPr="0058349C">
        <w:rPr>
          <w:rFonts w:ascii="Garamond" w:eastAsiaTheme="minorHAnsi" w:hAnsi="Garamond" w:cs="Arial"/>
          <w:b/>
          <w:bCs/>
          <w:sz w:val="24"/>
          <w:szCs w:val="24"/>
          <w:lang w:val="sq-AL"/>
        </w:rPr>
        <w:t xml:space="preserve"> Objektivi i përgjithshëm 1: Promovimi i prodhimit të qëndrueshëm dhe </w:t>
      </w:r>
      <w:r w:rsidR="00916FD7">
        <w:rPr>
          <w:rFonts w:ascii="Garamond" w:eastAsiaTheme="minorHAnsi" w:hAnsi="Garamond" w:cs="Arial"/>
          <w:b/>
          <w:bCs/>
          <w:sz w:val="24"/>
          <w:szCs w:val="24"/>
          <w:lang w:val="sq-AL"/>
        </w:rPr>
        <w:t xml:space="preserve">i </w:t>
      </w:r>
      <w:r w:rsidRPr="0058349C">
        <w:rPr>
          <w:rFonts w:ascii="Garamond" w:eastAsiaTheme="minorHAnsi" w:hAnsi="Garamond" w:cs="Arial"/>
          <w:b/>
          <w:bCs/>
          <w:sz w:val="24"/>
          <w:szCs w:val="24"/>
          <w:lang w:val="sq-AL"/>
        </w:rPr>
        <w:t>cilësisë së ushqimit nëpërmjet zhvillimit të një sektori konkurrues dhe inovativ agroushqimor</w:t>
      </w:r>
    </w:p>
    <w:p w14:paraId="0773ACDF" w14:textId="5DE90475"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Transformimi me ritme më të shpejta i prodhimit bujqësor, që është i nevojshëm për të ndërtuar sisteme të qëndrueshme ushqimore kërkon një sektor bujqësor ekonomikisht perfomues dhe të qëndrueshëm</w:t>
      </w:r>
      <w:r w:rsidR="00916FD7">
        <w:rPr>
          <w:rFonts w:ascii="Garamond" w:hAnsi="Garamond" w:cs="MS Mincho"/>
          <w:sz w:val="24"/>
          <w:szCs w:val="24"/>
          <w:lang w:val="sq-AL"/>
        </w:rPr>
        <w:t>,</w:t>
      </w:r>
      <w:r w:rsidRPr="0058349C">
        <w:rPr>
          <w:rFonts w:ascii="Garamond" w:hAnsi="Garamond" w:cs="MS Mincho"/>
          <w:sz w:val="24"/>
          <w:szCs w:val="24"/>
          <w:lang w:val="sq-AL"/>
        </w:rPr>
        <w:t xml:space="preserve"> si edh</w:t>
      </w:r>
      <w:r w:rsidR="00916FD7">
        <w:rPr>
          <w:rFonts w:ascii="Garamond" w:hAnsi="Garamond" w:cs="MS Mincho"/>
          <w:sz w:val="24"/>
          <w:szCs w:val="24"/>
          <w:lang w:val="sq-AL"/>
        </w:rPr>
        <w:t>e një sektor konkurrues të agro</w:t>
      </w:r>
      <w:r w:rsidRPr="0058349C">
        <w:rPr>
          <w:rFonts w:ascii="Garamond" w:hAnsi="Garamond" w:cs="MS Mincho"/>
          <w:sz w:val="24"/>
          <w:szCs w:val="24"/>
          <w:lang w:val="sq-AL"/>
        </w:rPr>
        <w:t xml:space="preserve">përpunimit. Sfidat kryesore ekonomike dhe shoqërore që trajtohen në kuadër të </w:t>
      </w:r>
      <w:r w:rsidR="00916FD7" w:rsidRPr="0058349C">
        <w:rPr>
          <w:rFonts w:ascii="Garamond" w:hAnsi="Garamond" w:cs="MS Mincho"/>
          <w:sz w:val="24"/>
          <w:szCs w:val="24"/>
          <w:lang w:val="sq-AL"/>
        </w:rPr>
        <w:t xml:space="preserve">objektivit të përgjithshëm </w:t>
      </w:r>
      <w:r w:rsidRPr="0058349C">
        <w:rPr>
          <w:rFonts w:ascii="Garamond" w:hAnsi="Garamond" w:cs="MS Mincho"/>
          <w:sz w:val="24"/>
          <w:szCs w:val="24"/>
          <w:lang w:val="sq-AL"/>
        </w:rPr>
        <w:t>1 janë</w:t>
      </w:r>
      <w:r w:rsidR="00916FD7">
        <w:rPr>
          <w:rFonts w:ascii="Garamond" w:hAnsi="Garamond" w:cs="MS Mincho"/>
          <w:sz w:val="24"/>
          <w:szCs w:val="24"/>
          <w:lang w:val="sq-AL"/>
        </w:rPr>
        <w:t>,</w:t>
      </w:r>
      <w:r w:rsidRPr="0058349C">
        <w:rPr>
          <w:rFonts w:ascii="Garamond" w:hAnsi="Garamond" w:cs="MS Mincho"/>
          <w:sz w:val="24"/>
          <w:szCs w:val="24"/>
          <w:lang w:val="sq-AL"/>
        </w:rPr>
        <w:t xml:space="preserve"> si për të përmirësuar mundësitë e aktivitetit në bujqësi</w:t>
      </w:r>
      <w:r w:rsidR="00916FD7">
        <w:rPr>
          <w:rFonts w:ascii="Garamond" w:hAnsi="Garamond" w:cs="MS Mincho"/>
          <w:sz w:val="24"/>
          <w:szCs w:val="24"/>
          <w:lang w:val="sq-AL"/>
        </w:rPr>
        <w:t>,</w:t>
      </w:r>
      <w:r w:rsidRPr="0058349C">
        <w:rPr>
          <w:rFonts w:ascii="Garamond" w:hAnsi="Garamond" w:cs="MS Mincho"/>
          <w:sz w:val="24"/>
          <w:szCs w:val="24"/>
          <w:lang w:val="sq-AL"/>
        </w:rPr>
        <w:t xml:space="preserve"> ashtu edhe për të gjeneruar mundësi të reja, si dhe për të konsoliduar tregjet ekzistuese dhe eksploruar tregje të reja, brenda dhe jashtë vendit për sektorin agroushqimor. Me synimin e rritjes së eksporteve, do të promovohet veçanërisht rritja e konkurrueshmërisë</w:t>
      </w:r>
      <w:r w:rsidR="00916FD7">
        <w:rPr>
          <w:rFonts w:ascii="Garamond" w:hAnsi="Garamond" w:cs="MS Mincho"/>
          <w:sz w:val="24"/>
          <w:szCs w:val="24"/>
          <w:lang w:val="sq-AL"/>
        </w:rPr>
        <w:t>,</w:t>
      </w:r>
      <w:r w:rsidRPr="0058349C">
        <w:rPr>
          <w:rFonts w:ascii="Garamond" w:hAnsi="Garamond" w:cs="MS Mincho"/>
          <w:sz w:val="24"/>
          <w:szCs w:val="24"/>
          <w:lang w:val="sq-AL"/>
        </w:rPr>
        <w:t xml:space="preserve"> duke përmirësuar nivelin e mekanizimit të fermave, duke rritur sipërfaqet e se</w:t>
      </w:r>
      <w:r w:rsidR="00916FD7">
        <w:rPr>
          <w:rFonts w:ascii="Garamond" w:hAnsi="Garamond" w:cs="MS Mincho"/>
          <w:sz w:val="24"/>
          <w:szCs w:val="24"/>
          <w:lang w:val="sq-AL"/>
        </w:rPr>
        <w:t>r</w:t>
      </w:r>
      <w:r w:rsidRPr="0058349C">
        <w:rPr>
          <w:rFonts w:ascii="Garamond" w:hAnsi="Garamond" w:cs="MS Mincho"/>
          <w:sz w:val="24"/>
          <w:szCs w:val="24"/>
          <w:lang w:val="sq-AL"/>
        </w:rPr>
        <w:t>rave, të pemëve frutore intensive, ullishtave dhe bimëve mjekësore dhe aromatike, diversifikimi i produkteve bujqësore të kultivuara dhe shtimi i sipërfaqeve</w:t>
      </w:r>
      <w:r w:rsidR="00916FD7">
        <w:rPr>
          <w:rFonts w:ascii="Garamond" w:hAnsi="Garamond" w:cs="MS Mincho"/>
          <w:sz w:val="24"/>
          <w:szCs w:val="24"/>
          <w:lang w:val="sq-AL"/>
        </w:rPr>
        <w:t>,</w:t>
      </w:r>
      <w:r w:rsidRPr="0058349C">
        <w:rPr>
          <w:rFonts w:ascii="Garamond" w:hAnsi="Garamond" w:cs="MS Mincho"/>
          <w:sz w:val="24"/>
          <w:szCs w:val="24"/>
          <w:lang w:val="sq-AL"/>
        </w:rPr>
        <w:t xml:space="preserve"> të cilat kanë vlerë më të lartë të shtuar për operatorët e sektorit dhe ose kalojnë nëpërmjet përpunimi</w:t>
      </w:r>
      <w:r w:rsidR="00916FD7">
        <w:rPr>
          <w:rFonts w:ascii="Garamond" w:hAnsi="Garamond" w:cs="MS Mincho"/>
          <w:sz w:val="24"/>
          <w:szCs w:val="24"/>
          <w:lang w:val="sq-AL"/>
        </w:rPr>
        <w:t>t,</w:t>
      </w:r>
      <w:r w:rsidRPr="0058349C">
        <w:rPr>
          <w:rFonts w:ascii="Garamond" w:hAnsi="Garamond" w:cs="MS Mincho"/>
          <w:sz w:val="24"/>
          <w:szCs w:val="24"/>
          <w:lang w:val="sq-AL"/>
        </w:rPr>
        <w:t xml:space="preserve"> si dhe nëpërmjet shtimit të blegtorisë së imët dhe rritjes së rendimentit për krerë në lopët e qumështit.</w:t>
      </w:r>
    </w:p>
    <w:p w14:paraId="0773ACE0" w14:textId="77777777"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Çështjet kryesore për t’u trajtuar:</w:t>
      </w:r>
    </w:p>
    <w:p w14:paraId="0773ACE1" w14:textId="78E84062"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Mbështetja e një procesi të përshtatshëm të konsolidimit të fermës në terma ekonomikë dhe strukturor</w:t>
      </w:r>
      <w:r w:rsidR="009032B2">
        <w:rPr>
          <w:rFonts w:ascii="Garamond" w:hAnsi="Garamond" w:cs="MS Mincho"/>
          <w:sz w:val="24"/>
          <w:szCs w:val="24"/>
          <w:lang w:val="sq-AL"/>
        </w:rPr>
        <w:t>ë</w:t>
      </w:r>
      <w:r w:rsidRPr="0058349C">
        <w:rPr>
          <w:rFonts w:ascii="Garamond" w:hAnsi="Garamond" w:cs="MS Mincho"/>
          <w:sz w:val="24"/>
          <w:szCs w:val="24"/>
          <w:lang w:val="sq-AL"/>
        </w:rPr>
        <w:t>;</w:t>
      </w:r>
    </w:p>
    <w:p w14:paraId="0773ACE2" w14:textId="320B8ED5"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Mbështetja e të ardhurave të fermave familjare të vogla dhe të mesme dhe të atyre që ndodhen në zona me kufizime natyrore nëpërmjet forcimit të bashkëpunimit midis operatorëve në faza të ndryshme të prodhimit, tregtimit apo përpunimit. Nevoja për mbështetje të qëndrueshmërisë së fermave kërkohet në periudhën afatshkurtër dhe afatmesme, e nxitur kryesisht nga ndryshimet e vazhdueshme të tregjeve ndërkombëtare dhe procesi i stabilizimit të tregjeve të reja për produktet shqiptare</w:t>
      </w:r>
      <w:r w:rsidR="009032B2">
        <w:rPr>
          <w:rFonts w:ascii="Garamond" w:hAnsi="Garamond" w:cs="MS Mincho"/>
          <w:sz w:val="24"/>
          <w:szCs w:val="24"/>
          <w:lang w:val="sq-AL"/>
        </w:rPr>
        <w:t>,</w:t>
      </w:r>
      <w:r w:rsidRPr="0058349C">
        <w:rPr>
          <w:rFonts w:ascii="Garamond" w:hAnsi="Garamond" w:cs="MS Mincho"/>
          <w:sz w:val="24"/>
          <w:szCs w:val="24"/>
          <w:lang w:val="sq-AL"/>
        </w:rPr>
        <w:t xml:space="preserve"> si dhe nga rritja e ngjarjeve të motit ekstrem të nxitura nga klima. Këta faktorë justifikojnë nevojën për skemat e përshtatshme të mbështetjes së të ardhurave, veçanërisht për fermerët më të vegjël</w:t>
      </w:r>
      <w:r w:rsidR="009032B2">
        <w:rPr>
          <w:rFonts w:ascii="Garamond" w:hAnsi="Garamond" w:cs="MS Mincho"/>
          <w:sz w:val="24"/>
          <w:szCs w:val="24"/>
          <w:lang w:val="sq-AL"/>
        </w:rPr>
        <w:t>,</w:t>
      </w:r>
      <w:r w:rsidRPr="0058349C">
        <w:rPr>
          <w:rFonts w:ascii="Garamond" w:hAnsi="Garamond" w:cs="MS Mincho"/>
          <w:sz w:val="24"/>
          <w:szCs w:val="24"/>
          <w:lang w:val="sq-AL"/>
        </w:rPr>
        <w:t xml:space="preserve"> të cilët duan të tregtojnë duke u bashkuar me operatorë të tjerë, ata ekonomikisht të qëndrueshëm;</w:t>
      </w:r>
    </w:p>
    <w:p w14:paraId="0773ACE3" w14:textId="02EE731D"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 xml:space="preserve">Tërheqja e fermerëve të rinj në biznesin bujqësor dhe rural dhe lehtësimi i ngritjes rishtazi dhe zhvillimit të biznesit të tyre </w:t>
      </w:r>
      <w:r w:rsidRPr="00922C8D">
        <w:rPr>
          <w:rFonts w:ascii="Garamond" w:hAnsi="Garamond" w:cs="MS Mincho"/>
          <w:i/>
          <w:iCs/>
          <w:sz w:val="24"/>
          <w:szCs w:val="24"/>
          <w:lang w:val="sq-AL"/>
        </w:rPr>
        <w:t>(start-up)</w:t>
      </w:r>
      <w:r w:rsidRPr="0058349C">
        <w:rPr>
          <w:rFonts w:ascii="Garamond" w:hAnsi="Garamond" w:cs="MS Mincho"/>
          <w:sz w:val="24"/>
          <w:szCs w:val="24"/>
          <w:lang w:val="sq-AL"/>
        </w:rPr>
        <w:t xml:space="preserve"> për një rinovim të gjeneratës së fermerëve në sektorin e bujqësisë;</w:t>
      </w:r>
    </w:p>
    <w:p w14:paraId="0773ACE4" w14:textId="575A7DD8"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 xml:space="preserve">Përmirësimi i efektshmërisë dhe </w:t>
      </w:r>
      <w:r w:rsidR="00A1644E">
        <w:rPr>
          <w:rFonts w:ascii="Garamond" w:hAnsi="Garamond" w:cs="MS Mincho"/>
          <w:sz w:val="24"/>
          <w:szCs w:val="24"/>
          <w:lang w:val="sq-AL"/>
        </w:rPr>
        <w:t xml:space="preserve">i </w:t>
      </w:r>
      <w:r w:rsidRPr="0058349C">
        <w:rPr>
          <w:rFonts w:ascii="Garamond" w:hAnsi="Garamond" w:cs="MS Mincho"/>
          <w:sz w:val="24"/>
          <w:szCs w:val="24"/>
          <w:lang w:val="sq-AL"/>
        </w:rPr>
        <w:t>qëndrueshmërisë së prodhimit në fermë, i cili do të sigurojë përgjigje më të mirë ndaj kërkesave të konsumatorëve për ushqim të sigurt, me vlera ushqyese dhe të qëndrueshëm;</w:t>
      </w:r>
    </w:p>
    <w:p w14:paraId="0773ACE5" w14:textId="1F9B6F72"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Rritja e kapacitetit të fermerëve për të krijuar dhe për të zotëruar një pjesë më të madhe të vlerës së shtuar në zinxhirin e furnizimit ushqimor;</w:t>
      </w:r>
    </w:p>
    <w:p w14:paraId="0773ACE6" w14:textId="459AADF8"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Qëndrueshmëri ekonomike e rritur e sektorit agroushqimor</w:t>
      </w:r>
      <w:r w:rsidR="00A1644E">
        <w:rPr>
          <w:rFonts w:ascii="Garamond" w:hAnsi="Garamond" w:cs="MS Mincho"/>
          <w:sz w:val="24"/>
          <w:szCs w:val="24"/>
          <w:lang w:val="sq-AL"/>
        </w:rPr>
        <w:t>,</w:t>
      </w:r>
      <w:r w:rsidRPr="0058349C">
        <w:rPr>
          <w:rFonts w:ascii="Garamond" w:hAnsi="Garamond" w:cs="MS Mincho"/>
          <w:sz w:val="24"/>
          <w:szCs w:val="24"/>
          <w:lang w:val="sq-AL"/>
        </w:rPr>
        <w:t xml:space="preserve"> që varet nga arritjet e sektorit për të investuar në siguri ushqimore dhe qëndrueshmëri të përdorimit të burimeve;</w:t>
      </w:r>
    </w:p>
    <w:p w14:paraId="0773ACE7" w14:textId="2160BA8D"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 xml:space="preserve">Përafrimi në mënyrë progresive i fermave të qëndrueshme dhe </w:t>
      </w:r>
      <w:r w:rsidR="00A1644E">
        <w:rPr>
          <w:rFonts w:ascii="Garamond" w:hAnsi="Garamond" w:cs="MS Mincho"/>
          <w:sz w:val="24"/>
          <w:szCs w:val="24"/>
          <w:lang w:val="sq-AL"/>
        </w:rPr>
        <w:t xml:space="preserve">i </w:t>
      </w:r>
      <w:r w:rsidRPr="0058349C">
        <w:rPr>
          <w:rFonts w:ascii="Garamond" w:hAnsi="Garamond" w:cs="MS Mincho"/>
          <w:sz w:val="24"/>
          <w:szCs w:val="24"/>
          <w:lang w:val="sq-AL"/>
        </w:rPr>
        <w:t>bizne</w:t>
      </w:r>
      <w:r w:rsidR="0094727D">
        <w:rPr>
          <w:rFonts w:ascii="Garamond" w:hAnsi="Garamond" w:cs="MS Mincho"/>
          <w:sz w:val="24"/>
          <w:szCs w:val="24"/>
          <w:lang w:val="sq-AL"/>
        </w:rPr>
        <w:t>seve të përpunimit agroushqimor</w:t>
      </w:r>
      <w:r w:rsidRPr="0058349C">
        <w:rPr>
          <w:rFonts w:ascii="Garamond" w:hAnsi="Garamond" w:cs="MS Mincho"/>
          <w:sz w:val="24"/>
          <w:szCs w:val="24"/>
          <w:lang w:val="sq-AL"/>
        </w:rPr>
        <w:t xml:space="preserve"> apo </w:t>
      </w:r>
      <w:r w:rsidR="0094727D">
        <w:rPr>
          <w:rFonts w:ascii="Garamond" w:hAnsi="Garamond" w:cs="MS Mincho"/>
          <w:sz w:val="24"/>
          <w:szCs w:val="24"/>
          <w:lang w:val="sq-AL"/>
        </w:rPr>
        <w:t xml:space="preserve">i </w:t>
      </w:r>
      <w:r w:rsidRPr="0058349C">
        <w:rPr>
          <w:rFonts w:ascii="Garamond" w:hAnsi="Garamond" w:cs="MS Mincho"/>
          <w:sz w:val="24"/>
          <w:szCs w:val="24"/>
          <w:lang w:val="sq-AL"/>
        </w:rPr>
        <w:t>tregtimit me standardet e BE-së, për të siguruar produkte ushqimore të sigurta dhe për të rritur konkurrencën e tyre kombëtare dhe ndërkombëtare (rritje të eksportit);</w:t>
      </w:r>
    </w:p>
    <w:p w14:paraId="0773ACE8" w14:textId="46320364"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Nxitja e inovacionit dhe e një niveli të lartë të trajnimit dhe të investimeve në bujqësi dhe në përpunimin ushqimor;</w:t>
      </w:r>
    </w:p>
    <w:p w14:paraId="0773ACE9" w14:textId="07B8ED8C"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eastAsiaTheme="minorHAnsi" w:hAnsi="Garamond" w:cs="Wingdings"/>
          <w:sz w:val="24"/>
          <w:szCs w:val="24"/>
          <w:lang w:val="sq-AL"/>
        </w:rPr>
        <w:t>-</w:t>
      </w:r>
      <w:r w:rsidR="00CF7694" w:rsidRPr="0058349C">
        <w:rPr>
          <w:rFonts w:ascii="Garamond" w:eastAsiaTheme="minorHAnsi" w:hAnsi="Garamond" w:cs="Wingdings"/>
          <w:sz w:val="24"/>
          <w:szCs w:val="24"/>
          <w:lang w:val="sq-AL"/>
        </w:rPr>
        <w:t xml:space="preserve"> </w:t>
      </w:r>
      <w:r w:rsidRPr="0058349C">
        <w:rPr>
          <w:rFonts w:ascii="Garamond" w:hAnsi="Garamond" w:cs="MS Mincho"/>
          <w:sz w:val="24"/>
          <w:szCs w:val="24"/>
          <w:lang w:val="sq-AL"/>
        </w:rPr>
        <w:t>Stimulimi i aksesit në financa për zhvillimin e biznesit.</w:t>
      </w:r>
    </w:p>
    <w:p w14:paraId="0773ACEB" w14:textId="3795DF5C" w:rsidR="00492C9C" w:rsidRPr="0058349C" w:rsidRDefault="00492C9C" w:rsidP="00C15A4B">
      <w:pPr>
        <w:keepLines/>
        <w:autoSpaceDE w:val="0"/>
        <w:autoSpaceDN w:val="0"/>
        <w:adjustRightInd w:val="0"/>
        <w:spacing w:after="0" w:line="240" w:lineRule="auto"/>
        <w:ind w:firstLine="284"/>
        <w:jc w:val="both"/>
        <w:outlineLvl w:val="3"/>
        <w:rPr>
          <w:rFonts w:ascii="Garamond" w:eastAsiaTheme="minorHAnsi" w:hAnsi="Garamond" w:cs="Arial"/>
          <w:b/>
          <w:bCs/>
          <w:sz w:val="24"/>
          <w:szCs w:val="24"/>
          <w:lang w:val="sq-AL"/>
        </w:rPr>
      </w:pPr>
      <w:r w:rsidRPr="0058349C">
        <w:rPr>
          <w:rFonts w:ascii="Garamond" w:eastAsiaTheme="minorHAnsi" w:hAnsi="Garamond" w:cs="Arial"/>
          <w:b/>
          <w:bCs/>
          <w:sz w:val="24"/>
          <w:szCs w:val="24"/>
          <w:lang w:val="sq-AL"/>
        </w:rPr>
        <w:t>3.2.1.1 Politika 1</w:t>
      </w:r>
      <w:r w:rsidR="00C15A4B">
        <w:rPr>
          <w:rFonts w:ascii="Garamond" w:eastAsiaTheme="minorHAnsi" w:hAnsi="Garamond" w:cs="Arial"/>
          <w:b/>
          <w:bCs/>
          <w:sz w:val="24"/>
          <w:szCs w:val="24"/>
          <w:lang w:val="sq-AL"/>
        </w:rPr>
        <w:t>:</w:t>
      </w:r>
      <w:r w:rsidRPr="0058349C">
        <w:rPr>
          <w:rFonts w:ascii="Garamond" w:eastAsiaTheme="minorHAnsi" w:hAnsi="Garamond" w:cs="Arial"/>
          <w:b/>
          <w:bCs/>
          <w:sz w:val="24"/>
          <w:szCs w:val="24"/>
          <w:lang w:val="sq-AL"/>
        </w:rPr>
        <w:t xml:space="preserve"> Objektivi specifik 1: Rritja e qëndrueshmërisë dhe </w:t>
      </w:r>
      <w:r w:rsidR="00C15A4B">
        <w:rPr>
          <w:rFonts w:ascii="Garamond" w:eastAsiaTheme="minorHAnsi" w:hAnsi="Garamond" w:cs="Arial"/>
          <w:b/>
          <w:bCs/>
          <w:sz w:val="24"/>
          <w:szCs w:val="24"/>
          <w:lang w:val="sq-AL"/>
        </w:rPr>
        <w:t xml:space="preserve">e </w:t>
      </w:r>
      <w:r w:rsidRPr="0058349C">
        <w:rPr>
          <w:rFonts w:ascii="Garamond" w:eastAsiaTheme="minorHAnsi" w:hAnsi="Garamond" w:cs="Arial"/>
          <w:b/>
          <w:bCs/>
          <w:sz w:val="24"/>
          <w:szCs w:val="24"/>
          <w:lang w:val="sq-AL"/>
        </w:rPr>
        <w:t>reziliencës/elasticitetit të fermave</w:t>
      </w:r>
    </w:p>
    <w:p w14:paraId="0773ACEC" w14:textId="0B09791E" w:rsidR="00492C9C" w:rsidRPr="0058349C" w:rsidRDefault="00492C9C" w:rsidP="00324B32">
      <w:pPr>
        <w:tabs>
          <w:tab w:val="left" w:pos="1400"/>
        </w:tabs>
        <w:autoSpaceDE w:val="0"/>
        <w:autoSpaceDN w:val="0"/>
        <w:adjustRightInd w:val="0"/>
        <w:spacing w:after="0" w:line="240" w:lineRule="auto"/>
        <w:ind w:firstLine="284"/>
        <w:jc w:val="both"/>
        <w:rPr>
          <w:rFonts w:ascii="Garamond" w:hAnsi="Garamond" w:cs="MS Mincho"/>
          <w:b/>
          <w:bCs/>
          <w:sz w:val="24"/>
          <w:szCs w:val="24"/>
          <w:lang w:val="sq-AL"/>
        </w:rPr>
      </w:pPr>
      <w:r w:rsidRPr="0058349C">
        <w:rPr>
          <w:rFonts w:ascii="Garamond" w:hAnsi="Garamond" w:cs="MS Mincho"/>
          <w:b/>
          <w:bCs/>
          <w:sz w:val="24"/>
          <w:szCs w:val="24"/>
          <w:lang w:val="sq-AL"/>
        </w:rPr>
        <w:lastRenderedPageBreak/>
        <w:t>Situata specifike në lidhje me politikën 1 dhe objektivat e saj</w:t>
      </w:r>
    </w:p>
    <w:p w14:paraId="0773ACED" w14:textId="77777777" w:rsidR="00492C9C" w:rsidRPr="0058349C" w:rsidRDefault="00492C9C" w:rsidP="00492C9C">
      <w:pPr>
        <w:tabs>
          <w:tab w:val="left" w:pos="1400"/>
        </w:tabs>
        <w:autoSpaceDE w:val="0"/>
        <w:autoSpaceDN w:val="0"/>
        <w:adjustRightInd w:val="0"/>
        <w:spacing w:after="0" w:line="240" w:lineRule="auto"/>
        <w:ind w:firstLine="284"/>
        <w:jc w:val="both"/>
        <w:rPr>
          <w:rFonts w:ascii="Garamond" w:hAnsi="Garamond" w:cs="MS Mincho"/>
          <w:b/>
          <w:bCs/>
          <w:sz w:val="24"/>
          <w:szCs w:val="24"/>
          <w:lang w:val="sq-AL"/>
        </w:rPr>
      </w:pPr>
      <w:r w:rsidRPr="0058349C">
        <w:rPr>
          <w:rFonts w:ascii="Garamond" w:hAnsi="Garamond" w:cs="MS Mincho"/>
          <w:b/>
          <w:bCs/>
          <w:sz w:val="24"/>
          <w:szCs w:val="24"/>
          <w:lang w:val="sq-AL"/>
        </w:rPr>
        <w:t>Struktura e fermës</w:t>
      </w:r>
    </w:p>
    <w:p w14:paraId="0773ACEE" w14:textId="0CCCAC5A"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Sipas INSTAT (2020), sipërfaqja e përgjithshme e tokës bujqësore të shfrytëzuar (</w:t>
      </w:r>
      <w:r w:rsidR="00324B32" w:rsidRPr="0058349C">
        <w:rPr>
          <w:rFonts w:ascii="Garamond" w:hAnsi="Garamond" w:cs="MS Mincho"/>
          <w:sz w:val="24"/>
          <w:szCs w:val="24"/>
          <w:lang w:val="sq-AL"/>
        </w:rPr>
        <w:t>TBSH</w:t>
      </w:r>
      <w:r w:rsidRPr="0058349C">
        <w:rPr>
          <w:rFonts w:ascii="Garamond" w:hAnsi="Garamond" w:cs="MS Mincho"/>
          <w:sz w:val="24"/>
          <w:szCs w:val="24"/>
          <w:lang w:val="sq-AL"/>
        </w:rPr>
        <w:t xml:space="preserve">) në Shqipëri, përfshirë edhe livadhet dhe kullotat është 986,600 ha. </w:t>
      </w:r>
    </w:p>
    <w:p w14:paraId="0773ACEF" w14:textId="77777777" w:rsidR="00492C9C" w:rsidRPr="0058349C" w:rsidRDefault="00492C9C" w:rsidP="00492C9C">
      <w:pPr>
        <w:tabs>
          <w:tab w:val="left" w:pos="0"/>
        </w:tabs>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sz w:val="24"/>
          <w:szCs w:val="24"/>
          <w:lang w:val="sq-AL"/>
        </w:rPr>
        <w:t>Sipërfaqja e tokës bujqësore të pashfrytëzuar llogaritet në rreth 100,000 ha, e cila përfaqësohet kryesisht nga kategoria e tokave të pandara, aktualisht në administrim të bashkive.</w:t>
      </w:r>
    </w:p>
    <w:p w14:paraId="0773ACF0" w14:textId="77777777" w:rsidR="00FA4D3B" w:rsidRPr="0058349C" w:rsidRDefault="00FA4D3B" w:rsidP="00492C9C">
      <w:pPr>
        <w:autoSpaceDE w:val="0"/>
        <w:autoSpaceDN w:val="0"/>
        <w:adjustRightInd w:val="0"/>
        <w:spacing w:after="0" w:line="240" w:lineRule="auto"/>
        <w:ind w:firstLine="284"/>
        <w:jc w:val="both"/>
        <w:rPr>
          <w:rFonts w:ascii="Garamond" w:eastAsiaTheme="minorHAnsi" w:hAnsi="Garamond" w:cs="Arial Narrow"/>
          <w:b/>
          <w:bCs/>
          <w:sz w:val="24"/>
          <w:szCs w:val="24"/>
          <w:lang w:val="sq-AL"/>
        </w:rPr>
      </w:pPr>
    </w:p>
    <w:p w14:paraId="0773ACF1" w14:textId="3918E71F" w:rsidR="00492C9C" w:rsidRPr="00324B32" w:rsidRDefault="00DF6621" w:rsidP="00324B32">
      <w:pPr>
        <w:autoSpaceDE w:val="0"/>
        <w:autoSpaceDN w:val="0"/>
        <w:adjustRightInd w:val="0"/>
        <w:spacing w:after="0" w:line="240" w:lineRule="auto"/>
        <w:jc w:val="center"/>
        <w:rPr>
          <w:rFonts w:ascii="Garamond" w:eastAsiaTheme="minorHAnsi" w:hAnsi="Garamond" w:cs="Arial Narrow"/>
          <w:i/>
          <w:iCs/>
          <w:sz w:val="20"/>
          <w:szCs w:val="20"/>
          <w:lang w:val="sq-AL"/>
        </w:rPr>
      </w:pPr>
      <w:r>
        <w:rPr>
          <w:rFonts w:ascii="Garamond" w:eastAsiaTheme="minorHAnsi" w:hAnsi="Garamond" w:cs="Arial Narrow"/>
          <w:b/>
          <w:bCs/>
          <w:i/>
          <w:iCs/>
          <w:sz w:val="20"/>
          <w:szCs w:val="20"/>
          <w:lang w:val="sq-AL"/>
        </w:rPr>
        <w:t>Tabela 3-</w:t>
      </w:r>
      <w:r w:rsidR="00492C9C" w:rsidRPr="00324B32">
        <w:rPr>
          <w:rFonts w:ascii="Garamond" w:eastAsiaTheme="minorHAnsi" w:hAnsi="Garamond" w:cs="Arial Narrow"/>
          <w:b/>
          <w:bCs/>
          <w:i/>
          <w:iCs/>
          <w:sz w:val="20"/>
          <w:szCs w:val="20"/>
          <w:lang w:val="sq-AL"/>
        </w:rPr>
        <w:t xml:space="preserve">1: </w:t>
      </w:r>
      <w:r w:rsidR="00492C9C" w:rsidRPr="00324B32">
        <w:rPr>
          <w:rFonts w:ascii="Garamond" w:eastAsiaTheme="minorHAnsi" w:hAnsi="Garamond" w:cs="Arial Narrow"/>
          <w:i/>
          <w:iCs/>
          <w:sz w:val="20"/>
          <w:szCs w:val="20"/>
          <w:lang w:val="sq-AL"/>
        </w:rPr>
        <w:t>Toka bujqësore sipas përdorimit (2019/2020)</w:t>
      </w:r>
    </w:p>
    <w:tbl>
      <w:tblPr>
        <w:tblW w:w="5000" w:type="pct"/>
        <w:jc w:val="center"/>
        <w:tblLayout w:type="fixed"/>
        <w:tblLook w:val="04A0" w:firstRow="1" w:lastRow="0" w:firstColumn="1" w:lastColumn="0" w:noHBand="0" w:noVBand="1"/>
      </w:tblPr>
      <w:tblGrid>
        <w:gridCol w:w="4450"/>
        <w:gridCol w:w="1447"/>
        <w:gridCol w:w="1627"/>
        <w:gridCol w:w="1763"/>
      </w:tblGrid>
      <w:tr w:rsidR="00FA4D3B" w:rsidRPr="0058349C" w14:paraId="0773ACF4" w14:textId="77777777" w:rsidTr="00324B32">
        <w:trPr>
          <w:trHeight w:val="304"/>
          <w:jc w:val="center"/>
        </w:trPr>
        <w:tc>
          <w:tcPr>
            <w:tcW w:w="2396" w:type="pct"/>
            <w:vMerge w:val="restart"/>
            <w:tcBorders>
              <w:top w:val="single" w:sz="8" w:space="0" w:color="000000"/>
              <w:left w:val="single" w:sz="8" w:space="0" w:color="000000"/>
              <w:right w:val="single" w:sz="8" w:space="0" w:color="000000"/>
            </w:tcBorders>
            <w:shd w:val="clear" w:color="000000" w:fill="E5F7CA"/>
            <w:noWrap/>
            <w:vAlign w:val="center"/>
          </w:tcPr>
          <w:p w14:paraId="0773ACF2" w14:textId="77777777" w:rsidR="00FA4D3B" w:rsidRPr="00324B32" w:rsidRDefault="00FA4D3B" w:rsidP="00324B32">
            <w:pPr>
              <w:spacing w:after="0"/>
              <w:jc w:val="center"/>
              <w:rPr>
                <w:rFonts w:ascii="Garamond" w:hAnsi="Garamond" w:cs="Arial"/>
                <w:b/>
                <w:bCs/>
                <w:sz w:val="20"/>
                <w:szCs w:val="20"/>
                <w:lang w:val="sq-AL"/>
              </w:rPr>
            </w:pPr>
            <w:r w:rsidRPr="00324B32">
              <w:rPr>
                <w:rFonts w:ascii="Garamond" w:hAnsi="Garamond" w:cs="Arial"/>
                <w:b/>
                <w:bCs/>
                <w:sz w:val="20"/>
                <w:szCs w:val="20"/>
                <w:lang w:val="sq-AL"/>
              </w:rPr>
              <w:t>Emërtimi</w:t>
            </w:r>
          </w:p>
        </w:tc>
        <w:tc>
          <w:tcPr>
            <w:tcW w:w="2604" w:type="pct"/>
            <w:gridSpan w:val="3"/>
            <w:tcBorders>
              <w:top w:val="single" w:sz="8" w:space="0" w:color="000000"/>
              <w:left w:val="nil"/>
              <w:bottom w:val="single" w:sz="8" w:space="0" w:color="000000"/>
              <w:right w:val="single" w:sz="8" w:space="0" w:color="000000"/>
            </w:tcBorders>
            <w:shd w:val="clear" w:color="auto" w:fill="D6E3BC"/>
            <w:vAlign w:val="center"/>
          </w:tcPr>
          <w:p w14:paraId="0773ACF3" w14:textId="773270AA" w:rsidR="00FA4D3B" w:rsidRPr="00324B32" w:rsidRDefault="00FA4D3B" w:rsidP="00324B32">
            <w:pPr>
              <w:spacing w:after="0"/>
              <w:jc w:val="center"/>
              <w:rPr>
                <w:rFonts w:ascii="Garamond" w:hAnsi="Garamond" w:cs="Arial"/>
                <w:b/>
                <w:bCs/>
                <w:sz w:val="20"/>
                <w:szCs w:val="20"/>
                <w:lang w:val="sq-AL"/>
              </w:rPr>
            </w:pPr>
            <w:r w:rsidRPr="00324B32">
              <w:rPr>
                <w:rFonts w:ascii="Garamond" w:hAnsi="Garamond" w:cs="Arial"/>
                <w:b/>
                <w:bCs/>
                <w:sz w:val="20"/>
                <w:szCs w:val="20"/>
                <w:lang w:val="sq-AL"/>
              </w:rPr>
              <w:t xml:space="preserve">Sipërfaqja e </w:t>
            </w:r>
            <w:r w:rsidR="00785141" w:rsidRPr="00324B32">
              <w:rPr>
                <w:rFonts w:ascii="Garamond" w:hAnsi="Garamond" w:cs="Arial"/>
                <w:b/>
                <w:bCs/>
                <w:sz w:val="20"/>
                <w:szCs w:val="20"/>
                <w:lang w:val="sq-AL"/>
              </w:rPr>
              <w:t>TBSH</w:t>
            </w:r>
          </w:p>
        </w:tc>
      </w:tr>
      <w:tr w:rsidR="00FA4D3B" w:rsidRPr="0058349C" w14:paraId="0773ACF8" w14:textId="77777777" w:rsidTr="00324B32">
        <w:trPr>
          <w:trHeight w:val="304"/>
          <w:jc w:val="center"/>
        </w:trPr>
        <w:tc>
          <w:tcPr>
            <w:tcW w:w="2396" w:type="pct"/>
            <w:vMerge/>
            <w:tcBorders>
              <w:left w:val="single" w:sz="8" w:space="0" w:color="000000"/>
              <w:right w:val="single" w:sz="8" w:space="0" w:color="000000"/>
            </w:tcBorders>
            <w:shd w:val="clear" w:color="000000" w:fill="E5F7CA"/>
            <w:noWrap/>
            <w:vAlign w:val="center"/>
          </w:tcPr>
          <w:p w14:paraId="0773ACF5" w14:textId="77777777" w:rsidR="00FA4D3B" w:rsidRPr="00324B32" w:rsidRDefault="00FA4D3B" w:rsidP="00324B32">
            <w:pPr>
              <w:spacing w:after="0"/>
              <w:jc w:val="center"/>
              <w:rPr>
                <w:rFonts w:ascii="Garamond" w:hAnsi="Garamond" w:cs="Arial"/>
                <w:b/>
                <w:bCs/>
                <w:sz w:val="20"/>
                <w:szCs w:val="20"/>
                <w:lang w:val="sq-AL"/>
              </w:rPr>
            </w:pPr>
          </w:p>
        </w:tc>
        <w:tc>
          <w:tcPr>
            <w:tcW w:w="779" w:type="pct"/>
            <w:tcBorders>
              <w:top w:val="single" w:sz="8" w:space="0" w:color="000000"/>
              <w:left w:val="nil"/>
              <w:bottom w:val="single" w:sz="8" w:space="0" w:color="000000"/>
              <w:right w:val="single" w:sz="8" w:space="0" w:color="000000"/>
            </w:tcBorders>
            <w:shd w:val="clear" w:color="auto" w:fill="auto"/>
            <w:vAlign w:val="center"/>
          </w:tcPr>
          <w:p w14:paraId="0773ACF6" w14:textId="77777777" w:rsidR="00FA4D3B" w:rsidRPr="00324B32" w:rsidRDefault="00FA4D3B" w:rsidP="00324B32">
            <w:pPr>
              <w:spacing w:after="0"/>
              <w:jc w:val="center"/>
              <w:rPr>
                <w:rFonts w:ascii="Garamond" w:hAnsi="Garamond" w:cs="Arial"/>
                <w:b/>
                <w:bCs/>
                <w:sz w:val="20"/>
                <w:szCs w:val="20"/>
                <w:lang w:val="sq-AL"/>
              </w:rPr>
            </w:pPr>
            <w:r w:rsidRPr="00324B32">
              <w:rPr>
                <w:rFonts w:ascii="Garamond" w:hAnsi="Garamond" w:cs="Arial"/>
                <w:b/>
                <w:bCs/>
                <w:sz w:val="20"/>
                <w:szCs w:val="20"/>
                <w:lang w:val="sq-AL"/>
              </w:rPr>
              <w:t>2019</w:t>
            </w:r>
          </w:p>
        </w:tc>
        <w:tc>
          <w:tcPr>
            <w:tcW w:w="1825" w:type="pct"/>
            <w:gridSpan w:val="2"/>
            <w:tcBorders>
              <w:top w:val="single" w:sz="8" w:space="0" w:color="000000"/>
              <w:left w:val="nil"/>
              <w:bottom w:val="single" w:sz="8" w:space="0" w:color="000000"/>
              <w:right w:val="single" w:sz="8" w:space="0" w:color="000000"/>
            </w:tcBorders>
            <w:shd w:val="clear" w:color="auto" w:fill="auto"/>
            <w:vAlign w:val="center"/>
          </w:tcPr>
          <w:p w14:paraId="0773ACF7" w14:textId="77777777" w:rsidR="00FA4D3B" w:rsidRPr="00324B32" w:rsidRDefault="00FA4D3B" w:rsidP="00324B32">
            <w:pPr>
              <w:spacing w:after="0"/>
              <w:jc w:val="center"/>
              <w:rPr>
                <w:rFonts w:ascii="Garamond" w:hAnsi="Garamond" w:cs="Arial"/>
                <w:b/>
                <w:bCs/>
                <w:sz w:val="20"/>
                <w:szCs w:val="20"/>
                <w:lang w:val="sq-AL"/>
              </w:rPr>
            </w:pPr>
            <w:r w:rsidRPr="00324B32">
              <w:rPr>
                <w:rFonts w:ascii="Garamond" w:hAnsi="Garamond" w:cs="Arial"/>
                <w:b/>
                <w:bCs/>
                <w:sz w:val="20"/>
                <w:szCs w:val="20"/>
                <w:lang w:val="sq-AL"/>
              </w:rPr>
              <w:t>2020</w:t>
            </w:r>
          </w:p>
        </w:tc>
      </w:tr>
      <w:tr w:rsidR="00FA4D3B" w:rsidRPr="0058349C" w14:paraId="0773ACFD" w14:textId="77777777" w:rsidTr="00324B32">
        <w:trPr>
          <w:trHeight w:val="295"/>
          <w:jc w:val="center"/>
        </w:trPr>
        <w:tc>
          <w:tcPr>
            <w:tcW w:w="2396" w:type="pct"/>
            <w:vMerge/>
            <w:tcBorders>
              <w:left w:val="single" w:sz="8" w:space="0" w:color="000000"/>
              <w:bottom w:val="single" w:sz="8" w:space="0" w:color="000000"/>
              <w:right w:val="single" w:sz="8" w:space="0" w:color="000000"/>
            </w:tcBorders>
            <w:shd w:val="clear" w:color="000000" w:fill="E5F7CA"/>
            <w:noWrap/>
            <w:vAlign w:val="center"/>
            <w:hideMark/>
          </w:tcPr>
          <w:p w14:paraId="0773ACF9" w14:textId="77777777" w:rsidR="00FA4D3B" w:rsidRPr="00324B32" w:rsidRDefault="00FA4D3B" w:rsidP="00324B32">
            <w:pPr>
              <w:spacing w:after="0"/>
              <w:jc w:val="center"/>
              <w:rPr>
                <w:rFonts w:ascii="Garamond" w:hAnsi="Garamond" w:cs="Arial"/>
                <w:b/>
                <w:bCs/>
                <w:sz w:val="20"/>
                <w:szCs w:val="20"/>
                <w:lang w:val="sq-AL"/>
              </w:rPr>
            </w:pPr>
          </w:p>
        </w:tc>
        <w:tc>
          <w:tcPr>
            <w:tcW w:w="779" w:type="pct"/>
            <w:tcBorders>
              <w:top w:val="single" w:sz="8" w:space="0" w:color="000000"/>
              <w:left w:val="nil"/>
              <w:bottom w:val="single" w:sz="8" w:space="0" w:color="000000"/>
              <w:right w:val="single" w:sz="8" w:space="0" w:color="000000"/>
            </w:tcBorders>
            <w:shd w:val="clear" w:color="auto" w:fill="auto"/>
            <w:vAlign w:val="center"/>
            <w:hideMark/>
          </w:tcPr>
          <w:p w14:paraId="0773ACFA" w14:textId="465E268E" w:rsidR="00FA4D3B" w:rsidRPr="00324B32" w:rsidRDefault="00FA4D3B" w:rsidP="00324B32">
            <w:pPr>
              <w:spacing w:after="0"/>
              <w:jc w:val="center"/>
              <w:rPr>
                <w:rFonts w:ascii="Garamond" w:hAnsi="Garamond" w:cs="Arial"/>
                <w:b/>
                <w:bCs/>
                <w:sz w:val="20"/>
                <w:szCs w:val="20"/>
                <w:lang w:val="sq-AL"/>
              </w:rPr>
            </w:pPr>
            <w:r w:rsidRPr="00324B32">
              <w:rPr>
                <w:rFonts w:ascii="Garamond" w:hAnsi="Garamond" w:cs="Arial"/>
                <w:b/>
                <w:bCs/>
                <w:sz w:val="20"/>
                <w:szCs w:val="20"/>
                <w:lang w:val="sq-AL"/>
              </w:rPr>
              <w:t>Total</w:t>
            </w:r>
            <w:r w:rsidR="00CF7694" w:rsidRPr="00324B32">
              <w:rPr>
                <w:rFonts w:ascii="Garamond" w:hAnsi="Garamond" w:cs="Arial"/>
                <w:b/>
                <w:bCs/>
                <w:sz w:val="20"/>
                <w:szCs w:val="20"/>
                <w:lang w:val="sq-AL"/>
              </w:rPr>
              <w:t xml:space="preserve"> </w:t>
            </w:r>
            <w:r w:rsidRPr="00324B32">
              <w:rPr>
                <w:rFonts w:ascii="Garamond" w:hAnsi="Garamond" w:cs="Arial"/>
                <w:b/>
                <w:bCs/>
                <w:sz w:val="20"/>
                <w:szCs w:val="20"/>
                <w:lang w:val="sq-AL"/>
              </w:rPr>
              <w:t>(</w:t>
            </w:r>
            <w:r w:rsidR="00324B32" w:rsidRPr="00324B32">
              <w:rPr>
                <w:rFonts w:ascii="Garamond" w:hAnsi="Garamond" w:cs="Arial"/>
                <w:b/>
                <w:bCs/>
                <w:sz w:val="20"/>
                <w:szCs w:val="20"/>
                <w:lang w:val="sq-AL"/>
              </w:rPr>
              <w:t>ha</w:t>
            </w:r>
            <w:r w:rsidRPr="00324B32">
              <w:rPr>
                <w:rFonts w:ascii="Garamond" w:hAnsi="Garamond" w:cs="Arial"/>
                <w:b/>
                <w:bCs/>
                <w:sz w:val="20"/>
                <w:szCs w:val="20"/>
                <w:lang w:val="sq-AL"/>
              </w:rPr>
              <w:t>)</w:t>
            </w:r>
          </w:p>
        </w:tc>
        <w:tc>
          <w:tcPr>
            <w:tcW w:w="876" w:type="pct"/>
            <w:tcBorders>
              <w:top w:val="single" w:sz="8" w:space="0" w:color="000000"/>
              <w:left w:val="nil"/>
              <w:bottom w:val="single" w:sz="8" w:space="0" w:color="000000"/>
              <w:right w:val="single" w:sz="8" w:space="0" w:color="000000"/>
            </w:tcBorders>
            <w:shd w:val="clear" w:color="auto" w:fill="auto"/>
            <w:vAlign w:val="center"/>
            <w:hideMark/>
          </w:tcPr>
          <w:p w14:paraId="0773ACFB" w14:textId="4CCCC70A" w:rsidR="00FA4D3B" w:rsidRPr="00324B32" w:rsidRDefault="00FA4D3B" w:rsidP="00324B32">
            <w:pPr>
              <w:spacing w:after="0"/>
              <w:jc w:val="center"/>
              <w:rPr>
                <w:rFonts w:ascii="Garamond" w:hAnsi="Garamond" w:cs="Arial"/>
                <w:b/>
                <w:bCs/>
                <w:sz w:val="20"/>
                <w:szCs w:val="20"/>
                <w:lang w:val="sq-AL"/>
              </w:rPr>
            </w:pPr>
            <w:r w:rsidRPr="00324B32">
              <w:rPr>
                <w:rFonts w:ascii="Garamond" w:hAnsi="Garamond" w:cs="Arial"/>
                <w:b/>
                <w:bCs/>
                <w:sz w:val="20"/>
                <w:szCs w:val="20"/>
                <w:lang w:val="sq-AL"/>
              </w:rPr>
              <w:t>Total (</w:t>
            </w:r>
            <w:r w:rsidR="00324B32" w:rsidRPr="00324B32">
              <w:rPr>
                <w:rFonts w:ascii="Garamond" w:hAnsi="Garamond" w:cs="Arial"/>
                <w:b/>
                <w:bCs/>
                <w:sz w:val="20"/>
                <w:szCs w:val="20"/>
                <w:lang w:val="sq-AL"/>
              </w:rPr>
              <w:t>ha</w:t>
            </w:r>
            <w:r w:rsidRPr="00324B32">
              <w:rPr>
                <w:rFonts w:ascii="Garamond" w:hAnsi="Garamond" w:cs="Arial"/>
                <w:b/>
                <w:bCs/>
                <w:sz w:val="20"/>
                <w:szCs w:val="20"/>
                <w:lang w:val="sq-AL"/>
              </w:rPr>
              <w:t>)</w:t>
            </w:r>
          </w:p>
        </w:tc>
        <w:tc>
          <w:tcPr>
            <w:tcW w:w="949" w:type="pct"/>
            <w:tcBorders>
              <w:top w:val="single" w:sz="8" w:space="0" w:color="000000"/>
              <w:left w:val="nil"/>
              <w:bottom w:val="single" w:sz="8" w:space="0" w:color="000000"/>
              <w:right w:val="single" w:sz="8" w:space="0" w:color="000000"/>
            </w:tcBorders>
            <w:shd w:val="clear" w:color="auto" w:fill="auto"/>
            <w:noWrap/>
            <w:vAlign w:val="center"/>
            <w:hideMark/>
          </w:tcPr>
          <w:p w14:paraId="0773ACFC" w14:textId="77777777" w:rsidR="00FA4D3B" w:rsidRPr="00324B32" w:rsidRDefault="00FA4D3B" w:rsidP="00324B32">
            <w:pPr>
              <w:spacing w:after="0"/>
              <w:jc w:val="center"/>
              <w:rPr>
                <w:rFonts w:ascii="Garamond" w:hAnsi="Garamond" w:cs="Arial"/>
                <w:b/>
                <w:bCs/>
                <w:sz w:val="20"/>
                <w:szCs w:val="20"/>
                <w:lang w:val="sq-AL"/>
              </w:rPr>
            </w:pPr>
            <w:r w:rsidRPr="00324B32">
              <w:rPr>
                <w:rFonts w:ascii="Garamond" w:hAnsi="Garamond" w:cs="Arial"/>
                <w:b/>
                <w:bCs/>
                <w:sz w:val="20"/>
                <w:szCs w:val="20"/>
                <w:lang w:val="sq-AL"/>
              </w:rPr>
              <w:t>Total (%)</w:t>
            </w:r>
          </w:p>
        </w:tc>
      </w:tr>
      <w:tr w:rsidR="00FA4D3B" w:rsidRPr="0058349C" w14:paraId="0773AD02" w14:textId="77777777" w:rsidTr="00324B32">
        <w:trPr>
          <w:trHeight w:val="615"/>
          <w:jc w:val="center"/>
        </w:trPr>
        <w:tc>
          <w:tcPr>
            <w:tcW w:w="2396" w:type="pct"/>
            <w:tcBorders>
              <w:top w:val="nil"/>
              <w:left w:val="single" w:sz="8" w:space="0" w:color="000000"/>
              <w:bottom w:val="single" w:sz="8" w:space="0" w:color="000000"/>
              <w:right w:val="single" w:sz="8" w:space="0" w:color="000000"/>
            </w:tcBorders>
            <w:shd w:val="clear" w:color="000000" w:fill="E5F7CA"/>
            <w:noWrap/>
            <w:vAlign w:val="center"/>
            <w:hideMark/>
          </w:tcPr>
          <w:p w14:paraId="0773ACFE" w14:textId="77777777" w:rsidR="00FA4D3B" w:rsidRPr="0058349C" w:rsidRDefault="00FA4D3B" w:rsidP="00793D9F">
            <w:pPr>
              <w:spacing w:after="0"/>
              <w:rPr>
                <w:rFonts w:ascii="Garamond" w:hAnsi="Garamond" w:cs="Arial"/>
                <w:b/>
                <w:bCs/>
                <w:sz w:val="20"/>
                <w:szCs w:val="20"/>
                <w:lang w:val="sq-AL"/>
              </w:rPr>
            </w:pPr>
            <w:r w:rsidRPr="0058349C">
              <w:rPr>
                <w:rFonts w:ascii="Garamond" w:hAnsi="Garamond" w:cs="Arial"/>
                <w:b/>
                <w:bCs/>
                <w:sz w:val="20"/>
                <w:szCs w:val="20"/>
                <w:lang w:val="sq-AL"/>
              </w:rPr>
              <w:t>E kultivuar (përfshirë drithërat, perimet, bimët mjekësore dhe foragjere)</w:t>
            </w:r>
          </w:p>
        </w:tc>
        <w:tc>
          <w:tcPr>
            <w:tcW w:w="779" w:type="pct"/>
            <w:tcBorders>
              <w:top w:val="nil"/>
              <w:left w:val="nil"/>
              <w:bottom w:val="single" w:sz="8" w:space="0" w:color="000000"/>
              <w:right w:val="single" w:sz="8" w:space="0" w:color="000000"/>
            </w:tcBorders>
            <w:shd w:val="clear" w:color="auto" w:fill="auto"/>
            <w:noWrap/>
            <w:vAlign w:val="center"/>
            <w:hideMark/>
          </w:tcPr>
          <w:p w14:paraId="0773ACFF" w14:textId="77777777" w:rsidR="00FA4D3B" w:rsidRPr="0058349C" w:rsidRDefault="00FA4D3B" w:rsidP="00785141">
            <w:pPr>
              <w:spacing w:after="0"/>
              <w:jc w:val="right"/>
              <w:rPr>
                <w:rFonts w:ascii="Garamond" w:hAnsi="Garamond" w:cs="Arial"/>
                <w:sz w:val="20"/>
                <w:szCs w:val="20"/>
                <w:lang w:val="sq-AL"/>
              </w:rPr>
            </w:pPr>
            <w:r w:rsidRPr="0058349C">
              <w:rPr>
                <w:rFonts w:ascii="Garamond" w:hAnsi="Garamond" w:cs="Arial"/>
                <w:sz w:val="20"/>
                <w:szCs w:val="20"/>
                <w:lang w:val="sq-AL"/>
              </w:rPr>
              <w:t>417,000</w:t>
            </w:r>
          </w:p>
        </w:tc>
        <w:tc>
          <w:tcPr>
            <w:tcW w:w="876" w:type="pct"/>
            <w:tcBorders>
              <w:top w:val="nil"/>
              <w:left w:val="nil"/>
              <w:bottom w:val="single" w:sz="8" w:space="0" w:color="000000"/>
              <w:right w:val="single" w:sz="8" w:space="0" w:color="000000"/>
            </w:tcBorders>
            <w:shd w:val="clear" w:color="auto" w:fill="auto"/>
            <w:noWrap/>
            <w:vAlign w:val="center"/>
            <w:hideMark/>
          </w:tcPr>
          <w:p w14:paraId="0773AD00" w14:textId="77777777" w:rsidR="00FA4D3B" w:rsidRPr="0058349C" w:rsidRDefault="00FA4D3B" w:rsidP="00785141">
            <w:pPr>
              <w:spacing w:after="0"/>
              <w:jc w:val="right"/>
              <w:rPr>
                <w:rFonts w:ascii="Garamond" w:hAnsi="Garamond" w:cs="Arial"/>
                <w:sz w:val="20"/>
                <w:szCs w:val="20"/>
                <w:lang w:val="sq-AL"/>
              </w:rPr>
            </w:pPr>
            <w:r w:rsidRPr="0058349C">
              <w:rPr>
                <w:rFonts w:ascii="Garamond" w:hAnsi="Garamond" w:cs="Arial"/>
                <w:sz w:val="20"/>
                <w:szCs w:val="20"/>
                <w:lang w:val="sq-AL"/>
              </w:rPr>
              <w:t>421,607</w:t>
            </w:r>
          </w:p>
        </w:tc>
        <w:tc>
          <w:tcPr>
            <w:tcW w:w="949" w:type="pct"/>
            <w:tcBorders>
              <w:top w:val="nil"/>
              <w:left w:val="nil"/>
              <w:bottom w:val="single" w:sz="8" w:space="0" w:color="000000"/>
              <w:right w:val="single" w:sz="8" w:space="0" w:color="000000"/>
            </w:tcBorders>
            <w:shd w:val="clear" w:color="auto" w:fill="auto"/>
            <w:noWrap/>
            <w:vAlign w:val="center"/>
            <w:hideMark/>
          </w:tcPr>
          <w:p w14:paraId="0773AD01" w14:textId="77777777" w:rsidR="00FA4D3B" w:rsidRPr="0058349C" w:rsidRDefault="00FA4D3B" w:rsidP="00785141">
            <w:pPr>
              <w:spacing w:after="0"/>
              <w:jc w:val="right"/>
              <w:rPr>
                <w:rFonts w:ascii="Garamond" w:hAnsi="Garamond" w:cs="Arial"/>
                <w:sz w:val="20"/>
                <w:szCs w:val="20"/>
                <w:lang w:val="sq-AL"/>
              </w:rPr>
            </w:pPr>
            <w:r w:rsidRPr="0058349C">
              <w:rPr>
                <w:rFonts w:ascii="Garamond" w:hAnsi="Garamond" w:cs="Arial"/>
                <w:sz w:val="20"/>
                <w:szCs w:val="20"/>
                <w:lang w:val="sq-AL"/>
              </w:rPr>
              <w:t>42.7%</w:t>
            </w:r>
          </w:p>
        </w:tc>
      </w:tr>
      <w:tr w:rsidR="00FA4D3B" w:rsidRPr="0058349C" w14:paraId="0773AD07" w14:textId="77777777" w:rsidTr="00324B32">
        <w:trPr>
          <w:trHeight w:val="315"/>
          <w:jc w:val="center"/>
        </w:trPr>
        <w:tc>
          <w:tcPr>
            <w:tcW w:w="2396" w:type="pct"/>
            <w:tcBorders>
              <w:top w:val="nil"/>
              <w:left w:val="single" w:sz="8" w:space="0" w:color="000000"/>
              <w:bottom w:val="single" w:sz="8" w:space="0" w:color="000000"/>
              <w:right w:val="single" w:sz="8" w:space="0" w:color="000000"/>
            </w:tcBorders>
            <w:shd w:val="clear" w:color="000000" w:fill="E5F7CA"/>
            <w:noWrap/>
            <w:vAlign w:val="center"/>
            <w:hideMark/>
          </w:tcPr>
          <w:p w14:paraId="0773AD03" w14:textId="77777777" w:rsidR="00FA4D3B" w:rsidRPr="0058349C" w:rsidRDefault="00FA4D3B" w:rsidP="00793D9F">
            <w:pPr>
              <w:spacing w:after="0"/>
              <w:rPr>
                <w:rFonts w:ascii="Garamond" w:hAnsi="Garamond" w:cs="Arial"/>
                <w:bCs/>
                <w:sz w:val="20"/>
                <w:szCs w:val="20"/>
                <w:lang w:val="sq-AL"/>
              </w:rPr>
            </w:pPr>
            <w:r w:rsidRPr="0058349C">
              <w:rPr>
                <w:rFonts w:ascii="Garamond" w:hAnsi="Garamond" w:cs="Arial"/>
                <w:b/>
                <w:bCs/>
                <w:sz w:val="20"/>
                <w:szCs w:val="20"/>
                <w:lang w:val="sq-AL"/>
              </w:rPr>
              <w:t>Livadhe dhe kullota të përhershme</w:t>
            </w:r>
          </w:p>
        </w:tc>
        <w:tc>
          <w:tcPr>
            <w:tcW w:w="779" w:type="pct"/>
            <w:tcBorders>
              <w:top w:val="nil"/>
              <w:left w:val="nil"/>
              <w:bottom w:val="single" w:sz="8" w:space="0" w:color="000000"/>
              <w:right w:val="single" w:sz="8" w:space="0" w:color="000000"/>
            </w:tcBorders>
            <w:shd w:val="clear" w:color="auto" w:fill="auto"/>
            <w:noWrap/>
            <w:vAlign w:val="center"/>
            <w:hideMark/>
          </w:tcPr>
          <w:p w14:paraId="0773AD04" w14:textId="77777777" w:rsidR="00FA4D3B" w:rsidRPr="0058349C" w:rsidRDefault="00FA4D3B" w:rsidP="00785141">
            <w:pPr>
              <w:spacing w:after="0"/>
              <w:jc w:val="right"/>
              <w:rPr>
                <w:rFonts w:ascii="Garamond" w:hAnsi="Garamond" w:cs="Arial"/>
                <w:sz w:val="20"/>
                <w:szCs w:val="20"/>
                <w:lang w:val="sq-AL"/>
              </w:rPr>
            </w:pPr>
            <w:r w:rsidRPr="0058349C">
              <w:rPr>
                <w:rFonts w:ascii="Garamond" w:hAnsi="Garamond" w:cs="Arial"/>
                <w:sz w:val="20"/>
                <w:szCs w:val="20"/>
                <w:lang w:val="sq-AL"/>
              </w:rPr>
              <w:t>478,081</w:t>
            </w:r>
          </w:p>
        </w:tc>
        <w:tc>
          <w:tcPr>
            <w:tcW w:w="876" w:type="pct"/>
            <w:tcBorders>
              <w:top w:val="nil"/>
              <w:left w:val="nil"/>
              <w:bottom w:val="single" w:sz="8" w:space="0" w:color="000000"/>
              <w:right w:val="single" w:sz="8" w:space="0" w:color="000000"/>
            </w:tcBorders>
            <w:shd w:val="clear" w:color="auto" w:fill="auto"/>
            <w:noWrap/>
            <w:vAlign w:val="center"/>
            <w:hideMark/>
          </w:tcPr>
          <w:p w14:paraId="0773AD05" w14:textId="77777777" w:rsidR="00FA4D3B" w:rsidRPr="0058349C" w:rsidRDefault="00FA4D3B" w:rsidP="00785141">
            <w:pPr>
              <w:spacing w:after="0"/>
              <w:jc w:val="right"/>
              <w:rPr>
                <w:rFonts w:ascii="Garamond" w:hAnsi="Garamond" w:cs="Arial"/>
                <w:sz w:val="20"/>
                <w:szCs w:val="20"/>
                <w:lang w:val="sq-AL"/>
              </w:rPr>
            </w:pPr>
            <w:r w:rsidRPr="0058349C">
              <w:rPr>
                <w:rFonts w:ascii="Garamond" w:hAnsi="Garamond" w:cs="Arial"/>
                <w:sz w:val="20"/>
                <w:szCs w:val="20"/>
                <w:lang w:val="sq-AL"/>
              </w:rPr>
              <w:t>478,081</w:t>
            </w:r>
          </w:p>
        </w:tc>
        <w:tc>
          <w:tcPr>
            <w:tcW w:w="949" w:type="pct"/>
            <w:tcBorders>
              <w:top w:val="nil"/>
              <w:left w:val="nil"/>
              <w:bottom w:val="single" w:sz="8" w:space="0" w:color="000000"/>
              <w:right w:val="single" w:sz="8" w:space="0" w:color="000000"/>
            </w:tcBorders>
            <w:shd w:val="clear" w:color="auto" w:fill="auto"/>
            <w:noWrap/>
            <w:vAlign w:val="center"/>
            <w:hideMark/>
          </w:tcPr>
          <w:p w14:paraId="0773AD06" w14:textId="77777777" w:rsidR="00FA4D3B" w:rsidRPr="0058349C" w:rsidRDefault="00FA4D3B" w:rsidP="00785141">
            <w:pPr>
              <w:spacing w:after="0"/>
              <w:jc w:val="right"/>
              <w:rPr>
                <w:rFonts w:ascii="Garamond" w:hAnsi="Garamond" w:cs="Arial"/>
                <w:sz w:val="20"/>
                <w:szCs w:val="20"/>
                <w:lang w:val="sq-AL"/>
              </w:rPr>
            </w:pPr>
            <w:r w:rsidRPr="0058349C">
              <w:rPr>
                <w:rFonts w:ascii="Garamond" w:hAnsi="Garamond" w:cs="Arial"/>
                <w:sz w:val="20"/>
                <w:szCs w:val="20"/>
                <w:lang w:val="sq-AL"/>
              </w:rPr>
              <w:t>48.5%</w:t>
            </w:r>
          </w:p>
        </w:tc>
      </w:tr>
      <w:tr w:rsidR="00FA4D3B" w:rsidRPr="0058349C" w14:paraId="0773AD0C" w14:textId="77777777" w:rsidTr="00324B32">
        <w:trPr>
          <w:trHeight w:val="315"/>
          <w:jc w:val="center"/>
        </w:trPr>
        <w:tc>
          <w:tcPr>
            <w:tcW w:w="2396" w:type="pct"/>
            <w:tcBorders>
              <w:top w:val="nil"/>
              <w:left w:val="single" w:sz="8" w:space="0" w:color="000000"/>
              <w:bottom w:val="single" w:sz="8" w:space="0" w:color="auto"/>
              <w:right w:val="single" w:sz="8" w:space="0" w:color="000000"/>
            </w:tcBorders>
            <w:shd w:val="clear" w:color="000000" w:fill="E5F7CA"/>
            <w:noWrap/>
            <w:vAlign w:val="center"/>
            <w:hideMark/>
          </w:tcPr>
          <w:p w14:paraId="0773AD08" w14:textId="77777777" w:rsidR="00FA4D3B" w:rsidRPr="0058349C" w:rsidRDefault="00FA4D3B" w:rsidP="00793D9F">
            <w:pPr>
              <w:spacing w:after="0"/>
              <w:rPr>
                <w:rFonts w:ascii="Garamond" w:hAnsi="Garamond" w:cs="Arial"/>
                <w:b/>
                <w:bCs/>
                <w:sz w:val="20"/>
                <w:szCs w:val="20"/>
                <w:lang w:val="sq-AL"/>
              </w:rPr>
            </w:pPr>
            <w:r w:rsidRPr="0058349C">
              <w:rPr>
                <w:rFonts w:ascii="Garamond" w:hAnsi="Garamond" w:cs="Arial"/>
                <w:b/>
                <w:bCs/>
                <w:sz w:val="20"/>
                <w:szCs w:val="20"/>
                <w:lang w:val="sq-AL"/>
              </w:rPr>
              <w:t xml:space="preserve">Kulturat e përhershme </w:t>
            </w:r>
            <w:r w:rsidRPr="00785141">
              <w:rPr>
                <w:rFonts w:ascii="Garamond" w:hAnsi="Garamond"/>
                <w:b/>
                <w:bCs/>
                <w:sz w:val="20"/>
                <w:szCs w:val="20"/>
                <w:lang w:val="sq-AL"/>
              </w:rPr>
              <w:t>total (pemë frutore, ullinj, agrume, vreshta)</w:t>
            </w:r>
          </w:p>
        </w:tc>
        <w:tc>
          <w:tcPr>
            <w:tcW w:w="779" w:type="pct"/>
            <w:tcBorders>
              <w:top w:val="nil"/>
              <w:left w:val="nil"/>
              <w:bottom w:val="single" w:sz="8" w:space="0" w:color="auto"/>
              <w:right w:val="single" w:sz="8" w:space="0" w:color="000000"/>
            </w:tcBorders>
            <w:shd w:val="clear" w:color="auto" w:fill="auto"/>
            <w:noWrap/>
            <w:vAlign w:val="center"/>
            <w:hideMark/>
          </w:tcPr>
          <w:p w14:paraId="0773AD09" w14:textId="77777777" w:rsidR="00FA4D3B" w:rsidRPr="0058349C" w:rsidRDefault="00FA4D3B" w:rsidP="00785141">
            <w:pPr>
              <w:spacing w:after="0"/>
              <w:jc w:val="right"/>
              <w:rPr>
                <w:rFonts w:ascii="Garamond" w:hAnsi="Garamond" w:cs="Arial"/>
                <w:sz w:val="20"/>
                <w:szCs w:val="20"/>
                <w:lang w:val="sq-AL"/>
              </w:rPr>
            </w:pPr>
            <w:r w:rsidRPr="0058349C">
              <w:rPr>
                <w:rFonts w:ascii="Garamond" w:hAnsi="Garamond" w:cs="Arial"/>
                <w:sz w:val="20"/>
                <w:szCs w:val="20"/>
                <w:lang w:val="sq-AL"/>
              </w:rPr>
              <w:t>85,838</w:t>
            </w:r>
          </w:p>
        </w:tc>
        <w:tc>
          <w:tcPr>
            <w:tcW w:w="876" w:type="pct"/>
            <w:tcBorders>
              <w:top w:val="nil"/>
              <w:left w:val="nil"/>
              <w:bottom w:val="single" w:sz="8" w:space="0" w:color="auto"/>
              <w:right w:val="single" w:sz="8" w:space="0" w:color="000000"/>
            </w:tcBorders>
            <w:shd w:val="clear" w:color="auto" w:fill="auto"/>
            <w:noWrap/>
            <w:vAlign w:val="center"/>
            <w:hideMark/>
          </w:tcPr>
          <w:p w14:paraId="0773AD0A" w14:textId="77777777" w:rsidR="00FA4D3B" w:rsidRPr="0058349C" w:rsidRDefault="00FA4D3B" w:rsidP="00785141">
            <w:pPr>
              <w:spacing w:after="0"/>
              <w:jc w:val="right"/>
              <w:rPr>
                <w:rFonts w:ascii="Garamond" w:hAnsi="Garamond" w:cs="Arial"/>
                <w:sz w:val="20"/>
                <w:szCs w:val="20"/>
                <w:lang w:val="sq-AL"/>
              </w:rPr>
            </w:pPr>
            <w:r w:rsidRPr="0058349C">
              <w:rPr>
                <w:rFonts w:ascii="Garamond" w:hAnsi="Garamond" w:cs="Arial"/>
                <w:sz w:val="20"/>
                <w:szCs w:val="20"/>
                <w:lang w:val="sq-AL"/>
              </w:rPr>
              <w:t>86,912</w:t>
            </w:r>
          </w:p>
        </w:tc>
        <w:tc>
          <w:tcPr>
            <w:tcW w:w="949" w:type="pct"/>
            <w:tcBorders>
              <w:top w:val="nil"/>
              <w:left w:val="nil"/>
              <w:bottom w:val="single" w:sz="8" w:space="0" w:color="auto"/>
              <w:right w:val="single" w:sz="8" w:space="0" w:color="000000"/>
            </w:tcBorders>
            <w:shd w:val="clear" w:color="auto" w:fill="auto"/>
            <w:noWrap/>
            <w:vAlign w:val="center"/>
            <w:hideMark/>
          </w:tcPr>
          <w:p w14:paraId="0773AD0B" w14:textId="5E949416" w:rsidR="00FA4D3B" w:rsidRPr="0058349C" w:rsidRDefault="00CF7694" w:rsidP="00785141">
            <w:pPr>
              <w:spacing w:after="0"/>
              <w:jc w:val="right"/>
              <w:rPr>
                <w:rFonts w:ascii="Garamond" w:hAnsi="Garamond" w:cs="Arial"/>
                <w:sz w:val="20"/>
                <w:szCs w:val="20"/>
                <w:lang w:val="sq-AL"/>
              </w:rPr>
            </w:pPr>
            <w:r w:rsidRPr="0058349C">
              <w:rPr>
                <w:rFonts w:ascii="Garamond" w:hAnsi="Garamond" w:cs="Arial"/>
                <w:sz w:val="20"/>
                <w:szCs w:val="20"/>
                <w:lang w:val="sq-AL"/>
              </w:rPr>
              <w:t xml:space="preserve"> </w:t>
            </w:r>
            <w:r w:rsidR="00FA4D3B" w:rsidRPr="0058349C">
              <w:rPr>
                <w:rFonts w:ascii="Garamond" w:hAnsi="Garamond" w:cs="Arial"/>
                <w:sz w:val="20"/>
                <w:szCs w:val="20"/>
                <w:lang w:val="sq-AL"/>
              </w:rPr>
              <w:t>8.8%</w:t>
            </w:r>
          </w:p>
        </w:tc>
      </w:tr>
    </w:tbl>
    <w:p w14:paraId="0773AD0D" w14:textId="77777777" w:rsidR="00492C9C" w:rsidRPr="0058349C" w:rsidRDefault="00492C9C" w:rsidP="00264AE4">
      <w:pPr>
        <w:tabs>
          <w:tab w:val="left" w:pos="1619"/>
          <w:tab w:val="left" w:pos="3373"/>
          <w:tab w:val="left" w:pos="8186"/>
          <w:tab w:val="left" w:pos="12615"/>
        </w:tabs>
        <w:autoSpaceDE w:val="0"/>
        <w:autoSpaceDN w:val="0"/>
        <w:adjustRightInd w:val="0"/>
        <w:spacing w:after="0" w:line="240" w:lineRule="auto"/>
        <w:jc w:val="center"/>
        <w:rPr>
          <w:rFonts w:ascii="Garamond" w:hAnsi="Garamond" w:cs="MS Mincho"/>
          <w:sz w:val="24"/>
          <w:szCs w:val="24"/>
          <w:lang w:val="sq-AL"/>
        </w:rPr>
      </w:pPr>
      <w:r w:rsidRPr="0058349C">
        <w:rPr>
          <w:rFonts w:ascii="Garamond" w:hAnsi="Garamond" w:cs="MS Mincho"/>
          <w:sz w:val="24"/>
          <w:szCs w:val="24"/>
          <w:lang w:val="sq-AL"/>
        </w:rPr>
        <w:t>Burimi: INSTAT dhe të dhënat e përmbledhura të MBZHR-së</w:t>
      </w:r>
    </w:p>
    <w:p w14:paraId="0773AD0E" w14:textId="77777777" w:rsidR="00E71DEB" w:rsidRPr="0058349C" w:rsidRDefault="00E71DEB" w:rsidP="00492C9C">
      <w:pPr>
        <w:tabs>
          <w:tab w:val="left" w:pos="1619"/>
          <w:tab w:val="left" w:pos="3373"/>
          <w:tab w:val="left" w:pos="8186"/>
          <w:tab w:val="left" w:pos="12615"/>
        </w:tabs>
        <w:autoSpaceDE w:val="0"/>
        <w:autoSpaceDN w:val="0"/>
        <w:adjustRightInd w:val="0"/>
        <w:spacing w:after="0" w:line="240" w:lineRule="auto"/>
        <w:ind w:firstLine="284"/>
        <w:jc w:val="both"/>
        <w:rPr>
          <w:rFonts w:ascii="Garamond" w:hAnsi="Garamond" w:cs="MS Mincho"/>
          <w:sz w:val="24"/>
          <w:szCs w:val="24"/>
          <w:lang w:val="sq-AL"/>
        </w:rPr>
      </w:pPr>
    </w:p>
    <w:p w14:paraId="0773AD0F" w14:textId="77777777" w:rsidR="00492C9C" w:rsidRPr="0058349C" w:rsidRDefault="00492C9C" w:rsidP="00492C9C">
      <w:pPr>
        <w:tabs>
          <w:tab w:val="left" w:pos="1619"/>
          <w:tab w:val="left" w:pos="3373"/>
          <w:tab w:val="left" w:pos="8186"/>
          <w:tab w:val="left" w:pos="12615"/>
        </w:tabs>
        <w:autoSpaceDE w:val="0"/>
        <w:autoSpaceDN w:val="0"/>
        <w:adjustRightInd w:val="0"/>
        <w:spacing w:after="0" w:line="240" w:lineRule="auto"/>
        <w:ind w:firstLine="284"/>
        <w:jc w:val="both"/>
        <w:rPr>
          <w:rFonts w:ascii="Garamond" w:hAnsi="Garamond" w:cs="MS Mincho"/>
          <w:strike/>
          <w:sz w:val="24"/>
          <w:szCs w:val="24"/>
          <w:lang w:val="sq-AL"/>
        </w:rPr>
      </w:pPr>
      <w:r w:rsidRPr="0058349C">
        <w:rPr>
          <w:rFonts w:ascii="Garamond" w:hAnsi="Garamond" w:cs="MS Mincho"/>
          <w:sz w:val="24"/>
          <w:szCs w:val="24"/>
          <w:lang w:val="sq-AL"/>
        </w:rPr>
        <w:t xml:space="preserve">Shumica e fermave janë të përziera dhe karakterizohen nga parcela të vogla dhe të fragmentuara. </w:t>
      </w:r>
    </w:p>
    <w:p w14:paraId="0773AD10" w14:textId="3AE64EB6" w:rsidR="00492C9C" w:rsidRPr="0058349C" w:rsidRDefault="00492C9C" w:rsidP="00492C9C">
      <w:pPr>
        <w:autoSpaceDE w:val="0"/>
        <w:autoSpaceDN w:val="0"/>
        <w:adjustRightInd w:val="0"/>
        <w:spacing w:after="0" w:line="240" w:lineRule="auto"/>
        <w:ind w:firstLine="284"/>
        <w:jc w:val="both"/>
        <w:rPr>
          <w:rFonts w:ascii="Garamond" w:hAnsi="Garamond" w:cs="MS Mincho"/>
          <w:sz w:val="24"/>
          <w:szCs w:val="24"/>
          <w:lang w:val="sq-AL"/>
        </w:rPr>
      </w:pPr>
      <w:r w:rsidRPr="0058349C">
        <w:rPr>
          <w:rFonts w:ascii="Garamond" w:hAnsi="Garamond" w:cs="MS Mincho"/>
          <w:b/>
          <w:bCs/>
          <w:sz w:val="24"/>
          <w:szCs w:val="24"/>
          <w:lang w:val="sq-AL"/>
        </w:rPr>
        <w:t>Tabel</w:t>
      </w:r>
      <w:r w:rsidRPr="0058349C">
        <w:rPr>
          <w:rFonts w:ascii="Garamond" w:hAnsi="Garamond" w:cs="MS Mincho"/>
          <w:sz w:val="24"/>
          <w:szCs w:val="24"/>
          <w:lang w:val="sq-AL"/>
        </w:rPr>
        <w:t>a</w:t>
      </w:r>
      <w:r w:rsidRPr="0058349C">
        <w:rPr>
          <w:rFonts w:ascii="Garamond" w:hAnsi="Garamond" w:cs="MS Mincho"/>
          <w:b/>
          <w:bCs/>
          <w:sz w:val="24"/>
          <w:szCs w:val="24"/>
          <w:lang w:val="sq-AL"/>
        </w:rPr>
        <w:t xml:space="preserve"> 3-2 </w:t>
      </w:r>
      <w:r w:rsidRPr="00785141">
        <w:rPr>
          <w:rFonts w:ascii="Garamond" w:hAnsi="Garamond" w:cs="MS Mincho"/>
          <w:sz w:val="24"/>
          <w:szCs w:val="24"/>
          <w:lang w:val="sq-AL"/>
        </w:rPr>
        <w:t>m</w:t>
      </w:r>
      <w:r w:rsidRPr="0058349C">
        <w:rPr>
          <w:rFonts w:ascii="Garamond" w:hAnsi="Garamond" w:cs="MS Mincho"/>
          <w:sz w:val="24"/>
          <w:szCs w:val="24"/>
          <w:lang w:val="sq-AL"/>
        </w:rPr>
        <w:t>ë poshtë paraqet sipërfaqet e kulti</w:t>
      </w:r>
      <w:r w:rsidR="00551E83">
        <w:rPr>
          <w:rFonts w:ascii="Garamond" w:hAnsi="Garamond" w:cs="MS Mincho"/>
          <w:sz w:val="24"/>
          <w:szCs w:val="24"/>
          <w:lang w:val="sq-AL"/>
        </w:rPr>
        <w:t>vuara në periudhën 2015–</w:t>
      </w:r>
      <w:r w:rsidRPr="0058349C">
        <w:rPr>
          <w:rFonts w:ascii="Garamond" w:hAnsi="Garamond" w:cs="MS Mincho"/>
          <w:sz w:val="24"/>
          <w:szCs w:val="24"/>
          <w:lang w:val="sq-AL"/>
        </w:rPr>
        <w:t>2020.</w:t>
      </w:r>
      <w:r w:rsidRPr="0058349C">
        <w:rPr>
          <w:rFonts w:ascii="Garamond" w:hAnsi="Garamond" w:cs="MS Mincho"/>
          <w:b/>
          <w:bCs/>
          <w:sz w:val="24"/>
          <w:szCs w:val="24"/>
          <w:lang w:val="sq-AL"/>
        </w:rPr>
        <w:t xml:space="preserve"> </w:t>
      </w:r>
      <w:r w:rsidR="00551E83">
        <w:rPr>
          <w:rFonts w:ascii="Garamond" w:hAnsi="Garamond" w:cs="MS Mincho"/>
          <w:sz w:val="24"/>
          <w:szCs w:val="24"/>
          <w:lang w:val="sq-AL"/>
        </w:rPr>
        <w:t>Në pothuaj të gjitha grup-</w:t>
      </w:r>
      <w:r w:rsidRPr="0058349C">
        <w:rPr>
          <w:rFonts w:ascii="Garamond" w:hAnsi="Garamond" w:cs="MS Mincho"/>
          <w:sz w:val="24"/>
          <w:szCs w:val="24"/>
          <w:lang w:val="sq-AL"/>
        </w:rPr>
        <w:t>kulturat ka pasur një rritje të sipërfaqeve dhe të prodhimit, me përjashtim të drithërave, të cilat kanë një dinamikë e cila drejtohet nga niveli i ulët i përfitimit për ha</w:t>
      </w:r>
      <w:r w:rsidR="00551E83">
        <w:rPr>
          <w:rFonts w:ascii="Garamond" w:hAnsi="Garamond" w:cs="MS Mincho"/>
          <w:sz w:val="24"/>
          <w:szCs w:val="24"/>
          <w:lang w:val="sq-AL"/>
        </w:rPr>
        <w:t>,</w:t>
      </w:r>
      <w:r w:rsidRPr="0058349C">
        <w:rPr>
          <w:rFonts w:ascii="Garamond" w:hAnsi="Garamond" w:cs="MS Mincho"/>
          <w:sz w:val="24"/>
          <w:szCs w:val="24"/>
          <w:lang w:val="sq-AL"/>
        </w:rPr>
        <w:t xml:space="preserve"> si pasojë e strukturave të copëzuara. Bimët e arave, ato në ambiente të mbrojtura dhe pemët frutore kanë një rritje të rëndësishme krahasuar me vitin 2015. Tendencat pozitive që vërehen</w:t>
      </w:r>
      <w:r w:rsidR="00CF7694" w:rsidRPr="0058349C">
        <w:rPr>
          <w:rFonts w:ascii="Garamond" w:hAnsi="Garamond" w:cs="MS Mincho"/>
          <w:sz w:val="24"/>
          <w:szCs w:val="24"/>
          <w:lang w:val="sq-AL"/>
        </w:rPr>
        <w:t xml:space="preserve"> </w:t>
      </w:r>
      <w:r w:rsidRPr="0058349C">
        <w:rPr>
          <w:rFonts w:ascii="Garamond" w:hAnsi="Garamond" w:cs="MS Mincho"/>
          <w:sz w:val="24"/>
          <w:szCs w:val="24"/>
          <w:lang w:val="sq-AL"/>
        </w:rPr>
        <w:t>në rritjen e sipërfaqes</w:t>
      </w:r>
      <w:r w:rsidR="00551E83">
        <w:rPr>
          <w:rFonts w:ascii="Garamond" w:hAnsi="Garamond" w:cs="MS Mincho"/>
          <w:sz w:val="24"/>
          <w:szCs w:val="24"/>
          <w:lang w:val="sq-AL"/>
        </w:rPr>
        <w:t>,</w:t>
      </w:r>
      <w:r w:rsidRPr="0058349C">
        <w:rPr>
          <w:rFonts w:ascii="Garamond" w:hAnsi="Garamond" w:cs="MS Mincho"/>
          <w:sz w:val="24"/>
          <w:szCs w:val="24"/>
          <w:lang w:val="sq-AL"/>
        </w:rPr>
        <w:t xml:space="preserve"> sidomos në</w:t>
      </w:r>
      <w:r w:rsidR="00551E83">
        <w:rPr>
          <w:rFonts w:ascii="Garamond" w:hAnsi="Garamond" w:cs="MS Mincho"/>
          <w:sz w:val="24"/>
          <w:szCs w:val="24"/>
          <w:lang w:val="sq-AL"/>
        </w:rPr>
        <w:t>:</w:t>
      </w:r>
      <w:r w:rsidRPr="0058349C">
        <w:rPr>
          <w:rFonts w:ascii="Garamond" w:hAnsi="Garamond" w:cs="MS Mincho"/>
          <w:sz w:val="24"/>
          <w:szCs w:val="24"/>
          <w:lang w:val="sq-AL"/>
        </w:rPr>
        <w:t xml:space="preserve"> mollë, agrume, ullinj, perime dhe</w:t>
      </w:r>
      <w:r w:rsidR="00551E83">
        <w:rPr>
          <w:rFonts w:ascii="Garamond" w:hAnsi="Garamond" w:cs="MS Mincho"/>
          <w:sz w:val="24"/>
          <w:szCs w:val="24"/>
          <w:lang w:val="sq-AL"/>
        </w:rPr>
        <w:t>,</w:t>
      </w:r>
      <w:r w:rsidRPr="0058349C">
        <w:rPr>
          <w:rFonts w:ascii="Garamond" w:hAnsi="Garamond" w:cs="MS Mincho"/>
          <w:sz w:val="24"/>
          <w:szCs w:val="24"/>
          <w:lang w:val="sq-AL"/>
        </w:rPr>
        <w:t xml:space="preserve"> veçanërisht</w:t>
      </w:r>
      <w:r w:rsidR="00551E83">
        <w:rPr>
          <w:rFonts w:ascii="Garamond" w:hAnsi="Garamond" w:cs="MS Mincho"/>
          <w:sz w:val="24"/>
          <w:szCs w:val="24"/>
          <w:lang w:val="sq-AL"/>
        </w:rPr>
        <w:t>,</w:t>
      </w:r>
      <w:r w:rsidRPr="0058349C">
        <w:rPr>
          <w:rFonts w:ascii="Garamond" w:hAnsi="Garamond" w:cs="MS Mincho"/>
          <w:sz w:val="24"/>
          <w:szCs w:val="24"/>
          <w:lang w:val="sq-AL"/>
        </w:rPr>
        <w:t xml:space="preserve"> perimet në serra tregojnë se </w:t>
      </w:r>
      <w:r w:rsidRPr="0058349C">
        <w:rPr>
          <w:rFonts w:ascii="Garamond" w:hAnsi="Garamond" w:cs="MS Mincho"/>
          <w:b/>
          <w:bCs/>
          <w:sz w:val="24"/>
          <w:szCs w:val="24"/>
          <w:lang w:val="sq-AL"/>
        </w:rPr>
        <w:t>orientimi i bujqësisë drejt tregut</w:t>
      </w:r>
      <w:r w:rsidR="00551E83">
        <w:rPr>
          <w:rFonts w:ascii="Garamond" w:hAnsi="Garamond" w:cs="MS Mincho"/>
          <w:b/>
          <w:bCs/>
          <w:sz w:val="24"/>
          <w:szCs w:val="24"/>
          <w:lang w:val="sq-AL"/>
        </w:rPr>
        <w:t>,</w:t>
      </w:r>
      <w:r w:rsidRPr="0058349C">
        <w:rPr>
          <w:rFonts w:ascii="Garamond" w:hAnsi="Garamond" w:cs="MS Mincho"/>
          <w:b/>
          <w:bCs/>
          <w:sz w:val="24"/>
          <w:szCs w:val="24"/>
          <w:lang w:val="sq-AL"/>
        </w:rPr>
        <w:t xml:space="preserve"> nëpërmjet investimeve të vazhdueshme në kul</w:t>
      </w:r>
      <w:r w:rsidR="00551E83">
        <w:rPr>
          <w:rFonts w:ascii="Garamond" w:hAnsi="Garamond" w:cs="MS Mincho"/>
          <w:b/>
          <w:bCs/>
          <w:sz w:val="24"/>
          <w:szCs w:val="24"/>
          <w:lang w:val="sq-AL"/>
        </w:rPr>
        <w:t>tura dhe sisteme prodhimi shumë</w:t>
      </w:r>
      <w:r w:rsidRPr="0058349C">
        <w:rPr>
          <w:rFonts w:ascii="Garamond" w:hAnsi="Garamond" w:cs="MS Mincho"/>
          <w:b/>
          <w:bCs/>
          <w:sz w:val="24"/>
          <w:szCs w:val="24"/>
          <w:lang w:val="sq-AL"/>
        </w:rPr>
        <w:t>konkurrues, është tashmë një realitet i bujqësisë shqiptare</w:t>
      </w:r>
      <w:r w:rsidRPr="0058349C">
        <w:rPr>
          <w:rFonts w:ascii="Garamond" w:hAnsi="Garamond" w:cs="MS Mincho"/>
          <w:sz w:val="24"/>
          <w:szCs w:val="24"/>
          <w:lang w:val="sq-AL"/>
        </w:rPr>
        <w:t xml:space="preserve">. </w:t>
      </w:r>
    </w:p>
    <w:p w14:paraId="0773AD11" w14:textId="77777777" w:rsidR="00492C9C" w:rsidRPr="0058349C" w:rsidRDefault="00492C9C" w:rsidP="00492C9C">
      <w:pPr>
        <w:autoSpaceDE w:val="0"/>
        <w:autoSpaceDN w:val="0"/>
        <w:adjustRightInd w:val="0"/>
        <w:spacing w:after="0" w:line="240" w:lineRule="auto"/>
        <w:ind w:firstLine="284"/>
        <w:jc w:val="both"/>
        <w:rPr>
          <w:rFonts w:ascii="Garamond" w:eastAsiaTheme="minorHAnsi" w:hAnsi="Garamond"/>
          <w:b/>
          <w:bCs/>
          <w:sz w:val="24"/>
          <w:szCs w:val="24"/>
          <w:lang w:val="sq-AL"/>
        </w:rPr>
      </w:pPr>
    </w:p>
    <w:p w14:paraId="0773AD12" w14:textId="16E3CD8A" w:rsidR="006B6119" w:rsidRPr="00FA7BB4" w:rsidRDefault="006B6119" w:rsidP="00FA7BB4">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
          <w:iCs/>
          <w:sz w:val="22"/>
          <w:szCs w:val="22"/>
          <w:lang w:val="sq-AL"/>
        </w:rPr>
      </w:pPr>
      <w:bookmarkStart w:id="0" w:name="_Toc103606433"/>
      <w:bookmarkStart w:id="1" w:name="_Toc103777359"/>
      <w:r w:rsidRPr="00FA7BB4">
        <w:rPr>
          <w:b/>
          <w:i/>
          <w:iCs/>
          <w:sz w:val="22"/>
          <w:szCs w:val="22"/>
          <w:lang w:val="sq-AL"/>
        </w:rPr>
        <w:t xml:space="preserve">Tabela </w:t>
      </w:r>
      <w:r w:rsidR="00FA7BB4" w:rsidRPr="00FA7BB4">
        <w:rPr>
          <w:b/>
          <w:i/>
          <w:iCs/>
          <w:sz w:val="22"/>
          <w:szCs w:val="22"/>
          <w:lang w:val="sq-AL"/>
        </w:rPr>
        <w:t>3</w:t>
      </w:r>
      <w:r w:rsidRPr="00FA7BB4">
        <w:rPr>
          <w:b/>
          <w:i/>
          <w:iCs/>
          <w:sz w:val="22"/>
          <w:szCs w:val="22"/>
          <w:lang w:val="sq-AL"/>
        </w:rPr>
        <w:noBreakHyphen/>
      </w:r>
      <w:r w:rsidR="002667F9">
        <w:rPr>
          <w:b/>
          <w:i/>
          <w:iCs/>
          <w:sz w:val="22"/>
          <w:szCs w:val="22"/>
          <w:lang w:val="sq-AL"/>
        </w:rPr>
        <w:t>2</w:t>
      </w:r>
      <w:r w:rsidRPr="00FA7BB4">
        <w:rPr>
          <w:b/>
          <w:i/>
          <w:iCs/>
          <w:sz w:val="22"/>
          <w:szCs w:val="22"/>
          <w:lang w:val="sq-AL"/>
        </w:rPr>
        <w:t>:</w:t>
      </w:r>
      <w:r w:rsidR="002F0C1A" w:rsidRPr="00FA7BB4">
        <w:rPr>
          <w:b/>
          <w:i/>
          <w:iCs/>
          <w:sz w:val="22"/>
          <w:szCs w:val="22"/>
          <w:lang w:val="sq-AL"/>
        </w:rPr>
        <w:t xml:space="preserve"> </w:t>
      </w:r>
      <w:r w:rsidRPr="00FA7BB4">
        <w:rPr>
          <w:bCs/>
          <w:i/>
          <w:iCs/>
          <w:sz w:val="22"/>
          <w:szCs w:val="22"/>
          <w:lang w:val="sq-AL"/>
        </w:rPr>
        <w:t>Sipërfa</w:t>
      </w:r>
      <w:r w:rsidR="002F0C1A" w:rsidRPr="00FA7BB4">
        <w:rPr>
          <w:bCs/>
          <w:i/>
          <w:iCs/>
          <w:sz w:val="22"/>
          <w:szCs w:val="22"/>
          <w:lang w:val="sq-AL"/>
        </w:rPr>
        <w:t xml:space="preserve">qet e kultivuara në </w:t>
      </w:r>
      <w:r w:rsidR="00FA7BB4" w:rsidRPr="00FA7BB4">
        <w:rPr>
          <w:bCs/>
          <w:i/>
          <w:iCs/>
          <w:sz w:val="22"/>
          <w:szCs w:val="22"/>
          <w:lang w:val="sq-AL"/>
        </w:rPr>
        <w:t xml:space="preserve">ha </w:t>
      </w:r>
      <w:r w:rsidR="002F0C1A" w:rsidRPr="00FA7BB4">
        <w:rPr>
          <w:bCs/>
          <w:i/>
          <w:iCs/>
          <w:sz w:val="22"/>
          <w:szCs w:val="22"/>
          <w:lang w:val="sq-AL"/>
        </w:rPr>
        <w:t>(2015–</w:t>
      </w:r>
      <w:r w:rsidRPr="00FA7BB4">
        <w:rPr>
          <w:bCs/>
          <w:i/>
          <w:iCs/>
          <w:sz w:val="22"/>
          <w:szCs w:val="22"/>
          <w:lang w:val="sq-AL"/>
        </w:rPr>
        <w:t>2020)</w:t>
      </w:r>
      <w:bookmarkEnd w:id="0"/>
      <w:bookmarkEnd w:id="1"/>
    </w:p>
    <w:p w14:paraId="0773AD13" w14:textId="77777777" w:rsidR="00DC66BE" w:rsidRPr="0058349C" w:rsidRDefault="00DC66BE" w:rsidP="006B6119">
      <w:pPr>
        <w:pStyle w:val="TEKSTIIII"/>
        <w:tabs>
          <w:tab w:val="left" w:pos="720"/>
          <w:tab w:val="left" w:pos="1440"/>
          <w:tab w:val="left" w:pos="2160"/>
          <w:tab w:val="left" w:pos="2880"/>
          <w:tab w:val="left" w:pos="3600"/>
          <w:tab w:val="left" w:pos="4320"/>
          <w:tab w:val="left" w:pos="5040"/>
          <w:tab w:val="left" w:pos="5760"/>
          <w:tab w:val="left" w:pos="6912"/>
        </w:tabs>
        <w:rPr>
          <w:b/>
          <w:lang w:val="sq-AL"/>
        </w:rPr>
      </w:pPr>
      <w:r w:rsidRPr="0058349C">
        <w:rPr>
          <w:noProof/>
        </w:rPr>
        <w:drawing>
          <wp:inline distT="0" distB="0" distL="0" distR="0" wp14:anchorId="0773BAC2" wp14:editId="0773BAC3">
            <wp:extent cx="5788550" cy="1510748"/>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37293" b="12350"/>
                    <a:stretch/>
                  </pic:blipFill>
                  <pic:spPr bwMode="auto">
                    <a:xfrm>
                      <a:off x="0" y="0"/>
                      <a:ext cx="5793727" cy="1512099"/>
                    </a:xfrm>
                    <a:prstGeom prst="rect">
                      <a:avLst/>
                    </a:prstGeom>
                    <a:noFill/>
                    <a:ln>
                      <a:noFill/>
                    </a:ln>
                    <a:extLst>
                      <a:ext uri="{53640926-AAD7-44D8-BBD7-CCE9431645EC}">
                        <a14:shadowObscured xmlns:a14="http://schemas.microsoft.com/office/drawing/2010/main"/>
                      </a:ext>
                    </a:extLst>
                  </pic:spPr>
                </pic:pic>
              </a:graphicData>
            </a:graphic>
          </wp:inline>
        </w:drawing>
      </w:r>
    </w:p>
    <w:p w14:paraId="0773AD14" w14:textId="77777777" w:rsidR="00CF57C7" w:rsidRPr="0058349C" w:rsidRDefault="00CF57C7" w:rsidP="00264AE4">
      <w:pPr>
        <w:pStyle w:val="TEKSTIIII"/>
        <w:ind w:firstLine="0"/>
        <w:jc w:val="center"/>
        <w:rPr>
          <w:lang w:val="sq-AL"/>
        </w:rPr>
      </w:pPr>
      <w:r w:rsidRPr="0058349C">
        <w:rPr>
          <w:lang w:val="sq-AL"/>
        </w:rPr>
        <w:t>Burimi: Vjetari i Statistikave në Bujqësi (2020)</w:t>
      </w:r>
    </w:p>
    <w:p w14:paraId="0773AD15" w14:textId="77777777" w:rsidR="00CF57C7" w:rsidRPr="0058349C" w:rsidRDefault="00CF57C7" w:rsidP="00CF57C7">
      <w:pPr>
        <w:pStyle w:val="TEKSTIIII"/>
        <w:rPr>
          <w:b/>
          <w:lang w:val="sq-AL"/>
        </w:rPr>
      </w:pPr>
    </w:p>
    <w:p w14:paraId="0773AD16" w14:textId="38CF7DE9" w:rsidR="00CF57C7" w:rsidRPr="0058349C" w:rsidRDefault="00CF57C7" w:rsidP="00CF57C7">
      <w:pPr>
        <w:pStyle w:val="TEKSTIIII"/>
        <w:rPr>
          <w:rFonts w:cs="Arial"/>
          <w:lang w:val="sq-AL"/>
        </w:rPr>
      </w:pPr>
      <w:r w:rsidRPr="0058349C">
        <w:rPr>
          <w:rFonts w:cs="Arial"/>
          <w:b/>
          <w:lang w:val="sq-AL"/>
        </w:rPr>
        <w:t xml:space="preserve">Sistemet e vogla të prodhimit </w:t>
      </w:r>
      <w:r w:rsidRPr="0058349C">
        <w:rPr>
          <w:rFonts w:cs="Arial"/>
          <w:lang w:val="sq-AL"/>
        </w:rPr>
        <w:t>(</w:t>
      </w:r>
      <w:r w:rsidR="00551E83" w:rsidRPr="0058349C">
        <w:rPr>
          <w:rFonts w:cs="Arial"/>
          <w:lang w:val="sq-AL"/>
        </w:rPr>
        <w:t xml:space="preserve">tabela </w:t>
      </w:r>
      <w:r w:rsidRPr="0058349C">
        <w:rPr>
          <w:rFonts w:cs="Arial"/>
          <w:lang w:val="sq-AL"/>
        </w:rPr>
        <w:t>3-3) përfaqësojnë një nga kufizimet kryesore për rritjen e mëtejshme të qëndrueshmërisë ekonomike-financiare të fermave. Gjithashtu, madhësia e kufizuar e fermës ka prodhuar instrumente të politikës publike</w:t>
      </w:r>
      <w:r w:rsidR="00391AED">
        <w:rPr>
          <w:rFonts w:cs="Arial"/>
          <w:lang w:val="sq-AL"/>
        </w:rPr>
        <w:t>,</w:t>
      </w:r>
      <w:r w:rsidRPr="0058349C">
        <w:rPr>
          <w:rFonts w:cs="Arial"/>
          <w:lang w:val="sq-AL"/>
        </w:rPr>
        <w:t xml:space="preserve"> të cilat synojnë të lehtësojnë fermerët në procesin e aplikimit të tyre në pagesat direkte, në inpute më të lira, në kredi etj., nëpërmjet orientimit të tyre drejt bashkëpunimit në faza të ndryshme të prodhimit dhe/ose të shitjes. </w:t>
      </w:r>
    </w:p>
    <w:p w14:paraId="0773AD17" w14:textId="77777777" w:rsidR="00CF57C7" w:rsidRPr="0058349C" w:rsidRDefault="00CF57C7" w:rsidP="00CF57C7">
      <w:pPr>
        <w:pStyle w:val="TEKSTIIII"/>
        <w:rPr>
          <w:b/>
          <w:lang w:val="sq-AL"/>
        </w:rPr>
      </w:pPr>
      <w:bookmarkStart w:id="2" w:name="_Ref88581560"/>
      <w:bookmarkStart w:id="3" w:name="_Toc103606434"/>
      <w:bookmarkStart w:id="4" w:name="_Toc103777360"/>
    </w:p>
    <w:p w14:paraId="0773AD18" w14:textId="3ED8CBEA" w:rsidR="00CF57C7" w:rsidRPr="00391AED" w:rsidRDefault="00CF57C7" w:rsidP="00391AED">
      <w:pPr>
        <w:pStyle w:val="TEKSTIIII"/>
        <w:ind w:firstLine="0"/>
        <w:jc w:val="center"/>
        <w:rPr>
          <w:bCs/>
          <w:i/>
          <w:iCs/>
          <w:sz w:val="20"/>
          <w:szCs w:val="20"/>
          <w:lang w:val="sq-AL"/>
        </w:rPr>
      </w:pPr>
      <w:r w:rsidRPr="00391AED">
        <w:rPr>
          <w:b/>
          <w:i/>
          <w:iCs/>
          <w:sz w:val="20"/>
          <w:szCs w:val="20"/>
          <w:lang w:val="sq-AL"/>
        </w:rPr>
        <w:lastRenderedPageBreak/>
        <w:t>Tabela</w:t>
      </w:r>
      <w:bookmarkEnd w:id="2"/>
      <w:r w:rsidR="00391AED">
        <w:rPr>
          <w:b/>
          <w:i/>
          <w:iCs/>
          <w:sz w:val="20"/>
          <w:szCs w:val="20"/>
          <w:lang w:val="sq-AL"/>
        </w:rPr>
        <w:t xml:space="preserve"> 3-3</w:t>
      </w:r>
      <w:r w:rsidR="00391AED" w:rsidRPr="00391AED">
        <w:rPr>
          <w:b/>
          <w:i/>
          <w:iCs/>
          <w:sz w:val="20"/>
          <w:szCs w:val="20"/>
          <w:lang w:val="sq-AL"/>
        </w:rPr>
        <w:t>:</w:t>
      </w:r>
      <w:r w:rsidR="00391AED" w:rsidRPr="00391AED">
        <w:rPr>
          <w:bCs/>
          <w:i/>
          <w:iCs/>
          <w:sz w:val="20"/>
          <w:szCs w:val="20"/>
          <w:lang w:val="sq-AL"/>
        </w:rPr>
        <w:t xml:space="preserve"> </w:t>
      </w:r>
      <w:r w:rsidRPr="00391AED">
        <w:rPr>
          <w:bCs/>
          <w:i/>
          <w:iCs/>
          <w:sz w:val="20"/>
          <w:szCs w:val="20"/>
          <w:lang w:val="sq-AL"/>
        </w:rPr>
        <w:t>Struktura e fermës në sektorin e prodhimit bimor (2019)</w:t>
      </w:r>
      <w:r w:rsidRPr="00391AED">
        <w:rPr>
          <w:rStyle w:val="FootnoteReference"/>
          <w:bCs/>
          <w:i/>
          <w:iCs/>
          <w:sz w:val="20"/>
          <w:szCs w:val="20"/>
          <w:lang w:val="sq-AL"/>
        </w:rPr>
        <w:footnoteReference w:id="3"/>
      </w:r>
      <w:bookmarkEnd w:id="3"/>
      <w:bookmarkEnd w:id="4"/>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1290"/>
        <w:gridCol w:w="893"/>
        <w:gridCol w:w="1275"/>
        <w:gridCol w:w="1065"/>
        <w:gridCol w:w="1450"/>
        <w:gridCol w:w="913"/>
        <w:gridCol w:w="1145"/>
        <w:gridCol w:w="1057"/>
      </w:tblGrid>
      <w:tr w:rsidR="003352F4" w:rsidRPr="0058349C" w14:paraId="0773AD1B" w14:textId="77777777" w:rsidTr="00391AED">
        <w:trPr>
          <w:trHeight w:val="195"/>
          <w:jc w:val="center"/>
        </w:trPr>
        <w:tc>
          <w:tcPr>
            <w:tcW w:w="1290" w:type="dxa"/>
            <w:vMerge w:val="restart"/>
            <w:shd w:val="clear" w:color="auto" w:fill="E5F7CA"/>
            <w:vAlign w:val="center"/>
            <w:hideMark/>
          </w:tcPr>
          <w:p w14:paraId="0773AD19" w14:textId="77777777" w:rsidR="003352F4" w:rsidRPr="0058349C" w:rsidRDefault="003352F4" w:rsidP="00793D9F">
            <w:pPr>
              <w:spacing w:after="0"/>
              <w:jc w:val="center"/>
              <w:rPr>
                <w:rFonts w:ascii="Garamond" w:hAnsi="Garamond" w:cs="Arial"/>
                <w:b/>
                <w:bCs/>
                <w:sz w:val="20"/>
                <w:szCs w:val="20"/>
                <w:lang w:val="sq-AL"/>
              </w:rPr>
            </w:pPr>
            <w:r w:rsidRPr="0058349C">
              <w:rPr>
                <w:rFonts w:ascii="Garamond" w:hAnsi="Garamond" w:cs="Arial"/>
                <w:b/>
                <w:bCs/>
                <w:sz w:val="20"/>
                <w:szCs w:val="20"/>
                <w:lang w:val="sq-AL"/>
              </w:rPr>
              <w:t>Madhësia e fermës (ha)</w:t>
            </w:r>
          </w:p>
        </w:tc>
        <w:tc>
          <w:tcPr>
            <w:tcW w:w="7798" w:type="dxa"/>
            <w:gridSpan w:val="7"/>
            <w:shd w:val="clear" w:color="auto" w:fill="E5F7CA"/>
            <w:vAlign w:val="center"/>
          </w:tcPr>
          <w:p w14:paraId="0773AD1A" w14:textId="77777777" w:rsidR="003352F4" w:rsidRPr="0058349C" w:rsidRDefault="003352F4" w:rsidP="00793D9F">
            <w:pPr>
              <w:spacing w:after="0"/>
              <w:jc w:val="center"/>
              <w:rPr>
                <w:rFonts w:ascii="Garamond" w:hAnsi="Garamond" w:cs="Arial"/>
                <w:b/>
                <w:bCs/>
                <w:sz w:val="20"/>
                <w:szCs w:val="20"/>
                <w:lang w:val="sq-AL"/>
              </w:rPr>
            </w:pPr>
            <w:r w:rsidRPr="0058349C">
              <w:rPr>
                <w:rFonts w:ascii="Garamond" w:hAnsi="Garamond" w:cs="Arial"/>
                <w:b/>
                <w:bCs/>
                <w:sz w:val="20"/>
                <w:szCs w:val="20"/>
                <w:lang w:val="sq-AL"/>
              </w:rPr>
              <w:t>Pjesa e fermave sipas madhësisë së fermës</w:t>
            </w:r>
          </w:p>
        </w:tc>
      </w:tr>
      <w:tr w:rsidR="003352F4" w:rsidRPr="0058349C" w14:paraId="0773AD24" w14:textId="77777777" w:rsidTr="00391AED">
        <w:trPr>
          <w:trHeight w:val="348"/>
          <w:jc w:val="center"/>
        </w:trPr>
        <w:tc>
          <w:tcPr>
            <w:tcW w:w="1290" w:type="dxa"/>
            <w:vMerge/>
            <w:shd w:val="clear" w:color="auto" w:fill="E5F7CA"/>
            <w:vAlign w:val="center"/>
          </w:tcPr>
          <w:p w14:paraId="0773AD1C" w14:textId="77777777" w:rsidR="003352F4" w:rsidRPr="0058349C" w:rsidRDefault="003352F4" w:rsidP="00793D9F">
            <w:pPr>
              <w:spacing w:after="0"/>
              <w:jc w:val="center"/>
              <w:rPr>
                <w:rFonts w:ascii="Garamond" w:hAnsi="Garamond" w:cs="Arial"/>
                <w:b/>
                <w:bCs/>
                <w:sz w:val="20"/>
                <w:szCs w:val="20"/>
                <w:lang w:val="sq-AL"/>
              </w:rPr>
            </w:pPr>
          </w:p>
        </w:tc>
        <w:tc>
          <w:tcPr>
            <w:tcW w:w="893" w:type="dxa"/>
            <w:shd w:val="clear" w:color="auto" w:fill="E5F7CA"/>
            <w:vAlign w:val="center"/>
          </w:tcPr>
          <w:p w14:paraId="0773AD1D" w14:textId="77777777" w:rsidR="003352F4" w:rsidRPr="0058349C" w:rsidRDefault="003352F4" w:rsidP="00793D9F">
            <w:pPr>
              <w:spacing w:after="0"/>
              <w:jc w:val="center"/>
              <w:rPr>
                <w:rFonts w:ascii="Garamond" w:hAnsi="Garamond" w:cs="Arial"/>
                <w:b/>
                <w:bCs/>
                <w:sz w:val="20"/>
                <w:szCs w:val="20"/>
                <w:lang w:val="sq-AL"/>
              </w:rPr>
            </w:pPr>
            <w:r w:rsidRPr="0058349C">
              <w:rPr>
                <w:rFonts w:ascii="Garamond" w:hAnsi="Garamond" w:cs="Arial"/>
                <w:b/>
                <w:bCs/>
                <w:sz w:val="20"/>
                <w:szCs w:val="20"/>
                <w:lang w:val="sq-AL"/>
              </w:rPr>
              <w:t>Tokë arë</w:t>
            </w:r>
          </w:p>
        </w:tc>
        <w:tc>
          <w:tcPr>
            <w:tcW w:w="1275" w:type="dxa"/>
            <w:shd w:val="clear" w:color="auto" w:fill="E5F7CA"/>
            <w:vAlign w:val="center"/>
          </w:tcPr>
          <w:p w14:paraId="0773AD1E" w14:textId="77777777" w:rsidR="003352F4" w:rsidRPr="0058349C" w:rsidRDefault="003352F4" w:rsidP="00793D9F">
            <w:pPr>
              <w:spacing w:after="0"/>
              <w:jc w:val="center"/>
              <w:rPr>
                <w:rFonts w:ascii="Garamond" w:hAnsi="Garamond" w:cs="Arial"/>
                <w:b/>
                <w:bCs/>
                <w:sz w:val="20"/>
                <w:szCs w:val="20"/>
                <w:lang w:val="sq-AL"/>
              </w:rPr>
            </w:pPr>
            <w:r w:rsidRPr="0058349C">
              <w:rPr>
                <w:rFonts w:ascii="Garamond" w:hAnsi="Garamond" w:cs="Arial"/>
                <w:b/>
                <w:bCs/>
                <w:sz w:val="20"/>
                <w:szCs w:val="20"/>
                <w:lang w:val="sq-AL"/>
              </w:rPr>
              <w:t>Perimet e fushës</w:t>
            </w:r>
          </w:p>
        </w:tc>
        <w:tc>
          <w:tcPr>
            <w:tcW w:w="1065" w:type="dxa"/>
            <w:shd w:val="clear" w:color="auto" w:fill="E5F7CA"/>
            <w:vAlign w:val="center"/>
          </w:tcPr>
          <w:p w14:paraId="0773AD1F" w14:textId="7232353D" w:rsidR="003352F4" w:rsidRPr="0058349C" w:rsidRDefault="003352F4" w:rsidP="00793D9F">
            <w:pPr>
              <w:spacing w:after="0"/>
              <w:jc w:val="center"/>
              <w:rPr>
                <w:rFonts w:ascii="Garamond" w:hAnsi="Garamond" w:cs="Arial"/>
                <w:b/>
                <w:bCs/>
                <w:sz w:val="20"/>
                <w:szCs w:val="20"/>
                <w:lang w:val="sq-AL"/>
              </w:rPr>
            </w:pPr>
            <w:r w:rsidRPr="0058349C">
              <w:rPr>
                <w:rFonts w:ascii="Garamond" w:hAnsi="Garamond" w:cs="Arial"/>
                <w:b/>
                <w:bCs/>
                <w:sz w:val="20"/>
                <w:szCs w:val="20"/>
                <w:lang w:val="sq-AL"/>
              </w:rPr>
              <w:t>Ser</w:t>
            </w:r>
            <w:r w:rsidR="00391AED">
              <w:rPr>
                <w:rFonts w:ascii="Garamond" w:hAnsi="Garamond" w:cs="Arial"/>
                <w:b/>
                <w:bCs/>
                <w:sz w:val="20"/>
                <w:szCs w:val="20"/>
                <w:lang w:val="sq-AL"/>
              </w:rPr>
              <w:t>r</w:t>
            </w:r>
            <w:r w:rsidRPr="0058349C">
              <w:rPr>
                <w:rFonts w:ascii="Garamond" w:hAnsi="Garamond" w:cs="Arial"/>
                <w:b/>
                <w:bCs/>
                <w:sz w:val="20"/>
                <w:szCs w:val="20"/>
                <w:lang w:val="sq-AL"/>
              </w:rPr>
              <w:t>at</w:t>
            </w:r>
          </w:p>
        </w:tc>
        <w:tc>
          <w:tcPr>
            <w:tcW w:w="1450" w:type="dxa"/>
            <w:shd w:val="clear" w:color="auto" w:fill="E5F7CA"/>
            <w:vAlign w:val="center"/>
          </w:tcPr>
          <w:p w14:paraId="0773AD20" w14:textId="77777777" w:rsidR="003352F4" w:rsidRPr="0058349C" w:rsidRDefault="003352F4" w:rsidP="00793D9F">
            <w:pPr>
              <w:spacing w:after="0"/>
              <w:jc w:val="center"/>
              <w:rPr>
                <w:rFonts w:ascii="Garamond" w:hAnsi="Garamond" w:cs="Arial"/>
                <w:b/>
                <w:bCs/>
                <w:sz w:val="20"/>
                <w:szCs w:val="20"/>
                <w:lang w:val="sq-AL"/>
              </w:rPr>
            </w:pPr>
            <w:r w:rsidRPr="0058349C">
              <w:rPr>
                <w:rFonts w:ascii="Garamond" w:hAnsi="Garamond" w:cs="Arial"/>
                <w:b/>
                <w:bCs/>
                <w:sz w:val="20"/>
                <w:szCs w:val="20"/>
                <w:lang w:val="sq-AL"/>
              </w:rPr>
              <w:t>*</w:t>
            </w:r>
            <w:r w:rsidRPr="0058349C">
              <w:rPr>
                <w:rFonts w:ascii="Garamond" w:hAnsi="Garamond" w:cs="Arial"/>
                <w:sz w:val="20"/>
                <w:szCs w:val="20"/>
                <w:lang w:val="sq-AL"/>
              </w:rPr>
              <w:t xml:space="preserve"> </w:t>
            </w:r>
            <w:r w:rsidRPr="0058349C">
              <w:rPr>
                <w:rFonts w:ascii="Garamond" w:hAnsi="Garamond" w:cs="Arial"/>
                <w:b/>
                <w:bCs/>
                <w:sz w:val="20"/>
                <w:szCs w:val="20"/>
                <w:lang w:val="sq-AL"/>
              </w:rPr>
              <w:t>Pemishtet</w:t>
            </w:r>
          </w:p>
        </w:tc>
        <w:tc>
          <w:tcPr>
            <w:tcW w:w="913" w:type="dxa"/>
            <w:shd w:val="clear" w:color="auto" w:fill="E5F7CA"/>
            <w:noWrap/>
            <w:vAlign w:val="center"/>
          </w:tcPr>
          <w:p w14:paraId="0773AD21" w14:textId="77777777" w:rsidR="003352F4" w:rsidRPr="0058349C" w:rsidRDefault="003352F4" w:rsidP="00793D9F">
            <w:pPr>
              <w:spacing w:after="0"/>
              <w:jc w:val="center"/>
              <w:rPr>
                <w:rFonts w:ascii="Garamond" w:hAnsi="Garamond" w:cs="Arial"/>
                <w:b/>
                <w:bCs/>
                <w:sz w:val="20"/>
                <w:szCs w:val="20"/>
                <w:lang w:val="sq-AL"/>
              </w:rPr>
            </w:pPr>
            <w:r w:rsidRPr="0058349C">
              <w:rPr>
                <w:rFonts w:ascii="Garamond" w:hAnsi="Garamond" w:cs="Arial"/>
                <w:b/>
                <w:bCs/>
                <w:sz w:val="20"/>
                <w:szCs w:val="20"/>
                <w:lang w:val="sq-AL"/>
              </w:rPr>
              <w:t>Fermat e ullirit</w:t>
            </w:r>
          </w:p>
        </w:tc>
        <w:tc>
          <w:tcPr>
            <w:tcW w:w="1145" w:type="dxa"/>
            <w:shd w:val="clear" w:color="auto" w:fill="E5F7CA"/>
            <w:vAlign w:val="center"/>
          </w:tcPr>
          <w:p w14:paraId="0773AD22" w14:textId="77777777" w:rsidR="003352F4" w:rsidRPr="0058349C" w:rsidRDefault="003352F4" w:rsidP="00793D9F">
            <w:pPr>
              <w:spacing w:after="0"/>
              <w:jc w:val="center"/>
              <w:rPr>
                <w:rFonts w:ascii="Garamond" w:hAnsi="Garamond" w:cs="Arial"/>
                <w:b/>
                <w:bCs/>
                <w:sz w:val="20"/>
                <w:szCs w:val="20"/>
                <w:lang w:val="sq-AL"/>
              </w:rPr>
            </w:pPr>
            <w:r w:rsidRPr="0058349C">
              <w:rPr>
                <w:rFonts w:ascii="Garamond" w:hAnsi="Garamond" w:cs="Arial"/>
                <w:b/>
                <w:bCs/>
                <w:sz w:val="20"/>
                <w:szCs w:val="20"/>
                <w:lang w:val="sq-AL"/>
              </w:rPr>
              <w:t>*</w:t>
            </w:r>
            <w:r w:rsidRPr="0058349C">
              <w:rPr>
                <w:rFonts w:ascii="Garamond" w:hAnsi="Garamond" w:cs="Arial"/>
                <w:sz w:val="20"/>
                <w:szCs w:val="20"/>
                <w:lang w:val="sq-AL"/>
              </w:rPr>
              <w:t xml:space="preserve"> </w:t>
            </w:r>
            <w:r w:rsidRPr="0058349C">
              <w:rPr>
                <w:rFonts w:ascii="Garamond" w:hAnsi="Garamond" w:cs="Arial"/>
                <w:b/>
                <w:bCs/>
                <w:sz w:val="20"/>
                <w:szCs w:val="20"/>
                <w:lang w:val="sq-AL"/>
              </w:rPr>
              <w:t>Fermat e agrumeve</w:t>
            </w:r>
          </w:p>
        </w:tc>
        <w:tc>
          <w:tcPr>
            <w:tcW w:w="1057" w:type="dxa"/>
            <w:shd w:val="clear" w:color="auto" w:fill="E5F7CA"/>
            <w:vAlign w:val="center"/>
          </w:tcPr>
          <w:p w14:paraId="0773AD23" w14:textId="77777777" w:rsidR="003352F4" w:rsidRPr="0058349C" w:rsidRDefault="003352F4" w:rsidP="00793D9F">
            <w:pPr>
              <w:spacing w:after="0"/>
              <w:jc w:val="center"/>
              <w:rPr>
                <w:rFonts w:ascii="Garamond" w:hAnsi="Garamond" w:cs="Arial"/>
                <w:b/>
                <w:bCs/>
                <w:sz w:val="20"/>
                <w:szCs w:val="20"/>
                <w:lang w:val="sq-AL"/>
              </w:rPr>
            </w:pPr>
            <w:r w:rsidRPr="0058349C">
              <w:rPr>
                <w:rFonts w:ascii="Garamond" w:hAnsi="Garamond" w:cs="Arial"/>
                <w:b/>
                <w:bCs/>
                <w:sz w:val="20"/>
                <w:szCs w:val="20"/>
                <w:lang w:val="sq-AL"/>
              </w:rPr>
              <w:t>Vreshtat</w:t>
            </w:r>
          </w:p>
        </w:tc>
      </w:tr>
      <w:tr w:rsidR="003352F4" w:rsidRPr="0058349C" w14:paraId="0773AD2D" w14:textId="77777777" w:rsidTr="00391AED">
        <w:trPr>
          <w:trHeight w:val="300"/>
          <w:jc w:val="center"/>
        </w:trPr>
        <w:tc>
          <w:tcPr>
            <w:tcW w:w="1290" w:type="dxa"/>
            <w:vAlign w:val="center"/>
          </w:tcPr>
          <w:p w14:paraId="0773AD25" w14:textId="77777777" w:rsidR="003352F4" w:rsidRPr="0058349C" w:rsidRDefault="003352F4" w:rsidP="00793D9F">
            <w:pPr>
              <w:spacing w:after="0"/>
              <w:rPr>
                <w:rFonts w:ascii="Garamond" w:hAnsi="Garamond" w:cs="Arial"/>
                <w:b/>
                <w:bCs/>
                <w:sz w:val="20"/>
                <w:szCs w:val="20"/>
                <w:lang w:val="sq-AL"/>
              </w:rPr>
            </w:pPr>
            <w:r w:rsidRPr="0058349C">
              <w:rPr>
                <w:rFonts w:ascii="Garamond" w:hAnsi="Garamond" w:cs="Arial"/>
                <w:b/>
                <w:bCs/>
                <w:sz w:val="20"/>
                <w:szCs w:val="20"/>
                <w:lang w:val="sq-AL"/>
              </w:rPr>
              <w:t>0 – 0.10</w:t>
            </w:r>
          </w:p>
        </w:tc>
        <w:tc>
          <w:tcPr>
            <w:tcW w:w="893" w:type="dxa"/>
            <w:vMerge w:val="restart"/>
            <w:vAlign w:val="center"/>
          </w:tcPr>
          <w:p w14:paraId="0773AD26"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45%</w:t>
            </w:r>
          </w:p>
        </w:tc>
        <w:tc>
          <w:tcPr>
            <w:tcW w:w="1275" w:type="dxa"/>
            <w:vMerge w:val="restart"/>
            <w:noWrap/>
            <w:vAlign w:val="center"/>
          </w:tcPr>
          <w:p w14:paraId="0773AD27"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66.66%</w:t>
            </w:r>
          </w:p>
        </w:tc>
        <w:tc>
          <w:tcPr>
            <w:tcW w:w="1065" w:type="dxa"/>
            <w:vMerge w:val="restart"/>
            <w:noWrap/>
            <w:vAlign w:val="center"/>
          </w:tcPr>
          <w:p w14:paraId="0773AD28"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60.34%</w:t>
            </w:r>
          </w:p>
        </w:tc>
        <w:tc>
          <w:tcPr>
            <w:tcW w:w="1450" w:type="dxa"/>
            <w:vMerge w:val="restart"/>
            <w:noWrap/>
            <w:vAlign w:val="center"/>
          </w:tcPr>
          <w:p w14:paraId="0773AD29"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w:t>
            </w:r>
          </w:p>
        </w:tc>
        <w:tc>
          <w:tcPr>
            <w:tcW w:w="913" w:type="dxa"/>
            <w:vMerge w:val="restart"/>
            <w:vAlign w:val="center"/>
          </w:tcPr>
          <w:p w14:paraId="0773AD2A"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88.5%</w:t>
            </w:r>
          </w:p>
        </w:tc>
        <w:tc>
          <w:tcPr>
            <w:tcW w:w="1145" w:type="dxa"/>
            <w:vMerge w:val="restart"/>
            <w:vAlign w:val="center"/>
          </w:tcPr>
          <w:p w14:paraId="0773AD2B"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w:t>
            </w:r>
          </w:p>
        </w:tc>
        <w:tc>
          <w:tcPr>
            <w:tcW w:w="1057" w:type="dxa"/>
            <w:vMerge w:val="restart"/>
            <w:vAlign w:val="center"/>
          </w:tcPr>
          <w:p w14:paraId="0773AD2C"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92.94%</w:t>
            </w:r>
          </w:p>
        </w:tc>
      </w:tr>
      <w:tr w:rsidR="003352F4" w:rsidRPr="0058349C" w14:paraId="0773AD36" w14:textId="77777777" w:rsidTr="00391AED">
        <w:trPr>
          <w:trHeight w:val="55"/>
          <w:jc w:val="center"/>
        </w:trPr>
        <w:tc>
          <w:tcPr>
            <w:tcW w:w="1290" w:type="dxa"/>
            <w:vAlign w:val="center"/>
          </w:tcPr>
          <w:p w14:paraId="0773AD2E" w14:textId="77777777" w:rsidR="003352F4" w:rsidRPr="0058349C" w:rsidRDefault="003352F4" w:rsidP="00793D9F">
            <w:pPr>
              <w:spacing w:after="0"/>
              <w:rPr>
                <w:rFonts w:ascii="Garamond" w:hAnsi="Garamond" w:cs="Arial"/>
                <w:b/>
                <w:bCs/>
                <w:sz w:val="20"/>
                <w:szCs w:val="20"/>
                <w:lang w:val="sq-AL"/>
              </w:rPr>
            </w:pPr>
            <w:r w:rsidRPr="0058349C">
              <w:rPr>
                <w:rFonts w:ascii="Garamond" w:hAnsi="Garamond" w:cs="Arial"/>
                <w:b/>
                <w:bCs/>
                <w:sz w:val="20"/>
                <w:szCs w:val="20"/>
                <w:lang w:val="sq-AL"/>
              </w:rPr>
              <w:t>0 – 20</w:t>
            </w:r>
          </w:p>
        </w:tc>
        <w:tc>
          <w:tcPr>
            <w:tcW w:w="893" w:type="dxa"/>
            <w:vMerge/>
            <w:vAlign w:val="center"/>
          </w:tcPr>
          <w:p w14:paraId="0773AD2F" w14:textId="77777777" w:rsidR="003352F4" w:rsidRPr="0058349C" w:rsidRDefault="003352F4" w:rsidP="00391AED">
            <w:pPr>
              <w:spacing w:after="0"/>
              <w:jc w:val="right"/>
              <w:rPr>
                <w:rFonts w:ascii="Garamond" w:hAnsi="Garamond" w:cs="Arial"/>
                <w:sz w:val="20"/>
                <w:szCs w:val="20"/>
                <w:lang w:val="sq-AL"/>
              </w:rPr>
            </w:pPr>
          </w:p>
        </w:tc>
        <w:tc>
          <w:tcPr>
            <w:tcW w:w="1275" w:type="dxa"/>
            <w:vMerge/>
            <w:noWrap/>
            <w:vAlign w:val="center"/>
          </w:tcPr>
          <w:p w14:paraId="0773AD30" w14:textId="77777777" w:rsidR="003352F4" w:rsidRPr="0058349C" w:rsidRDefault="003352F4" w:rsidP="00391AED">
            <w:pPr>
              <w:spacing w:after="0"/>
              <w:jc w:val="right"/>
              <w:rPr>
                <w:rFonts w:ascii="Garamond" w:hAnsi="Garamond" w:cs="Arial"/>
                <w:sz w:val="20"/>
                <w:szCs w:val="20"/>
                <w:lang w:val="sq-AL"/>
              </w:rPr>
            </w:pPr>
          </w:p>
        </w:tc>
        <w:tc>
          <w:tcPr>
            <w:tcW w:w="1065" w:type="dxa"/>
            <w:vMerge/>
            <w:noWrap/>
            <w:vAlign w:val="center"/>
          </w:tcPr>
          <w:p w14:paraId="0773AD31" w14:textId="77777777" w:rsidR="003352F4" w:rsidRPr="0058349C" w:rsidRDefault="003352F4" w:rsidP="00391AED">
            <w:pPr>
              <w:spacing w:after="0"/>
              <w:jc w:val="right"/>
              <w:rPr>
                <w:rFonts w:ascii="Garamond" w:hAnsi="Garamond" w:cs="Arial"/>
                <w:sz w:val="20"/>
                <w:szCs w:val="20"/>
                <w:lang w:val="sq-AL"/>
              </w:rPr>
            </w:pPr>
          </w:p>
        </w:tc>
        <w:tc>
          <w:tcPr>
            <w:tcW w:w="1450" w:type="dxa"/>
            <w:vMerge/>
            <w:noWrap/>
            <w:vAlign w:val="center"/>
          </w:tcPr>
          <w:p w14:paraId="0773AD32" w14:textId="77777777" w:rsidR="003352F4" w:rsidRPr="0058349C" w:rsidRDefault="003352F4" w:rsidP="00391AED">
            <w:pPr>
              <w:spacing w:after="0"/>
              <w:jc w:val="right"/>
              <w:rPr>
                <w:rFonts w:ascii="Garamond" w:hAnsi="Garamond" w:cs="Arial"/>
                <w:sz w:val="20"/>
                <w:szCs w:val="20"/>
                <w:lang w:val="sq-AL"/>
              </w:rPr>
            </w:pPr>
          </w:p>
        </w:tc>
        <w:tc>
          <w:tcPr>
            <w:tcW w:w="913" w:type="dxa"/>
            <w:vMerge/>
            <w:vAlign w:val="center"/>
          </w:tcPr>
          <w:p w14:paraId="0773AD33" w14:textId="77777777" w:rsidR="003352F4" w:rsidRPr="0058349C" w:rsidRDefault="003352F4" w:rsidP="00391AED">
            <w:pPr>
              <w:spacing w:after="0"/>
              <w:jc w:val="right"/>
              <w:rPr>
                <w:rFonts w:ascii="Garamond" w:hAnsi="Garamond" w:cs="Arial"/>
                <w:sz w:val="20"/>
                <w:szCs w:val="20"/>
                <w:lang w:val="sq-AL"/>
              </w:rPr>
            </w:pPr>
          </w:p>
        </w:tc>
        <w:tc>
          <w:tcPr>
            <w:tcW w:w="1145" w:type="dxa"/>
            <w:vMerge/>
            <w:vAlign w:val="center"/>
          </w:tcPr>
          <w:p w14:paraId="0773AD34" w14:textId="77777777" w:rsidR="003352F4" w:rsidRPr="0058349C" w:rsidRDefault="003352F4" w:rsidP="00391AED">
            <w:pPr>
              <w:spacing w:after="0"/>
              <w:jc w:val="right"/>
              <w:rPr>
                <w:rFonts w:ascii="Garamond" w:hAnsi="Garamond" w:cs="Arial"/>
                <w:sz w:val="20"/>
                <w:szCs w:val="20"/>
                <w:lang w:val="sq-AL"/>
              </w:rPr>
            </w:pPr>
          </w:p>
        </w:tc>
        <w:tc>
          <w:tcPr>
            <w:tcW w:w="1057" w:type="dxa"/>
            <w:vMerge/>
            <w:vAlign w:val="center"/>
          </w:tcPr>
          <w:p w14:paraId="0773AD35" w14:textId="77777777" w:rsidR="003352F4" w:rsidRPr="0058349C" w:rsidRDefault="003352F4" w:rsidP="00391AED">
            <w:pPr>
              <w:spacing w:after="0"/>
              <w:jc w:val="right"/>
              <w:rPr>
                <w:rFonts w:ascii="Garamond" w:hAnsi="Garamond" w:cs="Arial"/>
                <w:sz w:val="20"/>
                <w:szCs w:val="20"/>
                <w:lang w:val="sq-AL"/>
              </w:rPr>
            </w:pPr>
          </w:p>
        </w:tc>
      </w:tr>
      <w:tr w:rsidR="003352F4" w:rsidRPr="0058349C" w14:paraId="0773AD3F" w14:textId="77777777" w:rsidTr="00391AED">
        <w:trPr>
          <w:trHeight w:val="119"/>
          <w:jc w:val="center"/>
        </w:trPr>
        <w:tc>
          <w:tcPr>
            <w:tcW w:w="1290" w:type="dxa"/>
            <w:vAlign w:val="center"/>
          </w:tcPr>
          <w:p w14:paraId="0773AD37" w14:textId="77777777" w:rsidR="003352F4" w:rsidRPr="0058349C" w:rsidRDefault="003352F4" w:rsidP="00793D9F">
            <w:pPr>
              <w:spacing w:after="0"/>
              <w:rPr>
                <w:rFonts w:ascii="Garamond" w:hAnsi="Garamond" w:cs="Arial"/>
                <w:b/>
                <w:bCs/>
                <w:sz w:val="20"/>
                <w:szCs w:val="20"/>
                <w:lang w:val="sq-AL"/>
              </w:rPr>
            </w:pPr>
            <w:r w:rsidRPr="0058349C">
              <w:rPr>
                <w:rFonts w:ascii="Garamond" w:hAnsi="Garamond" w:cs="Arial"/>
                <w:b/>
                <w:bCs/>
                <w:sz w:val="20"/>
                <w:szCs w:val="20"/>
                <w:lang w:val="sq-AL"/>
              </w:rPr>
              <w:t xml:space="preserve">0.20 – 0.50 </w:t>
            </w:r>
          </w:p>
        </w:tc>
        <w:tc>
          <w:tcPr>
            <w:tcW w:w="893" w:type="dxa"/>
            <w:vMerge/>
            <w:vAlign w:val="center"/>
          </w:tcPr>
          <w:p w14:paraId="0773AD38" w14:textId="77777777" w:rsidR="003352F4" w:rsidRPr="0058349C" w:rsidRDefault="003352F4" w:rsidP="00391AED">
            <w:pPr>
              <w:spacing w:after="0"/>
              <w:jc w:val="right"/>
              <w:rPr>
                <w:rFonts w:ascii="Garamond" w:hAnsi="Garamond" w:cs="Arial"/>
                <w:sz w:val="20"/>
                <w:szCs w:val="20"/>
                <w:lang w:val="sq-AL"/>
              </w:rPr>
            </w:pPr>
          </w:p>
        </w:tc>
        <w:tc>
          <w:tcPr>
            <w:tcW w:w="1275" w:type="dxa"/>
            <w:vMerge w:val="restart"/>
            <w:noWrap/>
            <w:vAlign w:val="center"/>
          </w:tcPr>
          <w:p w14:paraId="0773AD39"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22.26%</w:t>
            </w:r>
          </w:p>
        </w:tc>
        <w:tc>
          <w:tcPr>
            <w:tcW w:w="1065" w:type="dxa"/>
            <w:vMerge w:val="restart"/>
            <w:noWrap/>
            <w:vAlign w:val="center"/>
          </w:tcPr>
          <w:p w14:paraId="0773AD3A"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29.66%</w:t>
            </w:r>
          </w:p>
        </w:tc>
        <w:tc>
          <w:tcPr>
            <w:tcW w:w="1450" w:type="dxa"/>
            <w:noWrap/>
            <w:vAlign w:val="center"/>
          </w:tcPr>
          <w:p w14:paraId="0773AD3B"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77.07%</w:t>
            </w:r>
          </w:p>
        </w:tc>
        <w:tc>
          <w:tcPr>
            <w:tcW w:w="913" w:type="dxa"/>
            <w:vMerge/>
            <w:vAlign w:val="center"/>
          </w:tcPr>
          <w:p w14:paraId="0773AD3C" w14:textId="77777777" w:rsidR="003352F4" w:rsidRPr="0058349C" w:rsidRDefault="003352F4" w:rsidP="00391AED">
            <w:pPr>
              <w:spacing w:after="0"/>
              <w:jc w:val="right"/>
              <w:rPr>
                <w:rFonts w:ascii="Garamond" w:hAnsi="Garamond" w:cs="Arial"/>
                <w:sz w:val="20"/>
                <w:szCs w:val="20"/>
                <w:lang w:val="sq-AL"/>
              </w:rPr>
            </w:pPr>
          </w:p>
        </w:tc>
        <w:tc>
          <w:tcPr>
            <w:tcW w:w="1145" w:type="dxa"/>
            <w:vAlign w:val="center"/>
          </w:tcPr>
          <w:p w14:paraId="0773AD3D"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75.19%</w:t>
            </w:r>
          </w:p>
        </w:tc>
        <w:tc>
          <w:tcPr>
            <w:tcW w:w="1057" w:type="dxa"/>
            <w:vMerge/>
            <w:vAlign w:val="center"/>
          </w:tcPr>
          <w:p w14:paraId="0773AD3E" w14:textId="77777777" w:rsidR="003352F4" w:rsidRPr="0058349C" w:rsidRDefault="003352F4" w:rsidP="00391AED">
            <w:pPr>
              <w:spacing w:after="0"/>
              <w:jc w:val="right"/>
              <w:rPr>
                <w:rFonts w:ascii="Garamond" w:hAnsi="Garamond" w:cs="Arial"/>
                <w:sz w:val="20"/>
                <w:szCs w:val="20"/>
                <w:lang w:val="sq-AL"/>
              </w:rPr>
            </w:pPr>
          </w:p>
        </w:tc>
      </w:tr>
      <w:tr w:rsidR="003352F4" w:rsidRPr="0058349C" w14:paraId="0773AD48" w14:textId="77777777" w:rsidTr="00391AED">
        <w:trPr>
          <w:trHeight w:val="119"/>
          <w:jc w:val="center"/>
        </w:trPr>
        <w:tc>
          <w:tcPr>
            <w:tcW w:w="1290" w:type="dxa"/>
            <w:vAlign w:val="center"/>
          </w:tcPr>
          <w:p w14:paraId="0773AD40" w14:textId="77777777" w:rsidR="003352F4" w:rsidRPr="0058349C" w:rsidRDefault="003352F4" w:rsidP="00793D9F">
            <w:pPr>
              <w:spacing w:after="0"/>
              <w:rPr>
                <w:rFonts w:ascii="Garamond" w:hAnsi="Garamond" w:cs="Arial"/>
                <w:b/>
                <w:bCs/>
                <w:sz w:val="20"/>
                <w:szCs w:val="20"/>
                <w:lang w:val="sq-AL"/>
              </w:rPr>
            </w:pPr>
            <w:r w:rsidRPr="0058349C">
              <w:rPr>
                <w:rFonts w:ascii="Garamond" w:hAnsi="Garamond" w:cs="Arial"/>
                <w:b/>
                <w:bCs/>
                <w:sz w:val="20"/>
                <w:szCs w:val="20"/>
                <w:lang w:val="sq-AL"/>
              </w:rPr>
              <w:t xml:space="preserve">0.50 – 1.00 </w:t>
            </w:r>
          </w:p>
        </w:tc>
        <w:tc>
          <w:tcPr>
            <w:tcW w:w="893" w:type="dxa"/>
            <w:vMerge/>
            <w:vAlign w:val="center"/>
          </w:tcPr>
          <w:p w14:paraId="0773AD41" w14:textId="77777777" w:rsidR="003352F4" w:rsidRPr="0058349C" w:rsidRDefault="003352F4" w:rsidP="00391AED">
            <w:pPr>
              <w:spacing w:after="0"/>
              <w:jc w:val="right"/>
              <w:rPr>
                <w:rFonts w:ascii="Garamond" w:hAnsi="Garamond" w:cs="Arial"/>
                <w:sz w:val="20"/>
                <w:szCs w:val="20"/>
                <w:lang w:val="sq-AL"/>
              </w:rPr>
            </w:pPr>
          </w:p>
        </w:tc>
        <w:tc>
          <w:tcPr>
            <w:tcW w:w="1275" w:type="dxa"/>
            <w:vMerge/>
            <w:noWrap/>
            <w:vAlign w:val="center"/>
          </w:tcPr>
          <w:p w14:paraId="0773AD42" w14:textId="77777777" w:rsidR="003352F4" w:rsidRPr="0058349C" w:rsidRDefault="003352F4" w:rsidP="00391AED">
            <w:pPr>
              <w:spacing w:after="0"/>
              <w:jc w:val="right"/>
              <w:rPr>
                <w:rFonts w:ascii="Garamond" w:hAnsi="Garamond" w:cs="Arial"/>
                <w:sz w:val="20"/>
                <w:szCs w:val="20"/>
                <w:lang w:val="sq-AL"/>
              </w:rPr>
            </w:pPr>
          </w:p>
        </w:tc>
        <w:tc>
          <w:tcPr>
            <w:tcW w:w="1065" w:type="dxa"/>
            <w:vMerge/>
            <w:noWrap/>
            <w:vAlign w:val="center"/>
          </w:tcPr>
          <w:p w14:paraId="0773AD43" w14:textId="77777777" w:rsidR="003352F4" w:rsidRPr="0058349C" w:rsidRDefault="003352F4" w:rsidP="00391AED">
            <w:pPr>
              <w:spacing w:after="0"/>
              <w:jc w:val="right"/>
              <w:rPr>
                <w:rFonts w:ascii="Garamond" w:hAnsi="Garamond" w:cs="Arial"/>
                <w:sz w:val="20"/>
                <w:szCs w:val="20"/>
                <w:lang w:val="sq-AL"/>
              </w:rPr>
            </w:pPr>
          </w:p>
        </w:tc>
        <w:tc>
          <w:tcPr>
            <w:tcW w:w="1450" w:type="dxa"/>
            <w:noWrap/>
            <w:vAlign w:val="center"/>
          </w:tcPr>
          <w:p w14:paraId="0773AD44"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17.91%</w:t>
            </w:r>
          </w:p>
        </w:tc>
        <w:tc>
          <w:tcPr>
            <w:tcW w:w="913" w:type="dxa"/>
            <w:vMerge/>
            <w:vAlign w:val="center"/>
          </w:tcPr>
          <w:p w14:paraId="0773AD45" w14:textId="77777777" w:rsidR="003352F4" w:rsidRPr="0058349C" w:rsidRDefault="003352F4" w:rsidP="00391AED">
            <w:pPr>
              <w:spacing w:after="0"/>
              <w:jc w:val="right"/>
              <w:rPr>
                <w:rFonts w:ascii="Garamond" w:hAnsi="Garamond" w:cs="Arial"/>
                <w:sz w:val="20"/>
                <w:szCs w:val="20"/>
                <w:lang w:val="sq-AL"/>
              </w:rPr>
            </w:pPr>
          </w:p>
        </w:tc>
        <w:tc>
          <w:tcPr>
            <w:tcW w:w="1145" w:type="dxa"/>
            <w:vAlign w:val="center"/>
          </w:tcPr>
          <w:p w14:paraId="0773AD46"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16.35%</w:t>
            </w:r>
          </w:p>
        </w:tc>
        <w:tc>
          <w:tcPr>
            <w:tcW w:w="1057" w:type="dxa"/>
            <w:vAlign w:val="center"/>
          </w:tcPr>
          <w:p w14:paraId="0773AD47"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5.46%</w:t>
            </w:r>
          </w:p>
        </w:tc>
      </w:tr>
      <w:tr w:rsidR="003352F4" w:rsidRPr="0058349C" w14:paraId="0773AD51" w14:textId="77777777" w:rsidTr="00391AED">
        <w:trPr>
          <w:trHeight w:val="119"/>
          <w:jc w:val="center"/>
        </w:trPr>
        <w:tc>
          <w:tcPr>
            <w:tcW w:w="1290" w:type="dxa"/>
            <w:vAlign w:val="center"/>
          </w:tcPr>
          <w:p w14:paraId="0773AD49" w14:textId="77777777" w:rsidR="003352F4" w:rsidRPr="0058349C" w:rsidRDefault="003352F4" w:rsidP="00793D9F">
            <w:pPr>
              <w:spacing w:after="0"/>
              <w:rPr>
                <w:rFonts w:ascii="Garamond" w:hAnsi="Garamond" w:cs="Arial"/>
                <w:b/>
                <w:bCs/>
                <w:sz w:val="20"/>
                <w:szCs w:val="20"/>
                <w:lang w:val="sq-AL"/>
              </w:rPr>
            </w:pPr>
            <w:r w:rsidRPr="0058349C">
              <w:rPr>
                <w:rFonts w:ascii="Garamond" w:hAnsi="Garamond" w:cs="Arial"/>
                <w:b/>
                <w:bCs/>
                <w:sz w:val="20"/>
                <w:szCs w:val="20"/>
                <w:lang w:val="sq-AL"/>
              </w:rPr>
              <w:t>1.00 – 2.00</w:t>
            </w:r>
          </w:p>
        </w:tc>
        <w:tc>
          <w:tcPr>
            <w:tcW w:w="893" w:type="dxa"/>
            <w:vAlign w:val="center"/>
          </w:tcPr>
          <w:p w14:paraId="0773AD4A"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41%</w:t>
            </w:r>
          </w:p>
        </w:tc>
        <w:tc>
          <w:tcPr>
            <w:tcW w:w="1275" w:type="dxa"/>
            <w:noWrap/>
            <w:vAlign w:val="center"/>
          </w:tcPr>
          <w:p w14:paraId="0773AD4B"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9.40%</w:t>
            </w:r>
          </w:p>
        </w:tc>
        <w:tc>
          <w:tcPr>
            <w:tcW w:w="1065" w:type="dxa"/>
            <w:vMerge/>
            <w:noWrap/>
            <w:vAlign w:val="center"/>
          </w:tcPr>
          <w:p w14:paraId="0773AD4C" w14:textId="77777777" w:rsidR="003352F4" w:rsidRPr="0058349C" w:rsidRDefault="003352F4" w:rsidP="00391AED">
            <w:pPr>
              <w:spacing w:after="0"/>
              <w:jc w:val="right"/>
              <w:rPr>
                <w:rFonts w:ascii="Garamond" w:hAnsi="Garamond" w:cs="Arial"/>
                <w:sz w:val="20"/>
                <w:szCs w:val="20"/>
                <w:lang w:val="sq-AL"/>
              </w:rPr>
            </w:pPr>
          </w:p>
        </w:tc>
        <w:tc>
          <w:tcPr>
            <w:tcW w:w="1450" w:type="dxa"/>
            <w:vMerge w:val="restart"/>
            <w:noWrap/>
            <w:vAlign w:val="center"/>
          </w:tcPr>
          <w:p w14:paraId="0773AD4D"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5.02</w:t>
            </w:r>
          </w:p>
        </w:tc>
        <w:tc>
          <w:tcPr>
            <w:tcW w:w="913" w:type="dxa"/>
            <w:vAlign w:val="center"/>
          </w:tcPr>
          <w:p w14:paraId="0773AD4E"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9%</w:t>
            </w:r>
          </w:p>
        </w:tc>
        <w:tc>
          <w:tcPr>
            <w:tcW w:w="1145" w:type="dxa"/>
            <w:vAlign w:val="center"/>
          </w:tcPr>
          <w:p w14:paraId="0773AD4F"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6.20%</w:t>
            </w:r>
          </w:p>
        </w:tc>
        <w:tc>
          <w:tcPr>
            <w:tcW w:w="1057" w:type="dxa"/>
            <w:vAlign w:val="center"/>
          </w:tcPr>
          <w:p w14:paraId="0773AD50"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1.17%</w:t>
            </w:r>
          </w:p>
        </w:tc>
      </w:tr>
      <w:tr w:rsidR="003352F4" w:rsidRPr="0058349C" w14:paraId="0773AD5A" w14:textId="77777777" w:rsidTr="00391AED">
        <w:trPr>
          <w:trHeight w:val="384"/>
          <w:jc w:val="center"/>
        </w:trPr>
        <w:tc>
          <w:tcPr>
            <w:tcW w:w="1290" w:type="dxa"/>
            <w:vAlign w:val="center"/>
          </w:tcPr>
          <w:p w14:paraId="0773AD52" w14:textId="77777777" w:rsidR="003352F4" w:rsidRPr="0058349C" w:rsidRDefault="003352F4" w:rsidP="00793D9F">
            <w:pPr>
              <w:spacing w:after="0"/>
              <w:rPr>
                <w:rFonts w:ascii="Garamond" w:hAnsi="Garamond" w:cs="Arial"/>
                <w:b/>
                <w:bCs/>
                <w:sz w:val="20"/>
                <w:szCs w:val="20"/>
                <w:lang w:val="sq-AL"/>
              </w:rPr>
            </w:pPr>
            <w:r w:rsidRPr="0058349C">
              <w:rPr>
                <w:rFonts w:ascii="Garamond" w:hAnsi="Garamond" w:cs="Arial"/>
                <w:b/>
                <w:bCs/>
                <w:sz w:val="20"/>
                <w:szCs w:val="20"/>
                <w:lang w:val="sq-AL"/>
              </w:rPr>
              <w:t>Më e madhe se 2.00</w:t>
            </w:r>
          </w:p>
        </w:tc>
        <w:tc>
          <w:tcPr>
            <w:tcW w:w="893" w:type="dxa"/>
            <w:vAlign w:val="center"/>
          </w:tcPr>
          <w:p w14:paraId="0773AD53"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14%</w:t>
            </w:r>
          </w:p>
        </w:tc>
        <w:tc>
          <w:tcPr>
            <w:tcW w:w="1275" w:type="dxa"/>
            <w:noWrap/>
            <w:vAlign w:val="center"/>
          </w:tcPr>
          <w:p w14:paraId="0773AD54"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1.68%</w:t>
            </w:r>
          </w:p>
        </w:tc>
        <w:tc>
          <w:tcPr>
            <w:tcW w:w="1065" w:type="dxa"/>
            <w:vMerge/>
            <w:noWrap/>
            <w:vAlign w:val="center"/>
          </w:tcPr>
          <w:p w14:paraId="0773AD55" w14:textId="77777777" w:rsidR="003352F4" w:rsidRPr="0058349C" w:rsidRDefault="003352F4" w:rsidP="00391AED">
            <w:pPr>
              <w:spacing w:after="0"/>
              <w:jc w:val="right"/>
              <w:rPr>
                <w:rFonts w:ascii="Garamond" w:hAnsi="Garamond" w:cs="Arial"/>
                <w:sz w:val="20"/>
                <w:szCs w:val="20"/>
                <w:lang w:val="sq-AL"/>
              </w:rPr>
            </w:pPr>
          </w:p>
        </w:tc>
        <w:tc>
          <w:tcPr>
            <w:tcW w:w="1450" w:type="dxa"/>
            <w:vMerge/>
            <w:noWrap/>
            <w:vAlign w:val="center"/>
          </w:tcPr>
          <w:p w14:paraId="0773AD56" w14:textId="77777777" w:rsidR="003352F4" w:rsidRPr="0058349C" w:rsidRDefault="003352F4" w:rsidP="00391AED">
            <w:pPr>
              <w:spacing w:after="0"/>
              <w:jc w:val="right"/>
              <w:rPr>
                <w:rFonts w:ascii="Garamond" w:hAnsi="Garamond" w:cs="Arial"/>
                <w:sz w:val="20"/>
                <w:szCs w:val="20"/>
                <w:lang w:val="sq-AL"/>
              </w:rPr>
            </w:pPr>
          </w:p>
        </w:tc>
        <w:tc>
          <w:tcPr>
            <w:tcW w:w="913" w:type="dxa"/>
            <w:vAlign w:val="center"/>
          </w:tcPr>
          <w:p w14:paraId="0773AD57"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2.5%</w:t>
            </w:r>
          </w:p>
        </w:tc>
        <w:tc>
          <w:tcPr>
            <w:tcW w:w="1145" w:type="dxa"/>
            <w:vAlign w:val="center"/>
          </w:tcPr>
          <w:p w14:paraId="0773AD58"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2.26%</w:t>
            </w:r>
          </w:p>
        </w:tc>
        <w:tc>
          <w:tcPr>
            <w:tcW w:w="1057" w:type="dxa"/>
            <w:vAlign w:val="center"/>
          </w:tcPr>
          <w:p w14:paraId="0773AD59" w14:textId="77777777" w:rsidR="003352F4" w:rsidRPr="0058349C" w:rsidRDefault="003352F4" w:rsidP="00391AED">
            <w:pPr>
              <w:spacing w:after="0"/>
              <w:jc w:val="right"/>
              <w:rPr>
                <w:rFonts w:ascii="Garamond" w:hAnsi="Garamond" w:cs="Arial"/>
                <w:sz w:val="20"/>
                <w:szCs w:val="20"/>
                <w:lang w:val="sq-AL"/>
              </w:rPr>
            </w:pPr>
            <w:r w:rsidRPr="0058349C">
              <w:rPr>
                <w:rFonts w:ascii="Garamond" w:hAnsi="Garamond" w:cs="Arial"/>
                <w:sz w:val="20"/>
                <w:szCs w:val="20"/>
                <w:lang w:val="sq-AL"/>
              </w:rPr>
              <w:t>0.43%</w:t>
            </w:r>
          </w:p>
        </w:tc>
      </w:tr>
    </w:tbl>
    <w:p w14:paraId="0773AD5B" w14:textId="77777777" w:rsidR="00CF57C7" w:rsidRPr="0058349C" w:rsidRDefault="00CF57C7" w:rsidP="006B6119">
      <w:pPr>
        <w:pStyle w:val="TEKSTIIII"/>
        <w:tabs>
          <w:tab w:val="left" w:pos="720"/>
          <w:tab w:val="left" w:pos="1440"/>
          <w:tab w:val="left" w:pos="2160"/>
          <w:tab w:val="left" w:pos="2880"/>
          <w:tab w:val="left" w:pos="3600"/>
          <w:tab w:val="left" w:pos="4320"/>
          <w:tab w:val="left" w:pos="5040"/>
          <w:tab w:val="left" w:pos="5760"/>
          <w:tab w:val="left" w:pos="6912"/>
        </w:tabs>
        <w:rPr>
          <w:b/>
          <w:lang w:val="sq-AL"/>
        </w:rPr>
      </w:pPr>
    </w:p>
    <w:p w14:paraId="0773AD5C" w14:textId="77777777" w:rsidR="007F14E5" w:rsidRPr="0058349C" w:rsidRDefault="007F14E5" w:rsidP="007F14E5">
      <w:pPr>
        <w:pStyle w:val="TEKSTIIII"/>
        <w:rPr>
          <w:b/>
          <w:lang w:val="sq-AL"/>
        </w:rPr>
      </w:pPr>
      <w:r w:rsidRPr="0058349C">
        <w:rPr>
          <w:b/>
          <w:lang w:val="sq-AL"/>
        </w:rPr>
        <w:t>Qëndrueshmëria e fermës</w:t>
      </w:r>
    </w:p>
    <w:p w14:paraId="0773AD5D" w14:textId="23EA3E5D" w:rsidR="007F14E5" w:rsidRPr="0058349C" w:rsidRDefault="007F14E5" w:rsidP="00B45EAB">
      <w:pPr>
        <w:pStyle w:val="TEKSTIIII"/>
        <w:rPr>
          <w:lang w:val="sq-AL"/>
        </w:rPr>
      </w:pPr>
      <w:r w:rsidRPr="0058349C">
        <w:rPr>
          <w:b/>
          <w:lang w:val="sq-AL"/>
        </w:rPr>
        <w:t>Pragu i qëndrueshmërisë ekonomike të fermës duhet parë si dinamik</w:t>
      </w:r>
      <w:r w:rsidRPr="0058349C">
        <w:rPr>
          <w:lang w:val="sq-AL"/>
        </w:rPr>
        <w:t>, në varësi të çmimeve të tregut, kostos së jetesës dhe faktorëve të tjerë</w:t>
      </w:r>
      <w:r w:rsidR="00B45EAB">
        <w:rPr>
          <w:lang w:val="sq-AL"/>
        </w:rPr>
        <w:t>,</w:t>
      </w:r>
      <w:r w:rsidRPr="0058349C">
        <w:rPr>
          <w:lang w:val="sq-AL"/>
        </w:rPr>
        <w:t xml:space="preserve"> që mundësojnë vazhdimin e aktivitetit ekonomik në zonat rurale. Studimet sektoriale të përgatitura në vitin 2021</w:t>
      </w:r>
      <w:r w:rsidRPr="00B45EAB">
        <w:rPr>
          <w:vertAlign w:val="superscript"/>
        </w:rPr>
        <w:footnoteReference w:id="4"/>
      </w:r>
      <w:r w:rsidRPr="0058349C">
        <w:rPr>
          <w:lang w:val="sq-AL"/>
        </w:rPr>
        <w:t xml:space="preserve"> tregojnë si madhësi minimale për qëndrueshmërinë ekonomike të fermës njësinë prej 0.20 ha në rastin e ser</w:t>
      </w:r>
      <w:r w:rsidR="00B45EAB">
        <w:rPr>
          <w:lang w:val="sq-AL"/>
        </w:rPr>
        <w:t>r</w:t>
      </w:r>
      <w:r w:rsidRPr="0058349C">
        <w:rPr>
          <w:lang w:val="sq-AL"/>
        </w:rPr>
        <w:t>ave, 0.5 ha për fermat e agrumeve, 0.90 ha për vreshtat, 1 ha për perimet në fushë dhe pemëtoret dhe 2 ha për fermat e ullirit. Megjithatë, një qëndrueshmëri e shëndoshë ekonomike mund të arrihet vetëm në pragje më të larta, pasi fitimi nga fermat të tilla të vogla mund të mos mbulojë nevojat financiare të familjes, dhe në kushtet kur aksesi në rritjen e nivelit të sipërfaqes është i kufizuar, rritja e qëndrueshmërisë mund të prodhohet nga bashkëpunimi midis fermerëve apo dinamizmi i tregut të qiradhënies së tokës.</w:t>
      </w:r>
    </w:p>
    <w:p w14:paraId="0773AD5E" w14:textId="192C86D4" w:rsidR="007F14E5" w:rsidRPr="0058349C" w:rsidRDefault="007F14E5" w:rsidP="007F14E5">
      <w:pPr>
        <w:pStyle w:val="TEKSTIIII"/>
        <w:rPr>
          <w:lang w:val="sq-AL"/>
        </w:rPr>
      </w:pPr>
      <w:r w:rsidRPr="0058349C">
        <w:rPr>
          <w:lang w:val="sq-AL"/>
        </w:rPr>
        <w:t>Analiza e luhatjes së prodhimit</w:t>
      </w:r>
      <w:r w:rsidR="00B45EAB">
        <w:rPr>
          <w:lang w:val="sq-AL"/>
        </w:rPr>
        <w:t xml:space="preserve"> të kulturave gjatë viteve 2015–</w:t>
      </w:r>
      <w:r w:rsidRPr="0058349C">
        <w:rPr>
          <w:lang w:val="sq-AL"/>
        </w:rPr>
        <w:t>2020 (</w:t>
      </w:r>
      <w:r w:rsidR="00B45EAB" w:rsidRPr="0058349C">
        <w:rPr>
          <w:lang w:val="sq-AL"/>
        </w:rPr>
        <w:t xml:space="preserve">tabela </w:t>
      </w:r>
      <w:r w:rsidRPr="0058349C">
        <w:rPr>
          <w:lang w:val="sq-AL"/>
        </w:rPr>
        <w:t>3-4) në përgjithësi është e ndërlidhur mirë me sipërfaqet e kultivuara dhe tregon një orie</w:t>
      </w:r>
      <w:r w:rsidR="00B45EAB">
        <w:rPr>
          <w:lang w:val="sq-AL"/>
        </w:rPr>
        <w:t>ntim drejt kulturave më të treg</w:t>
      </w:r>
      <w:r w:rsidRPr="0058349C">
        <w:rPr>
          <w:lang w:val="sq-AL"/>
        </w:rPr>
        <w:t>tueshme, si p.sh. perimet (gjithashtu</w:t>
      </w:r>
      <w:r w:rsidR="00B45EAB">
        <w:rPr>
          <w:lang w:val="sq-AL"/>
        </w:rPr>
        <w:t>,</w:t>
      </w:r>
      <w:r w:rsidRPr="0058349C">
        <w:rPr>
          <w:lang w:val="sq-AL"/>
        </w:rPr>
        <w:t xml:space="preserve"> me një rritje të produktivitetit), bimët aromatike-mjekësore etj.</w:t>
      </w:r>
    </w:p>
    <w:p w14:paraId="7E2D00A6" w14:textId="77777777" w:rsidR="00B45EAB" w:rsidRDefault="007F14E5" w:rsidP="00B45EAB">
      <w:pPr>
        <w:pStyle w:val="TEKSTIIII"/>
        <w:rPr>
          <w:lang w:val="sq-AL"/>
        </w:rPr>
      </w:pPr>
      <w:r w:rsidRPr="0058349C">
        <w:rPr>
          <w:lang w:val="sq-AL"/>
        </w:rPr>
        <w:t>Bujqësia shqiptare po tregon shenja të rëndësishme të hapjes së saj ndaj tregjeve duke u drejtuar nga kulturat për të cilat ekziston një avantazh i qartë krahasues me produktet në tregjet ndërkombëtare. Ulja e prodhimit të disa kulturave specifike, efektiviteti i të cilave lidhet me sisteme prodhimi me sipërfaqeve të mëdha (disa lloje drithërash apo bimësh industriale) tregon një ndryshim pozitiv të sektorit, i cili është tashmë i vetëdijshëm për pikat e tij të forta</w:t>
      </w:r>
      <w:r w:rsidR="00B45EAB">
        <w:rPr>
          <w:lang w:val="sq-AL"/>
        </w:rPr>
        <w:t>,</w:t>
      </w:r>
      <w:bookmarkStart w:id="5" w:name="_Ref88582056"/>
      <w:bookmarkStart w:id="6" w:name="_Toc103606435"/>
      <w:r w:rsidR="00B45EAB">
        <w:rPr>
          <w:lang w:val="sq-AL"/>
        </w:rPr>
        <w:t xml:space="preserve"> si edhe limitet. </w:t>
      </w:r>
    </w:p>
    <w:p w14:paraId="0773AD60" w14:textId="54264D15" w:rsidR="007F14E5" w:rsidRPr="00B45EAB" w:rsidRDefault="007F14E5" w:rsidP="00B45EAB">
      <w:pPr>
        <w:pStyle w:val="TEKSTIIII"/>
        <w:ind w:firstLine="0"/>
        <w:jc w:val="center"/>
        <w:rPr>
          <w:bCs/>
          <w:sz w:val="20"/>
          <w:szCs w:val="20"/>
          <w:lang w:val="sq-AL"/>
        </w:rPr>
      </w:pPr>
      <w:r w:rsidRPr="00B45EAB">
        <w:rPr>
          <w:b/>
          <w:sz w:val="20"/>
          <w:szCs w:val="20"/>
          <w:lang w:val="sq-AL"/>
        </w:rPr>
        <w:t xml:space="preserve">Tabela </w:t>
      </w:r>
      <w:r w:rsidR="00B45EAB" w:rsidRPr="00B45EAB">
        <w:rPr>
          <w:b/>
          <w:sz w:val="20"/>
          <w:szCs w:val="20"/>
          <w:lang w:val="sq-AL"/>
        </w:rPr>
        <w:t>3</w:t>
      </w:r>
      <w:r w:rsidRPr="00B45EAB">
        <w:rPr>
          <w:b/>
          <w:sz w:val="20"/>
          <w:szCs w:val="20"/>
          <w:lang w:val="sq-AL"/>
        </w:rPr>
        <w:noBreakHyphen/>
      </w:r>
      <w:bookmarkEnd w:id="5"/>
      <w:r w:rsidR="00B45EAB" w:rsidRPr="00B45EAB">
        <w:rPr>
          <w:b/>
          <w:sz w:val="20"/>
          <w:szCs w:val="20"/>
          <w:lang w:val="sq-AL"/>
        </w:rPr>
        <w:t>4:</w:t>
      </w:r>
      <w:r w:rsidR="00B45EAB" w:rsidRPr="00B45EAB">
        <w:rPr>
          <w:bCs/>
          <w:sz w:val="20"/>
          <w:szCs w:val="20"/>
          <w:lang w:val="sq-AL"/>
        </w:rPr>
        <w:t xml:space="preserve"> </w:t>
      </w:r>
      <w:r w:rsidRPr="00B45EAB">
        <w:rPr>
          <w:bCs/>
          <w:sz w:val="20"/>
          <w:szCs w:val="20"/>
          <w:lang w:val="sq-AL"/>
        </w:rPr>
        <w:t>Prodhimi</w:t>
      </w:r>
      <w:r w:rsidR="002F0C1A" w:rsidRPr="00B45EAB">
        <w:rPr>
          <w:bCs/>
          <w:sz w:val="20"/>
          <w:szCs w:val="20"/>
          <w:lang w:val="sq-AL"/>
        </w:rPr>
        <w:t xml:space="preserve"> i kulturave (000 ton, 2015–</w:t>
      </w:r>
      <w:r w:rsidRPr="00B45EAB">
        <w:rPr>
          <w:bCs/>
          <w:sz w:val="20"/>
          <w:szCs w:val="20"/>
          <w:lang w:val="sq-AL"/>
        </w:rPr>
        <w:t>2020)</w:t>
      </w:r>
      <w:bookmarkEnd w:id="6"/>
    </w:p>
    <w:p w14:paraId="0773AD61" w14:textId="77777777" w:rsidR="001A693D" w:rsidRPr="0058349C" w:rsidRDefault="003F1333" w:rsidP="00B45EAB">
      <w:pPr>
        <w:pStyle w:val="TEKSTIIII"/>
        <w:tabs>
          <w:tab w:val="left" w:pos="720"/>
          <w:tab w:val="left" w:pos="1440"/>
          <w:tab w:val="left" w:pos="2160"/>
          <w:tab w:val="left" w:pos="2880"/>
          <w:tab w:val="left" w:pos="3600"/>
          <w:tab w:val="left" w:pos="4320"/>
          <w:tab w:val="left" w:pos="5040"/>
          <w:tab w:val="left" w:pos="5760"/>
          <w:tab w:val="left" w:pos="6912"/>
        </w:tabs>
        <w:jc w:val="center"/>
        <w:rPr>
          <w:b/>
          <w:lang w:val="sq-AL"/>
        </w:rPr>
      </w:pPr>
      <w:r w:rsidRPr="0058349C">
        <w:rPr>
          <w:noProof/>
        </w:rPr>
        <w:drawing>
          <wp:inline distT="0" distB="0" distL="0" distR="0" wp14:anchorId="0773BAC4" wp14:editId="2BB3F4B2">
            <wp:extent cx="3266046" cy="16398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28728" t="30507" r="49021" b="49631"/>
                    <a:stretch/>
                  </pic:blipFill>
                  <pic:spPr bwMode="auto">
                    <a:xfrm>
                      <a:off x="0" y="0"/>
                      <a:ext cx="3286681" cy="1650202"/>
                    </a:xfrm>
                    <a:prstGeom prst="rect">
                      <a:avLst/>
                    </a:prstGeom>
                    <a:ln>
                      <a:noFill/>
                    </a:ln>
                    <a:extLst>
                      <a:ext uri="{53640926-AAD7-44D8-BBD7-CCE9431645EC}">
                        <a14:shadowObscured xmlns:a14="http://schemas.microsoft.com/office/drawing/2010/main"/>
                      </a:ext>
                    </a:extLst>
                  </pic:spPr>
                </pic:pic>
              </a:graphicData>
            </a:graphic>
          </wp:inline>
        </w:drawing>
      </w:r>
    </w:p>
    <w:p w14:paraId="0773AD62" w14:textId="39BE70A6" w:rsidR="001A693D" w:rsidRPr="0058349C" w:rsidRDefault="001A693D" w:rsidP="00B45EAB">
      <w:pPr>
        <w:pStyle w:val="TEKSTIIII"/>
        <w:jc w:val="center"/>
        <w:rPr>
          <w:lang w:val="sq-AL"/>
        </w:rPr>
      </w:pPr>
      <w:r w:rsidRPr="0058349C">
        <w:rPr>
          <w:lang w:val="sq-AL"/>
        </w:rPr>
        <w:t>Burimi:</w:t>
      </w:r>
      <w:r w:rsidR="00CF7694" w:rsidRPr="0058349C">
        <w:rPr>
          <w:lang w:val="sq-AL"/>
        </w:rPr>
        <w:t xml:space="preserve"> </w:t>
      </w:r>
      <w:r w:rsidRPr="0058349C">
        <w:rPr>
          <w:lang w:val="sq-AL"/>
        </w:rPr>
        <w:t>Vjetari Statistikor në Bujqësi (2020)</w:t>
      </w:r>
    </w:p>
    <w:p w14:paraId="0773AD63" w14:textId="77777777" w:rsidR="000F50EA" w:rsidRPr="0058349C" w:rsidRDefault="000F50EA" w:rsidP="000F50EA">
      <w:pPr>
        <w:pStyle w:val="TEKSTIIII"/>
        <w:tabs>
          <w:tab w:val="left" w:pos="720"/>
          <w:tab w:val="left" w:pos="1440"/>
          <w:tab w:val="left" w:pos="2160"/>
          <w:tab w:val="left" w:pos="2880"/>
          <w:tab w:val="left" w:pos="3600"/>
          <w:tab w:val="left" w:pos="4320"/>
          <w:tab w:val="left" w:pos="5040"/>
          <w:tab w:val="left" w:pos="5760"/>
          <w:tab w:val="left" w:pos="6912"/>
        </w:tabs>
        <w:rPr>
          <w:b/>
          <w:lang w:val="sq-AL"/>
        </w:rPr>
      </w:pPr>
    </w:p>
    <w:p w14:paraId="0773AD65" w14:textId="5990804E" w:rsidR="000F50EA" w:rsidRPr="0058349C" w:rsidRDefault="000F50EA" w:rsidP="009D7696">
      <w:pPr>
        <w:spacing w:after="0" w:line="240" w:lineRule="auto"/>
        <w:ind w:firstLine="284"/>
        <w:jc w:val="both"/>
        <w:rPr>
          <w:rFonts w:ascii="Garamond" w:hAnsi="Garamond" w:cs="Arial"/>
          <w:bCs/>
          <w:sz w:val="24"/>
          <w:szCs w:val="24"/>
          <w:lang w:val="sq-AL"/>
        </w:rPr>
      </w:pPr>
      <w:r w:rsidRPr="0058349C">
        <w:rPr>
          <w:rFonts w:ascii="Garamond" w:hAnsi="Garamond" w:cs="Arial"/>
          <w:bCs/>
          <w:sz w:val="24"/>
          <w:szCs w:val="24"/>
          <w:lang w:val="sq-AL"/>
        </w:rPr>
        <w:t>Ecuria e periudhës 2015</w:t>
      </w:r>
      <w:r w:rsidR="007257B6">
        <w:rPr>
          <w:rFonts w:ascii="Garamond" w:hAnsi="Garamond" w:cs="Arial"/>
          <w:bCs/>
          <w:sz w:val="24"/>
          <w:szCs w:val="24"/>
          <w:lang w:val="sq-AL"/>
        </w:rPr>
        <w:t>–</w:t>
      </w:r>
      <w:r w:rsidRPr="0058349C">
        <w:rPr>
          <w:rFonts w:ascii="Garamond" w:hAnsi="Garamond" w:cs="Arial"/>
          <w:bCs/>
          <w:sz w:val="24"/>
          <w:szCs w:val="24"/>
          <w:lang w:val="sq-AL"/>
        </w:rPr>
        <w:t>2</w:t>
      </w:r>
      <w:r w:rsidR="007257B6">
        <w:rPr>
          <w:rFonts w:ascii="Garamond" w:hAnsi="Garamond" w:cs="Arial"/>
          <w:bCs/>
          <w:sz w:val="24"/>
          <w:szCs w:val="24"/>
          <w:lang w:val="sq-AL"/>
        </w:rPr>
        <w:t>020</w:t>
      </w:r>
      <w:r w:rsidRPr="0058349C">
        <w:rPr>
          <w:rFonts w:ascii="Garamond" w:hAnsi="Garamond" w:cs="Arial"/>
          <w:bCs/>
          <w:sz w:val="24"/>
          <w:szCs w:val="24"/>
          <w:lang w:val="sq-AL"/>
        </w:rPr>
        <w:t xml:space="preserve"> tregon një rritje të konsiderueshme të kulturave</w:t>
      </w:r>
      <w:r w:rsidR="002C0967">
        <w:rPr>
          <w:rFonts w:ascii="Garamond" w:hAnsi="Garamond" w:cs="Arial"/>
          <w:bCs/>
          <w:sz w:val="24"/>
          <w:szCs w:val="24"/>
          <w:lang w:val="sq-AL"/>
        </w:rPr>
        <w:t>,</w:t>
      </w:r>
      <w:r w:rsidRPr="0058349C">
        <w:rPr>
          <w:rFonts w:ascii="Garamond" w:hAnsi="Garamond" w:cs="Arial"/>
          <w:bCs/>
          <w:sz w:val="24"/>
          <w:szCs w:val="24"/>
          <w:lang w:val="sq-AL"/>
        </w:rPr>
        <w:t xml:space="preserve"> të cilat kanë</w:t>
      </w:r>
      <w:r w:rsidR="009D7696" w:rsidRPr="0058349C">
        <w:rPr>
          <w:rFonts w:ascii="Garamond" w:hAnsi="Garamond" w:cs="Arial"/>
          <w:bCs/>
          <w:sz w:val="24"/>
          <w:szCs w:val="24"/>
          <w:lang w:val="sq-AL"/>
        </w:rPr>
        <w:t xml:space="preserve"> </w:t>
      </w:r>
      <w:r w:rsidRPr="0058349C">
        <w:rPr>
          <w:rFonts w:ascii="Garamond" w:hAnsi="Garamond" w:cs="Arial"/>
          <w:bCs/>
          <w:sz w:val="24"/>
          <w:szCs w:val="24"/>
          <w:lang w:val="sq-AL"/>
        </w:rPr>
        <w:t>një vlerë të shtuar shumë të lartë, gjë që në bashkëpunim me koniunkturën pozitive të çmimeve të produkteve bujqësore në tregje do të rrisë si produktivitetin e punëtorit në bujqësi, ashtu edhe atraktivitetin e këtij sektori për punëtorë të rinj.</w:t>
      </w:r>
    </w:p>
    <w:p w14:paraId="0773AD66" w14:textId="0706F1A9" w:rsidR="000F50EA" w:rsidRPr="0058349C" w:rsidRDefault="000F50EA" w:rsidP="000F50EA">
      <w:pPr>
        <w:tabs>
          <w:tab w:val="left" w:pos="1418"/>
        </w:tabs>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Blegtoria në Shqipëri</w:t>
      </w:r>
      <w:r w:rsidRPr="0058349C">
        <w:rPr>
          <w:rFonts w:ascii="Garamond" w:hAnsi="Garamond" w:cs="Arial"/>
          <w:sz w:val="24"/>
          <w:szCs w:val="24"/>
          <w:lang w:val="sq-AL"/>
        </w:rPr>
        <w:t xml:space="preserve"> është një sektor dinamik</w:t>
      </w:r>
      <w:r w:rsidR="002C0967">
        <w:rPr>
          <w:rFonts w:ascii="Garamond" w:hAnsi="Garamond" w:cs="Arial"/>
          <w:sz w:val="24"/>
          <w:szCs w:val="24"/>
          <w:lang w:val="sq-AL"/>
        </w:rPr>
        <w:t>,</w:t>
      </w:r>
      <w:r w:rsidRPr="0058349C">
        <w:rPr>
          <w:rFonts w:ascii="Garamond" w:hAnsi="Garamond" w:cs="Arial"/>
          <w:sz w:val="24"/>
          <w:szCs w:val="24"/>
          <w:lang w:val="sq-AL"/>
        </w:rPr>
        <w:t xml:space="preserve"> i cili ka përpara vetes sfida të rëndësishme. </w:t>
      </w:r>
    </w:p>
    <w:p w14:paraId="0773AD67" w14:textId="233C3206" w:rsidR="000F50EA" w:rsidRPr="0058349C" w:rsidRDefault="000F50EA" w:rsidP="00114D42">
      <w:pPr>
        <w:tabs>
          <w:tab w:val="left" w:pos="1418"/>
        </w:tabs>
        <w:spacing w:after="0" w:line="240" w:lineRule="auto"/>
        <w:ind w:firstLine="284"/>
        <w:jc w:val="both"/>
        <w:rPr>
          <w:rFonts w:ascii="Garamond" w:hAnsi="Garamond" w:cs="Arial"/>
          <w:bCs/>
          <w:strike/>
          <w:sz w:val="24"/>
          <w:szCs w:val="24"/>
          <w:lang w:val="sq-AL"/>
        </w:rPr>
      </w:pPr>
      <w:r w:rsidRPr="0058349C">
        <w:rPr>
          <w:rFonts w:ascii="Garamond" w:hAnsi="Garamond" w:cs="Arial"/>
          <w:sz w:val="24"/>
          <w:szCs w:val="24"/>
          <w:lang w:val="sq-AL"/>
        </w:rPr>
        <w:t>Sektori blegtoral po kalon në fazën e rritjes dhe të përqendrimit të prodhimit në njësi, të cilat mbarështojnë një numër më të lartë të krerëve</w:t>
      </w:r>
      <w:r w:rsidR="00114D42">
        <w:rPr>
          <w:rFonts w:ascii="Garamond" w:hAnsi="Garamond" w:cs="Arial"/>
          <w:sz w:val="24"/>
          <w:szCs w:val="24"/>
          <w:lang w:val="sq-AL"/>
        </w:rPr>
        <w:t>,</w:t>
      </w:r>
      <w:r w:rsidRPr="0058349C">
        <w:rPr>
          <w:rFonts w:ascii="Garamond" w:hAnsi="Garamond" w:cs="Arial"/>
          <w:sz w:val="24"/>
          <w:szCs w:val="24"/>
          <w:lang w:val="sq-AL"/>
        </w:rPr>
        <w:t xml:space="preserve"> duke siguruar kështu një rritje të nivelit të sigurisë ushqimore për produktet shtazore.</w:t>
      </w:r>
      <w:r w:rsidR="00CF7694" w:rsidRPr="0058349C">
        <w:rPr>
          <w:rFonts w:ascii="Garamond" w:hAnsi="Garamond" w:cs="Arial"/>
          <w:sz w:val="24"/>
          <w:szCs w:val="24"/>
          <w:lang w:val="sq-AL"/>
        </w:rPr>
        <w:t xml:space="preserve"> </w:t>
      </w:r>
    </w:p>
    <w:p w14:paraId="0773AD68" w14:textId="72E8254B" w:rsidR="000F50EA" w:rsidRPr="0058349C" w:rsidRDefault="000F50EA" w:rsidP="00114D42">
      <w:pPr>
        <w:tabs>
          <w:tab w:val="left" w:pos="1418"/>
        </w:tabs>
        <w:spacing w:after="0" w:line="240" w:lineRule="auto"/>
        <w:ind w:firstLine="284"/>
        <w:jc w:val="both"/>
        <w:rPr>
          <w:rFonts w:ascii="Garamond" w:hAnsi="Garamond" w:cs="Arial"/>
          <w:b/>
          <w:bCs/>
          <w:sz w:val="24"/>
          <w:szCs w:val="24"/>
          <w:lang w:val="sq-AL"/>
        </w:rPr>
      </w:pPr>
      <w:r w:rsidRPr="0058349C">
        <w:rPr>
          <w:rFonts w:ascii="Garamond" w:hAnsi="Garamond" w:cs="Arial"/>
          <w:bCs/>
          <w:sz w:val="24"/>
          <w:szCs w:val="24"/>
          <w:lang w:val="sq-AL"/>
        </w:rPr>
        <w:t>Sistemet blegtorale janë një fazë tranzicioni</w:t>
      </w:r>
      <w:r w:rsidR="00114D42">
        <w:rPr>
          <w:rFonts w:ascii="Garamond" w:hAnsi="Garamond" w:cs="Arial"/>
          <w:bCs/>
          <w:sz w:val="24"/>
          <w:szCs w:val="24"/>
          <w:lang w:val="sq-AL"/>
        </w:rPr>
        <w:t>,</w:t>
      </w:r>
      <w:r w:rsidRPr="0058349C">
        <w:rPr>
          <w:rFonts w:ascii="Garamond" w:hAnsi="Garamond" w:cs="Arial"/>
          <w:bCs/>
          <w:sz w:val="24"/>
          <w:szCs w:val="24"/>
          <w:lang w:val="sq-AL"/>
        </w:rPr>
        <w:t xml:space="preserve"> në të cilin formalizimi i një pjese të rëndësishme të prodhimit blegtoral nëpërmjet firmave të përpunimit apo thertoreve të licencuara, ka ngritur pikëpyetje për të ardhmen blegtorale të një grupi fermerësh</w:t>
      </w:r>
      <w:r w:rsidR="00114D42">
        <w:rPr>
          <w:rFonts w:ascii="Garamond" w:hAnsi="Garamond" w:cs="Arial"/>
          <w:bCs/>
          <w:sz w:val="24"/>
          <w:szCs w:val="24"/>
          <w:lang w:val="sq-AL"/>
        </w:rPr>
        <w:t>,</w:t>
      </w:r>
      <w:r w:rsidRPr="0058349C">
        <w:rPr>
          <w:rFonts w:ascii="Garamond" w:hAnsi="Garamond" w:cs="Arial"/>
          <w:bCs/>
          <w:sz w:val="24"/>
          <w:szCs w:val="24"/>
          <w:lang w:val="sq-AL"/>
        </w:rPr>
        <w:t xml:space="preserve"> të cilët bazonin aktivitetin e tyre në një tufë blegtorale të ulët. Pjesa më e rëndësishme e këtyre blegtorëve po drejtojnë të ardhmen e tyre nga tufa më të mëdha</w:t>
      </w:r>
      <w:r w:rsidR="00114D42">
        <w:rPr>
          <w:rFonts w:ascii="Garamond" w:hAnsi="Garamond" w:cs="Arial"/>
          <w:bCs/>
          <w:sz w:val="24"/>
          <w:szCs w:val="24"/>
          <w:lang w:val="sq-AL"/>
        </w:rPr>
        <w:t>,</w:t>
      </w:r>
      <w:r w:rsidRPr="0058349C">
        <w:rPr>
          <w:rFonts w:ascii="Garamond" w:hAnsi="Garamond" w:cs="Arial"/>
          <w:bCs/>
          <w:sz w:val="24"/>
          <w:szCs w:val="24"/>
          <w:lang w:val="sq-AL"/>
        </w:rPr>
        <w:t xml:space="preserve"> të cilat sigurojnë qëndrueshmërinë ekonomike të fermës, duke u nxitur edhe nga instrumentet e mbështetjes publike</w:t>
      </w:r>
      <w:r w:rsidR="00114D42">
        <w:rPr>
          <w:rFonts w:ascii="Garamond" w:hAnsi="Garamond" w:cs="Arial"/>
          <w:bCs/>
          <w:sz w:val="24"/>
          <w:szCs w:val="24"/>
          <w:lang w:val="sq-AL"/>
        </w:rPr>
        <w:t>,</w:t>
      </w:r>
      <w:r w:rsidRPr="0058349C">
        <w:rPr>
          <w:rFonts w:ascii="Garamond" w:hAnsi="Garamond" w:cs="Arial"/>
          <w:bCs/>
          <w:sz w:val="24"/>
          <w:szCs w:val="24"/>
          <w:lang w:val="sq-AL"/>
        </w:rPr>
        <w:t xml:space="preserve"> e cila për arsye më</w:t>
      </w:r>
      <w:r w:rsidR="00114D42">
        <w:rPr>
          <w:rFonts w:ascii="Garamond" w:hAnsi="Garamond" w:cs="Arial"/>
          <w:bCs/>
          <w:sz w:val="24"/>
          <w:szCs w:val="24"/>
          <w:lang w:val="sq-AL"/>
        </w:rPr>
        <w:t xml:space="preserve"> </w:t>
      </w:r>
      <w:r w:rsidRPr="0058349C">
        <w:rPr>
          <w:rFonts w:ascii="Garamond" w:hAnsi="Garamond" w:cs="Arial"/>
          <w:bCs/>
          <w:sz w:val="24"/>
          <w:szCs w:val="24"/>
          <w:lang w:val="sq-AL"/>
        </w:rPr>
        <w:t xml:space="preserve">se logjike, mbështet ferma të cilat kanë tufë blegtorale me qëndrueshmëri dhe siguri ushqimore më të lartë. Viti 2021 dhe veçanërisht 2022, duket se do të mundësojnë këtë tranzicion i cili do të ketë efektet e tij të matshme në periudhën në vijim. </w:t>
      </w:r>
    </w:p>
    <w:p w14:paraId="0773AD69" w14:textId="0F695D1B" w:rsidR="000F50EA" w:rsidRPr="0058349C" w:rsidRDefault="000F50EA" w:rsidP="00887E05">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Në rastin e fermave që mbarështojnë dele dhe dhi (shumica e fermave janë të përziera), ferma mesatare zotëron 37.4 dele qumështi (pëlleja) dhe/ose 28.8 dhi qumështi (pëlleja). Ndërsa 78.9% e fermave me dele zotërojnë nga 5 deri në 50 dele, fermat e dhive në të njëjtën madhësi janë 84%. (Studimi i sektorit të qumështit, 2021). Pragu i qëndrueshmërisë ekonomike vlerësohet në 120</w:t>
      </w:r>
      <w:r w:rsidR="00BD240C">
        <w:rPr>
          <w:rFonts w:ascii="Garamond" w:hAnsi="Garamond" w:cs="Arial"/>
          <w:sz w:val="24"/>
          <w:szCs w:val="24"/>
          <w:lang w:val="sq-AL"/>
        </w:rPr>
        <w:t>–</w:t>
      </w:r>
      <w:r w:rsidRPr="0058349C">
        <w:rPr>
          <w:rFonts w:ascii="Garamond" w:hAnsi="Garamond" w:cs="Arial"/>
          <w:sz w:val="24"/>
          <w:szCs w:val="24"/>
          <w:lang w:val="sq-AL"/>
        </w:rPr>
        <w:t xml:space="preserve">130 dele ose dhi. Politikat publike synojnë që të ofrojnë instrumentet për arritjen e këtyre niveleve të tufave. </w:t>
      </w:r>
      <w:r w:rsidRPr="0058349C">
        <w:rPr>
          <w:rFonts w:ascii="Garamond" w:hAnsi="Garamond" w:cs="Arial"/>
          <w:b/>
          <w:sz w:val="24"/>
          <w:szCs w:val="24"/>
          <w:lang w:val="sq-AL"/>
        </w:rPr>
        <w:t xml:space="preserve">Mbarështimi ekstensiv i deleve dhe </w:t>
      </w:r>
      <w:r w:rsidR="00887E05">
        <w:rPr>
          <w:rFonts w:ascii="Garamond" w:hAnsi="Garamond" w:cs="Arial"/>
          <w:b/>
          <w:sz w:val="24"/>
          <w:szCs w:val="24"/>
          <w:lang w:val="sq-AL"/>
        </w:rPr>
        <w:t xml:space="preserve">i </w:t>
      </w:r>
      <w:r w:rsidRPr="0058349C">
        <w:rPr>
          <w:rFonts w:ascii="Garamond" w:hAnsi="Garamond" w:cs="Arial"/>
          <w:b/>
          <w:sz w:val="24"/>
          <w:szCs w:val="24"/>
          <w:lang w:val="sq-AL"/>
        </w:rPr>
        <w:t>dhive është një traditë e lidhur me kulturën edhe terrenin shqiptar</w:t>
      </w:r>
      <w:r w:rsidR="00887E05">
        <w:rPr>
          <w:rFonts w:ascii="Garamond" w:hAnsi="Garamond" w:cs="Arial"/>
          <w:b/>
          <w:sz w:val="24"/>
          <w:szCs w:val="24"/>
          <w:lang w:val="sq-AL"/>
        </w:rPr>
        <w:t>,</w:t>
      </w:r>
      <w:r w:rsidRPr="0058349C">
        <w:rPr>
          <w:rFonts w:ascii="Garamond" w:hAnsi="Garamond" w:cs="Arial"/>
          <w:b/>
          <w:sz w:val="24"/>
          <w:szCs w:val="24"/>
          <w:lang w:val="sq-AL"/>
        </w:rPr>
        <w:t xml:space="preserve"> që aktualisht duhet të bëhet më atraktiv për të rinjtë. </w:t>
      </w:r>
      <w:r w:rsidRPr="0058349C">
        <w:rPr>
          <w:rFonts w:ascii="Garamond" w:hAnsi="Garamond" w:cs="Arial"/>
          <w:sz w:val="24"/>
          <w:szCs w:val="24"/>
          <w:lang w:val="sq-AL"/>
        </w:rPr>
        <w:t>Objektivat publik</w:t>
      </w:r>
      <w:r w:rsidR="00887E05">
        <w:rPr>
          <w:rFonts w:ascii="Garamond" w:hAnsi="Garamond" w:cs="Arial"/>
          <w:sz w:val="24"/>
          <w:szCs w:val="24"/>
          <w:lang w:val="sq-AL"/>
        </w:rPr>
        <w:t>ë</w:t>
      </w:r>
      <w:r w:rsidRPr="0058349C">
        <w:rPr>
          <w:rFonts w:ascii="Garamond" w:hAnsi="Garamond" w:cs="Arial"/>
          <w:sz w:val="24"/>
          <w:szCs w:val="24"/>
          <w:lang w:val="sq-AL"/>
        </w:rPr>
        <w:t xml:space="preserve"> për mbështetjen e tufave të mëdha</w:t>
      </w:r>
      <w:r w:rsidR="00887E05">
        <w:rPr>
          <w:rFonts w:ascii="Garamond" w:hAnsi="Garamond" w:cs="Arial"/>
          <w:sz w:val="24"/>
          <w:szCs w:val="24"/>
          <w:lang w:val="sq-AL"/>
        </w:rPr>
        <w:t>,</w:t>
      </w:r>
      <w:r w:rsidRPr="0058349C">
        <w:rPr>
          <w:rFonts w:ascii="Garamond" w:hAnsi="Garamond" w:cs="Arial"/>
          <w:sz w:val="24"/>
          <w:szCs w:val="24"/>
          <w:lang w:val="sq-AL"/>
        </w:rPr>
        <w:t xml:space="preserve"> të cilat janë edhe ekonomikisht më të qëndrueshme si edhe lehtësimin e barrës së profesionit të bariut synojnë pikërisht rivitalizimin e këtij sektori në zonat rurale.</w:t>
      </w:r>
    </w:p>
    <w:p w14:paraId="0773AD6A" w14:textId="627D8863"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Për</w:t>
      </w:r>
      <w:r w:rsidR="00585923">
        <w:rPr>
          <w:rFonts w:ascii="Garamond" w:hAnsi="Garamond" w:cs="Arial"/>
          <w:b/>
          <w:sz w:val="24"/>
          <w:szCs w:val="24"/>
          <w:lang w:val="sq-AL"/>
        </w:rPr>
        <w:t xml:space="preserve"> </w:t>
      </w:r>
      <w:r w:rsidRPr="0058349C">
        <w:rPr>
          <w:rFonts w:ascii="Garamond" w:hAnsi="Garamond" w:cs="Arial"/>
          <w:b/>
          <w:sz w:val="24"/>
          <w:szCs w:val="24"/>
          <w:lang w:val="sq-AL"/>
        </w:rPr>
        <w:t xml:space="preserve">sa i </w:t>
      </w:r>
      <w:r w:rsidRPr="00585923">
        <w:rPr>
          <w:rFonts w:ascii="Garamond" w:hAnsi="Garamond" w:cs="Arial"/>
          <w:b/>
          <w:bCs/>
          <w:sz w:val="24"/>
          <w:szCs w:val="24"/>
          <w:lang w:val="sq-AL"/>
        </w:rPr>
        <w:t>përket</w:t>
      </w:r>
      <w:r w:rsidRPr="0058349C">
        <w:rPr>
          <w:rFonts w:ascii="Garamond" w:hAnsi="Garamond" w:cs="Arial"/>
          <w:b/>
          <w:sz w:val="24"/>
          <w:szCs w:val="24"/>
          <w:lang w:val="sq-AL"/>
        </w:rPr>
        <w:t xml:space="preserve"> fermave tradicionale të derrave</w:t>
      </w:r>
      <w:r w:rsidRPr="0058349C">
        <w:rPr>
          <w:rFonts w:ascii="Garamond" w:hAnsi="Garamond" w:cs="Arial"/>
          <w:sz w:val="24"/>
          <w:szCs w:val="24"/>
          <w:lang w:val="sq-AL"/>
        </w:rPr>
        <w:t xml:space="preserve">, tendenca është pozitive, duke vënë në dukje rritjen e ndjeshme të numrit të dosave. Duket se mbarështimi i derrit edhe nga fermerët e vegjël ka sjellë një rritje të </w:t>
      </w:r>
      <w:r w:rsidR="00585923">
        <w:rPr>
          <w:rFonts w:ascii="Garamond" w:hAnsi="Garamond" w:cs="Arial"/>
          <w:sz w:val="24"/>
          <w:szCs w:val="24"/>
          <w:lang w:val="sq-AL"/>
        </w:rPr>
        <w:t xml:space="preserve">të </w:t>
      </w:r>
      <w:r w:rsidR="001062BF">
        <w:rPr>
          <w:rFonts w:ascii="Garamond" w:hAnsi="Garamond" w:cs="Arial"/>
          <w:sz w:val="24"/>
          <w:szCs w:val="24"/>
          <w:lang w:val="sq-AL"/>
        </w:rPr>
        <w:t>ardhurave të tyre</w:t>
      </w:r>
      <w:r w:rsidRPr="0058349C">
        <w:rPr>
          <w:rFonts w:ascii="Garamond" w:hAnsi="Garamond" w:cs="Arial"/>
          <w:sz w:val="24"/>
          <w:szCs w:val="24"/>
          <w:lang w:val="sq-AL"/>
        </w:rPr>
        <w:t xml:space="preserve"> dhe ka diversifikuar aktivitetet në fermë, megjithatë, në të ardhmen stabilizimi i tregut do të prodhojë një ndryshim të strukturës së prodhimit</w:t>
      </w:r>
      <w:r w:rsidR="004F0FC3">
        <w:rPr>
          <w:rFonts w:ascii="Garamond" w:hAnsi="Garamond" w:cs="Arial"/>
          <w:sz w:val="24"/>
          <w:szCs w:val="24"/>
          <w:lang w:val="sq-AL"/>
        </w:rPr>
        <w:t>,</w:t>
      </w:r>
      <w:r w:rsidRPr="0058349C">
        <w:rPr>
          <w:rFonts w:ascii="Garamond" w:hAnsi="Garamond" w:cs="Arial"/>
          <w:sz w:val="24"/>
          <w:szCs w:val="24"/>
          <w:lang w:val="sq-AL"/>
        </w:rPr>
        <w:t xml:space="preserve"> duke tentuar njësitë me prodhim të përqendruar.</w:t>
      </w:r>
    </w:p>
    <w:p w14:paraId="0773AD6B" w14:textId="667A9765"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 xml:space="preserve">Sektori i zogjve të shpendëve </w:t>
      </w:r>
      <w:r w:rsidRPr="004F0FC3">
        <w:rPr>
          <w:rFonts w:ascii="Garamond" w:hAnsi="Garamond" w:cs="Arial"/>
          <w:bCs/>
          <w:sz w:val="24"/>
          <w:szCs w:val="24"/>
          <w:lang w:val="sq-AL"/>
        </w:rPr>
        <w:t>p</w:t>
      </w:r>
      <w:r w:rsidRPr="0058349C">
        <w:rPr>
          <w:rFonts w:ascii="Garamond" w:hAnsi="Garamond" w:cs="Arial"/>
          <w:sz w:val="24"/>
          <w:szCs w:val="24"/>
          <w:lang w:val="sq-AL"/>
        </w:rPr>
        <w:t>ër prodhim mishi ka pasur një rritje të vazhdueshme dhe mbështetet në një sistem në të cilat sasia më e madhe e zogjve të pulave për mish prodhohen në 24 ferma moderne të prodhimit të mishit. Ndërsa 99.8% e fermave mbarështojnë më pak se 1000 zogj pule për mish</w:t>
      </w:r>
      <w:r w:rsidR="00F44D6D">
        <w:rPr>
          <w:rFonts w:ascii="Garamond" w:hAnsi="Garamond" w:cs="Arial"/>
          <w:sz w:val="24"/>
          <w:szCs w:val="24"/>
          <w:lang w:val="sq-AL"/>
        </w:rPr>
        <w:t>,</w:t>
      </w:r>
      <w:r w:rsidRPr="0058349C">
        <w:rPr>
          <w:rFonts w:ascii="Garamond" w:hAnsi="Garamond" w:cs="Arial"/>
          <w:sz w:val="24"/>
          <w:szCs w:val="24"/>
          <w:lang w:val="sq-AL"/>
        </w:rPr>
        <w:t xml:space="preserve"> si pjesë e aktivitetit tradicional të prodhimit blegtoral brenda fermës. Ky sistem blegtoral duket se siguron një qëndrueshmëri ekonomike për fermat të cilat zhvillojnë një grup aktivitetesh bujqësore dhe ble</w:t>
      </w:r>
      <w:r w:rsidR="00F44D6D">
        <w:rPr>
          <w:rFonts w:ascii="Garamond" w:hAnsi="Garamond" w:cs="Arial"/>
          <w:sz w:val="24"/>
          <w:szCs w:val="24"/>
          <w:lang w:val="sq-AL"/>
        </w:rPr>
        <w:t>gtorale komplementarë me njëri-</w:t>
      </w:r>
      <w:r w:rsidRPr="0058349C">
        <w:rPr>
          <w:rFonts w:ascii="Garamond" w:hAnsi="Garamond" w:cs="Arial"/>
          <w:sz w:val="24"/>
          <w:szCs w:val="24"/>
          <w:lang w:val="sq-AL"/>
        </w:rPr>
        <w:t>tjetrin.</w:t>
      </w:r>
      <w:r w:rsidRPr="00F44D6D">
        <w:rPr>
          <w:rFonts w:ascii="Garamond" w:hAnsi="Garamond"/>
          <w:vertAlign w:val="superscript"/>
        </w:rPr>
        <w:footnoteReference w:id="5"/>
      </w:r>
      <w:r w:rsidRPr="00F44D6D">
        <w:rPr>
          <w:rFonts w:ascii="Garamond" w:hAnsi="Garamond"/>
          <w:vertAlign w:val="superscript"/>
        </w:rPr>
        <w:t xml:space="preserve"> </w:t>
      </w:r>
      <w:r w:rsidRPr="0058349C">
        <w:rPr>
          <w:rFonts w:ascii="Garamond" w:hAnsi="Garamond" w:cs="Arial"/>
          <w:sz w:val="24"/>
          <w:szCs w:val="24"/>
          <w:lang w:val="sq-AL"/>
        </w:rPr>
        <w:t>Sigurisht që ky sistem binar i prodhimit kërkon një rritje të sigurisë ushqimore në nivel ferme, gjë që duhet të mundësohet nga numri i rritur i veterinerëve të shërbimit veterinar në terren. Episodi i gripit të shpendëve në fillim të vitit 2022, i cili preku sektorin në stabilimentet e prodhimit të vezëve identifikoi rrugët për përmirësimin e nivelit të sigurisë në këto stabilimente, si edhe rriti efikasitetin e autoriteteve për të vepruar në raste të ngjarjeve të tilla.</w:t>
      </w:r>
    </w:p>
    <w:p w14:paraId="0773AD6C" w14:textId="0847486B" w:rsidR="000F50EA" w:rsidRPr="0058349C" w:rsidRDefault="000F50EA" w:rsidP="00E35677">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Madhësia minimale e një ferme ekonomikisht t</w:t>
      </w:r>
      <w:r w:rsidRPr="00E35677">
        <w:rPr>
          <w:rFonts w:ascii="Garamond" w:hAnsi="Garamond" w:cs="Arial"/>
          <w:b/>
          <w:bCs/>
          <w:sz w:val="24"/>
          <w:szCs w:val="24"/>
          <w:lang w:val="sq-AL"/>
        </w:rPr>
        <w:t xml:space="preserve">ë </w:t>
      </w:r>
      <w:r w:rsidRPr="0058349C">
        <w:rPr>
          <w:rFonts w:ascii="Garamond" w:hAnsi="Garamond" w:cs="Arial"/>
          <w:b/>
          <w:sz w:val="24"/>
          <w:szCs w:val="24"/>
          <w:lang w:val="sq-AL"/>
        </w:rPr>
        <w:t xml:space="preserve">qëndrueshme </w:t>
      </w:r>
      <w:r w:rsidRPr="00E35677">
        <w:rPr>
          <w:rFonts w:ascii="Garamond" w:hAnsi="Garamond" w:cs="Arial"/>
          <w:bCs/>
          <w:sz w:val="24"/>
          <w:szCs w:val="24"/>
          <w:lang w:val="sq-AL"/>
        </w:rPr>
        <w:t>në</w:t>
      </w:r>
      <w:r w:rsidRPr="0058349C">
        <w:rPr>
          <w:rFonts w:ascii="Garamond" w:hAnsi="Garamond" w:cs="Arial"/>
          <w:sz w:val="24"/>
          <w:szCs w:val="24"/>
          <w:lang w:val="sq-AL"/>
        </w:rPr>
        <w:t xml:space="preserve"> blegtori</w:t>
      </w:r>
      <w:r w:rsidR="00E35677">
        <w:rPr>
          <w:rFonts w:ascii="Garamond" w:hAnsi="Garamond" w:cs="Arial"/>
          <w:sz w:val="24"/>
          <w:szCs w:val="24"/>
          <w:lang w:val="sq-AL"/>
        </w:rPr>
        <w:t>,</w:t>
      </w:r>
      <w:r w:rsidRPr="0058349C">
        <w:rPr>
          <w:rFonts w:ascii="Garamond" w:hAnsi="Garamond" w:cs="Arial"/>
          <w:sz w:val="24"/>
          <w:szCs w:val="24"/>
          <w:lang w:val="sq-AL"/>
        </w:rPr>
        <w:t xml:space="preserve"> sipas numrit të krerëve</w:t>
      </w:r>
      <w:r w:rsidR="00E35677">
        <w:rPr>
          <w:rFonts w:ascii="Garamond" w:hAnsi="Garamond" w:cs="Arial"/>
          <w:sz w:val="24"/>
          <w:szCs w:val="24"/>
          <w:lang w:val="sq-AL"/>
        </w:rPr>
        <w:t>,</w:t>
      </w:r>
      <w:r w:rsidRPr="0058349C">
        <w:rPr>
          <w:rFonts w:ascii="Garamond" w:hAnsi="Garamond" w:cs="Arial"/>
          <w:sz w:val="24"/>
          <w:szCs w:val="24"/>
          <w:lang w:val="sq-AL"/>
        </w:rPr>
        <w:t xml:space="preserve"> është si më poshtë: 10 lopë qumështi, 130 të imëta (dele/dhi), 15 viça për mish (15 krerë për një cikël x 2 cikle në vit), 20 dosa ose 20,000 zogj pule për mish për një cikël (5 cikle në </w:t>
      </w:r>
      <w:r w:rsidRPr="0058349C">
        <w:rPr>
          <w:rFonts w:ascii="Garamond" w:hAnsi="Garamond" w:cs="Arial"/>
          <w:sz w:val="24"/>
          <w:szCs w:val="24"/>
          <w:lang w:val="sq-AL"/>
        </w:rPr>
        <w:lastRenderedPageBreak/>
        <w:t>vit). Këta tregues ekonomikë rrisin akoma më shumë nevojën për zbatimin e instrumenteve publik</w:t>
      </w:r>
      <w:r w:rsidR="00E35677">
        <w:rPr>
          <w:rFonts w:ascii="Garamond" w:hAnsi="Garamond" w:cs="Arial"/>
          <w:sz w:val="24"/>
          <w:szCs w:val="24"/>
          <w:lang w:val="sq-AL"/>
        </w:rPr>
        <w:t>e,</w:t>
      </w:r>
      <w:r w:rsidRPr="0058349C">
        <w:rPr>
          <w:rFonts w:ascii="Garamond" w:hAnsi="Garamond" w:cs="Arial"/>
          <w:sz w:val="24"/>
          <w:szCs w:val="24"/>
          <w:lang w:val="sq-AL"/>
        </w:rPr>
        <w:t xml:space="preserve"> që kanë si objektiv jo vetëm stabilizimin e të ardhurave të fermës</w:t>
      </w:r>
      <w:r w:rsidR="00E35677">
        <w:rPr>
          <w:rFonts w:ascii="Garamond" w:hAnsi="Garamond" w:cs="Arial"/>
          <w:sz w:val="24"/>
          <w:szCs w:val="24"/>
          <w:lang w:val="sq-AL"/>
        </w:rPr>
        <w:t>,</w:t>
      </w:r>
      <w:r w:rsidRPr="0058349C">
        <w:rPr>
          <w:rFonts w:ascii="Garamond" w:hAnsi="Garamond" w:cs="Arial"/>
          <w:sz w:val="24"/>
          <w:szCs w:val="24"/>
          <w:lang w:val="sq-AL"/>
        </w:rPr>
        <w:t xml:space="preserve"> por edhe qëndrueshmërinë ekonomike të saj nëpërmjet rritjes së madhësisë fizike apo rritjes së sigurisë ushqimore të siguruar në nivel ferme.</w:t>
      </w:r>
    </w:p>
    <w:p w14:paraId="0773AD6D" w14:textId="77777777"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lang w:val="sq-AL"/>
        </w:rPr>
        <w:t>Bletaria</w:t>
      </w:r>
      <w:r w:rsidRPr="0058349C">
        <w:rPr>
          <w:rFonts w:ascii="Garamond" w:hAnsi="Garamond" w:cs="Arial"/>
          <w:bCs/>
          <w:sz w:val="24"/>
          <w:szCs w:val="24"/>
          <w:lang w:val="sq-AL"/>
        </w:rPr>
        <w:t xml:space="preserve"> konsiderohet fitimprurëse; me një treg të sigurt dhe pritet që sektori të vazhdojë të zhvillohet. Përtej rritjes së vazhdueshme të prodhimit të mjaltit, mbështetja e vazhdueshme nga ana e politikave publike ka krijuar një stabilitet që do të prodhojë një rritje të qëndrueshme në afatin e shkurtër dhe të mesëm</w:t>
      </w:r>
      <w:r w:rsidRPr="0058349C">
        <w:rPr>
          <w:rFonts w:ascii="Garamond" w:hAnsi="Garamond" w:cs="Arial"/>
          <w:sz w:val="24"/>
          <w:szCs w:val="24"/>
          <w:lang w:val="sq-AL"/>
        </w:rPr>
        <w:t>.</w:t>
      </w:r>
      <w:r w:rsidRPr="00E35677">
        <w:rPr>
          <w:rFonts w:ascii="Garamond" w:hAnsi="Garamond"/>
          <w:vertAlign w:val="superscript"/>
        </w:rPr>
        <w:footnoteReference w:id="6"/>
      </w:r>
    </w:p>
    <w:p w14:paraId="0773AD6E" w14:textId="00993C67" w:rsidR="000F50EA" w:rsidRPr="0058349C" w:rsidRDefault="000F50EA" w:rsidP="00F563D1">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 xml:space="preserve">Meqenëse të ardhurat e fermave, </w:t>
      </w:r>
      <w:r w:rsidRPr="009E5E62">
        <w:rPr>
          <w:rFonts w:ascii="Garamond" w:hAnsi="Garamond" w:cs="Arial"/>
          <w:bCs/>
          <w:sz w:val="24"/>
          <w:szCs w:val="24"/>
          <w:lang w:val="sq-AL"/>
        </w:rPr>
        <w:t>ndër</w:t>
      </w:r>
      <w:r w:rsidRPr="0058349C">
        <w:rPr>
          <w:rFonts w:ascii="Garamond" w:hAnsi="Garamond" w:cs="Arial"/>
          <w:sz w:val="24"/>
          <w:szCs w:val="24"/>
          <w:lang w:val="sq-AL"/>
        </w:rPr>
        <w:t xml:space="preserve"> të tjera,</w:t>
      </w:r>
      <w:r w:rsidRPr="0058349C">
        <w:rPr>
          <w:rFonts w:ascii="Garamond" w:hAnsi="Garamond" w:cs="Arial"/>
          <w:b/>
          <w:sz w:val="24"/>
          <w:szCs w:val="24"/>
          <w:lang w:val="sq-AL"/>
        </w:rPr>
        <w:t xml:space="preserve"> janë të lidhura drejtpërdrejt edhe me madhësinë e fermës</w:t>
      </w:r>
      <w:r w:rsidRPr="0058349C">
        <w:rPr>
          <w:rFonts w:ascii="Garamond" w:hAnsi="Garamond" w:cs="Arial"/>
          <w:sz w:val="24"/>
          <w:szCs w:val="24"/>
          <w:lang w:val="sq-AL"/>
        </w:rPr>
        <w:t>, rrjedhimisht madhësitë minimale të një ferme ekonomikisht të qëndrueshme është e rëndësishme të vijojnë të jenë një kriter që duhet të merret në konsideratë në procesin e hartimit të politikave mbështetëse në të ardhshmen, duke u bazuar edhe n</w:t>
      </w:r>
      <w:r w:rsidR="00F563D1">
        <w:rPr>
          <w:rFonts w:ascii="Garamond" w:hAnsi="Garamond" w:cs="Arial"/>
          <w:sz w:val="24"/>
          <w:szCs w:val="24"/>
          <w:lang w:val="sq-AL"/>
        </w:rPr>
        <w:t>ë</w:t>
      </w:r>
      <w:r w:rsidRPr="0058349C">
        <w:rPr>
          <w:rFonts w:ascii="Garamond" w:hAnsi="Garamond" w:cs="Arial"/>
          <w:sz w:val="24"/>
          <w:szCs w:val="24"/>
          <w:lang w:val="sq-AL"/>
        </w:rPr>
        <w:t xml:space="preserve"> përvojën e deritanishme me skemat e mbështetëse kombëtare, por edhe ato të zbatuara në kuadër të IPARD II. Nevoja për të konso</w:t>
      </w:r>
      <w:r w:rsidR="00F563D1">
        <w:rPr>
          <w:rFonts w:ascii="Garamond" w:hAnsi="Garamond" w:cs="Arial"/>
          <w:sz w:val="24"/>
          <w:szCs w:val="24"/>
          <w:lang w:val="sq-AL"/>
        </w:rPr>
        <w:t xml:space="preserve">liduar prodhimin nga njëra anë </w:t>
      </w:r>
      <w:r w:rsidRPr="0058349C">
        <w:rPr>
          <w:rFonts w:ascii="Garamond" w:hAnsi="Garamond" w:cs="Arial"/>
          <w:sz w:val="24"/>
          <w:szCs w:val="24"/>
          <w:lang w:val="sq-AL"/>
        </w:rPr>
        <w:t>dhe për ndërtuar skema</w:t>
      </w:r>
      <w:r w:rsidR="00F563D1">
        <w:rPr>
          <w:rFonts w:ascii="Garamond" w:hAnsi="Garamond" w:cs="Arial"/>
          <w:sz w:val="24"/>
          <w:szCs w:val="24"/>
          <w:lang w:val="sq-AL"/>
        </w:rPr>
        <w:t>,</w:t>
      </w:r>
      <w:r w:rsidRPr="0058349C">
        <w:rPr>
          <w:rFonts w:ascii="Garamond" w:hAnsi="Garamond" w:cs="Arial"/>
          <w:sz w:val="24"/>
          <w:szCs w:val="24"/>
          <w:lang w:val="sq-AL"/>
        </w:rPr>
        <w:t xml:space="preserve"> të cilat përshijnë një numër sa më të madh fermerësh, duhet të bëjë të mundur që edhe në të ardhmen masat direkte të mbështeten në forcimin e bashkëpunimit midis operatorëve ekonomikë.</w:t>
      </w:r>
    </w:p>
    <w:p w14:paraId="0773AD6F" w14:textId="0DC65CE3" w:rsidR="000F50EA" w:rsidRPr="0058349C" w:rsidRDefault="000F50EA" w:rsidP="003438F8">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Pragjet minimale të sipërpërmendura për qëndrueshmërinë ekonomike të fermës (si për sektorin e prodhimit bimor ashtu edhe për atë blegtoral) janë llogaritur në studimet sektoriale të përgatitura në vitin 2021 për Shqipërinë duke marrë në konsideratë pagën minimale për 2 persona (e barasvlershme me 500 </w:t>
      </w:r>
      <w:r w:rsidR="0060707A" w:rsidRPr="0058349C">
        <w:rPr>
          <w:rFonts w:ascii="Garamond" w:hAnsi="Garamond" w:cs="Arial"/>
          <w:sz w:val="24"/>
          <w:szCs w:val="24"/>
          <w:lang w:val="sq-AL"/>
        </w:rPr>
        <w:t xml:space="preserve">euro </w:t>
      </w:r>
      <w:r w:rsidRPr="0058349C">
        <w:rPr>
          <w:rFonts w:ascii="Garamond" w:hAnsi="Garamond" w:cs="Arial"/>
          <w:sz w:val="24"/>
          <w:szCs w:val="24"/>
          <w:lang w:val="sq-AL"/>
        </w:rPr>
        <w:t xml:space="preserve">në muaj). Duke marrë në konsideratë perspektivën e viteve 2021–2027 dhe duke pranuar se madhësia mesatare e familjes në Shqipëri është 3.8 persona, </w:t>
      </w:r>
      <w:r w:rsidRPr="0058349C">
        <w:rPr>
          <w:rFonts w:ascii="Garamond" w:hAnsi="Garamond" w:cs="Arial"/>
          <w:b/>
          <w:sz w:val="24"/>
          <w:szCs w:val="24"/>
          <w:lang w:val="sq-AL"/>
        </w:rPr>
        <w:t>rreziku i migrimit mbetet shumë i lartë</w:t>
      </w:r>
      <w:r w:rsidRPr="0058349C">
        <w:rPr>
          <w:rFonts w:ascii="Garamond" w:hAnsi="Garamond" w:cs="Arial"/>
          <w:sz w:val="24"/>
          <w:szCs w:val="24"/>
          <w:lang w:val="sq-AL"/>
        </w:rPr>
        <w:t xml:space="preserve"> ndaj është e rëndësishme që të zhvillohet niveli i diversifikimit të aktiviteteve në nivel ferme si mundësi për forcimin e qëndrueshmërisë së njësive prodhuese.</w:t>
      </w:r>
    </w:p>
    <w:p w14:paraId="0773AD70" w14:textId="77777777"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Numri i fermave të regjistruara</w:t>
      </w:r>
      <w:r w:rsidRPr="0058349C">
        <w:rPr>
          <w:rFonts w:ascii="Garamond" w:hAnsi="Garamond" w:cs="Arial"/>
          <w:sz w:val="24"/>
          <w:szCs w:val="24"/>
          <w:lang w:val="sq-AL"/>
        </w:rPr>
        <w:t xml:space="preserve"> (me numër identifikimi tatimor/NIPT) ishte më shumë se 62,000 në vitin 2021 (17,7% e rreth 350,000 fermave në Shqipëri), një rritje prej më shumë se 72% e krahasuar me vitin 2018, duke treguar se fermerët janë shumë të interesuar për tregun dhe mbështetjen financiare dhe se përpjekjet e qeverisë për formalizimin e sektorëve po shpërblehen. Vetëm në dy muajt e parë të vitit 2022, janë pajisur me NIPT fermeri rreth 20 000 fermerë, të cilët e kanë çuar numrin e fermerëve të pajisur me NIPT në rreth 83 000 fermerë.</w:t>
      </w:r>
    </w:p>
    <w:p w14:paraId="0773AD71" w14:textId="77777777"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Çështjet e pronësisë së tokës</w:t>
      </w:r>
      <w:r w:rsidRPr="0058349C">
        <w:rPr>
          <w:rFonts w:ascii="Garamond" w:hAnsi="Garamond" w:cs="Arial"/>
          <w:sz w:val="24"/>
          <w:szCs w:val="24"/>
          <w:lang w:val="sq-AL"/>
        </w:rPr>
        <w:t xml:space="preserve"> (kryesisht të lidhura regjistrimin e titujve të pronësisë dhe pajisjen me certifikatë pronësie) njihen si një pengesë e rëndësishme në procesin e konsolidimit të fermave, që ndikon në arritjen e qëndrueshmërisë ekonomike të tyre. </w:t>
      </w:r>
    </w:p>
    <w:p w14:paraId="0773AD72" w14:textId="77777777"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Kuadri ligjor për pronësinë e tokës është i barabartë nga pikëpamja e barazisë gjinore. </w:t>
      </w:r>
    </w:p>
    <w:p w14:paraId="0773AD73" w14:textId="4982E549" w:rsidR="000F50EA" w:rsidRPr="0058349C" w:rsidRDefault="000F50EA" w:rsidP="003438F8">
      <w:pPr>
        <w:spacing w:after="0" w:line="240" w:lineRule="auto"/>
        <w:ind w:firstLine="284"/>
        <w:jc w:val="both"/>
        <w:rPr>
          <w:rFonts w:ascii="Garamond" w:hAnsi="Garamond" w:cs="Arial"/>
          <w:bCs/>
          <w:sz w:val="24"/>
          <w:szCs w:val="24"/>
          <w:lang w:val="sq-AL"/>
        </w:rPr>
      </w:pPr>
      <w:r w:rsidRPr="0058349C">
        <w:rPr>
          <w:rFonts w:ascii="Garamond" w:hAnsi="Garamond" w:cs="Arial"/>
          <w:b/>
          <w:bCs/>
          <w:sz w:val="24"/>
          <w:szCs w:val="24"/>
          <w:lang w:val="sq-AL"/>
        </w:rPr>
        <w:t xml:space="preserve">Midis faktorëve që duhet të përmirësohen për të rritur nivelin e qëndrueshmërisë ekonomike të fermave </w:t>
      </w:r>
      <w:r w:rsidRPr="0058349C">
        <w:rPr>
          <w:rFonts w:ascii="Garamond" w:hAnsi="Garamond" w:cs="Arial"/>
          <w:bCs/>
          <w:sz w:val="24"/>
          <w:szCs w:val="24"/>
          <w:lang w:val="sq-AL"/>
        </w:rPr>
        <w:t>janë: i</w:t>
      </w:r>
      <w:r w:rsidR="003438F8">
        <w:rPr>
          <w:rFonts w:ascii="Garamond" w:hAnsi="Garamond" w:cs="Arial"/>
          <w:bCs/>
          <w:sz w:val="24"/>
          <w:szCs w:val="24"/>
          <w:lang w:val="sq-AL"/>
        </w:rPr>
        <w:t>.</w:t>
      </w:r>
      <w:r w:rsidRPr="0058349C">
        <w:rPr>
          <w:rFonts w:ascii="Garamond" w:hAnsi="Garamond" w:cs="Arial"/>
          <w:bCs/>
          <w:sz w:val="24"/>
          <w:szCs w:val="24"/>
          <w:lang w:val="sq-AL"/>
        </w:rPr>
        <w:t xml:space="preserve"> njohuri më të avancuara bujqësore</w:t>
      </w:r>
      <w:r w:rsidR="003438F8">
        <w:rPr>
          <w:rFonts w:ascii="Garamond" w:hAnsi="Garamond" w:cs="Arial"/>
          <w:bCs/>
          <w:sz w:val="24"/>
          <w:szCs w:val="24"/>
          <w:lang w:val="sq-AL"/>
        </w:rPr>
        <w:t xml:space="preserve">; </w:t>
      </w:r>
      <w:r w:rsidRPr="0058349C">
        <w:rPr>
          <w:rFonts w:ascii="Garamond" w:hAnsi="Garamond" w:cs="Arial"/>
          <w:bCs/>
          <w:sz w:val="24"/>
          <w:szCs w:val="24"/>
          <w:lang w:val="sq-AL"/>
        </w:rPr>
        <w:t>ii</w:t>
      </w:r>
      <w:r w:rsidR="003438F8">
        <w:rPr>
          <w:rFonts w:ascii="Garamond" w:hAnsi="Garamond" w:cs="Arial"/>
          <w:bCs/>
          <w:sz w:val="24"/>
          <w:szCs w:val="24"/>
          <w:lang w:val="sq-AL"/>
        </w:rPr>
        <w:t>.</w:t>
      </w:r>
      <w:r w:rsidRPr="0058349C">
        <w:rPr>
          <w:rFonts w:ascii="Garamond" w:hAnsi="Garamond" w:cs="Arial"/>
          <w:bCs/>
          <w:sz w:val="24"/>
          <w:szCs w:val="24"/>
          <w:lang w:val="sq-AL"/>
        </w:rPr>
        <w:t xml:space="preserve"> aksesi në teknologji/pajisje/makineri të reja dhe </w:t>
      </w:r>
      <w:r w:rsidRPr="0058349C">
        <w:rPr>
          <w:rFonts w:ascii="Garamond" w:hAnsi="Garamond" w:cs="Arial"/>
          <w:sz w:val="24"/>
          <w:szCs w:val="24"/>
          <w:lang w:val="sq-AL"/>
        </w:rPr>
        <w:t xml:space="preserve">rritja e aksesit në </w:t>
      </w:r>
      <w:r w:rsidRPr="0058349C">
        <w:rPr>
          <w:rFonts w:ascii="Garamond" w:hAnsi="Garamond" w:cs="Arial"/>
          <w:bCs/>
          <w:sz w:val="24"/>
          <w:szCs w:val="24"/>
          <w:lang w:val="sq-AL"/>
        </w:rPr>
        <w:t>kreditim (si për prodhimin dhe p</w:t>
      </w:r>
      <w:r w:rsidRPr="0058349C">
        <w:rPr>
          <w:rFonts w:ascii="Garamond" w:hAnsi="Garamond" w:cs="Arial"/>
          <w:sz w:val="24"/>
          <w:szCs w:val="24"/>
          <w:lang w:val="sq-AL"/>
        </w:rPr>
        <w:t xml:space="preserve">ër </w:t>
      </w:r>
      <w:r w:rsidRPr="0058349C">
        <w:rPr>
          <w:rFonts w:ascii="Garamond" w:hAnsi="Garamond" w:cs="Arial"/>
          <w:bCs/>
          <w:sz w:val="24"/>
          <w:szCs w:val="24"/>
          <w:lang w:val="sq-AL"/>
        </w:rPr>
        <w:t>investimet)</w:t>
      </w:r>
      <w:r w:rsidR="003438F8">
        <w:rPr>
          <w:rFonts w:ascii="Garamond" w:hAnsi="Garamond" w:cs="Arial"/>
          <w:bCs/>
          <w:sz w:val="24"/>
          <w:szCs w:val="24"/>
          <w:lang w:val="sq-AL"/>
        </w:rPr>
        <w:t xml:space="preserve">; </w:t>
      </w:r>
      <w:r w:rsidRPr="0058349C">
        <w:rPr>
          <w:rFonts w:ascii="Garamond" w:hAnsi="Garamond" w:cs="Arial"/>
          <w:bCs/>
          <w:sz w:val="24"/>
          <w:szCs w:val="24"/>
          <w:lang w:val="sq-AL"/>
        </w:rPr>
        <w:t>iii</w:t>
      </w:r>
      <w:r w:rsidR="003438F8">
        <w:rPr>
          <w:rFonts w:ascii="Garamond" w:hAnsi="Garamond" w:cs="Arial"/>
          <w:bCs/>
          <w:sz w:val="24"/>
          <w:szCs w:val="24"/>
          <w:lang w:val="sq-AL"/>
        </w:rPr>
        <w:t>.</w:t>
      </w:r>
      <w:r w:rsidRPr="0058349C">
        <w:rPr>
          <w:rFonts w:ascii="Garamond" w:hAnsi="Garamond" w:cs="Arial"/>
          <w:bCs/>
          <w:sz w:val="24"/>
          <w:szCs w:val="24"/>
          <w:lang w:val="sq-AL"/>
        </w:rPr>
        <w:t xml:space="preserve"> </w:t>
      </w:r>
      <w:r w:rsidR="003438F8" w:rsidRPr="0058349C">
        <w:rPr>
          <w:rFonts w:ascii="Garamond" w:hAnsi="Garamond" w:cs="Arial"/>
          <w:bCs/>
          <w:sz w:val="24"/>
          <w:szCs w:val="24"/>
          <w:lang w:val="sq-AL"/>
        </w:rPr>
        <w:t xml:space="preserve">kapaciteti </w:t>
      </w:r>
      <w:r w:rsidRPr="0058349C">
        <w:rPr>
          <w:rFonts w:ascii="Garamond" w:hAnsi="Garamond" w:cs="Arial"/>
          <w:bCs/>
          <w:sz w:val="24"/>
          <w:szCs w:val="24"/>
          <w:lang w:val="sq-AL"/>
        </w:rPr>
        <w:t>i magazinimit në nivel ferme</w:t>
      </w:r>
      <w:r w:rsidR="003438F8">
        <w:rPr>
          <w:rFonts w:ascii="Garamond" w:hAnsi="Garamond" w:cs="Arial"/>
          <w:bCs/>
          <w:sz w:val="24"/>
          <w:szCs w:val="24"/>
          <w:lang w:val="sq-AL"/>
        </w:rPr>
        <w:t>;</w:t>
      </w:r>
      <w:r w:rsidRPr="0058349C">
        <w:rPr>
          <w:rFonts w:ascii="Garamond" w:hAnsi="Garamond" w:cs="Arial"/>
          <w:bCs/>
          <w:sz w:val="24"/>
          <w:szCs w:val="24"/>
          <w:lang w:val="sq-AL"/>
        </w:rPr>
        <w:t xml:space="preserve"> iv</w:t>
      </w:r>
      <w:r w:rsidR="003438F8">
        <w:rPr>
          <w:rFonts w:ascii="Garamond" w:hAnsi="Garamond" w:cs="Arial"/>
          <w:bCs/>
          <w:sz w:val="24"/>
          <w:szCs w:val="24"/>
          <w:lang w:val="sq-AL"/>
        </w:rPr>
        <w:t>.</w:t>
      </w:r>
      <w:r w:rsidRPr="0058349C">
        <w:rPr>
          <w:rFonts w:ascii="Garamond" w:hAnsi="Garamond" w:cs="Arial"/>
          <w:bCs/>
          <w:sz w:val="24"/>
          <w:szCs w:val="24"/>
          <w:lang w:val="sq-AL"/>
        </w:rPr>
        <w:t xml:space="preserve"> strukturat e bashk</w:t>
      </w:r>
      <w:r w:rsidRPr="0058349C">
        <w:rPr>
          <w:rFonts w:ascii="Garamond" w:hAnsi="Garamond" w:cs="Arial"/>
          <w:sz w:val="24"/>
          <w:szCs w:val="24"/>
          <w:lang w:val="sq-AL"/>
        </w:rPr>
        <w:t>ëpunimit</w:t>
      </w:r>
      <w:r w:rsidRPr="0058349C">
        <w:rPr>
          <w:rFonts w:ascii="Garamond" w:hAnsi="Garamond" w:cs="Arial"/>
          <w:bCs/>
          <w:sz w:val="24"/>
          <w:szCs w:val="24"/>
          <w:lang w:val="sq-AL"/>
        </w:rPr>
        <w:t xml:space="preserve"> etj. </w:t>
      </w:r>
    </w:p>
    <w:p w14:paraId="0773AD74" w14:textId="3E92E8A1" w:rsidR="000F50EA" w:rsidRPr="0058349C" w:rsidRDefault="000F50EA" w:rsidP="003438F8">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lang w:val="sq-AL"/>
        </w:rPr>
        <w:t xml:space="preserve">Bujqësia precize </w:t>
      </w:r>
      <w:r w:rsidRPr="0058349C">
        <w:rPr>
          <w:rFonts w:ascii="Garamond" w:hAnsi="Garamond" w:cs="Arial"/>
          <w:bCs/>
          <w:sz w:val="24"/>
          <w:szCs w:val="24"/>
          <w:lang w:val="sq-AL"/>
        </w:rPr>
        <w:t xml:space="preserve">dhe </w:t>
      </w:r>
      <w:r w:rsidRPr="0058349C">
        <w:rPr>
          <w:rFonts w:ascii="Garamond" w:hAnsi="Garamond" w:cs="Arial"/>
          <w:b/>
          <w:bCs/>
          <w:sz w:val="24"/>
          <w:szCs w:val="24"/>
          <w:lang w:val="sq-AL"/>
        </w:rPr>
        <w:t xml:space="preserve">digjitalizimi: </w:t>
      </w:r>
      <w:r w:rsidRPr="0058349C">
        <w:rPr>
          <w:rFonts w:ascii="Garamond" w:hAnsi="Garamond" w:cs="Arial"/>
          <w:sz w:val="24"/>
          <w:szCs w:val="24"/>
          <w:lang w:val="sq-AL"/>
        </w:rPr>
        <w:t xml:space="preserve">ekzistojnë raste të suksesshme të përdorimit të bujqësisë precize dhe </w:t>
      </w:r>
      <w:r w:rsidR="003438F8">
        <w:rPr>
          <w:rFonts w:ascii="Garamond" w:hAnsi="Garamond" w:cs="Arial"/>
          <w:sz w:val="24"/>
          <w:szCs w:val="24"/>
          <w:lang w:val="sq-AL"/>
        </w:rPr>
        <w:t xml:space="preserve">të </w:t>
      </w:r>
      <w:r w:rsidRPr="0058349C">
        <w:rPr>
          <w:rFonts w:ascii="Garamond" w:hAnsi="Garamond" w:cs="Arial"/>
          <w:sz w:val="24"/>
          <w:szCs w:val="24"/>
          <w:lang w:val="sq-AL"/>
        </w:rPr>
        <w:t xml:space="preserve">digjitalizimit. Duhet të theksojmë se digjitalizimi i bujqësisë është njëri prej objektivave të qeverisë shqiptare. Kjo shoqërohet me rritje të nivelit të shërbimeve, të cilat </w:t>
      </w:r>
      <w:r w:rsidR="003438F8">
        <w:rPr>
          <w:rFonts w:ascii="Garamond" w:hAnsi="Garamond" w:cs="Arial"/>
          <w:sz w:val="24"/>
          <w:szCs w:val="24"/>
          <w:lang w:val="sq-AL"/>
        </w:rPr>
        <w:t>u</w:t>
      </w:r>
      <w:r w:rsidRPr="0058349C">
        <w:rPr>
          <w:rFonts w:ascii="Garamond" w:hAnsi="Garamond" w:cs="Arial"/>
          <w:sz w:val="24"/>
          <w:szCs w:val="24"/>
          <w:lang w:val="sq-AL"/>
        </w:rPr>
        <w:t xml:space="preserve"> ofrohen fermerëve nëpërmjet platformave digjitale, por edhe rritja e nivelit të kontrollit dhe </w:t>
      </w:r>
      <w:r w:rsidR="003438F8">
        <w:rPr>
          <w:rFonts w:ascii="Garamond" w:hAnsi="Garamond" w:cs="Arial"/>
          <w:sz w:val="24"/>
          <w:szCs w:val="24"/>
          <w:lang w:val="sq-AL"/>
        </w:rPr>
        <w:t xml:space="preserve">e </w:t>
      </w:r>
      <w:r w:rsidRPr="0058349C">
        <w:rPr>
          <w:rFonts w:ascii="Garamond" w:hAnsi="Garamond" w:cs="Arial"/>
          <w:sz w:val="24"/>
          <w:szCs w:val="24"/>
          <w:lang w:val="sq-AL"/>
        </w:rPr>
        <w:t>sigurisë së informacionit për sigurinë ushqimore të bimëve, kafshëve dhe konsumatorit final. Të gjith</w:t>
      </w:r>
      <w:r w:rsidR="003438F8">
        <w:rPr>
          <w:rFonts w:ascii="Garamond" w:hAnsi="Garamond" w:cs="Arial"/>
          <w:sz w:val="24"/>
          <w:szCs w:val="24"/>
          <w:lang w:val="sq-AL"/>
        </w:rPr>
        <w:t>a</w:t>
      </w:r>
      <w:r w:rsidRPr="0058349C">
        <w:rPr>
          <w:rFonts w:ascii="Garamond" w:hAnsi="Garamond" w:cs="Arial"/>
          <w:sz w:val="24"/>
          <w:szCs w:val="24"/>
          <w:lang w:val="sq-AL"/>
        </w:rPr>
        <w:t xml:space="preserve"> kët</w:t>
      </w:r>
      <w:r w:rsidR="003438F8">
        <w:rPr>
          <w:rFonts w:ascii="Garamond" w:hAnsi="Garamond" w:cs="Arial"/>
          <w:sz w:val="24"/>
          <w:szCs w:val="24"/>
          <w:lang w:val="sq-AL"/>
        </w:rPr>
        <w:t>o</w:t>
      </w:r>
      <w:r w:rsidRPr="0058349C">
        <w:rPr>
          <w:rFonts w:ascii="Garamond" w:hAnsi="Garamond" w:cs="Arial"/>
          <w:sz w:val="24"/>
          <w:szCs w:val="24"/>
          <w:lang w:val="sq-AL"/>
        </w:rPr>
        <w:t xml:space="preserve"> element</w:t>
      </w:r>
      <w:r w:rsidR="003438F8">
        <w:rPr>
          <w:rFonts w:ascii="Garamond" w:hAnsi="Garamond" w:cs="Arial"/>
          <w:sz w:val="24"/>
          <w:szCs w:val="24"/>
          <w:lang w:val="sq-AL"/>
        </w:rPr>
        <w:t>e</w:t>
      </w:r>
      <w:r w:rsidRPr="0058349C">
        <w:rPr>
          <w:rFonts w:ascii="Garamond" w:hAnsi="Garamond" w:cs="Arial"/>
          <w:sz w:val="24"/>
          <w:szCs w:val="24"/>
          <w:lang w:val="sq-AL"/>
        </w:rPr>
        <w:t xml:space="preserve"> e bëjnë digjitalizimin e bujqësisë një element të rëndësishëm për të ardhmen e sektorit. </w:t>
      </w:r>
    </w:p>
    <w:p w14:paraId="0773AD75" w14:textId="215C6BE3" w:rsidR="000F50EA" w:rsidRPr="0058349C" w:rsidRDefault="000F50EA" w:rsidP="00857009">
      <w:pPr>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Qëndrueshmëria</w:t>
      </w:r>
      <w:r w:rsidR="00797859">
        <w:rPr>
          <w:rFonts w:ascii="Garamond" w:hAnsi="Garamond" w:cs="Arial"/>
          <w:b/>
          <w:sz w:val="24"/>
          <w:szCs w:val="24"/>
          <w:lang w:val="sq-AL"/>
        </w:rPr>
        <w:t>/</w:t>
      </w:r>
      <w:r w:rsidR="00857009" w:rsidRPr="0058349C">
        <w:rPr>
          <w:rFonts w:ascii="Garamond" w:hAnsi="Garamond" w:cs="Arial"/>
          <w:b/>
          <w:sz w:val="24"/>
          <w:szCs w:val="24"/>
          <w:lang w:val="sq-AL"/>
        </w:rPr>
        <w:t>elasticiteti (rezilienca</w:t>
      </w:r>
      <w:r w:rsidRPr="0058349C">
        <w:rPr>
          <w:rFonts w:ascii="Garamond" w:hAnsi="Garamond" w:cs="Arial"/>
          <w:b/>
          <w:sz w:val="24"/>
          <w:szCs w:val="24"/>
          <w:lang w:val="sq-AL"/>
        </w:rPr>
        <w:t>) e fermës</w:t>
      </w:r>
    </w:p>
    <w:p w14:paraId="0773AD76" w14:textId="2318387B" w:rsidR="000F50EA" w:rsidRPr="0058349C" w:rsidRDefault="000F50EA" w:rsidP="00087423">
      <w:pPr>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Qëndrueshmëria e fermës për të përballuar faktorët kufizues</w:t>
      </w:r>
      <w:r w:rsidR="00797859">
        <w:rPr>
          <w:rFonts w:ascii="Garamond" w:hAnsi="Garamond" w:cs="Arial"/>
          <w:b/>
          <w:sz w:val="24"/>
          <w:szCs w:val="24"/>
          <w:lang w:val="sq-AL"/>
        </w:rPr>
        <w:t>/</w:t>
      </w:r>
      <w:r w:rsidRPr="0058349C">
        <w:rPr>
          <w:rFonts w:ascii="Garamond" w:hAnsi="Garamond" w:cs="Arial"/>
          <w:b/>
          <w:sz w:val="24"/>
          <w:szCs w:val="24"/>
          <w:lang w:val="sq-AL"/>
        </w:rPr>
        <w:t>dëmtues</w:t>
      </w:r>
    </w:p>
    <w:p w14:paraId="0773AD77" w14:textId="0E303EEB" w:rsidR="000F50EA" w:rsidRPr="0058349C" w:rsidRDefault="000F50EA" w:rsidP="000F50EA">
      <w:pPr>
        <w:spacing w:after="0" w:line="240" w:lineRule="auto"/>
        <w:ind w:firstLine="284"/>
        <w:jc w:val="both"/>
        <w:rPr>
          <w:rFonts w:ascii="Garamond" w:hAnsi="Garamond" w:cs="Arial"/>
          <w:bCs/>
          <w:sz w:val="24"/>
          <w:szCs w:val="24"/>
          <w:lang w:val="sq-AL"/>
        </w:rPr>
      </w:pPr>
      <w:r w:rsidRPr="0058349C">
        <w:rPr>
          <w:rFonts w:ascii="Garamond" w:hAnsi="Garamond" w:cs="Arial"/>
          <w:bCs/>
          <w:sz w:val="24"/>
          <w:szCs w:val="24"/>
          <w:lang w:val="sq-AL"/>
        </w:rPr>
        <w:lastRenderedPageBreak/>
        <w:t xml:space="preserve">Qëndrueshmëria/rezilienca absolute e të gjithë fermave në Shqipëri nuk është realiste për shkak të strukturës aktuale bujqësore. Ndryshimet strukturore pritet të ndikojnë në uljen e numrit të përgjithshëm të fermave. </w:t>
      </w:r>
      <w:r w:rsidRPr="0058349C">
        <w:rPr>
          <w:rFonts w:ascii="Garamond" w:hAnsi="Garamond"/>
          <w:sz w:val="24"/>
          <w:szCs w:val="24"/>
          <w:lang w:val="sq-AL"/>
        </w:rPr>
        <w:t>Megjithatë, fermat e vogla janë</w:t>
      </w:r>
      <w:r w:rsidR="00FA3E4A">
        <w:rPr>
          <w:rFonts w:ascii="Garamond" w:hAnsi="Garamond"/>
          <w:sz w:val="24"/>
          <w:szCs w:val="24"/>
          <w:lang w:val="sq-AL"/>
        </w:rPr>
        <w:t>,</w:t>
      </w:r>
      <w:r w:rsidRPr="0058349C">
        <w:rPr>
          <w:rFonts w:ascii="Garamond" w:hAnsi="Garamond"/>
          <w:sz w:val="24"/>
          <w:szCs w:val="24"/>
          <w:lang w:val="sq-AL"/>
        </w:rPr>
        <w:t xml:space="preserve"> gjithashtu</w:t>
      </w:r>
      <w:r w:rsidR="00FA3E4A">
        <w:rPr>
          <w:rFonts w:ascii="Garamond" w:hAnsi="Garamond"/>
          <w:sz w:val="24"/>
          <w:szCs w:val="24"/>
          <w:lang w:val="sq-AL"/>
        </w:rPr>
        <w:t>,</w:t>
      </w:r>
      <w:r w:rsidRPr="0058349C">
        <w:rPr>
          <w:rFonts w:ascii="Garamond" w:hAnsi="Garamond"/>
          <w:sz w:val="24"/>
          <w:szCs w:val="24"/>
          <w:lang w:val="sq-AL"/>
        </w:rPr>
        <w:t xml:space="preserve"> të lidhura me traditën, ruajtjen e peizazhit dhe mbrojtjen e mjedisit,</w:t>
      </w:r>
      <w:r w:rsidRPr="0058349C">
        <w:rPr>
          <w:rFonts w:ascii="Garamond" w:hAnsi="Garamond" w:cs="Arial"/>
          <w:bCs/>
          <w:sz w:val="24"/>
          <w:szCs w:val="24"/>
          <w:lang w:val="sq-AL"/>
        </w:rPr>
        <w:t xml:space="preserve"> veçanërisht p.sh. nëpërmjet kullotjes ekstensive. Për këtë arsye, këto aktivitete blegtorale janë mbështetur nga politika publike nëpërmjet masave mbështetëse për blegtorët apo fermerët e vegjël</w:t>
      </w:r>
      <w:r w:rsidR="00FA3E4A">
        <w:rPr>
          <w:rFonts w:ascii="Garamond" w:hAnsi="Garamond" w:cs="Arial"/>
          <w:bCs/>
          <w:sz w:val="24"/>
          <w:szCs w:val="24"/>
          <w:lang w:val="sq-AL"/>
        </w:rPr>
        <w:t>,</w:t>
      </w:r>
      <w:r w:rsidRPr="0058349C">
        <w:rPr>
          <w:rFonts w:ascii="Garamond" w:hAnsi="Garamond" w:cs="Arial"/>
          <w:bCs/>
          <w:sz w:val="24"/>
          <w:szCs w:val="24"/>
          <w:lang w:val="sq-AL"/>
        </w:rPr>
        <w:t xml:space="preserve"> që vendosin të bashkëpunojnë në një prej proceseve të prodhimit, tregtimit apo përpunimit të produkteve. Edhe varietetet e bimëve apo racat lokale të kafshëve janë pjesë e kësaj qëndrueshmërie.</w:t>
      </w:r>
    </w:p>
    <w:p w14:paraId="0773AD78" w14:textId="27A55CE4" w:rsidR="000F50EA" w:rsidRPr="0058349C" w:rsidRDefault="000F50EA" w:rsidP="000F50EA">
      <w:pPr>
        <w:spacing w:after="0" w:line="240" w:lineRule="auto"/>
        <w:ind w:firstLine="284"/>
        <w:jc w:val="both"/>
        <w:rPr>
          <w:rFonts w:ascii="Garamond" w:hAnsi="Garamond" w:cs="Arial"/>
          <w:bCs/>
          <w:sz w:val="24"/>
          <w:szCs w:val="24"/>
          <w:lang w:val="sq-AL"/>
        </w:rPr>
      </w:pPr>
      <w:r w:rsidRPr="0058349C">
        <w:rPr>
          <w:rFonts w:ascii="Garamond" w:hAnsi="Garamond" w:cs="Arial"/>
          <w:bCs/>
          <w:sz w:val="24"/>
          <w:szCs w:val="24"/>
          <w:lang w:val="sq-AL"/>
        </w:rPr>
        <w:t>Në rastin e një bujqësie të bazuar në struktura prodhuese më të mëdha dhe më intensive, aftësimi dhe rritja e qëndrueshmërisë së fermës kalon nëpërmjet përdorimit të praktikave m</w:t>
      </w:r>
      <w:r w:rsidR="00FA3E4A">
        <w:rPr>
          <w:rFonts w:ascii="Garamond" w:hAnsi="Garamond" w:cs="Arial"/>
          <w:bCs/>
          <w:sz w:val="24"/>
          <w:szCs w:val="24"/>
          <w:lang w:val="sq-AL"/>
        </w:rPr>
        <w:t>oderne bujqësore, me fokus mir</w:t>
      </w:r>
      <w:r w:rsidRPr="0058349C">
        <w:rPr>
          <w:rFonts w:ascii="Garamond" w:hAnsi="Garamond" w:cs="Arial"/>
          <w:bCs/>
          <w:sz w:val="24"/>
          <w:szCs w:val="24"/>
          <w:lang w:val="sq-AL"/>
        </w:rPr>
        <w:t xml:space="preserve">administrimin e ujit dhe mbrojtjen e tokës. </w:t>
      </w:r>
    </w:p>
    <w:p w14:paraId="0773AD79" w14:textId="18D19520" w:rsidR="000F50EA" w:rsidRPr="0058349C" w:rsidRDefault="000F50EA" w:rsidP="00FA3E4A">
      <w:pPr>
        <w:spacing w:after="0" w:line="240" w:lineRule="auto"/>
        <w:ind w:firstLine="284"/>
        <w:jc w:val="both"/>
        <w:rPr>
          <w:rFonts w:ascii="Garamond" w:hAnsi="Garamond" w:cs="Arial"/>
          <w:bCs/>
          <w:sz w:val="24"/>
          <w:szCs w:val="24"/>
          <w:lang w:val="sq-AL"/>
        </w:rPr>
      </w:pPr>
      <w:r w:rsidRPr="0058349C">
        <w:rPr>
          <w:rFonts w:ascii="Garamond" w:hAnsi="Garamond" w:cs="Arial"/>
          <w:bCs/>
          <w:sz w:val="24"/>
          <w:szCs w:val="24"/>
          <w:lang w:val="sq-AL"/>
        </w:rPr>
        <w:t xml:space="preserve">Veç sa me lart qëndrueshmëria ekonomike dhe financiare e fermave mund të mbështetet vetëm me </w:t>
      </w:r>
      <w:r w:rsidRPr="0058349C">
        <w:rPr>
          <w:rFonts w:ascii="Garamond" w:hAnsi="Garamond" w:cs="Arial"/>
          <w:b/>
          <w:bCs/>
          <w:sz w:val="24"/>
          <w:szCs w:val="24"/>
          <w:lang w:val="sq-AL"/>
        </w:rPr>
        <w:t xml:space="preserve">skema më të forta sigurimesh. </w:t>
      </w:r>
      <w:r w:rsidRPr="0058349C">
        <w:rPr>
          <w:rFonts w:ascii="Garamond" w:hAnsi="Garamond" w:cs="Arial"/>
          <w:bCs/>
          <w:sz w:val="24"/>
          <w:szCs w:val="24"/>
          <w:lang w:val="sq-AL"/>
        </w:rPr>
        <w:t>Aktualisht, tregu i produkteve të sigurimit është i ri dhe ofertat nuk janë të përhapura në gjerësi dhe nuk janë lehtësisht të aksesueshme për fermerët. Zhvillimi i një tregu të sigurimeve të produkteve bujqësore për disa prej kushteve ekstreme të motit, do të përbëjë një zhvillim pozitiv</w:t>
      </w:r>
      <w:r w:rsidR="00FA3E4A">
        <w:rPr>
          <w:rFonts w:ascii="Garamond" w:hAnsi="Garamond" w:cs="Arial"/>
          <w:bCs/>
          <w:sz w:val="24"/>
          <w:szCs w:val="24"/>
          <w:lang w:val="sq-AL"/>
        </w:rPr>
        <w:t>,</w:t>
      </w:r>
      <w:r w:rsidRPr="0058349C">
        <w:rPr>
          <w:rFonts w:ascii="Garamond" w:hAnsi="Garamond" w:cs="Arial"/>
          <w:bCs/>
          <w:sz w:val="24"/>
          <w:szCs w:val="24"/>
          <w:lang w:val="sq-AL"/>
        </w:rPr>
        <w:t xml:space="preserve"> i cili do të përkrahet së pari nga fermerët që prodhojnë për treg për t</w:t>
      </w:r>
      <w:r w:rsidR="00FA3E4A">
        <w:rPr>
          <w:rFonts w:ascii="Garamond" w:hAnsi="Garamond" w:cs="Arial"/>
          <w:bCs/>
          <w:sz w:val="24"/>
          <w:szCs w:val="24"/>
          <w:lang w:val="sq-AL"/>
        </w:rPr>
        <w:t>’</w:t>
      </w:r>
      <w:r w:rsidRPr="0058349C">
        <w:rPr>
          <w:rFonts w:ascii="Garamond" w:hAnsi="Garamond" w:cs="Arial"/>
          <w:bCs/>
          <w:sz w:val="24"/>
          <w:szCs w:val="24"/>
          <w:lang w:val="sq-AL"/>
        </w:rPr>
        <w:t xml:space="preserve">u përhapur </w:t>
      </w:r>
      <w:r w:rsidRPr="00EE536D">
        <w:rPr>
          <w:rFonts w:ascii="Garamond" w:hAnsi="Garamond" w:cs="Arial"/>
          <w:bCs/>
          <w:sz w:val="24"/>
          <w:szCs w:val="24"/>
          <w:lang w:val="sq-AL"/>
        </w:rPr>
        <w:t>edhe në llojet e tjer</w:t>
      </w:r>
      <w:r w:rsidR="00FA3E4A" w:rsidRPr="00EE536D">
        <w:rPr>
          <w:rFonts w:ascii="Garamond" w:hAnsi="Garamond" w:cs="Arial"/>
          <w:bCs/>
          <w:sz w:val="24"/>
          <w:szCs w:val="24"/>
          <w:lang w:val="sq-AL"/>
        </w:rPr>
        <w:t>a</w:t>
      </w:r>
      <w:r w:rsidRPr="00EE536D">
        <w:rPr>
          <w:rFonts w:ascii="Garamond" w:hAnsi="Garamond" w:cs="Arial"/>
          <w:bCs/>
          <w:sz w:val="24"/>
          <w:szCs w:val="24"/>
          <w:lang w:val="sq-AL"/>
        </w:rPr>
        <w:t xml:space="preserve"> të fermerëve.</w:t>
      </w:r>
      <w:r w:rsidRPr="0058349C">
        <w:rPr>
          <w:rFonts w:ascii="Garamond" w:hAnsi="Garamond" w:cs="Arial"/>
          <w:bCs/>
          <w:sz w:val="24"/>
          <w:szCs w:val="24"/>
          <w:lang w:val="sq-AL"/>
        </w:rPr>
        <w:t xml:space="preserve"> Nxitja publike e institucioneve të sigurimit për të mundësuar zhvillimin e produkteve të sigurimit dhe lidhjen e tyre me fermerët, mbetet një hap i domosdoshëm. </w:t>
      </w:r>
    </w:p>
    <w:p w14:paraId="0773AD7B" w14:textId="515838A4" w:rsidR="000F50EA" w:rsidRPr="0058349C" w:rsidRDefault="000F50EA" w:rsidP="00FA3E4A">
      <w:pPr>
        <w:pStyle w:val="TEKSTIIII"/>
        <w:rPr>
          <w:b/>
          <w:lang w:val="sq-AL"/>
        </w:rPr>
      </w:pPr>
      <w:bookmarkStart w:id="7" w:name="_Toc103838818"/>
      <w:r w:rsidRPr="0058349C">
        <w:rPr>
          <w:b/>
          <w:lang w:val="sq-AL"/>
        </w:rPr>
        <w:t>3.2.1.2 Politika 1</w:t>
      </w:r>
      <w:r w:rsidR="00FA3E4A">
        <w:rPr>
          <w:b/>
          <w:lang w:val="sq-AL"/>
        </w:rPr>
        <w:t>.</w:t>
      </w:r>
      <w:r w:rsidRPr="0058349C">
        <w:rPr>
          <w:b/>
          <w:lang w:val="sq-AL"/>
        </w:rPr>
        <w:t xml:space="preserve"> Objektivi specifik 2: Rritja e konkurrueshmërisë dhe orientimit drejt tregut të sektorit agroushqimor</w:t>
      </w:r>
      <w:bookmarkEnd w:id="7"/>
      <w:r w:rsidRPr="0058349C">
        <w:rPr>
          <w:b/>
          <w:lang w:val="sq-AL"/>
        </w:rPr>
        <w:t xml:space="preserve"> </w:t>
      </w:r>
    </w:p>
    <w:p w14:paraId="0773AD7C" w14:textId="77777777" w:rsidR="000F50EA" w:rsidRPr="0058349C" w:rsidRDefault="000F50EA" w:rsidP="000F50EA">
      <w:pPr>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Sektori i bujqësisë</w:t>
      </w:r>
    </w:p>
    <w:p w14:paraId="0773AD7D" w14:textId="77777777" w:rsidR="000F50EA" w:rsidRPr="0058349C" w:rsidRDefault="000F50EA" w:rsidP="000F50EA">
      <w:pPr>
        <w:spacing w:after="0" w:line="240" w:lineRule="auto"/>
        <w:ind w:firstLine="284"/>
        <w:jc w:val="both"/>
        <w:rPr>
          <w:rFonts w:ascii="Garamond" w:hAnsi="Garamond" w:cs="Arial"/>
          <w:bCs/>
          <w:sz w:val="24"/>
          <w:szCs w:val="24"/>
          <w:lang w:val="sq-AL"/>
        </w:rPr>
      </w:pPr>
      <w:r w:rsidRPr="0058349C">
        <w:rPr>
          <w:rFonts w:ascii="Garamond" w:hAnsi="Garamond" w:cs="Arial"/>
          <w:b/>
          <w:bCs/>
          <w:sz w:val="24"/>
          <w:szCs w:val="24"/>
          <w:lang w:val="sq-AL"/>
        </w:rPr>
        <w:t>Forca e punës është një faktor kyç për produktivitetin</w:t>
      </w:r>
      <w:r w:rsidRPr="0058349C">
        <w:rPr>
          <w:rFonts w:ascii="Garamond" w:hAnsi="Garamond" w:cs="Arial"/>
          <w:bCs/>
          <w:sz w:val="24"/>
          <w:szCs w:val="24"/>
          <w:lang w:val="sq-AL"/>
        </w:rPr>
        <w:t>. Të dhënat e ILOSTAT-it për vitin 2019</w:t>
      </w:r>
      <w:r w:rsidRPr="00FA3E4A">
        <w:rPr>
          <w:rFonts w:ascii="Garamond" w:hAnsi="Garamond"/>
          <w:sz w:val="24"/>
          <w:szCs w:val="24"/>
          <w:vertAlign w:val="superscript"/>
        </w:rPr>
        <w:footnoteReference w:id="7"/>
      </w:r>
      <w:r w:rsidRPr="0058349C">
        <w:rPr>
          <w:rFonts w:ascii="Garamond" w:hAnsi="Garamond" w:cs="Arial"/>
          <w:bCs/>
          <w:sz w:val="24"/>
          <w:szCs w:val="24"/>
          <w:lang w:val="sq-AL"/>
        </w:rPr>
        <w:t xml:space="preserve"> tregojnë se bujqësia angazhon 460,600 </w:t>
      </w:r>
      <w:r w:rsidRPr="0058349C">
        <w:rPr>
          <w:rStyle w:val="Emphasis"/>
          <w:rFonts w:ascii="Garamond" w:hAnsi="Garamond"/>
          <w:bCs/>
          <w:i w:val="0"/>
          <w:iCs w:val="0"/>
          <w:sz w:val="24"/>
          <w:szCs w:val="24"/>
          <w:shd w:val="clear" w:color="auto" w:fill="FFFFFF"/>
          <w:lang w:val="sq-AL"/>
        </w:rPr>
        <w:t>njësi vjetore pune</w:t>
      </w:r>
      <w:r w:rsidRPr="0058349C">
        <w:rPr>
          <w:rFonts w:ascii="Garamond" w:hAnsi="Garamond" w:cs="Arial"/>
          <w:bCs/>
          <w:sz w:val="24"/>
          <w:szCs w:val="24"/>
          <w:lang w:val="sq-AL"/>
        </w:rPr>
        <w:t xml:space="preserve"> (NJVP), që do të thotë 36.4% nga fuqia totale e punës jan</w:t>
      </w:r>
      <w:r w:rsidRPr="0058349C">
        <w:rPr>
          <w:rFonts w:ascii="Garamond" w:hAnsi="Garamond" w:cs="Arial"/>
          <w:sz w:val="24"/>
          <w:szCs w:val="24"/>
          <w:lang w:val="sq-AL"/>
        </w:rPr>
        <w:t xml:space="preserve">ë të </w:t>
      </w:r>
      <w:r w:rsidRPr="0058349C">
        <w:rPr>
          <w:rFonts w:ascii="Garamond" w:hAnsi="Garamond" w:cs="Arial"/>
          <w:bCs/>
          <w:sz w:val="24"/>
          <w:szCs w:val="24"/>
          <w:lang w:val="sq-AL"/>
        </w:rPr>
        <w:t>punësuar në bujqësi</w:t>
      </w:r>
      <w:r w:rsidRPr="00A1434D">
        <w:rPr>
          <w:rFonts w:ascii="Garamond" w:hAnsi="Garamond"/>
          <w:sz w:val="24"/>
          <w:szCs w:val="24"/>
          <w:vertAlign w:val="superscript"/>
        </w:rPr>
        <w:footnoteReference w:id="8"/>
      </w:r>
      <w:r w:rsidRPr="00A1434D">
        <w:rPr>
          <w:rFonts w:ascii="Garamond" w:hAnsi="Garamond"/>
          <w:sz w:val="24"/>
          <w:szCs w:val="24"/>
        </w:rPr>
        <w:t>.</w:t>
      </w:r>
      <w:r w:rsidRPr="00A1434D">
        <w:rPr>
          <w:rFonts w:ascii="Garamond" w:hAnsi="Garamond" w:cs="Arial"/>
          <w:bCs/>
          <w:sz w:val="24"/>
          <w:szCs w:val="24"/>
          <w:lang w:val="sq-AL"/>
        </w:rPr>
        <w:t xml:space="preserve"> </w:t>
      </w:r>
    </w:p>
    <w:p w14:paraId="0773AD7E" w14:textId="0BEDBF19" w:rsidR="000F50EA" w:rsidRPr="0058349C" w:rsidRDefault="000F50EA" w:rsidP="00813CE8">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Aktualisht, </w:t>
      </w:r>
      <w:r w:rsidRPr="0058349C">
        <w:rPr>
          <w:rFonts w:ascii="Garamond" w:hAnsi="Garamond" w:cs="Arial"/>
          <w:b/>
          <w:sz w:val="24"/>
          <w:szCs w:val="24"/>
          <w:lang w:val="sq-AL"/>
        </w:rPr>
        <w:t>kostoja e fuqisë punëtore në Shqipëri është 10 herë më e ulët se mesatarja e BE-së</w:t>
      </w:r>
      <w:r w:rsidRPr="0058349C">
        <w:rPr>
          <w:rStyle w:val="FootnoteReference"/>
          <w:rFonts w:ascii="Garamond" w:hAnsi="Garamond" w:cs="Arial"/>
          <w:b/>
          <w:sz w:val="24"/>
          <w:szCs w:val="24"/>
          <w:lang w:val="sq-AL"/>
        </w:rPr>
        <w:footnoteReference w:id="9"/>
      </w:r>
      <w:r w:rsidRPr="0058349C">
        <w:rPr>
          <w:rFonts w:ascii="Garamond" w:hAnsi="Garamond" w:cs="Arial"/>
          <w:sz w:val="24"/>
          <w:szCs w:val="24"/>
          <w:lang w:val="sq-AL"/>
        </w:rPr>
        <w:t xml:space="preserve">. Kështu, kostot e fuqisë punëtore mund të konsiderohen të lira. </w:t>
      </w:r>
      <w:r w:rsidRPr="0058349C">
        <w:rPr>
          <w:rFonts w:ascii="Garamond" w:hAnsi="Garamond" w:cs="Arial"/>
          <w:b/>
          <w:sz w:val="24"/>
          <w:szCs w:val="24"/>
          <w:lang w:val="sq-AL"/>
        </w:rPr>
        <w:t>Produktiviteti i fuqisë punëtore në sektorin e bujqësisë ka ardhur në rritje të vazhdueshme</w:t>
      </w:r>
      <w:r w:rsidRPr="0058349C">
        <w:rPr>
          <w:rFonts w:ascii="Garamond" w:hAnsi="Garamond" w:cs="Arial"/>
          <w:sz w:val="24"/>
          <w:szCs w:val="24"/>
          <w:lang w:val="sq-AL"/>
        </w:rPr>
        <w:t xml:space="preserve">, duke llogaritur 5,680 </w:t>
      </w:r>
      <w:r w:rsidR="00813CE8" w:rsidRPr="0058349C">
        <w:rPr>
          <w:rFonts w:ascii="Garamond" w:hAnsi="Garamond" w:cs="Arial"/>
          <w:sz w:val="24"/>
          <w:szCs w:val="24"/>
          <w:lang w:val="sq-AL"/>
        </w:rPr>
        <w:t xml:space="preserve">euro </w:t>
      </w:r>
      <w:r w:rsidRPr="0058349C">
        <w:rPr>
          <w:rFonts w:ascii="Garamond" w:hAnsi="Garamond" w:cs="Arial"/>
          <w:sz w:val="24"/>
          <w:szCs w:val="24"/>
          <w:lang w:val="sq-AL"/>
        </w:rPr>
        <w:t>për çdo person që punonte në bujqësi në vitin 2020</w:t>
      </w:r>
      <w:r w:rsidR="00813CE8">
        <w:rPr>
          <w:rFonts w:ascii="Garamond" w:hAnsi="Garamond" w:cs="Arial"/>
          <w:sz w:val="24"/>
          <w:szCs w:val="24"/>
          <w:lang w:val="sq-AL"/>
        </w:rPr>
        <w:t>.</w:t>
      </w:r>
      <w:r w:rsidRPr="0058349C">
        <w:rPr>
          <w:rFonts w:ascii="Garamond" w:hAnsi="Garamond" w:cs="Arial"/>
          <w:sz w:val="24"/>
          <w:szCs w:val="24"/>
          <w:lang w:val="sq-AL"/>
        </w:rPr>
        <w:t xml:space="preserve"> </w:t>
      </w:r>
      <w:r w:rsidRPr="0058349C">
        <w:rPr>
          <w:rFonts w:ascii="Garamond" w:hAnsi="Garamond" w:cs="Arial"/>
          <w:b/>
          <w:sz w:val="24"/>
          <w:szCs w:val="24"/>
          <w:lang w:val="sq-AL"/>
        </w:rPr>
        <w:t xml:space="preserve">Bujqësia po humbet gradualisht fuqinë punëtore, </w:t>
      </w:r>
      <w:r w:rsidRPr="0058349C">
        <w:rPr>
          <w:rFonts w:ascii="Garamond" w:hAnsi="Garamond" w:cs="Arial"/>
          <w:sz w:val="24"/>
          <w:szCs w:val="24"/>
          <w:lang w:val="sq-AL"/>
        </w:rPr>
        <w:t>si pasojë e rritjes së nivelit të mekanizimit në sektor</w:t>
      </w:r>
      <w:r w:rsidR="00813CE8">
        <w:rPr>
          <w:rFonts w:ascii="Garamond" w:hAnsi="Garamond" w:cs="Arial"/>
          <w:sz w:val="24"/>
          <w:szCs w:val="24"/>
          <w:lang w:val="sq-AL"/>
        </w:rPr>
        <w:t>,</w:t>
      </w:r>
      <w:r w:rsidRPr="0058349C">
        <w:rPr>
          <w:rFonts w:ascii="Garamond" w:hAnsi="Garamond" w:cs="Arial"/>
          <w:sz w:val="24"/>
          <w:szCs w:val="24"/>
          <w:lang w:val="sq-AL"/>
        </w:rPr>
        <w:t xml:space="preserve"> që e bën të panevojshëm numrin e lartë të punëtorëve, veçanërisht në kushtet e fermave të specializuara. Siç tregohet në anketat e INSTAT</w:t>
      </w:r>
      <w:r w:rsidR="00813CE8">
        <w:rPr>
          <w:rFonts w:ascii="Garamond" w:hAnsi="Garamond" w:cs="Arial"/>
          <w:sz w:val="24"/>
          <w:szCs w:val="24"/>
          <w:lang w:val="sq-AL"/>
        </w:rPr>
        <w:t>-it</w:t>
      </w:r>
      <w:r w:rsidRPr="0058349C">
        <w:rPr>
          <w:rFonts w:ascii="Garamond" w:hAnsi="Garamond" w:cs="Arial"/>
          <w:sz w:val="24"/>
          <w:szCs w:val="24"/>
          <w:lang w:val="sq-AL"/>
        </w:rPr>
        <w:t xml:space="preserve"> (p.sh. </w:t>
      </w:r>
      <w:r w:rsidR="00813CE8" w:rsidRPr="0058349C">
        <w:rPr>
          <w:rFonts w:ascii="Garamond" w:hAnsi="Garamond" w:cs="Arial"/>
          <w:sz w:val="24"/>
          <w:szCs w:val="24"/>
          <w:lang w:val="sq-AL"/>
        </w:rPr>
        <w:t xml:space="preserve">anketa tremujore e forcës së punës të </w:t>
      </w:r>
      <w:r w:rsidRPr="0058349C">
        <w:rPr>
          <w:rFonts w:ascii="Garamond" w:hAnsi="Garamond" w:cs="Arial"/>
          <w:sz w:val="24"/>
          <w:szCs w:val="24"/>
          <w:lang w:val="sq-AL"/>
        </w:rPr>
        <w:t>kryer nga INSTAT</w:t>
      </w:r>
      <w:r w:rsidR="00813CE8">
        <w:rPr>
          <w:rFonts w:ascii="Garamond" w:hAnsi="Garamond" w:cs="Arial"/>
          <w:sz w:val="24"/>
          <w:szCs w:val="24"/>
          <w:lang w:val="sq-AL"/>
        </w:rPr>
        <w:t>-i</w:t>
      </w:r>
      <w:r w:rsidRPr="0058349C">
        <w:rPr>
          <w:rFonts w:ascii="Garamond" w:hAnsi="Garamond" w:cs="Arial"/>
          <w:sz w:val="24"/>
          <w:szCs w:val="24"/>
          <w:lang w:val="sq-AL"/>
        </w:rPr>
        <w:t xml:space="preserve"> për tremujorin e tretë 2020 krahasuar me tremujorin e tretë 2019)</w:t>
      </w:r>
      <w:r w:rsidR="00813CE8">
        <w:rPr>
          <w:rFonts w:ascii="Garamond" w:hAnsi="Garamond" w:cs="Arial"/>
          <w:sz w:val="24"/>
          <w:szCs w:val="24"/>
          <w:lang w:val="sq-AL"/>
        </w:rPr>
        <w:t>,</w:t>
      </w:r>
      <w:r w:rsidRPr="0058349C">
        <w:rPr>
          <w:rFonts w:ascii="Garamond" w:hAnsi="Garamond" w:cs="Arial"/>
          <w:sz w:val="24"/>
          <w:szCs w:val="24"/>
          <w:lang w:val="sq-AL"/>
        </w:rPr>
        <w:t xml:space="preserve"> se norma vjetore e rritjes së punësimit në bujqësi ishte me minus -3.7 %, vlerë kjo më e ulët në krahasim me të gjithë sektorët e tjerë ekonomikë. </w:t>
      </w:r>
    </w:p>
    <w:p w14:paraId="0773AD7F" w14:textId="1A7DC06A"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Niveli i mekanizimit ka pësuar një rritje të rëndësishme me</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9,65</w:t>
      </w:r>
      <w:r w:rsidR="003469E6">
        <w:rPr>
          <w:rFonts w:ascii="Garamond" w:hAnsi="Garamond" w:cs="Arial"/>
          <w:sz w:val="24"/>
          <w:szCs w:val="24"/>
          <w:lang w:val="sq-AL"/>
        </w:rPr>
        <w:t>5 traktorë me rrota, 5,715 mini</w:t>
      </w:r>
      <w:r w:rsidRPr="0058349C">
        <w:rPr>
          <w:rFonts w:ascii="Garamond" w:hAnsi="Garamond" w:cs="Arial"/>
          <w:sz w:val="24"/>
          <w:szCs w:val="24"/>
          <w:lang w:val="sq-AL"/>
        </w:rPr>
        <w:t>traktorë, 4,036 makina mbjellëse dhe 697 autokombajna</w:t>
      </w:r>
      <w:r w:rsidRPr="0058349C">
        <w:rPr>
          <w:rStyle w:val="FootnoteReference"/>
          <w:rFonts w:ascii="Garamond" w:hAnsi="Garamond" w:cs="Arial"/>
          <w:sz w:val="24"/>
          <w:szCs w:val="24"/>
          <w:lang w:val="sq-AL"/>
        </w:rPr>
        <w:footnoteReference w:id="10"/>
      </w:r>
      <w:r w:rsidR="003469E6">
        <w:rPr>
          <w:rFonts w:ascii="Garamond" w:hAnsi="Garamond" w:cs="Arial"/>
          <w:sz w:val="24"/>
          <w:szCs w:val="24"/>
          <w:lang w:val="sq-AL"/>
        </w:rPr>
        <w:t xml:space="preserve"> </w:t>
      </w:r>
      <w:r w:rsidRPr="0058349C">
        <w:rPr>
          <w:rFonts w:ascii="Garamond" w:hAnsi="Garamond" w:cs="Arial"/>
          <w:sz w:val="24"/>
          <w:szCs w:val="24"/>
          <w:lang w:val="sq-AL"/>
        </w:rPr>
        <w:t>ose një traktor për 122 ha tokë bujqësore dhe një autokombajnë për 431 ha kultura. Ka disa kufizime në përpjekjet për të rritur numrin e makinerive të reja: parcelat e fragmentuara dhe madhësitë e fermave të vogla. Sigurisht që, makineritë e reja sjellin sfida të reja, siç është nevoja për trajnime të specializuara dhe shërbime mekanike. Ndaj nevoja e trajnimit mbetet një prioritetet i sektorit të bujqësisë.</w:t>
      </w:r>
    </w:p>
    <w:p w14:paraId="0773AD80" w14:textId="245698D7" w:rsidR="000F50EA" w:rsidRPr="0058349C" w:rsidRDefault="000F50EA" w:rsidP="006901BF">
      <w:pPr>
        <w:spacing w:after="0" w:line="240" w:lineRule="auto"/>
        <w:ind w:firstLine="284"/>
        <w:jc w:val="both"/>
        <w:rPr>
          <w:rFonts w:ascii="Garamond" w:hAnsi="Garamond" w:cs="Arial"/>
          <w:sz w:val="24"/>
          <w:szCs w:val="24"/>
          <w:lang w:val="sq-AL"/>
        </w:rPr>
      </w:pPr>
      <w:r w:rsidRPr="006901BF">
        <w:rPr>
          <w:rFonts w:ascii="Garamond" w:hAnsi="Garamond" w:cs="Arial"/>
          <w:sz w:val="24"/>
          <w:szCs w:val="24"/>
          <w:lang w:val="sq-AL"/>
        </w:rPr>
        <w:t>Fermat familjare në zinxhirin e prodhimit të dhive-deleve janë pjesë e një zhvillimi pozitiv të rëndësishëm</w:t>
      </w:r>
      <w:r w:rsidR="003469E6" w:rsidRPr="006901BF">
        <w:rPr>
          <w:rFonts w:ascii="Garamond" w:hAnsi="Garamond" w:cs="Arial"/>
          <w:sz w:val="24"/>
          <w:szCs w:val="24"/>
          <w:lang w:val="sq-AL"/>
        </w:rPr>
        <w:t>,</w:t>
      </w:r>
      <w:r w:rsidRPr="006901BF">
        <w:rPr>
          <w:rFonts w:ascii="Garamond" w:hAnsi="Garamond" w:cs="Arial"/>
          <w:sz w:val="24"/>
          <w:szCs w:val="24"/>
          <w:lang w:val="sq-AL"/>
        </w:rPr>
        <w:t xml:space="preserve"> që është bërë vitet e fundit, veçanërisht pas vendosjes së fokusit te thertoret e formalizuara dhe mbylljes së </w:t>
      </w:r>
      <w:r w:rsidR="00664693" w:rsidRPr="006901BF">
        <w:rPr>
          <w:rFonts w:ascii="Garamond" w:hAnsi="Garamond" w:cs="Arial"/>
          <w:sz w:val="24"/>
          <w:szCs w:val="24"/>
          <w:lang w:val="sq-AL"/>
        </w:rPr>
        <w:t>“</w:t>
      </w:r>
      <w:r w:rsidRPr="006901BF">
        <w:rPr>
          <w:rFonts w:ascii="Garamond" w:hAnsi="Garamond" w:cs="Arial"/>
          <w:sz w:val="24"/>
          <w:szCs w:val="24"/>
          <w:lang w:val="sq-AL"/>
        </w:rPr>
        <w:t>pikave të therjes</w:t>
      </w:r>
      <w:r w:rsidR="00664693" w:rsidRPr="006901BF">
        <w:rPr>
          <w:rFonts w:ascii="Garamond" w:hAnsi="Garamond" w:cs="Arial"/>
          <w:sz w:val="24"/>
          <w:szCs w:val="24"/>
          <w:lang w:val="sq-AL"/>
        </w:rPr>
        <w:t>”</w:t>
      </w:r>
      <w:r w:rsidRPr="006901BF">
        <w:rPr>
          <w:rFonts w:ascii="Garamond" w:hAnsi="Garamond" w:cs="Arial"/>
          <w:sz w:val="24"/>
          <w:szCs w:val="24"/>
          <w:lang w:val="sq-AL"/>
        </w:rPr>
        <w:t xml:space="preserve"> të paligjshme. Sigurisht që theksi duhet të vihet</w:t>
      </w:r>
      <w:r w:rsidRPr="0058349C">
        <w:rPr>
          <w:rFonts w:ascii="Garamond" w:hAnsi="Garamond" w:cs="Arial"/>
          <w:sz w:val="24"/>
          <w:szCs w:val="24"/>
          <w:lang w:val="sq-AL"/>
        </w:rPr>
        <w:t xml:space="preserve"> </w:t>
      </w:r>
      <w:r w:rsidRPr="0058349C">
        <w:rPr>
          <w:rFonts w:ascii="Garamond" w:hAnsi="Garamond" w:cs="Arial"/>
          <w:sz w:val="24"/>
          <w:szCs w:val="24"/>
          <w:lang w:val="sq-AL"/>
        </w:rPr>
        <w:lastRenderedPageBreak/>
        <w:t xml:space="preserve">në rritjen e aksesit të fermerëve në këto pika shërbimesh për të forcuar sigurinë ushqimore të produkteve. </w:t>
      </w:r>
    </w:p>
    <w:p w14:paraId="0773AD81" w14:textId="198AF3B1"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lang w:val="sq-AL"/>
        </w:rPr>
        <w:t xml:space="preserve">Eksporti i kafshëve të gjalla është i mundur për disa vende të rajonit pjesë e iniciativës </w:t>
      </w:r>
      <w:r w:rsidRPr="003A73A5">
        <w:rPr>
          <w:rFonts w:ascii="Garamond" w:hAnsi="Garamond" w:cs="Arial"/>
          <w:b/>
          <w:bCs/>
          <w:i/>
          <w:iCs/>
          <w:sz w:val="24"/>
          <w:szCs w:val="24"/>
          <w:lang w:val="sq-AL"/>
        </w:rPr>
        <w:t>Open Balkan</w:t>
      </w:r>
      <w:r w:rsidRPr="003A73A5">
        <w:rPr>
          <w:rFonts w:ascii="Garamond" w:hAnsi="Garamond" w:cs="Arial"/>
          <w:bCs/>
          <w:i/>
          <w:iCs/>
          <w:sz w:val="24"/>
          <w:szCs w:val="24"/>
          <w:lang w:val="sq-AL"/>
        </w:rPr>
        <w:t>.</w:t>
      </w:r>
      <w:r w:rsidRPr="0058349C">
        <w:rPr>
          <w:rFonts w:ascii="Garamond" w:hAnsi="Garamond" w:cs="Arial"/>
          <w:bCs/>
          <w:sz w:val="24"/>
          <w:szCs w:val="24"/>
          <w:lang w:val="sq-AL"/>
        </w:rPr>
        <w:t xml:space="preserve"> Përmirësimi dhe zbatimi rigoroz i legjislacionit për ushqimin e kafshëve, gjurmueshmërinë e nënprodukteve të kafshëve (t</w:t>
      </w:r>
      <w:r w:rsidRPr="0058349C">
        <w:rPr>
          <w:rFonts w:ascii="Garamond" w:hAnsi="Garamond" w:cs="Arial"/>
          <w:sz w:val="24"/>
          <w:szCs w:val="24"/>
          <w:lang w:val="sq-AL"/>
        </w:rPr>
        <w:t xml:space="preserve">ë </w:t>
      </w:r>
      <w:r w:rsidRPr="0058349C">
        <w:rPr>
          <w:rFonts w:ascii="Garamond" w:hAnsi="Garamond" w:cs="Arial"/>
          <w:bCs/>
          <w:sz w:val="24"/>
          <w:szCs w:val="24"/>
          <w:lang w:val="sq-AL"/>
        </w:rPr>
        <w:t>mishit dhe</w:t>
      </w:r>
      <w:r w:rsidR="00CF7694" w:rsidRPr="0058349C">
        <w:rPr>
          <w:rFonts w:ascii="Garamond" w:hAnsi="Garamond" w:cs="Arial"/>
          <w:bCs/>
          <w:sz w:val="24"/>
          <w:szCs w:val="24"/>
          <w:lang w:val="sq-AL"/>
        </w:rPr>
        <w:t xml:space="preserve"> </w:t>
      </w:r>
      <w:r w:rsidRPr="0058349C">
        <w:rPr>
          <w:rFonts w:ascii="Garamond" w:hAnsi="Garamond" w:cs="Arial"/>
          <w:bCs/>
          <w:sz w:val="24"/>
          <w:szCs w:val="24"/>
          <w:lang w:val="sq-AL"/>
        </w:rPr>
        <w:t>qumështit) dhe në programet e kontrollit të sëmundjeve të kafshëve (plani i monitorimit të sëmundjeve të kafshëve dh</w:t>
      </w:r>
      <w:r w:rsidR="003A73A5">
        <w:rPr>
          <w:rFonts w:ascii="Garamond" w:hAnsi="Garamond" w:cs="Arial"/>
          <w:bCs/>
          <w:sz w:val="24"/>
          <w:szCs w:val="24"/>
          <w:lang w:val="sq-AL"/>
        </w:rPr>
        <w:t>e nënprodukteve</w:t>
      </w:r>
      <w:r w:rsidR="00797859">
        <w:rPr>
          <w:rFonts w:ascii="Garamond" w:hAnsi="Garamond" w:cs="Arial"/>
          <w:bCs/>
          <w:sz w:val="24"/>
          <w:szCs w:val="24"/>
          <w:lang w:val="sq-AL"/>
        </w:rPr>
        <w:t>/</w:t>
      </w:r>
      <w:r w:rsidRPr="0058349C">
        <w:rPr>
          <w:rFonts w:ascii="Garamond" w:hAnsi="Garamond" w:cs="Arial"/>
          <w:bCs/>
          <w:sz w:val="24"/>
          <w:szCs w:val="24"/>
          <w:lang w:val="sq-AL"/>
        </w:rPr>
        <w:t>vlerësimi i rrezikut për fermat dhe operatorët e biznesit</w:t>
      </w:r>
      <w:r w:rsidRPr="0058349C">
        <w:rPr>
          <w:rFonts w:ascii="Garamond" w:hAnsi="Garamond" w:cs="Arial"/>
          <w:sz w:val="24"/>
          <w:szCs w:val="24"/>
          <w:lang w:val="sq-AL"/>
        </w:rPr>
        <w:t xml:space="preserve">), do të zgjerojë tregun e eksportit të produkteve shtazore dhe </w:t>
      </w:r>
      <w:r w:rsidR="003A73A5">
        <w:rPr>
          <w:rFonts w:ascii="Garamond" w:hAnsi="Garamond" w:cs="Arial"/>
          <w:sz w:val="24"/>
          <w:szCs w:val="24"/>
          <w:lang w:val="sq-AL"/>
        </w:rPr>
        <w:t xml:space="preserve">të </w:t>
      </w:r>
      <w:r w:rsidRPr="0058349C">
        <w:rPr>
          <w:rFonts w:ascii="Garamond" w:hAnsi="Garamond" w:cs="Arial"/>
          <w:sz w:val="24"/>
          <w:szCs w:val="24"/>
          <w:lang w:val="sq-AL"/>
        </w:rPr>
        <w:t xml:space="preserve">kafshëve të gjalla edhe në BE. </w:t>
      </w:r>
    </w:p>
    <w:p w14:paraId="0773AD82" w14:textId="0ED00FD5" w:rsidR="000F50EA" w:rsidRPr="0058349C" w:rsidRDefault="000F50EA" w:rsidP="00D42805">
      <w:pPr>
        <w:spacing w:after="0" w:line="240" w:lineRule="auto"/>
        <w:ind w:firstLine="284"/>
        <w:jc w:val="both"/>
        <w:rPr>
          <w:rFonts w:ascii="Garamond" w:hAnsi="Garamond" w:cs="Arial"/>
          <w:bCs/>
          <w:sz w:val="24"/>
          <w:szCs w:val="24"/>
          <w:lang w:val="sq-AL"/>
        </w:rPr>
      </w:pPr>
      <w:r w:rsidRPr="0058349C">
        <w:rPr>
          <w:rFonts w:ascii="Garamond" w:hAnsi="Garamond" w:cs="Arial"/>
          <w:b/>
          <w:bCs/>
          <w:sz w:val="24"/>
          <w:szCs w:val="24"/>
          <w:lang w:val="sq-AL"/>
        </w:rPr>
        <w:t>Sistemet e ujitjes</w:t>
      </w:r>
      <w:r w:rsidRPr="0058349C">
        <w:rPr>
          <w:rFonts w:ascii="Garamond" w:hAnsi="Garamond" w:cs="Arial"/>
          <w:bCs/>
          <w:sz w:val="24"/>
          <w:szCs w:val="24"/>
          <w:lang w:val="sq-AL"/>
        </w:rPr>
        <w:t xml:space="preserve"> Shqipëri</w:t>
      </w:r>
      <w:r w:rsidR="00EE7428">
        <w:rPr>
          <w:rFonts w:ascii="Garamond" w:hAnsi="Garamond" w:cs="Arial"/>
          <w:bCs/>
          <w:sz w:val="24"/>
          <w:szCs w:val="24"/>
          <w:lang w:val="sq-AL"/>
        </w:rPr>
        <w:t>a është e pasur me burime ujore</w:t>
      </w:r>
      <w:r w:rsidRPr="0058349C">
        <w:rPr>
          <w:rFonts w:ascii="Garamond" w:hAnsi="Garamond" w:cs="Arial"/>
          <w:bCs/>
          <w:sz w:val="24"/>
          <w:szCs w:val="24"/>
          <w:lang w:val="sq-AL"/>
        </w:rPr>
        <w:t xml:space="preserve"> dhe sektori i bujqësisë është shumë i varur nga ujitja gjatë verës nga ujërat e lumenjve dhe Rezervuarët Ujorë Bujqësorë (RUB), pasi vetëm 20% e totalit të reshjeve bien gjatë verës. Niveli i investimeve në rrjetin e ujitjes dhe kullimit në vitet e fundit ka qenë në rritje të vazhdueshme</w:t>
      </w:r>
      <w:r w:rsidR="00D42805">
        <w:rPr>
          <w:rFonts w:ascii="Garamond" w:hAnsi="Garamond" w:cs="Arial"/>
          <w:bCs/>
          <w:sz w:val="24"/>
          <w:szCs w:val="24"/>
          <w:lang w:val="sq-AL"/>
        </w:rPr>
        <w:t>,</w:t>
      </w:r>
      <w:r w:rsidRPr="0058349C">
        <w:rPr>
          <w:rFonts w:ascii="Garamond" w:hAnsi="Garamond" w:cs="Arial"/>
          <w:bCs/>
          <w:sz w:val="24"/>
          <w:szCs w:val="24"/>
          <w:lang w:val="sq-AL"/>
        </w:rPr>
        <w:t xml:space="preserve"> duke rritur nivelin e sipërfaqes të ujitshme në 70% të sipërfaqes totale potencialisht të ujitshme (ose rreth 360,000 ha). Rehabilitimi ka përfshirë rezervuarët, kanalet ujitës, strukturat e kontrollit të ujit, pompat etj. Sipërfaqja ujitëse ka nevojë për rehabilitime dhe </w:t>
      </w:r>
      <w:r w:rsidR="00D42805">
        <w:rPr>
          <w:rFonts w:ascii="Garamond" w:hAnsi="Garamond" w:cs="Arial"/>
          <w:bCs/>
          <w:sz w:val="24"/>
          <w:szCs w:val="24"/>
          <w:lang w:val="sq-AL"/>
        </w:rPr>
        <w:t xml:space="preserve">për </w:t>
      </w:r>
      <w:r w:rsidRPr="0058349C">
        <w:rPr>
          <w:rFonts w:ascii="Garamond" w:hAnsi="Garamond" w:cs="Arial"/>
          <w:bCs/>
          <w:sz w:val="24"/>
          <w:szCs w:val="24"/>
          <w:lang w:val="sq-AL"/>
        </w:rPr>
        <w:t xml:space="preserve">mirëmbajtje të vazhdueshme, të cilat financohen kryesisht nga qeveria qendrore dhe pjesërisht nga qeverisja vendore. Sipërfaqja </w:t>
      </w:r>
      <w:r w:rsidRPr="0058349C">
        <w:rPr>
          <w:rFonts w:ascii="Garamond" w:hAnsi="Garamond" w:cs="Arial"/>
          <w:b/>
          <w:bCs/>
          <w:sz w:val="24"/>
          <w:szCs w:val="24"/>
          <w:lang w:val="sq-AL"/>
        </w:rPr>
        <w:t>me infrastrukturë kulluese</w:t>
      </w:r>
      <w:r w:rsidRPr="0058349C">
        <w:rPr>
          <w:rFonts w:ascii="Garamond" w:hAnsi="Garamond" w:cs="Arial"/>
          <w:bCs/>
          <w:sz w:val="24"/>
          <w:szCs w:val="24"/>
          <w:lang w:val="sq-AL"/>
        </w:rPr>
        <w:t xml:space="preserve"> është 280,000 ha, ku 205,000 ha kullohen nga rrjedha e gravitetit dhe 75,000 ha kullohen nga stacionet e pompimit</w:t>
      </w:r>
      <w:r w:rsidR="00D42805">
        <w:rPr>
          <w:rFonts w:ascii="Garamond" w:hAnsi="Garamond" w:cs="Arial"/>
          <w:bCs/>
          <w:sz w:val="24"/>
          <w:szCs w:val="24"/>
          <w:lang w:val="sq-AL"/>
        </w:rPr>
        <w:t>.</w:t>
      </w:r>
      <w:r w:rsidRPr="0058349C">
        <w:rPr>
          <w:rFonts w:ascii="Garamond" w:hAnsi="Garamond" w:cs="Arial"/>
          <w:bCs/>
          <w:sz w:val="24"/>
          <w:szCs w:val="24"/>
          <w:lang w:val="sq-AL"/>
        </w:rPr>
        <w:t xml:space="preserve"> </w:t>
      </w:r>
    </w:p>
    <w:p w14:paraId="0773AD83" w14:textId="69776FBA" w:rsidR="000F50EA" w:rsidRPr="0058349C" w:rsidRDefault="000F50EA" w:rsidP="004E28CB">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Aksesi në huat për investime ose prodhim mbetet i kufizuar.</w:t>
      </w:r>
      <w:r w:rsidR="00CF7694" w:rsidRPr="0058349C">
        <w:rPr>
          <w:rFonts w:ascii="Garamond" w:hAnsi="Garamond" w:cs="Arial"/>
          <w:b/>
          <w:sz w:val="24"/>
          <w:szCs w:val="24"/>
          <w:lang w:val="sq-AL"/>
        </w:rPr>
        <w:t xml:space="preserve"> </w:t>
      </w:r>
      <w:r w:rsidRPr="0058349C">
        <w:rPr>
          <w:rFonts w:ascii="Garamond" w:hAnsi="Garamond" w:cs="Arial"/>
          <w:sz w:val="24"/>
          <w:szCs w:val="24"/>
          <w:lang w:val="sq-AL"/>
        </w:rPr>
        <w:t>Aktualisht ekzistojnë disa masa të qeverisë në bashkëpunim me bankat e nivelit të dytë dhe donatorët ndërkombëtarë (BERZH, Kf</w:t>
      </w:r>
      <w:r w:rsidR="004E28CB">
        <w:rPr>
          <w:rFonts w:ascii="Garamond" w:hAnsi="Garamond" w:cs="Arial"/>
          <w:sz w:val="24"/>
          <w:szCs w:val="24"/>
          <w:lang w:val="sq-AL"/>
        </w:rPr>
        <w:t>W</w:t>
      </w:r>
      <w:r w:rsidRPr="0058349C">
        <w:rPr>
          <w:rFonts w:ascii="Garamond" w:hAnsi="Garamond" w:cs="Arial"/>
          <w:sz w:val="24"/>
          <w:szCs w:val="24"/>
          <w:lang w:val="sq-AL"/>
        </w:rPr>
        <w:t>) si edhe nëpërmjet kredisë sovrane</w:t>
      </w:r>
      <w:r w:rsidR="004E28CB">
        <w:rPr>
          <w:rFonts w:ascii="Garamond" w:hAnsi="Garamond" w:cs="Arial"/>
          <w:sz w:val="24"/>
          <w:szCs w:val="24"/>
          <w:lang w:val="sq-AL"/>
        </w:rPr>
        <w:t>,</w:t>
      </w:r>
      <w:r w:rsidRPr="0058349C">
        <w:rPr>
          <w:rFonts w:ascii="Garamond" w:hAnsi="Garamond" w:cs="Arial"/>
          <w:sz w:val="24"/>
          <w:szCs w:val="24"/>
          <w:lang w:val="sq-AL"/>
        </w:rPr>
        <w:t xml:space="preserve"> të cilat synojnë rritjen e aksesit të fermerëve në kredi</w:t>
      </w:r>
      <w:r w:rsidR="004E28CB">
        <w:rPr>
          <w:rFonts w:ascii="Garamond" w:hAnsi="Garamond" w:cs="Arial"/>
          <w:sz w:val="24"/>
          <w:szCs w:val="24"/>
          <w:lang w:val="sq-AL"/>
        </w:rPr>
        <w:t>,</w:t>
      </w:r>
      <w:r w:rsidRPr="0058349C">
        <w:rPr>
          <w:rFonts w:ascii="Garamond" w:hAnsi="Garamond" w:cs="Arial"/>
          <w:sz w:val="24"/>
          <w:szCs w:val="24"/>
          <w:lang w:val="sq-AL"/>
        </w:rPr>
        <w:t xml:space="preserve"> si edhe uljen e kostove të kreditimit për sektorit.</w:t>
      </w:r>
    </w:p>
    <w:p w14:paraId="0773AD84" w14:textId="5216BE4E"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 xml:space="preserve">Efikasiteti </w:t>
      </w:r>
      <w:r w:rsidRPr="0058349C">
        <w:rPr>
          <w:rFonts w:ascii="Garamond" w:hAnsi="Garamond" w:cs="Arial"/>
          <w:sz w:val="24"/>
          <w:szCs w:val="24"/>
          <w:lang w:val="sq-AL"/>
        </w:rPr>
        <w:t>më i lartë në përdorimin e plehrave dhe të PMB-ve do të kërkojë jo vetëm makineri, por edhe analiza, testime të tokës dhe trajnimet përkatëse. MBZHR</w:t>
      </w:r>
      <w:r w:rsidR="004E28CB">
        <w:rPr>
          <w:rFonts w:ascii="Garamond" w:hAnsi="Garamond" w:cs="Arial"/>
          <w:sz w:val="24"/>
          <w:szCs w:val="24"/>
          <w:lang w:val="sq-AL"/>
        </w:rPr>
        <w:t>-ja</w:t>
      </w:r>
      <w:r w:rsidRPr="0058349C">
        <w:rPr>
          <w:rFonts w:ascii="Garamond" w:hAnsi="Garamond" w:cs="Arial"/>
          <w:sz w:val="24"/>
          <w:szCs w:val="24"/>
          <w:lang w:val="sq-AL"/>
        </w:rPr>
        <w:t xml:space="preserve"> ka miratuar aplikimin e librit të fermerit, i cili synon të evidentojë përdorimin e PMB-ve të në fermë me qëllim rritjen e efikasitetit të përdorimit të tyre dhe uljen e ndikimit të bujqësisë në mjedis.</w:t>
      </w:r>
    </w:p>
    <w:p w14:paraId="0773AD85" w14:textId="45FDD0E3"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lang w:val="sq-AL"/>
        </w:rPr>
        <w:t>Konkurrueshmëria</w:t>
      </w:r>
      <w:r w:rsidRPr="0058349C">
        <w:rPr>
          <w:rFonts w:ascii="Garamond" w:hAnsi="Garamond" w:cs="Arial"/>
          <w:bCs/>
          <w:sz w:val="24"/>
          <w:szCs w:val="24"/>
          <w:lang w:val="sq-AL"/>
        </w:rPr>
        <w:t xml:space="preserve"> ka të bëjë</w:t>
      </w:r>
      <w:r w:rsidR="004E28CB">
        <w:rPr>
          <w:rFonts w:ascii="Garamond" w:hAnsi="Garamond" w:cs="Arial"/>
          <w:bCs/>
          <w:sz w:val="24"/>
          <w:szCs w:val="24"/>
          <w:lang w:val="sq-AL"/>
        </w:rPr>
        <w:t>,</w:t>
      </w:r>
      <w:r w:rsidRPr="0058349C">
        <w:rPr>
          <w:rFonts w:ascii="Garamond" w:hAnsi="Garamond" w:cs="Arial"/>
          <w:bCs/>
          <w:sz w:val="24"/>
          <w:szCs w:val="24"/>
          <w:lang w:val="sq-AL"/>
        </w:rPr>
        <w:t xml:space="preserve"> gjithashtu</w:t>
      </w:r>
      <w:r w:rsidR="004E28CB">
        <w:rPr>
          <w:rFonts w:ascii="Garamond" w:hAnsi="Garamond" w:cs="Arial"/>
          <w:bCs/>
          <w:sz w:val="24"/>
          <w:szCs w:val="24"/>
          <w:lang w:val="sq-AL"/>
        </w:rPr>
        <w:t>,</w:t>
      </w:r>
      <w:r w:rsidRPr="0058349C">
        <w:rPr>
          <w:rFonts w:ascii="Garamond" w:hAnsi="Garamond" w:cs="Arial"/>
          <w:bCs/>
          <w:sz w:val="24"/>
          <w:szCs w:val="24"/>
          <w:lang w:val="sq-AL"/>
        </w:rPr>
        <w:t xml:space="preserve"> me ofrimin e produkteve me cilësi të lartë. Ekziston një procedurë e mirë organizuar për të kontrolluar materialin mbjellës në të gjithë fazat e tij. Në vitet e fundit janë bërë përpjekje të rëndësishme për të rritur kapacitetet e magazinimit (me pajisje seleksionimi dhe paketimi) dhe</w:t>
      </w:r>
      <w:r w:rsidR="004E28CB">
        <w:rPr>
          <w:rFonts w:ascii="Garamond" w:hAnsi="Garamond" w:cs="Arial"/>
          <w:bCs/>
          <w:sz w:val="24"/>
          <w:szCs w:val="24"/>
          <w:lang w:val="sq-AL"/>
        </w:rPr>
        <w:t>,</w:t>
      </w:r>
      <w:r w:rsidRPr="0058349C">
        <w:rPr>
          <w:rFonts w:ascii="Garamond" w:hAnsi="Garamond" w:cs="Arial"/>
          <w:bCs/>
          <w:sz w:val="24"/>
          <w:szCs w:val="24"/>
          <w:lang w:val="sq-AL"/>
        </w:rPr>
        <w:t xml:space="preserve"> veçanërisht</w:t>
      </w:r>
      <w:r w:rsidR="004E28CB">
        <w:rPr>
          <w:rFonts w:ascii="Garamond" w:hAnsi="Garamond" w:cs="Arial"/>
          <w:bCs/>
          <w:sz w:val="24"/>
          <w:szCs w:val="24"/>
          <w:lang w:val="sq-AL"/>
        </w:rPr>
        <w:t>,</w:t>
      </w:r>
      <w:r w:rsidRPr="0058349C">
        <w:rPr>
          <w:rFonts w:ascii="Garamond" w:hAnsi="Garamond" w:cs="Arial"/>
          <w:bCs/>
          <w:sz w:val="24"/>
          <w:szCs w:val="24"/>
          <w:lang w:val="sq-AL"/>
        </w:rPr>
        <w:t xml:space="preserve"> magazinat me ftohje (që mundësojnë eksportin me çmime më të larta në tregun e BE-së). Zonat kryesore të prodhimit janë pajisur me këto struktura. Qeveria shqiptare, parashikoi ndërtimin e platformave të tregtimit të produkteve bujqësore, të cilat synojnë jo vetëm tregtimin e produkteve bujqësore në kushte optimale, por në të njëjtën kohë të ulin nivelin e vartësisë të fermerëve nga tregtarët e shumicës apo grumbulluesit dhe të rrisin forcën e tyre në zinxhirin e vlerës. </w:t>
      </w:r>
    </w:p>
    <w:p w14:paraId="0773AD86" w14:textId="77777777" w:rsidR="000F50EA" w:rsidRPr="0058349C" w:rsidRDefault="000F50EA" w:rsidP="000F50EA">
      <w:pPr>
        <w:keepNext/>
        <w:keepLines/>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Përmirësimi i pozicionit të fermerëve në zinxhirin e vlerës</w:t>
      </w:r>
    </w:p>
    <w:p w14:paraId="0773AD87" w14:textId="2B3EBCFC" w:rsidR="000F50EA" w:rsidRPr="0058349C" w:rsidRDefault="000F50EA" w:rsidP="00CD56B7">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Pavarësisht mbizotërimit të fermave bujqësore me madhësi të vogël, organizatat e prodhuesve nuk janë akoma të suksesshme në Shqipëri. Ndërkohë që vazhdon ende një ngurrim i qëndrueshëm e i fortë për shoqërizim, janë krijuar disa kooperativa të stimuluara nga disa projekte (me mbështetjen e donatorëve)</w:t>
      </w:r>
      <w:r w:rsidR="00CD56B7">
        <w:rPr>
          <w:rFonts w:ascii="Garamond" w:hAnsi="Garamond" w:cs="Arial"/>
          <w:sz w:val="24"/>
          <w:szCs w:val="24"/>
          <w:lang w:val="sq-AL"/>
        </w:rPr>
        <w:t>,</w:t>
      </w:r>
      <w:r w:rsidRPr="0058349C">
        <w:rPr>
          <w:rFonts w:ascii="Garamond" w:hAnsi="Garamond" w:cs="Arial"/>
          <w:sz w:val="24"/>
          <w:szCs w:val="24"/>
          <w:lang w:val="sq-AL"/>
        </w:rPr>
        <w:t xml:space="preserve"> por edhe nga interesi i tyre, dhe arritën që bashkërisht në mënyrë efektive të blinin inputet ose të arrinin certifikimin e kërkuar për shitjen e produkteve të tyre te grumbulluesit. </w:t>
      </w:r>
    </w:p>
    <w:p w14:paraId="0773AD88" w14:textId="6F833677" w:rsidR="000F50EA" w:rsidRPr="0058349C" w:rsidRDefault="000F50EA" w:rsidP="00CD56B7">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Bashkëpunimi midis fermerëve është një prej instrumenteve më të rëndësish</w:t>
      </w:r>
      <w:r w:rsidR="00CD56B7">
        <w:rPr>
          <w:rFonts w:ascii="Garamond" w:hAnsi="Garamond" w:cs="Arial"/>
          <w:sz w:val="24"/>
          <w:szCs w:val="24"/>
          <w:lang w:val="sq-AL"/>
        </w:rPr>
        <w:t>me</w:t>
      </w:r>
      <w:r w:rsidRPr="0058349C">
        <w:rPr>
          <w:rFonts w:ascii="Garamond" w:hAnsi="Garamond" w:cs="Arial"/>
          <w:sz w:val="24"/>
          <w:szCs w:val="24"/>
          <w:lang w:val="sq-AL"/>
        </w:rPr>
        <w:t xml:space="preserve"> për të rritur fuqinë e fermerëve në të gjitha fazat e prodhimit. </w:t>
      </w:r>
    </w:p>
    <w:p w14:paraId="0773AD89" w14:textId="7533A227" w:rsidR="000F50EA" w:rsidRPr="0058349C" w:rsidRDefault="000F50EA" w:rsidP="00537097">
      <w:pPr>
        <w:spacing w:after="0" w:line="240" w:lineRule="auto"/>
        <w:ind w:firstLine="284"/>
        <w:jc w:val="both"/>
        <w:rPr>
          <w:rFonts w:ascii="Garamond" w:hAnsi="Garamond" w:cs="Arial"/>
          <w:sz w:val="24"/>
          <w:szCs w:val="24"/>
          <w:lang w:val="sq-AL"/>
        </w:rPr>
      </w:pPr>
      <w:r w:rsidRPr="006B06AB">
        <w:rPr>
          <w:rFonts w:ascii="Garamond" w:hAnsi="Garamond" w:cs="Arial"/>
          <w:b/>
          <w:bCs/>
          <w:sz w:val="24"/>
          <w:szCs w:val="24"/>
          <w:lang w:val="sq-AL"/>
        </w:rPr>
        <w:t>F</w:t>
      </w:r>
      <w:r w:rsidRPr="0058349C">
        <w:rPr>
          <w:rFonts w:ascii="Garamond" w:hAnsi="Garamond" w:cs="Arial"/>
          <w:b/>
          <w:sz w:val="24"/>
          <w:szCs w:val="24"/>
          <w:lang w:val="sq-AL"/>
        </w:rPr>
        <w:t>ermerët shqiptarë kanë akoma pak fuqi negociuese</w:t>
      </w:r>
      <w:r w:rsidRPr="0058349C">
        <w:rPr>
          <w:rFonts w:ascii="Garamond" w:hAnsi="Garamond" w:cs="Arial"/>
          <w:sz w:val="24"/>
          <w:szCs w:val="24"/>
          <w:lang w:val="sq-AL"/>
        </w:rPr>
        <w:t>. Çmimet e inputeve janë rrallë të negociueshme dhe, duke mos qenë pjesë e ndonjë organizate bujqësore, formimi i çmimeve është kryesisht atribut i grumbulluesve, shitësve me shumicë dhe i përpunuesve vend</w:t>
      </w:r>
      <w:r w:rsidR="00537097" w:rsidRPr="0058349C">
        <w:rPr>
          <w:rFonts w:ascii="Garamond" w:hAnsi="Garamond" w:cs="Arial"/>
          <w:sz w:val="24"/>
          <w:szCs w:val="24"/>
          <w:lang w:val="sq-AL"/>
        </w:rPr>
        <w:t>ë</w:t>
      </w:r>
      <w:r w:rsidRPr="0058349C">
        <w:rPr>
          <w:rFonts w:ascii="Garamond" w:hAnsi="Garamond" w:cs="Arial"/>
          <w:sz w:val="24"/>
          <w:szCs w:val="24"/>
          <w:lang w:val="sq-AL"/>
        </w:rPr>
        <w:t>s. Marrëveshjet e zinxhirit të furnizimit nd</w:t>
      </w:r>
      <w:r w:rsidR="00537097" w:rsidRPr="0058349C">
        <w:rPr>
          <w:rFonts w:ascii="Garamond" w:hAnsi="Garamond" w:cs="Arial"/>
          <w:sz w:val="24"/>
          <w:szCs w:val="24"/>
          <w:lang w:val="sq-AL"/>
        </w:rPr>
        <w:t>ërmjet blerësve dhe fermerëve/</w:t>
      </w:r>
      <w:r w:rsidRPr="0058349C">
        <w:rPr>
          <w:rFonts w:ascii="Garamond" w:hAnsi="Garamond" w:cs="Arial"/>
          <w:sz w:val="24"/>
          <w:szCs w:val="24"/>
          <w:lang w:val="sq-AL"/>
        </w:rPr>
        <w:t>kontratat e furnizimit nënshkruhen rrallë.</w:t>
      </w:r>
      <w:r w:rsidR="00CF7694" w:rsidRPr="0058349C">
        <w:rPr>
          <w:rFonts w:ascii="Garamond" w:hAnsi="Garamond" w:cs="Arial"/>
          <w:sz w:val="24"/>
          <w:szCs w:val="24"/>
          <w:lang w:val="sq-AL"/>
        </w:rPr>
        <w:t xml:space="preserve"> </w:t>
      </w:r>
    </w:p>
    <w:p w14:paraId="0773AD8A" w14:textId="4502ED7C" w:rsidR="000F50EA" w:rsidRPr="0058349C" w:rsidRDefault="000F50EA" w:rsidP="006B06AB">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lastRenderedPageBreak/>
        <w:t>Sektorët me orientim eksportin, si prodhimi i perimeve në ser</w:t>
      </w:r>
      <w:r w:rsidR="006B06AB">
        <w:rPr>
          <w:rFonts w:ascii="Garamond" w:hAnsi="Garamond" w:cs="Arial"/>
          <w:sz w:val="24"/>
          <w:szCs w:val="24"/>
          <w:lang w:val="sq-AL"/>
        </w:rPr>
        <w:t>r</w:t>
      </w:r>
      <w:r w:rsidRPr="0058349C">
        <w:rPr>
          <w:rFonts w:ascii="Garamond" w:hAnsi="Garamond" w:cs="Arial"/>
          <w:sz w:val="24"/>
          <w:szCs w:val="24"/>
          <w:lang w:val="sq-AL"/>
        </w:rPr>
        <w:t>a, janë më të prirur për t</w:t>
      </w:r>
      <w:r w:rsidR="006B06AB">
        <w:rPr>
          <w:rFonts w:ascii="Garamond" w:hAnsi="Garamond" w:cs="Arial"/>
          <w:sz w:val="24"/>
          <w:szCs w:val="24"/>
          <w:lang w:val="sq-AL"/>
        </w:rPr>
        <w:t>’</w:t>
      </w:r>
      <w:r w:rsidRPr="0058349C">
        <w:rPr>
          <w:rFonts w:ascii="Garamond" w:hAnsi="Garamond" w:cs="Arial"/>
          <w:sz w:val="24"/>
          <w:szCs w:val="24"/>
          <w:lang w:val="sq-AL"/>
        </w:rPr>
        <w:t>u ngritur/bashkuar në organizata prodhuese, ndërsa për sektorin e blegtorisë kjo mbetet sfida më e madhe.</w:t>
      </w:r>
    </w:p>
    <w:p w14:paraId="0773AD8B" w14:textId="412B2DC1"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Ndërsa kooperativat janë më të ndërlikuara për sa i përket menaxhimit të brendshëm (kjo kërkon një zotërim dhe përdorim të përbashkët të aseteve), grupet e prodhuesve me fokus në tregtimin e përbashkët të prodhimit (dhe blerjen e inputeve) janë më të zbatueshme dhe më të përshtatshme për fazën aktuale të bujqësisë shqiptare. Aktualisht</w:t>
      </w:r>
      <w:r w:rsidR="007122C1">
        <w:rPr>
          <w:rFonts w:ascii="Garamond" w:hAnsi="Garamond" w:cs="Arial"/>
          <w:sz w:val="24"/>
          <w:szCs w:val="24"/>
          <w:lang w:val="sq-AL"/>
        </w:rPr>
        <w:t>,</w:t>
      </w:r>
      <w:r w:rsidRPr="0058349C">
        <w:rPr>
          <w:rFonts w:ascii="Garamond" w:hAnsi="Garamond" w:cs="Arial"/>
          <w:sz w:val="24"/>
          <w:szCs w:val="24"/>
          <w:lang w:val="sq-AL"/>
        </w:rPr>
        <w:t xml:space="preserve"> </w:t>
      </w:r>
      <w:r w:rsidRPr="0058349C">
        <w:rPr>
          <w:rFonts w:ascii="Garamond" w:hAnsi="Garamond" w:cs="Arial"/>
          <w:b/>
          <w:sz w:val="24"/>
          <w:szCs w:val="24"/>
          <w:lang w:val="sq-AL"/>
        </w:rPr>
        <w:t xml:space="preserve">po punohet për përafrimin e kuadrit ligjor drejt </w:t>
      </w:r>
      <w:r w:rsidR="00B25257" w:rsidRPr="00B25257">
        <w:rPr>
          <w:rFonts w:ascii="Garamond" w:hAnsi="Garamond" w:cs="Arial"/>
          <w:b/>
          <w:i/>
          <w:iCs/>
          <w:sz w:val="24"/>
          <w:szCs w:val="24"/>
          <w:lang w:val="sq-AL"/>
        </w:rPr>
        <w:t>acquis</w:t>
      </w:r>
      <w:r w:rsidRPr="0058349C">
        <w:rPr>
          <w:rFonts w:ascii="Garamond" w:hAnsi="Garamond" w:cs="Arial"/>
          <w:b/>
          <w:sz w:val="24"/>
          <w:szCs w:val="24"/>
          <w:lang w:val="sq-AL"/>
        </w:rPr>
        <w:t xml:space="preserve"> të BE-së për Organizatat e Prodhuesve (OP) (grupet e prodhuesve) dhe Shoqatat e Grupeve të Prodhuesve (SHGP)</w:t>
      </w:r>
      <w:r w:rsidR="007122C1">
        <w:rPr>
          <w:rFonts w:ascii="Garamond" w:hAnsi="Garamond" w:cs="Arial"/>
          <w:b/>
          <w:sz w:val="24"/>
          <w:szCs w:val="24"/>
          <w:lang w:val="sq-AL"/>
        </w:rPr>
        <w:t>,</w:t>
      </w:r>
      <w:r w:rsidRPr="0058349C">
        <w:rPr>
          <w:rFonts w:ascii="Garamond" w:hAnsi="Garamond" w:cs="Arial"/>
          <w:b/>
          <w:sz w:val="24"/>
          <w:szCs w:val="24"/>
          <w:lang w:val="sq-AL"/>
        </w:rPr>
        <w:t xml:space="preserve"> </w:t>
      </w:r>
      <w:r w:rsidRPr="0058349C">
        <w:rPr>
          <w:rFonts w:ascii="Garamond" w:hAnsi="Garamond" w:cs="Arial"/>
          <w:sz w:val="24"/>
          <w:szCs w:val="24"/>
          <w:lang w:val="sq-AL"/>
        </w:rPr>
        <w:t>si edhe masat mbështetëse adekuate në kuadër të IPARD</w:t>
      </w:r>
      <w:r w:rsidR="007122C1">
        <w:rPr>
          <w:rFonts w:ascii="Garamond" w:hAnsi="Garamond" w:cs="Arial"/>
          <w:sz w:val="24"/>
          <w:szCs w:val="24"/>
          <w:lang w:val="sq-AL"/>
        </w:rPr>
        <w:t>-së</w:t>
      </w:r>
      <w:r w:rsidRPr="0058349C">
        <w:rPr>
          <w:rFonts w:ascii="Garamond" w:hAnsi="Garamond" w:cs="Arial"/>
          <w:bCs/>
          <w:sz w:val="24"/>
          <w:szCs w:val="24"/>
          <w:lang w:val="sq-AL"/>
        </w:rPr>
        <w:t>.</w:t>
      </w:r>
    </w:p>
    <w:p w14:paraId="0773AD8C" w14:textId="66BAD4CF"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shd w:val="clear" w:color="auto" w:fill="FFFFFF"/>
          <w:lang w:val="sq-AL"/>
        </w:rPr>
        <w:t>Skemat e prodhimit bujq</w:t>
      </w:r>
      <w:r w:rsidRPr="007122C1">
        <w:rPr>
          <w:rFonts w:ascii="Garamond" w:hAnsi="Garamond" w:cs="Arial"/>
          <w:b/>
          <w:bCs/>
          <w:sz w:val="24"/>
          <w:szCs w:val="24"/>
          <w:lang w:val="sq-AL"/>
        </w:rPr>
        <w:t>ësor</w:t>
      </w:r>
      <w:r w:rsidRPr="0058349C">
        <w:rPr>
          <w:rFonts w:ascii="Garamond" w:hAnsi="Garamond" w:cs="Arial"/>
          <w:sz w:val="24"/>
          <w:szCs w:val="24"/>
          <w:lang w:val="sq-AL"/>
        </w:rPr>
        <w:t xml:space="preserve"> bazuar në</w:t>
      </w:r>
      <w:r w:rsidR="00CF7694" w:rsidRPr="0058349C">
        <w:rPr>
          <w:rFonts w:ascii="Garamond" w:hAnsi="Garamond"/>
          <w:b/>
          <w:sz w:val="24"/>
          <w:shd w:val="clear" w:color="auto" w:fill="FFFFFF"/>
          <w:lang w:val="sq-AL"/>
        </w:rPr>
        <w:t xml:space="preserve"> </w:t>
      </w:r>
      <w:r w:rsidRPr="0058349C">
        <w:rPr>
          <w:rFonts w:ascii="Garamond" w:hAnsi="Garamond" w:cs="Arial"/>
          <w:b/>
          <w:bCs/>
          <w:sz w:val="24"/>
          <w:szCs w:val="24"/>
          <w:shd w:val="clear" w:color="auto" w:fill="FFFFFF"/>
          <w:lang w:val="sq-AL"/>
        </w:rPr>
        <w:t>kontrata</w:t>
      </w:r>
      <w:r w:rsidRPr="0058349C">
        <w:rPr>
          <w:rFonts w:ascii="Garamond" w:hAnsi="Garamond" w:cs="Arial"/>
          <w:bCs/>
          <w:sz w:val="24"/>
          <w:szCs w:val="24"/>
          <w:shd w:val="clear" w:color="auto" w:fill="FFFFFF"/>
          <w:lang w:val="sq-AL"/>
        </w:rPr>
        <w:t xml:space="preserve"> përdoren më shpesh n</w:t>
      </w:r>
      <w:r w:rsidRPr="0058349C">
        <w:rPr>
          <w:rFonts w:ascii="Garamond" w:hAnsi="Garamond" w:cs="Arial"/>
          <w:sz w:val="24"/>
          <w:szCs w:val="24"/>
          <w:lang w:val="sq-AL"/>
        </w:rPr>
        <w:t>ë prodhimin e</w:t>
      </w:r>
      <w:r w:rsidRPr="0058349C">
        <w:rPr>
          <w:rFonts w:ascii="Garamond" w:hAnsi="Garamond" w:cs="Arial"/>
          <w:bCs/>
          <w:sz w:val="24"/>
          <w:szCs w:val="24"/>
          <w:shd w:val="clear" w:color="auto" w:fill="FFFFFF"/>
          <w:lang w:val="sq-AL"/>
        </w:rPr>
        <w:t xml:space="preserve"> frutave, perimeve dhe bulmetit, gjithashtu</w:t>
      </w:r>
      <w:r w:rsidR="007122C1">
        <w:rPr>
          <w:rFonts w:ascii="Garamond" w:hAnsi="Garamond" w:cs="Arial"/>
          <w:bCs/>
          <w:sz w:val="24"/>
          <w:szCs w:val="24"/>
          <w:shd w:val="clear" w:color="auto" w:fill="FFFFFF"/>
          <w:lang w:val="sq-AL"/>
        </w:rPr>
        <w:t>,</w:t>
      </w:r>
      <w:r w:rsidRPr="0058349C">
        <w:rPr>
          <w:rFonts w:ascii="Garamond" w:hAnsi="Garamond" w:cs="Arial"/>
          <w:bCs/>
          <w:sz w:val="24"/>
          <w:szCs w:val="24"/>
          <w:shd w:val="clear" w:color="auto" w:fill="FFFFFF"/>
          <w:lang w:val="sq-AL"/>
        </w:rPr>
        <w:t xml:space="preserve"> edhe për fermerët më të vegjël, pasi ekziston një rrjet në rritje i qendrave të grumbullimit dhe </w:t>
      </w:r>
      <w:r w:rsidR="00563D94">
        <w:rPr>
          <w:rFonts w:ascii="Garamond" w:hAnsi="Garamond" w:cs="Arial"/>
          <w:bCs/>
          <w:sz w:val="24"/>
          <w:szCs w:val="24"/>
          <w:shd w:val="clear" w:color="auto" w:fill="FFFFFF"/>
          <w:lang w:val="sq-AL"/>
        </w:rPr>
        <w:t xml:space="preserve">të </w:t>
      </w:r>
      <w:r w:rsidRPr="0058349C">
        <w:rPr>
          <w:rFonts w:ascii="Garamond" w:hAnsi="Garamond" w:cs="Arial"/>
          <w:bCs/>
          <w:sz w:val="24"/>
          <w:szCs w:val="24"/>
          <w:shd w:val="clear" w:color="auto" w:fill="FFFFFF"/>
          <w:lang w:val="sq-AL"/>
        </w:rPr>
        <w:t>magazinimit. Meqenëse shumica e grumbulluesve janë të organizuar në baz</w:t>
      </w:r>
      <w:r w:rsidRPr="0058349C">
        <w:rPr>
          <w:rFonts w:ascii="Garamond" w:hAnsi="Garamond" w:cs="Arial"/>
          <w:sz w:val="24"/>
          <w:szCs w:val="24"/>
          <w:lang w:val="sq-AL"/>
        </w:rPr>
        <w:t xml:space="preserve">ë </w:t>
      </w:r>
      <w:r w:rsidRPr="0058349C">
        <w:rPr>
          <w:rFonts w:ascii="Garamond" w:hAnsi="Garamond" w:cs="Arial"/>
          <w:bCs/>
          <w:sz w:val="24"/>
          <w:szCs w:val="24"/>
          <w:shd w:val="clear" w:color="auto" w:fill="FFFFFF"/>
          <w:lang w:val="sq-AL"/>
        </w:rPr>
        <w:t xml:space="preserve">rajoni, ata mbajnë marrëdhënie kontraktuale me fermerët nga rajoni i tyre dhe mbështesin zinxhirët e shkurtër të furnizimit. </w:t>
      </w:r>
    </w:p>
    <w:p w14:paraId="0773AD8D" w14:textId="77777777" w:rsidR="000F50EA" w:rsidRPr="0058349C" w:rsidRDefault="000F50EA" w:rsidP="000F50EA">
      <w:pPr>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Zhvillimet në industrinë agroushqimore</w:t>
      </w:r>
    </w:p>
    <w:p w14:paraId="0773AD8E" w14:textId="7D0EE9DA" w:rsidR="000F50EA" w:rsidRPr="0058349C" w:rsidRDefault="000F50EA" w:rsidP="000F50EA">
      <w:pPr>
        <w:spacing w:after="0" w:line="240" w:lineRule="auto"/>
        <w:ind w:firstLine="284"/>
        <w:jc w:val="both"/>
        <w:rPr>
          <w:rFonts w:ascii="Garamond" w:eastAsia="Arial" w:hAnsi="Garamond" w:cs="Arial"/>
          <w:b/>
          <w:sz w:val="24"/>
          <w:szCs w:val="24"/>
          <w:lang w:val="sq-AL"/>
        </w:rPr>
      </w:pPr>
      <w:r w:rsidRPr="0058349C">
        <w:rPr>
          <w:rFonts w:ascii="Garamond" w:eastAsia="Arial" w:hAnsi="Garamond" w:cs="Arial"/>
          <w:b/>
          <w:sz w:val="24"/>
          <w:szCs w:val="24"/>
          <w:lang w:val="sq-AL"/>
        </w:rPr>
        <w:t>Industria agroushqimore</w:t>
      </w:r>
      <w:r w:rsidRPr="0058349C">
        <w:rPr>
          <w:rFonts w:ascii="Garamond" w:eastAsia="Arial" w:hAnsi="Garamond" w:cs="Arial"/>
          <w:sz w:val="24"/>
          <w:szCs w:val="24"/>
          <w:lang w:val="sq-AL"/>
        </w:rPr>
        <w:t xml:space="preserve"> është një nga sektorët më të rëndësishëm të ekonomisë shqiptare, duke shfaqur një rritje vjetore të vlerës së prodhimit. </w:t>
      </w:r>
      <w:r w:rsidRPr="0058349C">
        <w:rPr>
          <w:rFonts w:ascii="Garamond" w:eastAsia="Arial" w:hAnsi="Garamond" w:cs="Arial"/>
          <w:b/>
          <w:sz w:val="24"/>
          <w:szCs w:val="24"/>
          <w:lang w:val="sq-AL"/>
        </w:rPr>
        <w:t>Vlera e prodhimit</w:t>
      </w:r>
      <w:r w:rsidRPr="0058349C">
        <w:rPr>
          <w:rFonts w:ascii="Garamond" w:eastAsia="Arial" w:hAnsi="Garamond" w:cs="Arial"/>
          <w:sz w:val="24"/>
          <w:szCs w:val="24"/>
          <w:lang w:val="sq-AL"/>
        </w:rPr>
        <w:t xml:space="preserve"> u rrit me një ritëm më të lartë (më shumë se 2 herë) sesa numri i të punësuarve n</w:t>
      </w:r>
      <w:r w:rsidRPr="0058349C">
        <w:rPr>
          <w:rFonts w:ascii="Garamond" w:hAnsi="Garamond" w:cs="Arial"/>
          <w:sz w:val="24"/>
          <w:szCs w:val="24"/>
          <w:lang w:val="sq-AL"/>
        </w:rPr>
        <w:t xml:space="preserve">ë periudhën </w:t>
      </w:r>
      <w:r w:rsidRPr="0058349C">
        <w:rPr>
          <w:rFonts w:ascii="Garamond" w:eastAsia="Arial" w:hAnsi="Garamond" w:cs="Arial"/>
          <w:sz w:val="24"/>
          <w:szCs w:val="24"/>
          <w:lang w:val="sq-AL"/>
        </w:rPr>
        <w:t>midis viteve 2015 dhe 2020 (</w:t>
      </w:r>
      <w:r w:rsidR="00563D94" w:rsidRPr="0058349C">
        <w:rPr>
          <w:rFonts w:ascii="Garamond" w:eastAsia="Arial" w:hAnsi="Garamond" w:cs="Arial"/>
          <w:sz w:val="24"/>
          <w:szCs w:val="24"/>
          <w:lang w:val="sq-AL"/>
        </w:rPr>
        <w:t xml:space="preserve">tabela </w:t>
      </w:r>
      <w:r w:rsidRPr="0058349C">
        <w:rPr>
          <w:rFonts w:ascii="Garamond" w:eastAsia="Arial" w:hAnsi="Garamond" w:cs="Arial"/>
          <w:sz w:val="24"/>
          <w:szCs w:val="24"/>
          <w:lang w:val="sq-AL"/>
        </w:rPr>
        <w:t>3-5), duke treguar një rritje t</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produktivitetit.</w:t>
      </w:r>
    </w:p>
    <w:p w14:paraId="0773AD8F" w14:textId="77777777" w:rsidR="000F50EA" w:rsidRPr="0058349C" w:rsidRDefault="000F50EA" w:rsidP="000F50EA">
      <w:pPr>
        <w:tabs>
          <w:tab w:val="left" w:pos="1418"/>
        </w:tabs>
        <w:spacing w:after="0" w:line="240" w:lineRule="auto"/>
        <w:ind w:firstLine="284"/>
        <w:jc w:val="both"/>
        <w:rPr>
          <w:rFonts w:ascii="Garamond" w:hAnsi="Garamond" w:cs="Arial"/>
          <w:b/>
          <w:bCs/>
          <w:sz w:val="24"/>
          <w:szCs w:val="24"/>
          <w:lang w:val="sq-AL"/>
        </w:rPr>
      </w:pPr>
      <w:bookmarkStart w:id="8" w:name="_Ref88708773"/>
    </w:p>
    <w:p w14:paraId="0773AD90" w14:textId="0EB76BC0" w:rsidR="000F50EA" w:rsidRPr="00563D94" w:rsidRDefault="000F50EA" w:rsidP="00563D94">
      <w:pPr>
        <w:pStyle w:val="Caption"/>
        <w:spacing w:after="0"/>
        <w:jc w:val="center"/>
        <w:rPr>
          <w:rFonts w:ascii="Garamond" w:hAnsi="Garamond"/>
          <w:i/>
          <w:iCs/>
          <w:color w:val="auto"/>
          <w:sz w:val="24"/>
          <w:szCs w:val="24"/>
        </w:rPr>
      </w:pPr>
      <w:r w:rsidRPr="00563D94">
        <w:rPr>
          <w:rFonts w:ascii="Garamond" w:hAnsi="Garamond"/>
          <w:i/>
          <w:iCs/>
          <w:color w:val="auto"/>
          <w:sz w:val="20"/>
          <w:szCs w:val="20"/>
        </w:rPr>
        <w:t xml:space="preserve">Tabela </w:t>
      </w:r>
      <w:r w:rsidR="00563D94" w:rsidRPr="00563D94">
        <w:rPr>
          <w:rFonts w:ascii="Garamond" w:hAnsi="Garamond"/>
          <w:i/>
          <w:iCs/>
          <w:color w:val="auto"/>
          <w:sz w:val="20"/>
          <w:szCs w:val="20"/>
        </w:rPr>
        <w:t>3</w:t>
      </w:r>
      <w:r w:rsidRPr="00563D94">
        <w:rPr>
          <w:rFonts w:ascii="Garamond" w:hAnsi="Garamond"/>
          <w:i/>
          <w:iCs/>
          <w:color w:val="auto"/>
          <w:sz w:val="20"/>
          <w:szCs w:val="20"/>
        </w:rPr>
        <w:noBreakHyphen/>
      </w:r>
      <w:bookmarkEnd w:id="8"/>
      <w:r w:rsidR="00563D94" w:rsidRPr="00563D94">
        <w:rPr>
          <w:rFonts w:ascii="Garamond" w:hAnsi="Garamond"/>
          <w:i/>
          <w:iCs/>
          <w:color w:val="auto"/>
          <w:sz w:val="20"/>
          <w:szCs w:val="20"/>
        </w:rPr>
        <w:t xml:space="preserve">5: </w:t>
      </w:r>
      <w:r w:rsidRPr="00563D94">
        <w:rPr>
          <w:rFonts w:ascii="Garamond" w:hAnsi="Garamond"/>
          <w:b w:val="0"/>
          <w:bCs w:val="0"/>
          <w:i/>
          <w:iCs/>
          <w:color w:val="auto"/>
          <w:sz w:val="20"/>
          <w:szCs w:val="20"/>
        </w:rPr>
        <w:t>Detaje mbi i</w:t>
      </w:r>
      <w:r w:rsidR="00563D94" w:rsidRPr="00563D94">
        <w:rPr>
          <w:rFonts w:ascii="Garamond" w:hAnsi="Garamond"/>
          <w:b w:val="0"/>
          <w:bCs w:val="0"/>
          <w:i/>
          <w:iCs/>
          <w:color w:val="auto"/>
          <w:sz w:val="20"/>
          <w:szCs w:val="20"/>
        </w:rPr>
        <w:t>ndustrinë agroushqimore (2015–</w:t>
      </w:r>
      <w:r w:rsidRPr="00563D94">
        <w:rPr>
          <w:rFonts w:ascii="Garamond" w:hAnsi="Garamond"/>
          <w:b w:val="0"/>
          <w:bCs w:val="0"/>
          <w:i/>
          <w:iCs/>
          <w:color w:val="auto"/>
          <w:sz w:val="20"/>
          <w:szCs w:val="20"/>
        </w:rPr>
        <w:t>2020)</w:t>
      </w:r>
    </w:p>
    <w:p w14:paraId="0773AD91" w14:textId="77777777"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hAnsi="Garamond" w:cs="Arial"/>
          <w:noProof/>
          <w:sz w:val="24"/>
          <w:szCs w:val="24"/>
        </w:rPr>
        <mc:AlternateContent>
          <mc:Choice Requires="wpc">
            <w:drawing>
              <wp:inline distT="0" distB="0" distL="0" distR="0" wp14:anchorId="0773BAC6" wp14:editId="6BBA5A4E">
                <wp:extent cx="5219065" cy="1138555"/>
                <wp:effectExtent l="0" t="0" r="0" b="4445"/>
                <wp:docPr id="641" name="Canvas 64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534" name="Rectangle 1436"/>
                        <wps:cNvSpPr>
                          <a:spLocks noChangeArrowheads="1"/>
                        </wps:cNvSpPr>
                        <wps:spPr bwMode="auto">
                          <a:xfrm>
                            <a:off x="7254" y="7252"/>
                            <a:ext cx="5038667" cy="334711"/>
                          </a:xfrm>
                          <a:prstGeom prst="rect">
                            <a:avLst/>
                          </a:prstGeom>
                          <a:solidFill>
                            <a:srgbClr val="E5F7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 name="Rectangle 1437"/>
                        <wps:cNvSpPr>
                          <a:spLocks noChangeArrowheads="1"/>
                        </wps:cNvSpPr>
                        <wps:spPr bwMode="auto">
                          <a:xfrm>
                            <a:off x="4415790" y="14605"/>
                            <a:ext cx="50927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14" w14:textId="77777777" w:rsidR="002D2105" w:rsidRDefault="002D2105" w:rsidP="000F50EA">
                              <w:r>
                                <w:rPr>
                                  <w:rFonts w:ascii="Arial Narrow" w:hAnsi="Arial Narrow" w:cs="Arial Narrow"/>
                                  <w:b/>
                                  <w:bCs/>
                                  <w:color w:val="000000"/>
                                  <w:sz w:val="20"/>
                                  <w:szCs w:val="20"/>
                                </w:rPr>
                                <w:t xml:space="preserve">Ndryshimi </w:t>
                              </w:r>
                            </w:p>
                          </w:txbxContent>
                        </wps:txbx>
                        <wps:bodyPr rot="0" vert="horz" wrap="none" lIns="0" tIns="0" rIns="0" bIns="0" anchor="t" anchorCtr="0" upright="1">
                          <a:spAutoFit/>
                        </wps:bodyPr>
                      </wps:wsp>
                      <wps:wsp>
                        <wps:cNvPr id="536" name="Rectangle 1438"/>
                        <wps:cNvSpPr>
                          <a:spLocks noChangeArrowheads="1"/>
                        </wps:cNvSpPr>
                        <wps:spPr bwMode="auto">
                          <a:xfrm>
                            <a:off x="4291965" y="173990"/>
                            <a:ext cx="77025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15" w14:textId="77777777" w:rsidR="002D2105" w:rsidRDefault="002D2105" w:rsidP="000F50EA">
                              <w:r>
                                <w:rPr>
                                  <w:rFonts w:ascii="Arial Narrow" w:hAnsi="Arial Narrow" w:cs="Arial Narrow"/>
                                  <w:b/>
                                  <w:bCs/>
                                  <w:color w:val="000000"/>
                                  <w:sz w:val="20"/>
                                  <w:szCs w:val="20"/>
                                </w:rPr>
                                <w:t>2015 – 2020 (%)</w:t>
                              </w:r>
                            </w:p>
                          </w:txbxContent>
                        </wps:txbx>
                        <wps:bodyPr rot="0" vert="horz" wrap="none" lIns="0" tIns="0" rIns="0" bIns="0" anchor="t" anchorCtr="0" upright="1">
                          <a:spAutoFit/>
                        </wps:bodyPr>
                      </wps:wsp>
                      <wps:wsp>
                        <wps:cNvPr id="537" name="Rectangle 1439"/>
                        <wps:cNvSpPr>
                          <a:spLocks noChangeArrowheads="1"/>
                        </wps:cNvSpPr>
                        <wps:spPr bwMode="auto">
                          <a:xfrm>
                            <a:off x="29210" y="341630"/>
                            <a:ext cx="98996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16" w14:textId="4C7A5BDD" w:rsidR="002D2105" w:rsidRPr="003E0CAC" w:rsidRDefault="002D2105" w:rsidP="000F50EA">
                              <w:r>
                                <w:rPr>
                                  <w:rFonts w:ascii="Arial Narrow" w:hAnsi="Arial Narrow" w:cs="Arial Narrow"/>
                                  <w:b/>
                                  <w:bCs/>
                                  <w:color w:val="000000"/>
                                  <w:sz w:val="20"/>
                                  <w:szCs w:val="20"/>
                                </w:rPr>
                                <w:t>Numri ndërmarrjeve</w:t>
                              </w:r>
                            </w:p>
                          </w:txbxContent>
                        </wps:txbx>
                        <wps:bodyPr rot="0" vert="horz" wrap="none" lIns="0" tIns="0" rIns="0" bIns="0" anchor="t" anchorCtr="0" upright="1">
                          <a:spAutoFit/>
                        </wps:bodyPr>
                      </wps:wsp>
                      <wps:wsp>
                        <wps:cNvPr id="538" name="Rectangle 1440"/>
                        <wps:cNvSpPr>
                          <a:spLocks noChangeArrowheads="1"/>
                        </wps:cNvSpPr>
                        <wps:spPr bwMode="auto">
                          <a:xfrm>
                            <a:off x="1537335" y="341630"/>
                            <a:ext cx="2609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17" w14:textId="77777777" w:rsidR="002D2105" w:rsidRDefault="002D2105" w:rsidP="000F50EA">
                              <w:r>
                                <w:rPr>
                                  <w:rFonts w:ascii="Arial Narrow" w:hAnsi="Arial Narrow" w:cs="Arial Narrow"/>
                                  <w:color w:val="000000"/>
                                  <w:sz w:val="20"/>
                                  <w:szCs w:val="20"/>
                                </w:rPr>
                                <w:t>2,354</w:t>
                              </w:r>
                            </w:p>
                          </w:txbxContent>
                        </wps:txbx>
                        <wps:bodyPr rot="0" vert="horz" wrap="none" lIns="0" tIns="0" rIns="0" bIns="0" anchor="t" anchorCtr="0" upright="1">
                          <a:spAutoFit/>
                        </wps:bodyPr>
                      </wps:wsp>
                      <wps:wsp>
                        <wps:cNvPr id="539" name="Rectangle 1441"/>
                        <wps:cNvSpPr>
                          <a:spLocks noChangeArrowheads="1"/>
                        </wps:cNvSpPr>
                        <wps:spPr bwMode="auto">
                          <a:xfrm>
                            <a:off x="2000885" y="341630"/>
                            <a:ext cx="2609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18" w14:textId="77777777" w:rsidR="002D2105" w:rsidRDefault="002D2105" w:rsidP="000F50EA">
                              <w:r>
                                <w:rPr>
                                  <w:rFonts w:ascii="Arial Narrow" w:hAnsi="Arial Narrow" w:cs="Arial Narrow"/>
                                  <w:color w:val="000000"/>
                                  <w:sz w:val="20"/>
                                  <w:szCs w:val="20"/>
                                </w:rPr>
                                <w:t>2,428</w:t>
                              </w:r>
                            </w:p>
                          </w:txbxContent>
                        </wps:txbx>
                        <wps:bodyPr rot="0" vert="horz" wrap="none" lIns="0" tIns="0" rIns="0" bIns="0" anchor="t" anchorCtr="0" upright="1">
                          <a:spAutoFit/>
                        </wps:bodyPr>
                      </wps:wsp>
                      <wps:wsp>
                        <wps:cNvPr id="540" name="Rectangle 1442"/>
                        <wps:cNvSpPr>
                          <a:spLocks noChangeArrowheads="1"/>
                        </wps:cNvSpPr>
                        <wps:spPr bwMode="auto">
                          <a:xfrm>
                            <a:off x="2465705" y="341630"/>
                            <a:ext cx="2609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19" w14:textId="77777777" w:rsidR="002D2105" w:rsidRDefault="002D2105" w:rsidP="000F50EA">
                              <w:r>
                                <w:rPr>
                                  <w:rFonts w:ascii="Arial Narrow" w:hAnsi="Arial Narrow" w:cs="Arial Narrow"/>
                                  <w:color w:val="000000"/>
                                  <w:sz w:val="20"/>
                                  <w:szCs w:val="20"/>
                                </w:rPr>
                                <w:t>2,541</w:t>
                              </w:r>
                            </w:p>
                          </w:txbxContent>
                        </wps:txbx>
                        <wps:bodyPr rot="0" vert="horz" wrap="none" lIns="0" tIns="0" rIns="0" bIns="0" anchor="t" anchorCtr="0" upright="1">
                          <a:spAutoFit/>
                        </wps:bodyPr>
                      </wps:wsp>
                      <wps:wsp>
                        <wps:cNvPr id="541" name="Rectangle 1443"/>
                        <wps:cNvSpPr>
                          <a:spLocks noChangeArrowheads="1"/>
                        </wps:cNvSpPr>
                        <wps:spPr bwMode="auto">
                          <a:xfrm>
                            <a:off x="2928620" y="341630"/>
                            <a:ext cx="2609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1A" w14:textId="77777777" w:rsidR="002D2105" w:rsidRDefault="002D2105" w:rsidP="000F50EA">
                              <w:r>
                                <w:rPr>
                                  <w:rFonts w:ascii="Arial Narrow" w:hAnsi="Arial Narrow" w:cs="Arial Narrow"/>
                                  <w:color w:val="000000"/>
                                  <w:sz w:val="20"/>
                                  <w:szCs w:val="20"/>
                                </w:rPr>
                                <w:t>2,414</w:t>
                              </w:r>
                            </w:p>
                          </w:txbxContent>
                        </wps:txbx>
                        <wps:bodyPr rot="0" vert="horz" wrap="none" lIns="0" tIns="0" rIns="0" bIns="0" anchor="t" anchorCtr="0" upright="1">
                          <a:spAutoFit/>
                        </wps:bodyPr>
                      </wps:wsp>
                      <wps:wsp>
                        <wps:cNvPr id="542" name="Rectangle 1444"/>
                        <wps:cNvSpPr>
                          <a:spLocks noChangeArrowheads="1"/>
                        </wps:cNvSpPr>
                        <wps:spPr bwMode="auto">
                          <a:xfrm>
                            <a:off x="3393440" y="341630"/>
                            <a:ext cx="2609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1B" w14:textId="77777777" w:rsidR="002D2105" w:rsidRDefault="002D2105" w:rsidP="000F50EA">
                              <w:r>
                                <w:rPr>
                                  <w:rFonts w:ascii="Arial Narrow" w:hAnsi="Arial Narrow" w:cs="Arial Narrow"/>
                                  <w:color w:val="000000"/>
                                  <w:sz w:val="20"/>
                                  <w:szCs w:val="20"/>
                                </w:rPr>
                                <w:t>2,476</w:t>
                              </w:r>
                            </w:p>
                          </w:txbxContent>
                        </wps:txbx>
                        <wps:bodyPr rot="0" vert="horz" wrap="none" lIns="0" tIns="0" rIns="0" bIns="0" anchor="t" anchorCtr="0" upright="1">
                          <a:spAutoFit/>
                        </wps:bodyPr>
                      </wps:wsp>
                      <wps:wsp>
                        <wps:cNvPr id="543" name="Rectangle 1445"/>
                        <wps:cNvSpPr>
                          <a:spLocks noChangeArrowheads="1"/>
                        </wps:cNvSpPr>
                        <wps:spPr bwMode="auto">
                          <a:xfrm>
                            <a:off x="3856990" y="341630"/>
                            <a:ext cx="2609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1C" w14:textId="77777777" w:rsidR="002D2105" w:rsidRDefault="002D2105" w:rsidP="000F50EA">
                              <w:r>
                                <w:rPr>
                                  <w:rFonts w:ascii="Arial Narrow" w:hAnsi="Arial Narrow" w:cs="Arial Narrow"/>
                                  <w:color w:val="000000"/>
                                  <w:sz w:val="20"/>
                                  <w:szCs w:val="20"/>
                                </w:rPr>
                                <w:t>2,459</w:t>
                              </w:r>
                            </w:p>
                          </w:txbxContent>
                        </wps:txbx>
                        <wps:bodyPr rot="0" vert="horz" wrap="none" lIns="0" tIns="0" rIns="0" bIns="0" anchor="t" anchorCtr="0" upright="1">
                          <a:spAutoFit/>
                        </wps:bodyPr>
                      </wps:wsp>
                      <wps:wsp>
                        <wps:cNvPr id="544" name="Rectangle 1446"/>
                        <wps:cNvSpPr>
                          <a:spLocks noChangeArrowheads="1"/>
                        </wps:cNvSpPr>
                        <wps:spPr bwMode="auto">
                          <a:xfrm>
                            <a:off x="4495165" y="341630"/>
                            <a:ext cx="29591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1D" w14:textId="77777777" w:rsidR="002D2105" w:rsidRDefault="002D2105" w:rsidP="000F50EA">
                              <w:r>
                                <w:rPr>
                                  <w:rFonts w:ascii="Arial Narrow" w:hAnsi="Arial Narrow" w:cs="Arial Narrow"/>
                                  <w:color w:val="000000"/>
                                  <w:sz w:val="20"/>
                                  <w:szCs w:val="20"/>
                                </w:rPr>
                                <w:t>4.46%</w:t>
                              </w:r>
                            </w:p>
                          </w:txbxContent>
                        </wps:txbx>
                        <wps:bodyPr rot="0" vert="horz" wrap="none" lIns="0" tIns="0" rIns="0" bIns="0" anchor="t" anchorCtr="0" upright="1">
                          <a:spAutoFit/>
                        </wps:bodyPr>
                      </wps:wsp>
                      <wps:wsp>
                        <wps:cNvPr id="545" name="Rectangle 1447"/>
                        <wps:cNvSpPr>
                          <a:spLocks noChangeArrowheads="1"/>
                        </wps:cNvSpPr>
                        <wps:spPr bwMode="auto">
                          <a:xfrm>
                            <a:off x="29210" y="509270"/>
                            <a:ext cx="96647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1E" w14:textId="77777777" w:rsidR="002D2105" w:rsidRPr="003E0CAC" w:rsidRDefault="002D2105" w:rsidP="000F50EA">
                              <w:r>
                                <w:rPr>
                                  <w:rFonts w:ascii="Arial Narrow" w:hAnsi="Arial Narrow" w:cs="Arial Narrow"/>
                                  <w:b/>
                                  <w:bCs/>
                                  <w:color w:val="000000"/>
                                  <w:sz w:val="20"/>
                                  <w:szCs w:val="20"/>
                                </w:rPr>
                                <w:t>Numri i punonjësve</w:t>
                              </w:r>
                            </w:p>
                          </w:txbxContent>
                        </wps:txbx>
                        <wps:bodyPr rot="0" vert="horz" wrap="none" lIns="0" tIns="0" rIns="0" bIns="0" anchor="t" anchorCtr="0" upright="1">
                          <a:spAutoFit/>
                        </wps:bodyPr>
                      </wps:wsp>
                      <wps:wsp>
                        <wps:cNvPr id="546" name="Rectangle 1448"/>
                        <wps:cNvSpPr>
                          <a:spLocks noChangeArrowheads="1"/>
                        </wps:cNvSpPr>
                        <wps:spPr bwMode="auto">
                          <a:xfrm>
                            <a:off x="1508125" y="509270"/>
                            <a:ext cx="31877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1F" w14:textId="77777777" w:rsidR="002D2105" w:rsidRDefault="002D2105" w:rsidP="000F50EA">
                              <w:r>
                                <w:rPr>
                                  <w:rFonts w:ascii="Arial Narrow" w:hAnsi="Arial Narrow" w:cs="Arial Narrow"/>
                                  <w:color w:val="000000"/>
                                  <w:sz w:val="20"/>
                                  <w:szCs w:val="20"/>
                                </w:rPr>
                                <w:t>12,659</w:t>
                              </w:r>
                            </w:p>
                          </w:txbxContent>
                        </wps:txbx>
                        <wps:bodyPr rot="0" vert="horz" wrap="none" lIns="0" tIns="0" rIns="0" bIns="0" anchor="t" anchorCtr="0" upright="1">
                          <a:spAutoFit/>
                        </wps:bodyPr>
                      </wps:wsp>
                      <wps:wsp>
                        <wps:cNvPr id="547" name="Rectangle 1449"/>
                        <wps:cNvSpPr>
                          <a:spLocks noChangeArrowheads="1"/>
                        </wps:cNvSpPr>
                        <wps:spPr bwMode="auto">
                          <a:xfrm>
                            <a:off x="1971675" y="509270"/>
                            <a:ext cx="31877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20" w14:textId="77777777" w:rsidR="002D2105" w:rsidRDefault="002D2105" w:rsidP="000F50EA">
                              <w:r>
                                <w:rPr>
                                  <w:rFonts w:ascii="Arial Narrow" w:hAnsi="Arial Narrow" w:cs="Arial Narrow"/>
                                  <w:color w:val="000000"/>
                                  <w:sz w:val="20"/>
                                  <w:szCs w:val="20"/>
                                </w:rPr>
                                <w:t>13,084</w:t>
                              </w:r>
                            </w:p>
                          </w:txbxContent>
                        </wps:txbx>
                        <wps:bodyPr rot="0" vert="horz" wrap="none" lIns="0" tIns="0" rIns="0" bIns="0" anchor="t" anchorCtr="0" upright="1">
                          <a:spAutoFit/>
                        </wps:bodyPr>
                      </wps:wsp>
                      <wps:wsp>
                        <wps:cNvPr id="548" name="Rectangle 1450"/>
                        <wps:cNvSpPr>
                          <a:spLocks noChangeArrowheads="1"/>
                        </wps:cNvSpPr>
                        <wps:spPr bwMode="auto">
                          <a:xfrm>
                            <a:off x="2436495" y="509270"/>
                            <a:ext cx="31877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21" w14:textId="77777777" w:rsidR="002D2105" w:rsidRDefault="002D2105" w:rsidP="000F50EA">
                              <w:r>
                                <w:rPr>
                                  <w:rFonts w:ascii="Arial Narrow" w:hAnsi="Arial Narrow" w:cs="Arial Narrow"/>
                                  <w:color w:val="000000"/>
                                  <w:sz w:val="20"/>
                                  <w:szCs w:val="20"/>
                                </w:rPr>
                                <w:t>13,920</w:t>
                              </w:r>
                            </w:p>
                          </w:txbxContent>
                        </wps:txbx>
                        <wps:bodyPr rot="0" vert="horz" wrap="none" lIns="0" tIns="0" rIns="0" bIns="0" anchor="t" anchorCtr="0" upright="1">
                          <a:spAutoFit/>
                        </wps:bodyPr>
                      </wps:wsp>
                      <wps:wsp>
                        <wps:cNvPr id="549" name="Rectangle 1451"/>
                        <wps:cNvSpPr>
                          <a:spLocks noChangeArrowheads="1"/>
                        </wps:cNvSpPr>
                        <wps:spPr bwMode="auto">
                          <a:xfrm>
                            <a:off x="2899410" y="509270"/>
                            <a:ext cx="31877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22" w14:textId="77777777" w:rsidR="002D2105" w:rsidRDefault="002D2105" w:rsidP="000F50EA">
                              <w:r>
                                <w:rPr>
                                  <w:rFonts w:ascii="Arial Narrow" w:hAnsi="Arial Narrow" w:cs="Arial Narrow"/>
                                  <w:color w:val="000000"/>
                                  <w:sz w:val="20"/>
                                  <w:szCs w:val="20"/>
                                </w:rPr>
                                <w:t>13,277</w:t>
                              </w:r>
                            </w:p>
                          </w:txbxContent>
                        </wps:txbx>
                        <wps:bodyPr rot="0" vert="horz" wrap="none" lIns="0" tIns="0" rIns="0" bIns="0" anchor="t" anchorCtr="0" upright="1">
                          <a:spAutoFit/>
                        </wps:bodyPr>
                      </wps:wsp>
                      <wps:wsp>
                        <wps:cNvPr id="550" name="Rectangle 1452"/>
                        <wps:cNvSpPr>
                          <a:spLocks noChangeArrowheads="1"/>
                        </wps:cNvSpPr>
                        <wps:spPr bwMode="auto">
                          <a:xfrm>
                            <a:off x="3364230" y="509270"/>
                            <a:ext cx="31877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23" w14:textId="77777777" w:rsidR="002D2105" w:rsidRDefault="002D2105" w:rsidP="000F50EA">
                              <w:r>
                                <w:rPr>
                                  <w:rFonts w:ascii="Arial Narrow" w:hAnsi="Arial Narrow" w:cs="Arial Narrow"/>
                                  <w:color w:val="000000"/>
                                  <w:sz w:val="20"/>
                                  <w:szCs w:val="20"/>
                                </w:rPr>
                                <w:t>14,163</w:t>
                              </w:r>
                            </w:p>
                          </w:txbxContent>
                        </wps:txbx>
                        <wps:bodyPr rot="0" vert="horz" wrap="none" lIns="0" tIns="0" rIns="0" bIns="0" anchor="t" anchorCtr="0" upright="1">
                          <a:spAutoFit/>
                        </wps:bodyPr>
                      </wps:wsp>
                      <wps:wsp>
                        <wps:cNvPr id="551" name="Rectangle 1453"/>
                        <wps:cNvSpPr>
                          <a:spLocks noChangeArrowheads="1"/>
                        </wps:cNvSpPr>
                        <wps:spPr bwMode="auto">
                          <a:xfrm>
                            <a:off x="3827780" y="509270"/>
                            <a:ext cx="31877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24" w14:textId="77777777" w:rsidR="002D2105" w:rsidRDefault="002D2105" w:rsidP="000F50EA">
                              <w:r w:rsidRPr="005B5B90">
                                <w:rPr>
                                  <w:rFonts w:ascii="Arial Narrow" w:hAnsi="Arial Narrow" w:cs="Arial Narrow"/>
                                  <w:color w:val="000000"/>
                                  <w:sz w:val="20"/>
                                  <w:szCs w:val="20"/>
                                </w:rPr>
                                <w:t>13,862</w:t>
                              </w:r>
                            </w:p>
                          </w:txbxContent>
                        </wps:txbx>
                        <wps:bodyPr rot="0" vert="horz" wrap="none" lIns="0" tIns="0" rIns="0" bIns="0" anchor="t" anchorCtr="0" upright="1">
                          <a:spAutoFit/>
                        </wps:bodyPr>
                      </wps:wsp>
                      <wps:wsp>
                        <wps:cNvPr id="552" name="Rectangle 1454"/>
                        <wps:cNvSpPr>
                          <a:spLocks noChangeArrowheads="1"/>
                        </wps:cNvSpPr>
                        <wps:spPr bwMode="auto">
                          <a:xfrm>
                            <a:off x="4495165" y="509270"/>
                            <a:ext cx="29591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25" w14:textId="77777777" w:rsidR="002D2105" w:rsidRDefault="002D2105" w:rsidP="000F50EA">
                              <w:r>
                                <w:rPr>
                                  <w:rFonts w:ascii="Arial Narrow" w:hAnsi="Arial Narrow" w:cs="Arial Narrow"/>
                                  <w:color w:val="000000"/>
                                  <w:sz w:val="20"/>
                                  <w:szCs w:val="20"/>
                                </w:rPr>
                                <w:t>9.50%</w:t>
                              </w:r>
                            </w:p>
                          </w:txbxContent>
                        </wps:txbx>
                        <wps:bodyPr rot="0" vert="horz" wrap="none" lIns="0" tIns="0" rIns="0" bIns="0" anchor="t" anchorCtr="0" upright="1">
                          <a:spAutoFit/>
                        </wps:bodyPr>
                      </wps:wsp>
                      <wps:wsp>
                        <wps:cNvPr id="553" name="Rectangle 1455"/>
                        <wps:cNvSpPr>
                          <a:spLocks noChangeArrowheads="1"/>
                        </wps:cNvSpPr>
                        <wps:spPr bwMode="auto">
                          <a:xfrm>
                            <a:off x="29210" y="676275"/>
                            <a:ext cx="120967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26" w14:textId="77777777" w:rsidR="002D2105" w:rsidRDefault="002D2105" w:rsidP="000F50EA">
                              <w:r>
                                <w:rPr>
                                  <w:rFonts w:ascii="Arial Narrow" w:hAnsi="Arial Narrow" w:cs="Arial Narrow"/>
                                  <w:b/>
                                  <w:bCs/>
                                  <w:color w:val="000000"/>
                                  <w:sz w:val="20"/>
                                  <w:szCs w:val="20"/>
                                </w:rPr>
                                <w:t>Vlera e prodhimit (000/€)</w:t>
                              </w:r>
                            </w:p>
                          </w:txbxContent>
                        </wps:txbx>
                        <wps:bodyPr rot="0" vert="horz" wrap="none" lIns="0" tIns="0" rIns="0" bIns="0" anchor="t" anchorCtr="0" upright="1">
                          <a:spAutoFit/>
                        </wps:bodyPr>
                      </wps:wsp>
                      <wps:wsp>
                        <wps:cNvPr id="554" name="Rectangle 1456"/>
                        <wps:cNvSpPr>
                          <a:spLocks noChangeArrowheads="1"/>
                        </wps:cNvSpPr>
                        <wps:spPr bwMode="auto">
                          <a:xfrm>
                            <a:off x="1485900" y="676275"/>
                            <a:ext cx="37655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27" w14:textId="77777777" w:rsidR="002D2105" w:rsidRDefault="002D2105" w:rsidP="000F50EA">
                              <w:r>
                                <w:rPr>
                                  <w:rFonts w:ascii="Arial Narrow" w:hAnsi="Arial Narrow" w:cs="Arial Narrow"/>
                                  <w:color w:val="000000"/>
                                  <w:sz w:val="20"/>
                                  <w:szCs w:val="20"/>
                                </w:rPr>
                                <w:t>459,480</w:t>
                              </w:r>
                            </w:p>
                          </w:txbxContent>
                        </wps:txbx>
                        <wps:bodyPr rot="0" vert="horz" wrap="none" lIns="0" tIns="0" rIns="0" bIns="0" anchor="t" anchorCtr="0" upright="1">
                          <a:spAutoFit/>
                        </wps:bodyPr>
                      </wps:wsp>
                      <wps:wsp>
                        <wps:cNvPr id="555" name="Rectangle 1457"/>
                        <wps:cNvSpPr>
                          <a:spLocks noChangeArrowheads="1"/>
                        </wps:cNvSpPr>
                        <wps:spPr bwMode="auto">
                          <a:xfrm>
                            <a:off x="1950085" y="676275"/>
                            <a:ext cx="37655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28" w14:textId="77777777" w:rsidR="002D2105" w:rsidRDefault="002D2105" w:rsidP="000F50EA">
                              <w:r>
                                <w:rPr>
                                  <w:rFonts w:ascii="Arial Narrow" w:hAnsi="Arial Narrow" w:cs="Arial Narrow"/>
                                  <w:color w:val="000000"/>
                                  <w:sz w:val="20"/>
                                  <w:szCs w:val="20"/>
                                </w:rPr>
                                <w:t>489,582</w:t>
                              </w:r>
                            </w:p>
                          </w:txbxContent>
                        </wps:txbx>
                        <wps:bodyPr rot="0" vert="horz" wrap="none" lIns="0" tIns="0" rIns="0" bIns="0" anchor="t" anchorCtr="0" upright="1">
                          <a:spAutoFit/>
                        </wps:bodyPr>
                      </wps:wsp>
                      <wps:wsp>
                        <wps:cNvPr id="556" name="Rectangle 1458"/>
                        <wps:cNvSpPr>
                          <a:spLocks noChangeArrowheads="1"/>
                        </wps:cNvSpPr>
                        <wps:spPr bwMode="auto">
                          <a:xfrm>
                            <a:off x="2414270" y="676275"/>
                            <a:ext cx="37655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29" w14:textId="77777777" w:rsidR="002D2105" w:rsidRDefault="002D2105" w:rsidP="000F50EA">
                              <w:r>
                                <w:rPr>
                                  <w:rFonts w:ascii="Arial Narrow" w:hAnsi="Arial Narrow" w:cs="Arial Narrow"/>
                                  <w:color w:val="000000"/>
                                  <w:sz w:val="20"/>
                                  <w:szCs w:val="20"/>
                                </w:rPr>
                                <w:t>514,544</w:t>
                              </w:r>
                            </w:p>
                          </w:txbxContent>
                        </wps:txbx>
                        <wps:bodyPr rot="0" vert="horz" wrap="none" lIns="0" tIns="0" rIns="0" bIns="0" anchor="t" anchorCtr="0" upright="1">
                          <a:spAutoFit/>
                        </wps:bodyPr>
                      </wps:wsp>
                      <wps:wsp>
                        <wps:cNvPr id="557" name="Rectangle 1459"/>
                        <wps:cNvSpPr>
                          <a:spLocks noChangeArrowheads="1"/>
                        </wps:cNvSpPr>
                        <wps:spPr bwMode="auto">
                          <a:xfrm>
                            <a:off x="2878455" y="676275"/>
                            <a:ext cx="37655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2A" w14:textId="77777777" w:rsidR="002D2105" w:rsidRDefault="002D2105" w:rsidP="000F50EA">
                              <w:r>
                                <w:rPr>
                                  <w:rFonts w:ascii="Arial Narrow" w:hAnsi="Arial Narrow" w:cs="Arial Narrow"/>
                                  <w:color w:val="000000"/>
                                  <w:sz w:val="20"/>
                                  <w:szCs w:val="20"/>
                                </w:rPr>
                                <w:t>534,290</w:t>
                              </w:r>
                            </w:p>
                          </w:txbxContent>
                        </wps:txbx>
                        <wps:bodyPr rot="0" vert="horz" wrap="none" lIns="0" tIns="0" rIns="0" bIns="0" anchor="t" anchorCtr="0" upright="1">
                          <a:spAutoFit/>
                        </wps:bodyPr>
                      </wps:wsp>
                      <wps:wsp>
                        <wps:cNvPr id="558" name="Rectangle 1460"/>
                        <wps:cNvSpPr>
                          <a:spLocks noChangeArrowheads="1"/>
                        </wps:cNvSpPr>
                        <wps:spPr bwMode="auto">
                          <a:xfrm>
                            <a:off x="3342005" y="676275"/>
                            <a:ext cx="37655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2B" w14:textId="77777777" w:rsidR="002D2105" w:rsidRDefault="002D2105" w:rsidP="000F50EA">
                              <w:r>
                                <w:rPr>
                                  <w:rFonts w:ascii="Arial Narrow" w:hAnsi="Arial Narrow" w:cs="Arial Narrow"/>
                                  <w:color w:val="000000"/>
                                  <w:sz w:val="20"/>
                                  <w:szCs w:val="20"/>
                                </w:rPr>
                                <w:t>569,328</w:t>
                              </w:r>
                            </w:p>
                          </w:txbxContent>
                        </wps:txbx>
                        <wps:bodyPr rot="0" vert="horz" wrap="none" lIns="0" tIns="0" rIns="0" bIns="0" anchor="t" anchorCtr="0" upright="1">
                          <a:spAutoFit/>
                        </wps:bodyPr>
                      </wps:wsp>
                      <wps:wsp>
                        <wps:cNvPr id="559" name="Rectangle 1461"/>
                        <wps:cNvSpPr>
                          <a:spLocks noChangeArrowheads="1"/>
                        </wps:cNvSpPr>
                        <wps:spPr bwMode="auto">
                          <a:xfrm>
                            <a:off x="3806190" y="676275"/>
                            <a:ext cx="37655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2C" w14:textId="77777777" w:rsidR="002D2105" w:rsidRDefault="002D2105" w:rsidP="000F50EA">
                              <w:r>
                                <w:rPr>
                                  <w:rFonts w:ascii="Arial Narrow" w:hAnsi="Arial Narrow" w:cs="Arial Narrow"/>
                                  <w:color w:val="000000"/>
                                  <w:sz w:val="20"/>
                                  <w:szCs w:val="20"/>
                                </w:rPr>
                                <w:t>558,884</w:t>
                              </w:r>
                            </w:p>
                          </w:txbxContent>
                        </wps:txbx>
                        <wps:bodyPr rot="0" vert="horz" wrap="none" lIns="0" tIns="0" rIns="0" bIns="0" anchor="t" anchorCtr="0" upright="1">
                          <a:spAutoFit/>
                        </wps:bodyPr>
                      </wps:wsp>
                      <wps:wsp>
                        <wps:cNvPr id="560" name="Rectangle 1462"/>
                        <wps:cNvSpPr>
                          <a:spLocks noChangeArrowheads="1"/>
                        </wps:cNvSpPr>
                        <wps:spPr bwMode="auto">
                          <a:xfrm>
                            <a:off x="4473575" y="676275"/>
                            <a:ext cx="35369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2D" w14:textId="77777777" w:rsidR="002D2105" w:rsidRDefault="002D2105" w:rsidP="000F50EA">
                              <w:r>
                                <w:rPr>
                                  <w:rFonts w:ascii="Arial Narrow" w:hAnsi="Arial Narrow" w:cs="Arial Narrow"/>
                                  <w:color w:val="000000"/>
                                  <w:sz w:val="20"/>
                                  <w:szCs w:val="20"/>
                                </w:rPr>
                                <w:t>21.63%</w:t>
                              </w:r>
                            </w:p>
                          </w:txbxContent>
                        </wps:txbx>
                        <wps:bodyPr rot="0" vert="horz" wrap="none" lIns="0" tIns="0" rIns="0" bIns="0" anchor="t" anchorCtr="0" upright="1">
                          <a:spAutoFit/>
                        </wps:bodyPr>
                      </wps:wsp>
                      <wps:wsp>
                        <wps:cNvPr id="561" name="Rectangle 1463"/>
                        <wps:cNvSpPr>
                          <a:spLocks noChangeArrowheads="1"/>
                        </wps:cNvSpPr>
                        <wps:spPr bwMode="auto">
                          <a:xfrm>
                            <a:off x="29210" y="843915"/>
                            <a:ext cx="121602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2E" w14:textId="7C961A98" w:rsidR="002D2105" w:rsidRDefault="002D2105" w:rsidP="000F50EA">
                              <w:r w:rsidRPr="00DC5AE0">
                                <w:rPr>
                                  <w:rFonts w:ascii="Arial Narrow" w:hAnsi="Arial Narrow" w:cs="Arial Narrow"/>
                                  <w:b/>
                                  <w:bCs/>
                                  <w:color w:val="000000"/>
                                  <w:sz w:val="20"/>
                                  <w:szCs w:val="20"/>
                                </w:rPr>
                                <w:t>Investimet totale (000/€)</w:t>
                              </w:r>
                              <w:r>
                                <w:rPr>
                                  <w:rFonts w:ascii="Arial Narrow" w:hAnsi="Arial Narrow" w:cs="Arial Narrow"/>
                                  <w:b/>
                                  <w:bCs/>
                                  <w:color w:val="000000"/>
                                  <w:sz w:val="20"/>
                                  <w:szCs w:val="20"/>
                                </w:rPr>
                                <w:t>)</w:t>
                              </w:r>
                            </w:p>
                          </w:txbxContent>
                        </wps:txbx>
                        <wps:bodyPr rot="0" vert="horz" wrap="none" lIns="0" tIns="0" rIns="0" bIns="0" anchor="t" anchorCtr="0" upright="1">
                          <a:spAutoFit/>
                        </wps:bodyPr>
                      </wps:wsp>
                      <wps:wsp>
                        <wps:cNvPr id="562" name="Rectangle 1464"/>
                        <wps:cNvSpPr>
                          <a:spLocks noChangeArrowheads="1"/>
                        </wps:cNvSpPr>
                        <wps:spPr bwMode="auto">
                          <a:xfrm>
                            <a:off x="1537335" y="843915"/>
                            <a:ext cx="2609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2F" w14:textId="77777777" w:rsidR="002D2105" w:rsidRDefault="002D2105" w:rsidP="000F50EA">
                              <w:r>
                                <w:rPr>
                                  <w:rFonts w:ascii="Arial Narrow" w:hAnsi="Arial Narrow" w:cs="Arial Narrow"/>
                                  <w:color w:val="000000"/>
                                  <w:sz w:val="20"/>
                                  <w:szCs w:val="20"/>
                                </w:rPr>
                                <w:t>9,998</w:t>
                              </w:r>
                            </w:p>
                          </w:txbxContent>
                        </wps:txbx>
                        <wps:bodyPr rot="0" vert="horz" wrap="none" lIns="0" tIns="0" rIns="0" bIns="0" anchor="t" anchorCtr="0" upright="1">
                          <a:spAutoFit/>
                        </wps:bodyPr>
                      </wps:wsp>
                      <wps:wsp>
                        <wps:cNvPr id="563" name="Rectangle 1465"/>
                        <wps:cNvSpPr>
                          <a:spLocks noChangeArrowheads="1"/>
                        </wps:cNvSpPr>
                        <wps:spPr bwMode="auto">
                          <a:xfrm>
                            <a:off x="1971675" y="843915"/>
                            <a:ext cx="31877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30" w14:textId="77777777" w:rsidR="002D2105" w:rsidRDefault="002D2105" w:rsidP="000F50EA">
                              <w:r>
                                <w:rPr>
                                  <w:rFonts w:ascii="Arial Narrow" w:hAnsi="Arial Narrow" w:cs="Arial Narrow"/>
                                  <w:color w:val="000000"/>
                                  <w:sz w:val="20"/>
                                  <w:szCs w:val="20"/>
                                </w:rPr>
                                <w:t>10,424</w:t>
                              </w:r>
                            </w:p>
                          </w:txbxContent>
                        </wps:txbx>
                        <wps:bodyPr rot="0" vert="horz" wrap="none" lIns="0" tIns="0" rIns="0" bIns="0" anchor="t" anchorCtr="0" upright="1">
                          <a:spAutoFit/>
                        </wps:bodyPr>
                      </wps:wsp>
                      <wps:wsp>
                        <wps:cNvPr id="564" name="Rectangle 1466"/>
                        <wps:cNvSpPr>
                          <a:spLocks noChangeArrowheads="1"/>
                        </wps:cNvSpPr>
                        <wps:spPr bwMode="auto">
                          <a:xfrm>
                            <a:off x="2436495" y="843915"/>
                            <a:ext cx="31877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31" w14:textId="77777777" w:rsidR="002D2105" w:rsidRDefault="002D2105" w:rsidP="000F50EA">
                              <w:r>
                                <w:rPr>
                                  <w:rFonts w:ascii="Arial Narrow" w:hAnsi="Arial Narrow" w:cs="Arial Narrow"/>
                                  <w:color w:val="000000"/>
                                  <w:sz w:val="20"/>
                                  <w:szCs w:val="20"/>
                                </w:rPr>
                                <w:t>10,905</w:t>
                              </w:r>
                            </w:p>
                          </w:txbxContent>
                        </wps:txbx>
                        <wps:bodyPr rot="0" vert="horz" wrap="none" lIns="0" tIns="0" rIns="0" bIns="0" anchor="t" anchorCtr="0" upright="1">
                          <a:spAutoFit/>
                        </wps:bodyPr>
                      </wps:wsp>
                      <wps:wsp>
                        <wps:cNvPr id="565" name="Rectangle 1467"/>
                        <wps:cNvSpPr>
                          <a:spLocks noChangeArrowheads="1"/>
                        </wps:cNvSpPr>
                        <wps:spPr bwMode="auto">
                          <a:xfrm>
                            <a:off x="2928620" y="843915"/>
                            <a:ext cx="2609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32" w14:textId="77777777" w:rsidR="002D2105" w:rsidRDefault="002D2105" w:rsidP="000F50EA">
                              <w:r>
                                <w:rPr>
                                  <w:rFonts w:ascii="Arial Narrow" w:hAnsi="Arial Narrow" w:cs="Arial Narrow"/>
                                  <w:color w:val="000000"/>
                                  <w:sz w:val="20"/>
                                  <w:szCs w:val="20"/>
                                </w:rPr>
                                <w:t>5.943</w:t>
                              </w:r>
                            </w:p>
                          </w:txbxContent>
                        </wps:txbx>
                        <wps:bodyPr rot="0" vert="horz" wrap="none" lIns="0" tIns="0" rIns="0" bIns="0" anchor="t" anchorCtr="0" upright="1">
                          <a:spAutoFit/>
                        </wps:bodyPr>
                      </wps:wsp>
                      <wps:wsp>
                        <wps:cNvPr id="566" name="Rectangle 1468"/>
                        <wps:cNvSpPr>
                          <a:spLocks noChangeArrowheads="1"/>
                        </wps:cNvSpPr>
                        <wps:spPr bwMode="auto">
                          <a:xfrm>
                            <a:off x="3364230" y="843915"/>
                            <a:ext cx="31877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33" w14:textId="77777777" w:rsidR="002D2105" w:rsidRDefault="002D2105" w:rsidP="000F50EA">
                              <w:r>
                                <w:rPr>
                                  <w:rFonts w:ascii="Arial Narrow" w:hAnsi="Arial Narrow" w:cs="Arial Narrow"/>
                                  <w:color w:val="000000"/>
                                  <w:sz w:val="20"/>
                                  <w:szCs w:val="20"/>
                                </w:rPr>
                                <w:t>16,923</w:t>
                              </w:r>
                            </w:p>
                          </w:txbxContent>
                        </wps:txbx>
                        <wps:bodyPr rot="0" vert="horz" wrap="none" lIns="0" tIns="0" rIns="0" bIns="0" anchor="t" anchorCtr="0" upright="1">
                          <a:spAutoFit/>
                        </wps:bodyPr>
                      </wps:wsp>
                      <wps:wsp>
                        <wps:cNvPr id="567" name="Rectangle 1469"/>
                        <wps:cNvSpPr>
                          <a:spLocks noChangeArrowheads="1"/>
                        </wps:cNvSpPr>
                        <wps:spPr bwMode="auto">
                          <a:xfrm>
                            <a:off x="3856990" y="843915"/>
                            <a:ext cx="2609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34" w14:textId="77777777" w:rsidR="002D2105" w:rsidRDefault="002D2105" w:rsidP="000F50EA">
                              <w:r>
                                <w:rPr>
                                  <w:rFonts w:ascii="Arial Narrow" w:hAnsi="Arial Narrow" w:cs="Arial Narrow"/>
                                  <w:color w:val="000000"/>
                                  <w:sz w:val="20"/>
                                  <w:szCs w:val="20"/>
                                </w:rPr>
                                <w:t>9,859</w:t>
                              </w:r>
                            </w:p>
                          </w:txbxContent>
                        </wps:txbx>
                        <wps:bodyPr rot="0" vert="horz" wrap="none" lIns="0" tIns="0" rIns="0" bIns="0" anchor="t" anchorCtr="0" upright="1">
                          <a:spAutoFit/>
                        </wps:bodyPr>
                      </wps:wsp>
                      <wps:wsp>
                        <wps:cNvPr id="568" name="Rectangle 1470"/>
                        <wps:cNvSpPr>
                          <a:spLocks noChangeArrowheads="1"/>
                        </wps:cNvSpPr>
                        <wps:spPr bwMode="auto">
                          <a:xfrm>
                            <a:off x="4480560" y="843915"/>
                            <a:ext cx="33020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35" w14:textId="77777777" w:rsidR="002D2105" w:rsidRDefault="002D2105" w:rsidP="000F50EA">
                              <w:r>
                                <w:rPr>
                                  <w:rFonts w:ascii="Arial Narrow" w:hAnsi="Arial Narrow" w:cs="Arial Narrow"/>
                                  <w:color w:val="000000"/>
                                  <w:sz w:val="20"/>
                                  <w:szCs w:val="20"/>
                                </w:rPr>
                                <w:t>-1.39%</w:t>
                              </w:r>
                            </w:p>
                          </w:txbxContent>
                        </wps:txbx>
                        <wps:bodyPr rot="0" vert="horz" wrap="none" lIns="0" tIns="0" rIns="0" bIns="0" anchor="t" anchorCtr="0" upright="1">
                          <a:spAutoFit/>
                        </wps:bodyPr>
                      </wps:wsp>
                      <wps:wsp>
                        <wps:cNvPr id="569" name="Rectangle 1471"/>
                        <wps:cNvSpPr>
                          <a:spLocks noChangeArrowheads="1"/>
                        </wps:cNvSpPr>
                        <wps:spPr bwMode="auto">
                          <a:xfrm>
                            <a:off x="3400425" y="94615"/>
                            <a:ext cx="23177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36" w14:textId="77777777" w:rsidR="002D2105" w:rsidRDefault="002D2105" w:rsidP="000F50EA">
                              <w:r>
                                <w:rPr>
                                  <w:rFonts w:ascii="Arial Narrow" w:hAnsi="Arial Narrow" w:cs="Arial Narrow"/>
                                  <w:b/>
                                  <w:bCs/>
                                  <w:color w:val="000000"/>
                                  <w:sz w:val="20"/>
                                  <w:szCs w:val="20"/>
                                </w:rPr>
                                <w:t>2019</w:t>
                              </w:r>
                            </w:p>
                          </w:txbxContent>
                        </wps:txbx>
                        <wps:bodyPr rot="0" vert="horz" wrap="none" lIns="0" tIns="0" rIns="0" bIns="0" anchor="t" anchorCtr="0" upright="1">
                          <a:spAutoFit/>
                        </wps:bodyPr>
                      </wps:wsp>
                      <wps:wsp>
                        <wps:cNvPr id="570" name="Rectangle 1472"/>
                        <wps:cNvSpPr>
                          <a:spLocks noChangeArrowheads="1"/>
                        </wps:cNvSpPr>
                        <wps:spPr bwMode="auto">
                          <a:xfrm>
                            <a:off x="3864610" y="94615"/>
                            <a:ext cx="23177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37" w14:textId="77777777" w:rsidR="002D2105" w:rsidRDefault="002D2105" w:rsidP="000F50EA">
                              <w:r>
                                <w:rPr>
                                  <w:rFonts w:ascii="Arial Narrow" w:hAnsi="Arial Narrow" w:cs="Arial Narrow"/>
                                  <w:b/>
                                  <w:bCs/>
                                  <w:color w:val="000000"/>
                                  <w:sz w:val="20"/>
                                  <w:szCs w:val="20"/>
                                </w:rPr>
                                <w:t>2020</w:t>
                              </w:r>
                            </w:p>
                          </w:txbxContent>
                        </wps:txbx>
                        <wps:bodyPr rot="0" vert="horz" wrap="none" lIns="0" tIns="0" rIns="0" bIns="0" anchor="t" anchorCtr="0" upright="1">
                          <a:spAutoFit/>
                        </wps:bodyPr>
                      </wps:wsp>
                      <wps:wsp>
                        <wps:cNvPr id="571" name="Rectangle 1473"/>
                        <wps:cNvSpPr>
                          <a:spLocks noChangeArrowheads="1"/>
                        </wps:cNvSpPr>
                        <wps:spPr bwMode="auto">
                          <a:xfrm>
                            <a:off x="442595" y="94615"/>
                            <a:ext cx="44577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38" w14:textId="77777777" w:rsidR="002D2105" w:rsidRDefault="002D2105" w:rsidP="000F50EA">
                              <w:r>
                                <w:rPr>
                                  <w:rFonts w:ascii="Arial Narrow" w:hAnsi="Arial Narrow" w:cs="Arial Narrow"/>
                                  <w:b/>
                                  <w:bCs/>
                                  <w:color w:val="000000"/>
                                  <w:sz w:val="20"/>
                                  <w:szCs w:val="20"/>
                                </w:rPr>
                                <w:t>Emërtimi</w:t>
                              </w:r>
                            </w:p>
                          </w:txbxContent>
                        </wps:txbx>
                        <wps:bodyPr rot="0" vert="horz" wrap="none" lIns="0" tIns="0" rIns="0" bIns="0" anchor="t" anchorCtr="0" upright="1">
                          <a:spAutoFit/>
                        </wps:bodyPr>
                      </wps:wsp>
                      <wps:wsp>
                        <wps:cNvPr id="572" name="Rectangle 1474"/>
                        <wps:cNvSpPr>
                          <a:spLocks noChangeArrowheads="1"/>
                        </wps:cNvSpPr>
                        <wps:spPr bwMode="auto">
                          <a:xfrm>
                            <a:off x="1544320" y="94615"/>
                            <a:ext cx="23177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39" w14:textId="77777777" w:rsidR="002D2105" w:rsidRDefault="002D2105" w:rsidP="000F50EA">
                              <w:r>
                                <w:rPr>
                                  <w:rFonts w:ascii="Arial Narrow" w:hAnsi="Arial Narrow" w:cs="Arial Narrow"/>
                                  <w:b/>
                                  <w:bCs/>
                                  <w:color w:val="000000"/>
                                  <w:sz w:val="20"/>
                                  <w:szCs w:val="20"/>
                                </w:rPr>
                                <w:t>2015</w:t>
                              </w:r>
                            </w:p>
                          </w:txbxContent>
                        </wps:txbx>
                        <wps:bodyPr rot="0" vert="horz" wrap="none" lIns="0" tIns="0" rIns="0" bIns="0" anchor="t" anchorCtr="0" upright="1">
                          <a:spAutoFit/>
                        </wps:bodyPr>
                      </wps:wsp>
                      <wps:wsp>
                        <wps:cNvPr id="573" name="Rectangle 1475"/>
                        <wps:cNvSpPr>
                          <a:spLocks noChangeArrowheads="1"/>
                        </wps:cNvSpPr>
                        <wps:spPr bwMode="auto">
                          <a:xfrm>
                            <a:off x="2008505" y="94615"/>
                            <a:ext cx="23177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3A" w14:textId="77777777" w:rsidR="002D2105" w:rsidRDefault="002D2105" w:rsidP="000F50EA">
                              <w:r>
                                <w:rPr>
                                  <w:rFonts w:ascii="Arial Narrow" w:hAnsi="Arial Narrow" w:cs="Arial Narrow"/>
                                  <w:b/>
                                  <w:bCs/>
                                  <w:color w:val="000000"/>
                                  <w:sz w:val="20"/>
                                  <w:szCs w:val="20"/>
                                </w:rPr>
                                <w:t>2016</w:t>
                              </w:r>
                            </w:p>
                          </w:txbxContent>
                        </wps:txbx>
                        <wps:bodyPr rot="0" vert="horz" wrap="none" lIns="0" tIns="0" rIns="0" bIns="0" anchor="t" anchorCtr="0" upright="1">
                          <a:spAutoFit/>
                        </wps:bodyPr>
                      </wps:wsp>
                      <wps:wsp>
                        <wps:cNvPr id="574" name="Rectangle 1476"/>
                        <wps:cNvSpPr>
                          <a:spLocks noChangeArrowheads="1"/>
                        </wps:cNvSpPr>
                        <wps:spPr bwMode="auto">
                          <a:xfrm>
                            <a:off x="2472055" y="94615"/>
                            <a:ext cx="23177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3B" w14:textId="77777777" w:rsidR="002D2105" w:rsidRDefault="002D2105" w:rsidP="000F50EA">
                              <w:r>
                                <w:rPr>
                                  <w:rFonts w:ascii="Arial Narrow" w:hAnsi="Arial Narrow" w:cs="Arial Narrow"/>
                                  <w:b/>
                                  <w:bCs/>
                                  <w:color w:val="000000"/>
                                  <w:sz w:val="20"/>
                                  <w:szCs w:val="20"/>
                                </w:rPr>
                                <w:t>2017</w:t>
                              </w:r>
                            </w:p>
                          </w:txbxContent>
                        </wps:txbx>
                        <wps:bodyPr rot="0" vert="horz" wrap="none" lIns="0" tIns="0" rIns="0" bIns="0" anchor="t" anchorCtr="0" upright="1">
                          <a:spAutoFit/>
                        </wps:bodyPr>
                      </wps:wsp>
                      <wps:wsp>
                        <wps:cNvPr id="575" name="Rectangle 1477"/>
                        <wps:cNvSpPr>
                          <a:spLocks noChangeArrowheads="1"/>
                        </wps:cNvSpPr>
                        <wps:spPr bwMode="auto">
                          <a:xfrm>
                            <a:off x="2936240" y="94615"/>
                            <a:ext cx="23177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3BB3C" w14:textId="77777777" w:rsidR="002D2105" w:rsidRDefault="002D2105" w:rsidP="000F50EA">
                              <w:r>
                                <w:rPr>
                                  <w:rFonts w:ascii="Arial Narrow" w:hAnsi="Arial Narrow" w:cs="Arial Narrow"/>
                                  <w:b/>
                                  <w:bCs/>
                                  <w:color w:val="000000"/>
                                  <w:sz w:val="20"/>
                                  <w:szCs w:val="20"/>
                                </w:rPr>
                                <w:t>2018</w:t>
                              </w:r>
                            </w:p>
                          </w:txbxContent>
                        </wps:txbx>
                        <wps:bodyPr rot="0" vert="horz" wrap="none" lIns="0" tIns="0" rIns="0" bIns="0" anchor="t" anchorCtr="0" upright="1">
                          <a:spAutoFit/>
                        </wps:bodyPr>
                      </wps:wsp>
                      <wps:wsp>
                        <wps:cNvPr id="576" name="Line 1478"/>
                        <wps:cNvCnPr>
                          <a:cxnSpLocks noChangeShapeType="1"/>
                        </wps:cNvCnPr>
                        <wps:spPr bwMode="auto">
                          <a:xfrm flipV="1">
                            <a:off x="7254" y="7252"/>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577" name="Rectangle 1479"/>
                        <wps:cNvSpPr>
                          <a:spLocks noChangeArrowheads="1"/>
                        </wps:cNvSpPr>
                        <wps:spPr bwMode="auto">
                          <a:xfrm>
                            <a:off x="7254" y="0"/>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8" name="Line 1480"/>
                        <wps:cNvCnPr>
                          <a:cxnSpLocks noChangeShapeType="1"/>
                        </wps:cNvCnPr>
                        <wps:spPr bwMode="auto">
                          <a:xfrm flipV="1">
                            <a:off x="1413951" y="7252"/>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579" name="Rectangle 1481"/>
                        <wps:cNvSpPr>
                          <a:spLocks noChangeArrowheads="1"/>
                        </wps:cNvSpPr>
                        <wps:spPr bwMode="auto">
                          <a:xfrm>
                            <a:off x="1413951" y="0"/>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0" name="Line 1482"/>
                        <wps:cNvCnPr>
                          <a:cxnSpLocks noChangeShapeType="1"/>
                        </wps:cNvCnPr>
                        <wps:spPr bwMode="auto">
                          <a:xfrm flipV="1">
                            <a:off x="1877643" y="7252"/>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581" name="Rectangle 1483"/>
                        <wps:cNvSpPr>
                          <a:spLocks noChangeArrowheads="1"/>
                        </wps:cNvSpPr>
                        <wps:spPr bwMode="auto">
                          <a:xfrm>
                            <a:off x="1877643" y="0"/>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2" name="Line 1484"/>
                        <wps:cNvCnPr>
                          <a:cxnSpLocks noChangeShapeType="1"/>
                        </wps:cNvCnPr>
                        <wps:spPr bwMode="auto">
                          <a:xfrm flipV="1">
                            <a:off x="2341892" y="7252"/>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583" name="Rectangle 1485"/>
                        <wps:cNvSpPr>
                          <a:spLocks noChangeArrowheads="1"/>
                        </wps:cNvSpPr>
                        <wps:spPr bwMode="auto">
                          <a:xfrm>
                            <a:off x="2341892" y="0"/>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4" name="Line 1486"/>
                        <wps:cNvCnPr>
                          <a:cxnSpLocks noChangeShapeType="1"/>
                        </wps:cNvCnPr>
                        <wps:spPr bwMode="auto">
                          <a:xfrm flipV="1">
                            <a:off x="2805583" y="7252"/>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585" name="Rectangle 1487"/>
                        <wps:cNvSpPr>
                          <a:spLocks noChangeArrowheads="1"/>
                        </wps:cNvSpPr>
                        <wps:spPr bwMode="auto">
                          <a:xfrm>
                            <a:off x="2805583" y="0"/>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6" name="Line 1488"/>
                        <wps:cNvCnPr>
                          <a:cxnSpLocks noChangeShapeType="1"/>
                        </wps:cNvCnPr>
                        <wps:spPr bwMode="auto">
                          <a:xfrm flipV="1">
                            <a:off x="3269832" y="7252"/>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587" name="Rectangle 1489"/>
                        <wps:cNvSpPr>
                          <a:spLocks noChangeArrowheads="1"/>
                        </wps:cNvSpPr>
                        <wps:spPr bwMode="auto">
                          <a:xfrm>
                            <a:off x="3269832" y="0"/>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8" name="Line 1490"/>
                        <wps:cNvCnPr>
                          <a:cxnSpLocks noChangeShapeType="1"/>
                        </wps:cNvCnPr>
                        <wps:spPr bwMode="auto">
                          <a:xfrm flipV="1">
                            <a:off x="3733524" y="7252"/>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589" name="Rectangle 1491"/>
                        <wps:cNvSpPr>
                          <a:spLocks noChangeArrowheads="1"/>
                        </wps:cNvSpPr>
                        <wps:spPr bwMode="auto">
                          <a:xfrm>
                            <a:off x="3733524" y="0"/>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0" name="Line 1492"/>
                        <wps:cNvCnPr>
                          <a:cxnSpLocks noChangeShapeType="1"/>
                        </wps:cNvCnPr>
                        <wps:spPr bwMode="auto">
                          <a:xfrm flipV="1">
                            <a:off x="4197773" y="7252"/>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591" name="Rectangle 1493"/>
                        <wps:cNvSpPr>
                          <a:spLocks noChangeArrowheads="1"/>
                        </wps:cNvSpPr>
                        <wps:spPr bwMode="auto">
                          <a:xfrm>
                            <a:off x="4197773" y="0"/>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2" name="Rectangle 1494"/>
                        <wps:cNvSpPr>
                          <a:spLocks noChangeArrowheads="1"/>
                        </wps:cNvSpPr>
                        <wps:spPr bwMode="auto">
                          <a:xfrm>
                            <a:off x="14508" y="0"/>
                            <a:ext cx="5031413" cy="1450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3" name="Line 1495"/>
                        <wps:cNvCnPr>
                          <a:cxnSpLocks noChangeShapeType="1"/>
                        </wps:cNvCnPr>
                        <wps:spPr bwMode="auto">
                          <a:xfrm flipV="1">
                            <a:off x="5038667" y="7252"/>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594" name="Rectangle 1496"/>
                        <wps:cNvSpPr>
                          <a:spLocks noChangeArrowheads="1"/>
                        </wps:cNvSpPr>
                        <wps:spPr bwMode="auto">
                          <a:xfrm>
                            <a:off x="5038667" y="0"/>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5" name="Rectangle 1497"/>
                        <wps:cNvSpPr>
                          <a:spLocks noChangeArrowheads="1"/>
                        </wps:cNvSpPr>
                        <wps:spPr bwMode="auto">
                          <a:xfrm>
                            <a:off x="14508" y="327459"/>
                            <a:ext cx="5031413" cy="1450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6" name="Rectangle 1498"/>
                        <wps:cNvSpPr>
                          <a:spLocks noChangeArrowheads="1"/>
                        </wps:cNvSpPr>
                        <wps:spPr bwMode="auto">
                          <a:xfrm>
                            <a:off x="14508" y="494814"/>
                            <a:ext cx="5031413" cy="1450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7" name="Rectangle 1499"/>
                        <wps:cNvSpPr>
                          <a:spLocks noChangeArrowheads="1"/>
                        </wps:cNvSpPr>
                        <wps:spPr bwMode="auto">
                          <a:xfrm>
                            <a:off x="14508" y="662170"/>
                            <a:ext cx="5031413" cy="1450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8" name="Rectangle 1500"/>
                        <wps:cNvSpPr>
                          <a:spLocks noChangeArrowheads="1"/>
                        </wps:cNvSpPr>
                        <wps:spPr bwMode="auto">
                          <a:xfrm>
                            <a:off x="14508" y="829525"/>
                            <a:ext cx="5031413" cy="1450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9" name="Rectangle 1501"/>
                        <wps:cNvSpPr>
                          <a:spLocks noChangeArrowheads="1"/>
                        </wps:cNvSpPr>
                        <wps:spPr bwMode="auto">
                          <a:xfrm>
                            <a:off x="0" y="0"/>
                            <a:ext cx="14508" cy="10113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0" name="Rectangle 1502"/>
                        <wps:cNvSpPr>
                          <a:spLocks noChangeArrowheads="1"/>
                        </wps:cNvSpPr>
                        <wps:spPr bwMode="auto">
                          <a:xfrm>
                            <a:off x="1406698" y="14504"/>
                            <a:ext cx="14508" cy="99688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1" name="Rectangle 1503"/>
                        <wps:cNvSpPr>
                          <a:spLocks noChangeArrowheads="1"/>
                        </wps:cNvSpPr>
                        <wps:spPr bwMode="auto">
                          <a:xfrm>
                            <a:off x="1870389" y="14504"/>
                            <a:ext cx="14508" cy="99688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2" name="Rectangle 1504"/>
                        <wps:cNvSpPr>
                          <a:spLocks noChangeArrowheads="1"/>
                        </wps:cNvSpPr>
                        <wps:spPr bwMode="auto">
                          <a:xfrm>
                            <a:off x="2334638" y="14504"/>
                            <a:ext cx="14508" cy="99688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3" name="Rectangle 1505"/>
                        <wps:cNvSpPr>
                          <a:spLocks noChangeArrowheads="1"/>
                        </wps:cNvSpPr>
                        <wps:spPr bwMode="auto">
                          <a:xfrm>
                            <a:off x="2798329" y="14504"/>
                            <a:ext cx="14508" cy="99688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4" name="Rectangle 1506"/>
                        <wps:cNvSpPr>
                          <a:spLocks noChangeArrowheads="1"/>
                        </wps:cNvSpPr>
                        <wps:spPr bwMode="auto">
                          <a:xfrm>
                            <a:off x="3262579" y="14504"/>
                            <a:ext cx="14508" cy="99688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5" name="Rectangle 1507"/>
                        <wps:cNvSpPr>
                          <a:spLocks noChangeArrowheads="1"/>
                        </wps:cNvSpPr>
                        <wps:spPr bwMode="auto">
                          <a:xfrm>
                            <a:off x="3726270" y="14504"/>
                            <a:ext cx="14508" cy="99688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6" name="Rectangle 1508"/>
                        <wps:cNvSpPr>
                          <a:spLocks noChangeArrowheads="1"/>
                        </wps:cNvSpPr>
                        <wps:spPr bwMode="auto">
                          <a:xfrm>
                            <a:off x="4190519" y="14504"/>
                            <a:ext cx="14508" cy="99688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7" name="Rectangle 1509"/>
                        <wps:cNvSpPr>
                          <a:spLocks noChangeArrowheads="1"/>
                        </wps:cNvSpPr>
                        <wps:spPr bwMode="auto">
                          <a:xfrm>
                            <a:off x="14508" y="996881"/>
                            <a:ext cx="5031413" cy="1450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8" name="Rectangle 1510"/>
                        <wps:cNvSpPr>
                          <a:spLocks noChangeArrowheads="1"/>
                        </wps:cNvSpPr>
                        <wps:spPr bwMode="auto">
                          <a:xfrm>
                            <a:off x="5031413" y="14504"/>
                            <a:ext cx="14508" cy="99688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9" name="Line 1511"/>
                        <wps:cNvCnPr>
                          <a:cxnSpLocks noChangeShapeType="1"/>
                        </wps:cNvCnPr>
                        <wps:spPr bwMode="auto">
                          <a:xfrm>
                            <a:off x="7254" y="1011385"/>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610" name="Rectangle 1512"/>
                        <wps:cNvSpPr>
                          <a:spLocks noChangeArrowheads="1"/>
                        </wps:cNvSpPr>
                        <wps:spPr bwMode="auto">
                          <a:xfrm>
                            <a:off x="7254" y="1011385"/>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1" name="Line 1513"/>
                        <wps:cNvCnPr>
                          <a:cxnSpLocks noChangeShapeType="1"/>
                        </wps:cNvCnPr>
                        <wps:spPr bwMode="auto">
                          <a:xfrm>
                            <a:off x="1413951" y="1011385"/>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612" name="Rectangle 1514"/>
                        <wps:cNvSpPr>
                          <a:spLocks noChangeArrowheads="1"/>
                        </wps:cNvSpPr>
                        <wps:spPr bwMode="auto">
                          <a:xfrm>
                            <a:off x="1413951" y="1011385"/>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3" name="Line 1515"/>
                        <wps:cNvCnPr>
                          <a:cxnSpLocks noChangeShapeType="1"/>
                        </wps:cNvCnPr>
                        <wps:spPr bwMode="auto">
                          <a:xfrm>
                            <a:off x="1877643" y="1011385"/>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614" name="Rectangle 1516"/>
                        <wps:cNvSpPr>
                          <a:spLocks noChangeArrowheads="1"/>
                        </wps:cNvSpPr>
                        <wps:spPr bwMode="auto">
                          <a:xfrm>
                            <a:off x="1877643" y="1011385"/>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5" name="Line 1517"/>
                        <wps:cNvCnPr>
                          <a:cxnSpLocks noChangeShapeType="1"/>
                        </wps:cNvCnPr>
                        <wps:spPr bwMode="auto">
                          <a:xfrm>
                            <a:off x="2341892" y="1011385"/>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616" name="Rectangle 1518"/>
                        <wps:cNvSpPr>
                          <a:spLocks noChangeArrowheads="1"/>
                        </wps:cNvSpPr>
                        <wps:spPr bwMode="auto">
                          <a:xfrm>
                            <a:off x="2341892" y="1011385"/>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7" name="Line 1519"/>
                        <wps:cNvCnPr>
                          <a:cxnSpLocks noChangeShapeType="1"/>
                        </wps:cNvCnPr>
                        <wps:spPr bwMode="auto">
                          <a:xfrm>
                            <a:off x="2805583" y="1011385"/>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618" name="Rectangle 1520"/>
                        <wps:cNvSpPr>
                          <a:spLocks noChangeArrowheads="1"/>
                        </wps:cNvSpPr>
                        <wps:spPr bwMode="auto">
                          <a:xfrm>
                            <a:off x="2805583" y="1011385"/>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9" name="Line 1521"/>
                        <wps:cNvCnPr>
                          <a:cxnSpLocks noChangeShapeType="1"/>
                        </wps:cNvCnPr>
                        <wps:spPr bwMode="auto">
                          <a:xfrm>
                            <a:off x="3269832" y="1011385"/>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620" name="Rectangle 1522"/>
                        <wps:cNvSpPr>
                          <a:spLocks noChangeArrowheads="1"/>
                        </wps:cNvSpPr>
                        <wps:spPr bwMode="auto">
                          <a:xfrm>
                            <a:off x="3269832" y="1011385"/>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1" name="Line 1523"/>
                        <wps:cNvCnPr>
                          <a:cxnSpLocks noChangeShapeType="1"/>
                        </wps:cNvCnPr>
                        <wps:spPr bwMode="auto">
                          <a:xfrm>
                            <a:off x="3733524" y="1011385"/>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622" name="Rectangle 1524"/>
                        <wps:cNvSpPr>
                          <a:spLocks noChangeArrowheads="1"/>
                        </wps:cNvSpPr>
                        <wps:spPr bwMode="auto">
                          <a:xfrm>
                            <a:off x="3733524" y="1011385"/>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3" name="Line 1525"/>
                        <wps:cNvCnPr>
                          <a:cxnSpLocks noChangeShapeType="1"/>
                        </wps:cNvCnPr>
                        <wps:spPr bwMode="auto">
                          <a:xfrm>
                            <a:off x="4197773" y="1011385"/>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624" name="Rectangle 1526"/>
                        <wps:cNvSpPr>
                          <a:spLocks noChangeArrowheads="1"/>
                        </wps:cNvSpPr>
                        <wps:spPr bwMode="auto">
                          <a:xfrm>
                            <a:off x="4197773" y="1011385"/>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5" name="Line 1527"/>
                        <wps:cNvCnPr>
                          <a:cxnSpLocks noChangeShapeType="1"/>
                        </wps:cNvCnPr>
                        <wps:spPr bwMode="auto">
                          <a:xfrm>
                            <a:off x="5038667" y="1011385"/>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626" name="Rectangle 1528"/>
                        <wps:cNvSpPr>
                          <a:spLocks noChangeArrowheads="1"/>
                        </wps:cNvSpPr>
                        <wps:spPr bwMode="auto">
                          <a:xfrm>
                            <a:off x="5038667" y="1011385"/>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7" name="Line 1529"/>
                        <wps:cNvCnPr>
                          <a:cxnSpLocks noChangeShapeType="1"/>
                        </wps:cNvCnPr>
                        <wps:spPr bwMode="auto">
                          <a:xfrm>
                            <a:off x="5045921" y="7252"/>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628" name="Rectangle 1530"/>
                        <wps:cNvSpPr>
                          <a:spLocks noChangeArrowheads="1"/>
                        </wps:cNvSpPr>
                        <wps:spPr bwMode="auto">
                          <a:xfrm>
                            <a:off x="5045921" y="7252"/>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9" name="Line 1531"/>
                        <wps:cNvCnPr>
                          <a:cxnSpLocks noChangeShapeType="1"/>
                        </wps:cNvCnPr>
                        <wps:spPr bwMode="auto">
                          <a:xfrm>
                            <a:off x="5045921" y="167355"/>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630" name="Rectangle 1532"/>
                        <wps:cNvSpPr>
                          <a:spLocks noChangeArrowheads="1"/>
                        </wps:cNvSpPr>
                        <wps:spPr bwMode="auto">
                          <a:xfrm>
                            <a:off x="5045921" y="167355"/>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1" name="Line 1533"/>
                        <wps:cNvCnPr>
                          <a:cxnSpLocks noChangeShapeType="1"/>
                        </wps:cNvCnPr>
                        <wps:spPr bwMode="auto">
                          <a:xfrm>
                            <a:off x="5045921" y="334711"/>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632" name="Rectangle 1534"/>
                        <wps:cNvSpPr>
                          <a:spLocks noChangeArrowheads="1"/>
                        </wps:cNvSpPr>
                        <wps:spPr bwMode="auto">
                          <a:xfrm>
                            <a:off x="5045921" y="334711"/>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3" name="Line 1535"/>
                        <wps:cNvCnPr>
                          <a:cxnSpLocks noChangeShapeType="1"/>
                        </wps:cNvCnPr>
                        <wps:spPr bwMode="auto">
                          <a:xfrm>
                            <a:off x="5045921" y="502066"/>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634" name="Rectangle 1536"/>
                        <wps:cNvSpPr>
                          <a:spLocks noChangeArrowheads="1"/>
                        </wps:cNvSpPr>
                        <wps:spPr bwMode="auto">
                          <a:xfrm>
                            <a:off x="5045921" y="502066"/>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5" name="Line 1537"/>
                        <wps:cNvCnPr>
                          <a:cxnSpLocks noChangeShapeType="1"/>
                        </wps:cNvCnPr>
                        <wps:spPr bwMode="auto">
                          <a:xfrm>
                            <a:off x="5045921" y="669422"/>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636" name="Rectangle 1538"/>
                        <wps:cNvSpPr>
                          <a:spLocks noChangeArrowheads="1"/>
                        </wps:cNvSpPr>
                        <wps:spPr bwMode="auto">
                          <a:xfrm>
                            <a:off x="5045921" y="669422"/>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7" name="Line 1539"/>
                        <wps:cNvCnPr>
                          <a:cxnSpLocks noChangeShapeType="1"/>
                        </wps:cNvCnPr>
                        <wps:spPr bwMode="auto">
                          <a:xfrm>
                            <a:off x="5045921" y="836777"/>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638" name="Rectangle 1540"/>
                        <wps:cNvSpPr>
                          <a:spLocks noChangeArrowheads="1"/>
                        </wps:cNvSpPr>
                        <wps:spPr bwMode="auto">
                          <a:xfrm>
                            <a:off x="5045921" y="836777"/>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9" name="Line 1541"/>
                        <wps:cNvCnPr>
                          <a:cxnSpLocks noChangeShapeType="1"/>
                        </wps:cNvCnPr>
                        <wps:spPr bwMode="auto">
                          <a:xfrm>
                            <a:off x="5045921" y="1004133"/>
                            <a:ext cx="558" cy="558"/>
                          </a:xfrm>
                          <a:prstGeom prst="line">
                            <a:avLst/>
                          </a:prstGeom>
                          <a:noFill/>
                          <a:ln w="0">
                            <a:solidFill>
                              <a:srgbClr val="D4D4D4"/>
                            </a:solidFill>
                            <a:round/>
                            <a:headEnd/>
                            <a:tailEnd/>
                          </a:ln>
                          <a:extLst>
                            <a:ext uri="{909E8E84-426E-40DD-AFC4-6F175D3DCCD1}">
                              <a14:hiddenFill xmlns:a14="http://schemas.microsoft.com/office/drawing/2010/main">
                                <a:noFill/>
                              </a14:hiddenFill>
                            </a:ext>
                          </a:extLst>
                        </wps:spPr>
                        <wps:bodyPr/>
                      </wps:wsp>
                      <wps:wsp>
                        <wps:cNvPr id="640" name="Rectangle 1542"/>
                        <wps:cNvSpPr>
                          <a:spLocks noChangeArrowheads="1"/>
                        </wps:cNvSpPr>
                        <wps:spPr bwMode="auto">
                          <a:xfrm>
                            <a:off x="5045921" y="1004133"/>
                            <a:ext cx="7254" cy="72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id="Canvas 641" o:spid="_x0000_s1026" editas="canvas" style="width:410.95pt;height:89.65pt;mso-position-horizontal-relative:char;mso-position-vertical-relative:line" coordsize="52190,11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2190;height:11385;visibility:visible;mso-wrap-style:square">
                  <v:fill o:detectmouseclick="t"/>
                  <v:path o:connecttype="none"/>
                </v:shape>
                <v:rect id="Rectangle 1436" o:spid="_x0000_s1028" style="position:absolute;left:72;top:72;width:50387;height:3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wFnMQA&#10;AADcAAAADwAAAGRycy9kb3ducmV2LnhtbESPQWvCQBSE74L/YXmF3nRTjaGkriJKoQcvRsXra/aZ&#10;LM2+DdnVpP/eLRQ8DjPzDbNcD7YRd+q8cazgbZqAIC6dNlwpOB0/J+8gfEDW2DgmBb/kYb0aj5aY&#10;a9fzge5FqESEsM9RQR1Cm0vpy5os+qlriaN3dZ3FEGVXSd1hH+G2kbMkyaRFw3Ghxpa2NZU/xc0q&#10;uKbmfLiV6WU2N/2l0N/Zbu8zpV5fhs0HiEBDeIb/219awWKewt+Ze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8BZzEAAAA3AAAAA8AAAAAAAAAAAAAAAAAmAIAAGRycy9k&#10;b3ducmV2LnhtbFBLBQYAAAAABAAEAPUAAACJAwAAAAA=&#10;" fillcolor="#e5f7ca" stroked="f"/>
                <v:rect id="Rectangle 1437" o:spid="_x0000_s1029" style="position:absolute;left:44157;top:146;width:5093;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960sIA&#10;AADcAAAADwAAAGRycy9kb3ducmV2LnhtbESPzYoCMRCE74LvEFrYm2ZUXGTWKCIIKl4c9wGaSc8P&#10;Jp0hyTqzb78RhD0WVfUVtdkN1ogn+dA6VjCfZSCIS6dbrhV834/TNYgQkTUax6TglwLstuPRBnPt&#10;er7Rs4i1SBAOOSpoYuxyKUPZkMUwcx1x8irnLcYkfS21xz7BrZGLLPuUFltOCw12dGiofBQ/VoG8&#10;F8d+XRifucuiuprz6VaRU+pjMuy/QEQa4n/43T5pBavl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j3rSwgAAANwAAAAPAAAAAAAAAAAAAAAAAJgCAABkcnMvZG93&#10;bnJldi54bWxQSwUGAAAAAAQABAD1AAAAhwMAAAAA&#10;" filled="f" stroked="f">
                  <v:textbox style="mso-fit-shape-to-text:t" inset="0,0,0,0">
                    <w:txbxContent>
                      <w:p w14:paraId="0773BB14" w14:textId="77777777" w:rsidR="002D2105" w:rsidRDefault="002D2105" w:rsidP="000F50EA">
                        <w:r>
                          <w:rPr>
                            <w:rFonts w:ascii="Arial Narrow" w:hAnsi="Arial Narrow" w:cs="Arial Narrow"/>
                            <w:b/>
                            <w:bCs/>
                            <w:color w:val="000000"/>
                            <w:sz w:val="20"/>
                            <w:szCs w:val="20"/>
                          </w:rPr>
                          <w:t xml:space="preserve">Ndryshimi </w:t>
                        </w:r>
                      </w:p>
                    </w:txbxContent>
                  </v:textbox>
                </v:rect>
                <v:rect id="Rectangle 1438" o:spid="_x0000_s1030" style="position:absolute;left:42919;top:1739;width:7703;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3kpcIA&#10;AADcAAAADwAAAGRycy9kb3ducmV2LnhtbESPzYoCMRCE74LvEFrwphmVFZk1igiCLl4c9wGaSc8P&#10;Jp0hyTqzb28WhD0WVfUVtd0P1ogn+dA6VrCYZyCIS6dbrhV830+zDYgQkTUax6TglwLsd+PRFnPt&#10;er7Rs4i1SBAOOSpoYuxyKUPZkMUwdx1x8irnLcYkfS21xz7BrZHLLFtLiy2nhQY7OjZUPoofq0De&#10;i1O/KYzP3NeyuprL+VaRU2o6GQ6fICIN8T/8bp+1go/V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XeSlwgAAANwAAAAPAAAAAAAAAAAAAAAAAJgCAABkcnMvZG93&#10;bnJldi54bWxQSwUGAAAAAAQABAD1AAAAhwMAAAAA&#10;" filled="f" stroked="f">
                  <v:textbox style="mso-fit-shape-to-text:t" inset="0,0,0,0">
                    <w:txbxContent>
                      <w:p w14:paraId="0773BB15" w14:textId="77777777" w:rsidR="002D2105" w:rsidRDefault="002D2105" w:rsidP="000F50EA">
                        <w:r>
                          <w:rPr>
                            <w:rFonts w:ascii="Arial Narrow" w:hAnsi="Arial Narrow" w:cs="Arial Narrow"/>
                            <w:b/>
                            <w:bCs/>
                            <w:color w:val="000000"/>
                            <w:sz w:val="20"/>
                            <w:szCs w:val="20"/>
                          </w:rPr>
                          <w:t>2015 – 2020 (%)</w:t>
                        </w:r>
                      </w:p>
                    </w:txbxContent>
                  </v:textbox>
                </v:rect>
                <v:rect id="Rectangle 1439" o:spid="_x0000_s1031" style="position:absolute;left:292;top:3416;width:9899;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FBPsIA&#10;AADcAAAADwAAAGRycy9kb3ducmV2LnhtbESP3WoCMRSE7wu+QziCdzWrUpXVKFIQbPHG1Qc4bM7+&#10;YHKyJKm7ffumIHg5zMw3zHY/WCMe5EPrWMFsmoEgLp1uuVZwux7f1yBCRNZoHJOCXwqw343etphr&#10;1/OFHkWsRYJwyFFBE2OXSxnKhiyGqeuIk1c5bzEm6WupPfYJbo2cZ9lSWmw5LTTY0WdD5b34sQrk&#10;tTj268L4zH3Pq7P5Ol0qckpNxsNhAyLSEF/hZ/ukFXws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EUE+wgAAANwAAAAPAAAAAAAAAAAAAAAAAJgCAABkcnMvZG93&#10;bnJldi54bWxQSwUGAAAAAAQABAD1AAAAhwMAAAAA&#10;" filled="f" stroked="f">
                  <v:textbox style="mso-fit-shape-to-text:t" inset="0,0,0,0">
                    <w:txbxContent>
                      <w:p w14:paraId="0773BB16" w14:textId="4C7A5BDD" w:rsidR="002D2105" w:rsidRPr="003E0CAC" w:rsidRDefault="002D2105" w:rsidP="000F50EA">
                        <w:r>
                          <w:rPr>
                            <w:rFonts w:ascii="Arial Narrow" w:hAnsi="Arial Narrow" w:cs="Arial Narrow"/>
                            <w:b/>
                            <w:bCs/>
                            <w:color w:val="000000"/>
                            <w:sz w:val="20"/>
                            <w:szCs w:val="20"/>
                          </w:rPr>
                          <w:t>Numri ndërmarrjeve</w:t>
                        </w:r>
                      </w:p>
                    </w:txbxContent>
                  </v:textbox>
                </v:rect>
                <v:rect id="Rectangle 1440" o:spid="_x0000_s1032" style="position:absolute;left:15373;top:3416;width:2610;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7VTL8A&#10;AADcAAAADwAAAGRycy9kb3ducmV2LnhtbERPy4rCMBTdC/MP4Q7MTtNRFKlGkQFBBze2fsCluX1g&#10;clOSaOvfTxYDLg/nvd2P1ogn+dA5VvA9y0AQV0533Ci4lcfpGkSIyBqNY1LwogD73cdki7l2A1/p&#10;WcRGpBAOOSpoY+xzKUPVksUwcz1x4mrnLcYEfSO1xyGFWyPnWbaSFjtODS329NNSdS8eVoEsi+Ow&#10;LozP3O+8vpjz6VqTU+rrczxsQEQa41v87z5pBctF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jtVMvwAAANwAAAAPAAAAAAAAAAAAAAAAAJgCAABkcnMvZG93bnJl&#10;di54bWxQSwUGAAAAAAQABAD1AAAAhAMAAAAA&#10;" filled="f" stroked="f">
                  <v:textbox style="mso-fit-shape-to-text:t" inset="0,0,0,0">
                    <w:txbxContent>
                      <w:p w14:paraId="0773BB17" w14:textId="77777777" w:rsidR="002D2105" w:rsidRDefault="002D2105" w:rsidP="000F50EA">
                        <w:r>
                          <w:rPr>
                            <w:rFonts w:ascii="Arial Narrow" w:hAnsi="Arial Narrow" w:cs="Arial Narrow"/>
                            <w:color w:val="000000"/>
                            <w:sz w:val="20"/>
                            <w:szCs w:val="20"/>
                          </w:rPr>
                          <w:t>2,354</w:t>
                        </w:r>
                      </w:p>
                    </w:txbxContent>
                  </v:textbox>
                </v:rect>
                <v:rect id="Rectangle 1441" o:spid="_x0000_s1033" style="position:absolute;left:20008;top:3416;width:2610;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Jw18IA&#10;AADcAAAADwAAAGRycy9kb3ducmV2LnhtbESP3WoCMRSE7wu+QziCdzWrUtHVKFIQbPHG1Qc4bM7+&#10;YHKyJKm7ffumIHg5zMw3zHY/WCMe5EPrWMFsmoEgLp1uuVZwux7fVyBCRNZoHJOCXwqw343etphr&#10;1/OFHkWsRYJwyFFBE2OXSxnKhiyGqeuIk1c5bzEm6WupPfYJbo2cZ9lSWmw5LTTY0WdD5b34sQrk&#10;tTj2q8L4zH3Pq7P5Ol0qckpNxsNhAyLSEF/hZ/ukFXws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wnDXwgAAANwAAAAPAAAAAAAAAAAAAAAAAJgCAABkcnMvZG93&#10;bnJldi54bWxQSwUGAAAAAAQABAD1AAAAhwMAAAAA&#10;" filled="f" stroked="f">
                  <v:textbox style="mso-fit-shape-to-text:t" inset="0,0,0,0">
                    <w:txbxContent>
                      <w:p w14:paraId="0773BB18" w14:textId="77777777" w:rsidR="002D2105" w:rsidRDefault="002D2105" w:rsidP="000F50EA">
                        <w:r>
                          <w:rPr>
                            <w:rFonts w:ascii="Arial Narrow" w:hAnsi="Arial Narrow" w:cs="Arial Narrow"/>
                            <w:color w:val="000000"/>
                            <w:sz w:val="20"/>
                            <w:szCs w:val="20"/>
                          </w:rPr>
                          <w:t>2,428</w:t>
                        </w:r>
                      </w:p>
                    </w:txbxContent>
                  </v:textbox>
                </v:rect>
                <v:rect id="Rectangle 1442" o:spid="_x0000_s1034" style="position:absolute;left:24657;top:3416;width:2609;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6qN78A&#10;AADcAAAADwAAAGRycy9kb3ducmV2LnhtbERPy4rCMBTdC/MP4Q7MTtMRFalGkQFBBze2fsCluX1g&#10;clOSaOvfTxYDLg/nvd2P1ogn+dA5VvA9y0AQV0533Ci4lcfpGkSIyBqNY1LwogD73cdki7l2A1/p&#10;WcRGpBAOOSpoY+xzKUPVksUwcz1x4mrnLcYEfSO1xyGFWyPnWbaSFjtODS329NNSdS8eVoEsi+Ow&#10;LozP3O+8vpjz6VqTU+rrczxsQEQa41v87z5pBctF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qo3vwAAANwAAAAPAAAAAAAAAAAAAAAAAJgCAABkcnMvZG93bnJl&#10;di54bWxQSwUGAAAAAAQABAD1AAAAhAMAAAAA&#10;" filled="f" stroked="f">
                  <v:textbox style="mso-fit-shape-to-text:t" inset="0,0,0,0">
                    <w:txbxContent>
                      <w:p w14:paraId="0773BB19" w14:textId="77777777" w:rsidR="002D2105" w:rsidRDefault="002D2105" w:rsidP="000F50EA">
                        <w:r>
                          <w:rPr>
                            <w:rFonts w:ascii="Arial Narrow" w:hAnsi="Arial Narrow" w:cs="Arial Narrow"/>
                            <w:color w:val="000000"/>
                            <w:sz w:val="20"/>
                            <w:szCs w:val="20"/>
                          </w:rPr>
                          <w:t>2,541</w:t>
                        </w:r>
                      </w:p>
                    </w:txbxContent>
                  </v:textbox>
                </v:rect>
                <v:rect id="Rectangle 1443" o:spid="_x0000_s1035" style="position:absolute;left:29286;top:3416;width:2610;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IPrMIA&#10;AADcAAAADwAAAGRycy9kb3ducmV2LnhtbESPzYoCMRCE74LvEFrwphlFFxmNIoLgLl4cfYBm0vOD&#10;SWdIojP79puFhT0WVfUVtTsM1og3+dA6VrCYZyCIS6dbrhU87ufZBkSIyBqNY1LwTQEO+/Foh7l2&#10;Pd/oXcRaJAiHHBU0MXa5lKFsyGKYu444eZXzFmOSvpbaY5/g1shlln1Iiy2nhQY7OjVUPouXVSDv&#10;xbnfFMZn7mtZXc3n5VaRU2o6GY5bEJGG+B/+a1+0gvVq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sg+swgAAANwAAAAPAAAAAAAAAAAAAAAAAJgCAABkcnMvZG93&#10;bnJldi54bWxQSwUGAAAAAAQABAD1AAAAhwMAAAAA&#10;" filled="f" stroked="f">
                  <v:textbox style="mso-fit-shape-to-text:t" inset="0,0,0,0">
                    <w:txbxContent>
                      <w:p w14:paraId="0773BB1A" w14:textId="77777777" w:rsidR="002D2105" w:rsidRDefault="002D2105" w:rsidP="000F50EA">
                        <w:r>
                          <w:rPr>
                            <w:rFonts w:ascii="Arial Narrow" w:hAnsi="Arial Narrow" w:cs="Arial Narrow"/>
                            <w:color w:val="000000"/>
                            <w:sz w:val="20"/>
                            <w:szCs w:val="20"/>
                          </w:rPr>
                          <w:t>2,414</w:t>
                        </w:r>
                      </w:p>
                    </w:txbxContent>
                  </v:textbox>
                </v:rect>
                <v:rect id="Rectangle 1444" o:spid="_x0000_s1036" style="position:absolute;left:33934;top:3416;width:2610;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CR28IA&#10;AADcAAAADwAAAGRycy9kb3ducmV2LnhtbESP3WoCMRSE7wXfIRzBO8262CKrUUQQbOmNqw9w2Jz9&#10;weRkSaK7ffumUOjlMDPfMLvDaI14kQ+dYwWrZQaCuHK640bB/XZebECEiKzROCYF3xTgsJ9Odlho&#10;N/CVXmVsRIJwKFBBG2NfSBmqliyGpeuJk1c7bzEm6RupPQ4Jbo3Ms+xdWuw4LbTY06ml6lE+rQJ5&#10;K8/DpjQ+c595/WU+LteanFLz2Xjcgog0xv/wX/uiFbyt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YJHbwgAAANwAAAAPAAAAAAAAAAAAAAAAAJgCAABkcnMvZG93&#10;bnJldi54bWxQSwUGAAAAAAQABAD1AAAAhwMAAAAA&#10;" filled="f" stroked="f">
                  <v:textbox style="mso-fit-shape-to-text:t" inset="0,0,0,0">
                    <w:txbxContent>
                      <w:p w14:paraId="0773BB1B" w14:textId="77777777" w:rsidR="002D2105" w:rsidRDefault="002D2105" w:rsidP="000F50EA">
                        <w:r>
                          <w:rPr>
                            <w:rFonts w:ascii="Arial Narrow" w:hAnsi="Arial Narrow" w:cs="Arial Narrow"/>
                            <w:color w:val="000000"/>
                            <w:sz w:val="20"/>
                            <w:szCs w:val="20"/>
                          </w:rPr>
                          <w:t>2,476</w:t>
                        </w:r>
                      </w:p>
                    </w:txbxContent>
                  </v:textbox>
                </v:rect>
                <v:rect id="Rectangle 1445" o:spid="_x0000_s1037" style="position:absolute;left:38569;top:3416;width:2610;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w0QMIA&#10;AADcAAAADwAAAGRycy9kb3ducmV2LnhtbESP3WoCMRSE7wu+QziCdzWrVpHVKFIQbPHG1Qc4bM7+&#10;YHKyJKm7ffumIHg5zMw3zHY/WCMe5EPrWMFsmoEgLp1uuVZwux7f1yBCRNZoHJOCXwqw343etphr&#10;1/OFHkWsRYJwyFFBE2OXSxnKhiyGqeuIk1c5bzEm6WupPfYJbo2cZ9lKWmw5LTTY0WdD5b34sQrk&#10;tTj268L4zH3Pq7P5Ol0qckpNxsNhAyLSEF/hZ/ukFSw/F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LDRAwgAAANwAAAAPAAAAAAAAAAAAAAAAAJgCAABkcnMvZG93&#10;bnJldi54bWxQSwUGAAAAAAQABAD1AAAAhwMAAAAA&#10;" filled="f" stroked="f">
                  <v:textbox style="mso-fit-shape-to-text:t" inset="0,0,0,0">
                    <w:txbxContent>
                      <w:p w14:paraId="0773BB1C" w14:textId="77777777" w:rsidR="002D2105" w:rsidRDefault="002D2105" w:rsidP="000F50EA">
                        <w:r>
                          <w:rPr>
                            <w:rFonts w:ascii="Arial Narrow" w:hAnsi="Arial Narrow" w:cs="Arial Narrow"/>
                            <w:color w:val="000000"/>
                            <w:sz w:val="20"/>
                            <w:szCs w:val="20"/>
                          </w:rPr>
                          <w:t>2,459</w:t>
                        </w:r>
                      </w:p>
                    </w:txbxContent>
                  </v:textbox>
                </v:rect>
                <v:rect id="Rectangle 1446" o:spid="_x0000_s1038" style="position:absolute;left:44951;top:3416;width:2959;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WsNMIA&#10;AADcAAAADwAAAGRycy9kb3ducmV2LnhtbESPzYoCMRCE74LvEFrwphlFRWaNIoKgixfHfYBm0vOD&#10;SWdIss7s228WFjwWVfUVtTsM1ogX+dA6VrCYZyCIS6dbrhV8Pc6zLYgQkTUax6TghwIc9uPRDnPt&#10;er7Tq4i1SBAOOSpoYuxyKUPZkMUwdx1x8irnLcYkfS21xz7BrZHLLNtIiy2nhQY7OjVUPotvq0A+&#10;inO/LYzP3Oeyupnr5V6RU2o6GY4fICIN8R3+b1+0gvVq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xaw0wgAAANwAAAAPAAAAAAAAAAAAAAAAAJgCAABkcnMvZG93&#10;bnJldi54bWxQSwUGAAAAAAQABAD1AAAAhwMAAAAA&#10;" filled="f" stroked="f">
                  <v:textbox style="mso-fit-shape-to-text:t" inset="0,0,0,0">
                    <w:txbxContent>
                      <w:p w14:paraId="0773BB1D" w14:textId="77777777" w:rsidR="002D2105" w:rsidRDefault="002D2105" w:rsidP="000F50EA">
                        <w:r>
                          <w:rPr>
                            <w:rFonts w:ascii="Arial Narrow" w:hAnsi="Arial Narrow" w:cs="Arial Narrow"/>
                            <w:color w:val="000000"/>
                            <w:sz w:val="20"/>
                            <w:szCs w:val="20"/>
                          </w:rPr>
                          <w:t>4.46%</w:t>
                        </w:r>
                      </w:p>
                    </w:txbxContent>
                  </v:textbox>
                </v:rect>
                <v:rect id="Rectangle 1447" o:spid="_x0000_s1039" style="position:absolute;left:292;top:5092;width:9664;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kJr8IA&#10;AADcAAAADwAAAGRycy9kb3ducmV2LnhtbESPzYoCMRCE74LvEFrYm2YUXWTWKCIIKl4c9wGaSc8P&#10;Jp0hyTqzb78RhD0WVfUVtdkN1ogn+dA6VjCfZSCIS6dbrhV834/TNYgQkTUax6TglwLstuPRBnPt&#10;er7Rs4i1SBAOOSpoYuxyKUPZkMUwcx1x8irnLcYkfS21xz7BrZGLLPuUFltOCw12dGiofBQ/VoG8&#10;F8d+XRifucuiuprz6VaRU+pjMuy/QEQa4n/43T5pBavl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iQmvwgAAANwAAAAPAAAAAAAAAAAAAAAAAJgCAABkcnMvZG93&#10;bnJldi54bWxQSwUGAAAAAAQABAD1AAAAhwMAAAAA&#10;" filled="f" stroked="f">
                  <v:textbox style="mso-fit-shape-to-text:t" inset="0,0,0,0">
                    <w:txbxContent>
                      <w:p w14:paraId="0773BB1E" w14:textId="77777777" w:rsidR="002D2105" w:rsidRPr="003E0CAC" w:rsidRDefault="002D2105" w:rsidP="000F50EA">
                        <w:r>
                          <w:rPr>
                            <w:rFonts w:ascii="Arial Narrow" w:hAnsi="Arial Narrow" w:cs="Arial Narrow"/>
                            <w:b/>
                            <w:bCs/>
                            <w:color w:val="000000"/>
                            <w:sz w:val="20"/>
                            <w:szCs w:val="20"/>
                          </w:rPr>
                          <w:t>Numri i punonjësve</w:t>
                        </w:r>
                      </w:p>
                    </w:txbxContent>
                  </v:textbox>
                </v:rect>
                <v:rect id="Rectangle 1448" o:spid="_x0000_s1040" style="position:absolute;left:15081;top:5092;width:3187;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uX2MIA&#10;AADcAAAADwAAAGRycy9kb3ducmV2LnhtbESPzYoCMRCE74LvEFrwphnFFZk1igiCLl4c9wGaSc8P&#10;Jp0hyTqzb28WhD0WVfUVtd0P1ogn+dA6VrCYZyCIS6dbrhV830+zDYgQkTUax6TglwLsd+PRFnPt&#10;er7Rs4i1SBAOOSpoYuxyKUPZkMUwdx1x8irnLcYkfS21xz7BrZHLLFtLiy2nhQY7OjZUPoofq0De&#10;i1O/KYzP3NeyuprL+VaRU2o6GQ6fICIN8T/8bp+1go/V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W5fYwgAAANwAAAAPAAAAAAAAAAAAAAAAAJgCAABkcnMvZG93&#10;bnJldi54bWxQSwUGAAAAAAQABAD1AAAAhwMAAAAA&#10;" filled="f" stroked="f">
                  <v:textbox style="mso-fit-shape-to-text:t" inset="0,0,0,0">
                    <w:txbxContent>
                      <w:p w14:paraId="0773BB1F" w14:textId="77777777" w:rsidR="002D2105" w:rsidRDefault="002D2105" w:rsidP="000F50EA">
                        <w:r>
                          <w:rPr>
                            <w:rFonts w:ascii="Arial Narrow" w:hAnsi="Arial Narrow" w:cs="Arial Narrow"/>
                            <w:color w:val="000000"/>
                            <w:sz w:val="20"/>
                            <w:szCs w:val="20"/>
                          </w:rPr>
                          <w:t>12,659</w:t>
                        </w:r>
                      </w:p>
                    </w:txbxContent>
                  </v:textbox>
                </v:rect>
                <v:rect id="Rectangle 1449" o:spid="_x0000_s1041" style="position:absolute;left:19716;top:5092;width:3188;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cyQ8IA&#10;AADcAAAADwAAAGRycy9kb3ducmV2LnhtbESP3WoCMRSE7wu+QziCdzWrWJXVKFIQbPHG1Qc4bM7+&#10;YHKyJKm7ffumIHg5zMw3zHY/WCMe5EPrWMFsmoEgLp1uuVZwux7f1yBCRNZoHJOCXwqw343etphr&#10;1/OFHkWsRYJwyFFBE2OXSxnKhiyGqeuIk1c5bzEm6WupPfYJbo2cZ9lSWmw5LTTY0WdD5b34sQrk&#10;tTj268L4zH3Pq7P5Ol0qckpNxsNhAyLSEF/hZ/ukFXws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zJDwgAAANwAAAAPAAAAAAAAAAAAAAAAAJgCAABkcnMvZG93&#10;bnJldi54bWxQSwUGAAAAAAQABAD1AAAAhwMAAAAA&#10;" filled="f" stroked="f">
                  <v:textbox style="mso-fit-shape-to-text:t" inset="0,0,0,0">
                    <w:txbxContent>
                      <w:p w14:paraId="0773BB20" w14:textId="77777777" w:rsidR="002D2105" w:rsidRDefault="002D2105" w:rsidP="000F50EA">
                        <w:r>
                          <w:rPr>
                            <w:rFonts w:ascii="Arial Narrow" w:hAnsi="Arial Narrow" w:cs="Arial Narrow"/>
                            <w:color w:val="000000"/>
                            <w:sz w:val="20"/>
                            <w:szCs w:val="20"/>
                          </w:rPr>
                          <w:t>13,084</w:t>
                        </w:r>
                      </w:p>
                    </w:txbxContent>
                  </v:textbox>
                </v:rect>
                <v:rect id="Rectangle 1450" o:spid="_x0000_s1042" style="position:absolute;left:24364;top:5092;width:3188;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imMb8A&#10;AADcAAAADwAAAGRycy9kb3ducmV2LnhtbERPy4rCMBTdC/MP4Q7MTtMRFalGkQFBBze2fsCluX1g&#10;clOSaOvfTxYDLg/nvd2P1ogn+dA5VvA9y0AQV0533Ci4lcfpGkSIyBqNY1LwogD73cdki7l2A1/p&#10;WcRGpBAOOSpoY+xzKUPVksUwcz1x4mrnLcYEfSO1xyGFWyPnWbaSFjtODS329NNSdS8eVoEsi+Ow&#10;LozP3O+8vpjz6VqTU+rrczxsQEQa41v87z5pBctF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iKYxvwAAANwAAAAPAAAAAAAAAAAAAAAAAJgCAABkcnMvZG93bnJl&#10;di54bWxQSwUGAAAAAAQABAD1AAAAhAMAAAAA&#10;" filled="f" stroked="f">
                  <v:textbox style="mso-fit-shape-to-text:t" inset="0,0,0,0">
                    <w:txbxContent>
                      <w:p w14:paraId="0773BB21" w14:textId="77777777" w:rsidR="002D2105" w:rsidRDefault="002D2105" w:rsidP="000F50EA">
                        <w:r>
                          <w:rPr>
                            <w:rFonts w:ascii="Arial Narrow" w:hAnsi="Arial Narrow" w:cs="Arial Narrow"/>
                            <w:color w:val="000000"/>
                            <w:sz w:val="20"/>
                            <w:szCs w:val="20"/>
                          </w:rPr>
                          <w:t>13,920</w:t>
                        </w:r>
                      </w:p>
                    </w:txbxContent>
                  </v:textbox>
                </v:rect>
                <v:rect id="Rectangle 1451" o:spid="_x0000_s1043" style="position:absolute;left:28994;top:5092;width:3187;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QDqsIA&#10;AADcAAAADwAAAGRycy9kb3ducmV2LnhtbESP3WoCMRSE7wu+QziCdzWrWNHVKFIQbPHG1Qc4bM7+&#10;YHKyJKm7ffumIHg5zMw3zHY/WCMe5EPrWMFsmoEgLp1uuVZwux7fVyBCRNZoHJOCXwqw343etphr&#10;1/OFHkWsRYJwyFFBE2OXSxnKhiyGqeuIk1c5bzEm6WupPfYJbo2cZ9lSWmw5LTTY0WdD5b34sQrk&#10;tTj2q8L4zH3Pq7P5Ol0qckpNxsNhAyLSEF/hZ/ukFXws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xAOqwgAAANwAAAAPAAAAAAAAAAAAAAAAAJgCAABkcnMvZG93&#10;bnJldi54bWxQSwUGAAAAAAQABAD1AAAAhwMAAAAA&#10;" filled="f" stroked="f">
                  <v:textbox style="mso-fit-shape-to-text:t" inset="0,0,0,0">
                    <w:txbxContent>
                      <w:p w14:paraId="0773BB22" w14:textId="77777777" w:rsidR="002D2105" w:rsidRDefault="002D2105" w:rsidP="000F50EA">
                        <w:r>
                          <w:rPr>
                            <w:rFonts w:ascii="Arial Narrow" w:hAnsi="Arial Narrow" w:cs="Arial Narrow"/>
                            <w:color w:val="000000"/>
                            <w:sz w:val="20"/>
                            <w:szCs w:val="20"/>
                          </w:rPr>
                          <w:t>13,277</w:t>
                        </w:r>
                      </w:p>
                    </w:txbxContent>
                  </v:textbox>
                </v:rect>
                <v:rect id="Rectangle 1452" o:spid="_x0000_s1044" style="position:absolute;left:33642;top:5092;width:3188;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c86sAA&#10;AADcAAAADwAAAGRycy9kb3ducmV2LnhtbERPS2rDMBDdF3IHMYHsGrmBFONaDqUQSEI2sXuAwRp/&#10;qDQykhK7t68WgS4f718eFmvEg3wYHSt422YgiFunR+4VfDfH1xxEiMgajWNS8EsBDtXqpcRCu5lv&#10;9KhjL1IIhwIVDDFOhZShHchi2LqJOHGd8xZjgr6X2uOcwq2Ruyx7lxZHTg0DTvQ1UPtT360C2dTH&#10;Oa+Nz9xl113N+XTryCm1WS+fHyAiLfFf/HSftIL9Ps1P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Cc86sAAAADcAAAADwAAAAAAAAAAAAAAAACYAgAAZHJzL2Rvd25y&#10;ZXYueG1sUEsFBgAAAAAEAAQA9QAAAIUDAAAAAA==&#10;" filled="f" stroked="f">
                  <v:textbox style="mso-fit-shape-to-text:t" inset="0,0,0,0">
                    <w:txbxContent>
                      <w:p w14:paraId="0773BB23" w14:textId="77777777" w:rsidR="002D2105" w:rsidRDefault="002D2105" w:rsidP="000F50EA">
                        <w:r>
                          <w:rPr>
                            <w:rFonts w:ascii="Arial Narrow" w:hAnsi="Arial Narrow" w:cs="Arial Narrow"/>
                            <w:color w:val="000000"/>
                            <w:sz w:val="20"/>
                            <w:szCs w:val="20"/>
                          </w:rPr>
                          <w:t>14,163</w:t>
                        </w:r>
                      </w:p>
                    </w:txbxContent>
                  </v:textbox>
                </v:rect>
                <v:rect id="Rectangle 1453" o:spid="_x0000_s1045" style="position:absolute;left:38277;top:5092;width:3188;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uZccIA&#10;AADcAAAADwAAAGRycy9kb3ducmV2LnhtbESP3YrCMBSE74V9h3AE72yq4CJdoyyCoOKNdR/g0Jz+&#10;sMlJSbK2vr0RhL0cZuYbZrMbrRF38qFzrGCR5SCIK6c7bhT83A7zNYgQkTUax6TgQQF224/JBgvt&#10;Br7SvYyNSBAOBSpoY+wLKUPVksWQuZ44ebXzFmOSvpHa45Dg1shlnn9Kix2nhRZ72rdU/ZZ/VoG8&#10;lYdhXRqfu/OyvpjT8VqTU2o2Hb+/QEQa43/43T5qBavVA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a5lxwgAAANwAAAAPAAAAAAAAAAAAAAAAAJgCAABkcnMvZG93&#10;bnJldi54bWxQSwUGAAAAAAQABAD1AAAAhwMAAAAA&#10;" filled="f" stroked="f">
                  <v:textbox style="mso-fit-shape-to-text:t" inset="0,0,0,0">
                    <w:txbxContent>
                      <w:p w14:paraId="0773BB24" w14:textId="77777777" w:rsidR="002D2105" w:rsidRDefault="002D2105" w:rsidP="000F50EA">
                        <w:r w:rsidRPr="005B5B90">
                          <w:rPr>
                            <w:rFonts w:ascii="Arial Narrow" w:hAnsi="Arial Narrow" w:cs="Arial Narrow"/>
                            <w:color w:val="000000"/>
                            <w:sz w:val="20"/>
                            <w:szCs w:val="20"/>
                          </w:rPr>
                          <w:t>13,862</w:t>
                        </w:r>
                      </w:p>
                    </w:txbxContent>
                  </v:textbox>
                </v:rect>
                <v:rect id="Rectangle 1454" o:spid="_x0000_s1046" style="position:absolute;left:44951;top:5092;width:2959;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HBsEA&#10;AADcAAAADwAAAGRycy9kb3ducmV2LnhtbESP3YrCMBSE74V9h3CEvdPUgotUo4gguOKN1Qc4NKc/&#10;mJyUJGu7b28WhL0cZuYbZrMbrRFP8qFzrGAxz0AQV0533Ci4346zFYgQkTUax6TglwLsth+TDRba&#10;DXylZxkbkSAcClTQxtgXUoaqJYth7nri5NXOW4xJ+kZqj0OCWyPzLPuSFjtOCy32dGipepQ/VoG8&#10;lcdhVRqfuXNeX8z36VqTU+pzOu7XICKN8T/8bp+0guUy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5BwbBAAAA3AAAAA8AAAAAAAAAAAAAAAAAmAIAAGRycy9kb3du&#10;cmV2LnhtbFBLBQYAAAAABAAEAPUAAACGAwAAAAA=&#10;" filled="f" stroked="f">
                  <v:textbox style="mso-fit-shape-to-text:t" inset="0,0,0,0">
                    <w:txbxContent>
                      <w:p w14:paraId="0773BB25" w14:textId="77777777" w:rsidR="002D2105" w:rsidRDefault="002D2105" w:rsidP="000F50EA">
                        <w:r>
                          <w:rPr>
                            <w:rFonts w:ascii="Arial Narrow" w:hAnsi="Arial Narrow" w:cs="Arial Narrow"/>
                            <w:color w:val="000000"/>
                            <w:sz w:val="20"/>
                            <w:szCs w:val="20"/>
                          </w:rPr>
                          <w:t>9.50%</w:t>
                        </w:r>
                      </w:p>
                    </w:txbxContent>
                  </v:textbox>
                </v:rect>
                <v:rect id="Rectangle 1455" o:spid="_x0000_s1047" style="position:absolute;left:292;top:6762;width:12096;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WincIA&#10;AADcAAAADwAAAGRycy9kb3ducmV2LnhtbESPzYoCMRCE74LvEFrYm2ZUXGTWKCIIKl4c9wGaSc8P&#10;Jp0hyTqzb78RhD0WVfUVtdkN1ogn+dA6VjCfZSCIS6dbrhV834/TNYgQkTUax6TglwLstuPRBnPt&#10;er7Rs4i1SBAOOSpoYuxyKUPZkMUwcx1x8irnLcYkfS21xz7BrZGLLPuUFltOCw12dGiofBQ/VoG8&#10;F8d+XRifucuiuprz6VaRU+pjMuy/QEQa4n/43T5pBavVE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9aKdwgAAANwAAAAPAAAAAAAAAAAAAAAAAJgCAABkcnMvZG93&#10;bnJldi54bWxQSwUGAAAAAAQABAD1AAAAhwMAAAAA&#10;" filled="f" stroked="f">
                  <v:textbox style="mso-fit-shape-to-text:t" inset="0,0,0,0">
                    <w:txbxContent>
                      <w:p w14:paraId="0773BB26" w14:textId="77777777" w:rsidR="002D2105" w:rsidRDefault="002D2105" w:rsidP="000F50EA">
                        <w:r>
                          <w:rPr>
                            <w:rFonts w:ascii="Arial Narrow" w:hAnsi="Arial Narrow" w:cs="Arial Narrow"/>
                            <w:b/>
                            <w:bCs/>
                            <w:color w:val="000000"/>
                            <w:sz w:val="20"/>
                            <w:szCs w:val="20"/>
                          </w:rPr>
                          <w:t>Vlera e prodhimit (000/€)</w:t>
                        </w:r>
                      </w:p>
                    </w:txbxContent>
                  </v:textbox>
                </v:rect>
                <v:rect id="Rectangle 1456" o:spid="_x0000_s1048" style="position:absolute;left:14859;top:6762;width:3765;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w66cIA&#10;AADcAAAADwAAAGRycy9kb3ducmV2LnhtbESPzYoCMRCE74LvEFrYm2YUXWTWKCIIKl4c9wGaSc8P&#10;Jp0hyTqzb78RhD0WVfUVtdkN1ogn+dA6VjCfZSCIS6dbrhV834/TNYgQkTUax6TglwLstuPRBnPt&#10;er7Rs4i1SBAOOSpoYuxyKUPZkMUwcx1x8irnLcYkfS21xz7BrZGLLPuUFltOCw12dGiofBQ/VoG8&#10;F8d+XRifucuiuprz6VaRU+pjMuy/QEQa4n/43T5pBavVE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HDrpwgAAANwAAAAPAAAAAAAAAAAAAAAAAJgCAABkcnMvZG93&#10;bnJldi54bWxQSwUGAAAAAAQABAD1AAAAhwMAAAAA&#10;" filled="f" stroked="f">
                  <v:textbox style="mso-fit-shape-to-text:t" inset="0,0,0,0">
                    <w:txbxContent>
                      <w:p w14:paraId="0773BB27" w14:textId="77777777" w:rsidR="002D2105" w:rsidRDefault="002D2105" w:rsidP="000F50EA">
                        <w:r>
                          <w:rPr>
                            <w:rFonts w:ascii="Arial Narrow" w:hAnsi="Arial Narrow" w:cs="Arial Narrow"/>
                            <w:color w:val="000000"/>
                            <w:sz w:val="20"/>
                            <w:szCs w:val="20"/>
                          </w:rPr>
                          <w:t>459,480</w:t>
                        </w:r>
                      </w:p>
                    </w:txbxContent>
                  </v:textbox>
                </v:rect>
                <v:rect id="Rectangle 1457" o:spid="_x0000_s1049" style="position:absolute;left:19500;top:6762;width:3766;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CfcsEA&#10;AADcAAAADwAAAGRycy9kb3ducmV2LnhtbESP3YrCMBSE74V9h3CEvdNUoYtUo4gguOKN1Qc4NKc/&#10;mJyUJGu7b28WhL0cZuYbZrMbrRFP8qFzrGAxz0AQV0533Ci4346zFYgQkTUax6TglwLsth+TDRba&#10;DXylZxkbkSAcClTQxtgXUoaqJYth7nri5NXOW4xJ+kZqj0OCWyOXWfYlLXacFlrs6dBS9Sh/rAJ5&#10;K4/DqjQ+c+dlfTHfp2tNTqnP6bhfg4g0xv/wu33SCvI8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Qn3LBAAAA3AAAAA8AAAAAAAAAAAAAAAAAmAIAAGRycy9kb3du&#10;cmV2LnhtbFBLBQYAAAAABAAEAPUAAACGAwAAAAA=&#10;" filled="f" stroked="f">
                  <v:textbox style="mso-fit-shape-to-text:t" inset="0,0,0,0">
                    <w:txbxContent>
                      <w:p w14:paraId="0773BB28" w14:textId="77777777" w:rsidR="002D2105" w:rsidRDefault="002D2105" w:rsidP="000F50EA">
                        <w:r>
                          <w:rPr>
                            <w:rFonts w:ascii="Arial Narrow" w:hAnsi="Arial Narrow" w:cs="Arial Narrow"/>
                            <w:color w:val="000000"/>
                            <w:sz w:val="20"/>
                            <w:szCs w:val="20"/>
                          </w:rPr>
                          <w:t>489,582</w:t>
                        </w:r>
                      </w:p>
                    </w:txbxContent>
                  </v:textbox>
                </v:rect>
                <v:rect id="Rectangle 1458" o:spid="_x0000_s1050" style="position:absolute;left:24142;top:6762;width:3766;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IBBcEA&#10;AADcAAAADwAAAGRycy9kb3ducmV2LnhtbESPzYoCMRCE7wu+Q2jB25pRUGTWKCIIKl4c9wGaSc8P&#10;Jp0hic749kZY2GNRVV9R6+1gjXiSD61jBbNpBoK4dLrlWsHv7fC9AhEiskbjmBS8KMB2M/paY65d&#10;z1d6FrEWCcIhRwVNjF0uZSgbshimriNOXuW8xZikr6X22Ce4NXKeZUtpseW00GBH+4bKe/GwCuSt&#10;OPSrwvjMnefVxZyO14qcUpPxsPsBEWmI/+G/9lErWCyW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CAQXBAAAA3AAAAA8AAAAAAAAAAAAAAAAAmAIAAGRycy9kb3du&#10;cmV2LnhtbFBLBQYAAAAABAAEAPUAAACGAwAAAAA=&#10;" filled="f" stroked="f">
                  <v:textbox style="mso-fit-shape-to-text:t" inset="0,0,0,0">
                    <w:txbxContent>
                      <w:p w14:paraId="0773BB29" w14:textId="77777777" w:rsidR="002D2105" w:rsidRDefault="002D2105" w:rsidP="000F50EA">
                        <w:r>
                          <w:rPr>
                            <w:rFonts w:ascii="Arial Narrow" w:hAnsi="Arial Narrow" w:cs="Arial Narrow"/>
                            <w:color w:val="000000"/>
                            <w:sz w:val="20"/>
                            <w:szCs w:val="20"/>
                          </w:rPr>
                          <w:t>514,544</w:t>
                        </w:r>
                      </w:p>
                    </w:txbxContent>
                  </v:textbox>
                </v:rect>
                <v:rect id="Rectangle 1459" o:spid="_x0000_s1051" style="position:absolute;left:28784;top:6762;width:3766;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6knsIA&#10;AADcAAAADwAAAGRycy9kb3ducmV2LnhtbESPzYoCMRCE74LvEFrwphkFf5g1igiCLl4c9wGaSc8P&#10;Jp0hyTqzb79ZWPBYVNVX1O4wWCNe5EPrWMFinoEgLp1uuVbw9TjPtiBCRNZoHJOCHwpw2I9HO8y1&#10;6/lOryLWIkE45KigibHLpQxlQxbD3HXEyauctxiT9LXUHvsEt0Yus2wtLbacFhrs6NRQ+Sy+rQL5&#10;KM79tjA+c5/L6maul3tFTqnpZDh+gIg0xHf4v33RClarD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zqSewgAAANwAAAAPAAAAAAAAAAAAAAAAAJgCAABkcnMvZG93&#10;bnJldi54bWxQSwUGAAAAAAQABAD1AAAAhwMAAAAA&#10;" filled="f" stroked="f">
                  <v:textbox style="mso-fit-shape-to-text:t" inset="0,0,0,0">
                    <w:txbxContent>
                      <w:p w14:paraId="0773BB2A" w14:textId="77777777" w:rsidR="002D2105" w:rsidRDefault="002D2105" w:rsidP="000F50EA">
                        <w:r>
                          <w:rPr>
                            <w:rFonts w:ascii="Arial Narrow" w:hAnsi="Arial Narrow" w:cs="Arial Narrow"/>
                            <w:color w:val="000000"/>
                            <w:sz w:val="20"/>
                            <w:szCs w:val="20"/>
                          </w:rPr>
                          <w:t>534,290</w:t>
                        </w:r>
                      </w:p>
                    </w:txbxContent>
                  </v:textbox>
                </v:rect>
                <v:rect id="Rectangle 1460" o:spid="_x0000_s1052" style="position:absolute;left:33420;top:6762;width:3765;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Ew7MAA&#10;AADcAAAADwAAAGRycy9kb3ducmV2LnhtbERPS2rDMBDdF3IHMYHsGrmBFONaDqUQSEI2sXuAwRp/&#10;qDQykhK7t68WgS4f718eFmvEg3wYHSt422YgiFunR+4VfDfH1xxEiMgajWNS8EsBDtXqpcRCu5lv&#10;9KhjL1IIhwIVDDFOhZShHchi2LqJOHGd8xZjgr6X2uOcwq2Ruyx7lxZHTg0DTvQ1UPtT360C2dTH&#10;Oa+Nz9xl113N+XTryCm1WS+fHyAiLfFf/HSftIL9Pq1N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lEw7MAAAADcAAAADwAAAAAAAAAAAAAAAACYAgAAZHJzL2Rvd25y&#10;ZXYueG1sUEsFBgAAAAAEAAQA9QAAAIUDAAAAAA==&#10;" filled="f" stroked="f">
                  <v:textbox style="mso-fit-shape-to-text:t" inset="0,0,0,0">
                    <w:txbxContent>
                      <w:p w14:paraId="0773BB2B" w14:textId="77777777" w:rsidR="002D2105" w:rsidRDefault="002D2105" w:rsidP="000F50EA">
                        <w:r>
                          <w:rPr>
                            <w:rFonts w:ascii="Arial Narrow" w:hAnsi="Arial Narrow" w:cs="Arial Narrow"/>
                            <w:color w:val="000000"/>
                            <w:sz w:val="20"/>
                            <w:szCs w:val="20"/>
                          </w:rPr>
                          <w:t>569,328</w:t>
                        </w:r>
                      </w:p>
                    </w:txbxContent>
                  </v:textbox>
                </v:rect>
                <v:rect id="Rectangle 1461" o:spid="_x0000_s1053" style="position:absolute;left:38061;top:6762;width:3766;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2Vd8IA&#10;AADcAAAADwAAAGRycy9kb3ducmV2LnhtbESPzYoCMRCE7wu+Q2jB25pRcHFHo4ggqOzFcR+gmfT8&#10;YNIZkuiMb2+EhT0WVfUVtd4O1ogH+dA6VjCbZiCIS6dbrhX8Xg+fSxAhIms0jknBkwJsN6OPNeba&#10;9XyhRxFrkSAcclTQxNjlUoayIYth6jri5FXOW4xJ+lpqj32CWyPnWfYlLbacFhrsaN9QeSvuVoG8&#10;Fod+WRifufO8+jGn46Uip9RkPOxWICIN8T/81z5qBYvFN7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HZV3wgAAANwAAAAPAAAAAAAAAAAAAAAAAJgCAABkcnMvZG93&#10;bnJldi54bWxQSwUGAAAAAAQABAD1AAAAhwMAAAAA&#10;" filled="f" stroked="f">
                  <v:textbox style="mso-fit-shape-to-text:t" inset="0,0,0,0">
                    <w:txbxContent>
                      <w:p w14:paraId="0773BB2C" w14:textId="77777777" w:rsidR="002D2105" w:rsidRDefault="002D2105" w:rsidP="000F50EA">
                        <w:r>
                          <w:rPr>
                            <w:rFonts w:ascii="Arial Narrow" w:hAnsi="Arial Narrow" w:cs="Arial Narrow"/>
                            <w:color w:val="000000"/>
                            <w:sz w:val="20"/>
                            <w:szCs w:val="20"/>
                          </w:rPr>
                          <w:t>558,884</w:t>
                        </w:r>
                      </w:p>
                    </w:txbxContent>
                  </v:textbox>
                </v:rect>
                <v:rect id="Rectangle 1462" o:spid="_x0000_s1054" style="position:absolute;left:44735;top:6762;width:3537;height:29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v2V8AA&#10;AADcAAAADwAAAGRycy9kb3ducmV2LnhtbERPS2rDMBDdF3IHMYHuGjmGBuNGCSUQSEo2sXuAwRp/&#10;qDQykmK7t68WhSwf778/LtaIiXwYHCvYbjIQxI3TA3cKvuvzWwEiRGSNxjEp+KUAx8PqZY+ldjPf&#10;aapiJ1IIhxIV9DGOpZSh6cli2LiROHGt8xZjgr6T2uOcwq2ReZbtpMWBU0OPI516an6qh1Ug6+o8&#10;F5XxmfvK25u5Xu4tOaVe18vnB4hIS3yK/90XreB9l+an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kv2V8AAAADcAAAADwAAAAAAAAAAAAAAAACYAgAAZHJzL2Rvd25y&#10;ZXYueG1sUEsFBgAAAAAEAAQA9QAAAIUDAAAAAA==&#10;" filled="f" stroked="f">
                  <v:textbox style="mso-fit-shape-to-text:t" inset="0,0,0,0">
                    <w:txbxContent>
                      <w:p w14:paraId="0773BB2D" w14:textId="77777777" w:rsidR="002D2105" w:rsidRDefault="002D2105" w:rsidP="000F50EA">
                        <w:r>
                          <w:rPr>
                            <w:rFonts w:ascii="Arial Narrow" w:hAnsi="Arial Narrow" w:cs="Arial Narrow"/>
                            <w:color w:val="000000"/>
                            <w:sz w:val="20"/>
                            <w:szCs w:val="20"/>
                          </w:rPr>
                          <w:t>21.63%</w:t>
                        </w:r>
                      </w:p>
                    </w:txbxContent>
                  </v:textbox>
                </v:rect>
                <v:rect id="Rectangle 1463" o:spid="_x0000_s1055" style="position:absolute;left:292;top:8439;width:12160;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dTzMEA&#10;AADcAAAADwAAAGRycy9kb3ducmV2LnhtbESPzYoCMRCE7wu+Q2jB25pRUGQ0igiCK3tx9AGaSc8P&#10;Jp0hic7s25sFwWNRVV9Rm91gjXiSD61jBbNpBoK4dLrlWsHtevxegQgRWaNxTAr+KMBuO/raYK5d&#10;zxd6FrEWCcIhRwVNjF0uZSgbshimriNOXuW8xZikr6X22Ce4NXKeZUtpseW00GBHh4bKe/GwCuS1&#10;OParwvjMnefVr/k5XSpySk3Gw34NItIQP+F3+6QVLJYz+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EHU8zBAAAA3AAAAA8AAAAAAAAAAAAAAAAAmAIAAGRycy9kb3du&#10;cmV2LnhtbFBLBQYAAAAABAAEAPUAAACGAwAAAAA=&#10;" filled="f" stroked="f">
                  <v:textbox style="mso-fit-shape-to-text:t" inset="0,0,0,0">
                    <w:txbxContent>
                      <w:p w14:paraId="0773BB2E" w14:textId="7C961A98" w:rsidR="002D2105" w:rsidRDefault="002D2105" w:rsidP="000F50EA">
                        <w:r w:rsidRPr="00DC5AE0">
                          <w:rPr>
                            <w:rFonts w:ascii="Arial Narrow" w:hAnsi="Arial Narrow" w:cs="Arial Narrow"/>
                            <w:b/>
                            <w:bCs/>
                            <w:color w:val="000000"/>
                            <w:sz w:val="20"/>
                            <w:szCs w:val="20"/>
                          </w:rPr>
                          <w:t>Investimet totale (000/€)</w:t>
                        </w:r>
                        <w:r>
                          <w:rPr>
                            <w:rFonts w:ascii="Arial Narrow" w:hAnsi="Arial Narrow" w:cs="Arial Narrow"/>
                            <w:b/>
                            <w:bCs/>
                            <w:color w:val="000000"/>
                            <w:sz w:val="20"/>
                            <w:szCs w:val="20"/>
                          </w:rPr>
                          <w:t>)</w:t>
                        </w:r>
                      </w:p>
                    </w:txbxContent>
                  </v:textbox>
                </v:rect>
                <v:rect id="Rectangle 1464" o:spid="_x0000_s1056" style="position:absolute;left:15373;top:8439;width:2610;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XNu8EA&#10;AADcAAAADwAAAGRycy9kb3ducmV2LnhtbESP3YrCMBSE7xd8h3AWvFvTLShSjbIsCCp7Y/UBDs3p&#10;DyYnJYm2vr1ZELwcZuYbZr0drRF38qFzrOB7loEgrpzuuFFwOe++liBCRNZoHJOCBwXYbiYfayy0&#10;G/hE9zI2IkE4FKigjbEvpAxVSxbDzPXEyaudtxiT9I3UHocEt0bmWbaQFjtOCy329NtSdS1vVoE8&#10;l7thWRqfuWNe/5nD/lSTU2r6Of6sQEQa4zv8au+1gvki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VzbvBAAAA3AAAAA8AAAAAAAAAAAAAAAAAmAIAAGRycy9kb3du&#10;cmV2LnhtbFBLBQYAAAAABAAEAPUAAACGAwAAAAA=&#10;" filled="f" stroked="f">
                  <v:textbox style="mso-fit-shape-to-text:t" inset="0,0,0,0">
                    <w:txbxContent>
                      <w:p w14:paraId="0773BB2F" w14:textId="77777777" w:rsidR="002D2105" w:rsidRDefault="002D2105" w:rsidP="000F50EA">
                        <w:r>
                          <w:rPr>
                            <w:rFonts w:ascii="Arial Narrow" w:hAnsi="Arial Narrow" w:cs="Arial Narrow"/>
                            <w:color w:val="000000"/>
                            <w:sz w:val="20"/>
                            <w:szCs w:val="20"/>
                          </w:rPr>
                          <w:t>9,998</w:t>
                        </w:r>
                      </w:p>
                    </w:txbxContent>
                  </v:textbox>
                </v:rect>
                <v:rect id="Rectangle 1465" o:spid="_x0000_s1057" style="position:absolute;left:19716;top:8439;width:3188;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loIMIA&#10;AADcAAAADwAAAGRycy9kb3ducmV2LnhtbESPzYoCMRCE74LvEFrwphmVFZk1igiCLl4c9wGaSc8P&#10;Jp0hyTqzb28WhD0WVfUVtd0P1ogn+dA6VrCYZyCIS6dbrhV830+zDYgQkTUax6TglwLsd+PRFnPt&#10;er7Rs4i1SBAOOSpoYuxyKUPZkMUwdx1x8irnLcYkfS21xz7BrZHLLFtLiy2nhQY7OjZUPoofq0De&#10;i1O/KYzP3NeyuprL+VaRU2o6GQ6fICIN8T/8bp+1go/1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mWggwgAAANwAAAAPAAAAAAAAAAAAAAAAAJgCAABkcnMvZG93&#10;bnJldi54bWxQSwUGAAAAAAQABAD1AAAAhwMAAAAA&#10;" filled="f" stroked="f">
                  <v:textbox style="mso-fit-shape-to-text:t" inset="0,0,0,0">
                    <w:txbxContent>
                      <w:p w14:paraId="0773BB30" w14:textId="77777777" w:rsidR="002D2105" w:rsidRDefault="002D2105" w:rsidP="000F50EA">
                        <w:r>
                          <w:rPr>
                            <w:rFonts w:ascii="Arial Narrow" w:hAnsi="Arial Narrow" w:cs="Arial Narrow"/>
                            <w:color w:val="000000"/>
                            <w:sz w:val="20"/>
                            <w:szCs w:val="20"/>
                          </w:rPr>
                          <w:t>10,424</w:t>
                        </w:r>
                      </w:p>
                    </w:txbxContent>
                  </v:textbox>
                </v:rect>
                <v:rect id="Rectangle 1466" o:spid="_x0000_s1058" style="position:absolute;left:24364;top:8439;width:3188;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DwVMIA&#10;AADcAAAADwAAAGRycy9kb3ducmV2LnhtbESPzYoCMRCE74LvEFrwphnFFZk1igiCLl4c9wGaSc8P&#10;Jp0hyTqzb28WhD0WVfUVtd0P1ogn+dA6VrCYZyCIS6dbrhV830+zDYgQkTUax6TglwLsd+PRFnPt&#10;er7Rs4i1SBAOOSpoYuxyKUPZkMUwdx1x8irnLcYkfS21xz7BrZHLLFtLiy2nhQY7OjZUPoofq0De&#10;i1O/KYzP3NeyuprL+VaRU2o6GQ6fICIN8T/8bp+1go/1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cPBUwgAAANwAAAAPAAAAAAAAAAAAAAAAAJgCAABkcnMvZG93&#10;bnJldi54bWxQSwUGAAAAAAQABAD1AAAAhwMAAAAA&#10;" filled="f" stroked="f">
                  <v:textbox style="mso-fit-shape-to-text:t" inset="0,0,0,0">
                    <w:txbxContent>
                      <w:p w14:paraId="0773BB31" w14:textId="77777777" w:rsidR="002D2105" w:rsidRDefault="002D2105" w:rsidP="000F50EA">
                        <w:r>
                          <w:rPr>
                            <w:rFonts w:ascii="Arial Narrow" w:hAnsi="Arial Narrow" w:cs="Arial Narrow"/>
                            <w:color w:val="000000"/>
                            <w:sz w:val="20"/>
                            <w:szCs w:val="20"/>
                          </w:rPr>
                          <w:t>10,905</w:t>
                        </w:r>
                      </w:p>
                    </w:txbxContent>
                  </v:textbox>
                </v:rect>
                <v:rect id="Rectangle 1467" o:spid="_x0000_s1059" style="position:absolute;left:29286;top:8439;width:2610;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xVz8EA&#10;AADcAAAADwAAAGRycy9kb3ducmV2LnhtbESPzYoCMRCE7wu+Q2jB25pRUGTWKCIIKl4c9wGaSc8P&#10;Jp0hic749kZY2GNRVV9R6+1gjXiSD61jBbNpBoK4dLrlWsHv7fC9AhEiskbjmBS8KMB2M/paY65d&#10;z1d6FrEWCcIhRwVNjF0uZSgbshimriNOXuW8xZikr6X22Ce4NXKeZUtpseW00GBH+4bKe/GwCuSt&#10;OPSrwvjMnefVxZyO14qcUpPxsPsBEWmI/+G/9lErWCwX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48Vc/BAAAA3AAAAA8AAAAAAAAAAAAAAAAAmAIAAGRycy9kb3du&#10;cmV2LnhtbFBLBQYAAAAABAAEAPUAAACGAwAAAAA=&#10;" filled="f" stroked="f">
                  <v:textbox style="mso-fit-shape-to-text:t" inset="0,0,0,0">
                    <w:txbxContent>
                      <w:p w14:paraId="0773BB32" w14:textId="77777777" w:rsidR="002D2105" w:rsidRDefault="002D2105" w:rsidP="000F50EA">
                        <w:r>
                          <w:rPr>
                            <w:rFonts w:ascii="Arial Narrow" w:hAnsi="Arial Narrow" w:cs="Arial Narrow"/>
                            <w:color w:val="000000"/>
                            <w:sz w:val="20"/>
                            <w:szCs w:val="20"/>
                          </w:rPr>
                          <w:t>5.943</w:t>
                        </w:r>
                      </w:p>
                    </w:txbxContent>
                  </v:textbox>
                </v:rect>
                <v:rect id="Rectangle 1468" o:spid="_x0000_s1060" style="position:absolute;left:33642;top:8439;width:3188;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7LuMEA&#10;AADcAAAADwAAAGRycy9kb3ducmV2LnhtbESP3YrCMBSE7xd8h3AE79ZUwSLVKMuCoMveWH2AQ3P6&#10;g8lJSaKtb79ZELwcZuYbZrsfrREP8qFzrGAxz0AQV0533Ci4Xg6faxAhIms0jknBkwLsd5OPLRba&#10;DXymRxkbkSAcClTQxtgXUoaqJYth7nri5NXOW4xJ+kZqj0OCWyOXWZZLix2nhRZ7+m6pupV3q0Be&#10;ysOwLo3P3M+y/jWn47kmp9RsOn5tQEQa4zv8ah+1glWe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7uy7jBAAAA3AAAAA8AAAAAAAAAAAAAAAAAmAIAAGRycy9kb3du&#10;cmV2LnhtbFBLBQYAAAAABAAEAPUAAACGAwAAAAA=&#10;" filled="f" stroked="f">
                  <v:textbox style="mso-fit-shape-to-text:t" inset="0,0,0,0">
                    <w:txbxContent>
                      <w:p w14:paraId="0773BB33" w14:textId="77777777" w:rsidR="002D2105" w:rsidRDefault="002D2105" w:rsidP="000F50EA">
                        <w:r>
                          <w:rPr>
                            <w:rFonts w:ascii="Arial Narrow" w:hAnsi="Arial Narrow" w:cs="Arial Narrow"/>
                            <w:color w:val="000000"/>
                            <w:sz w:val="20"/>
                            <w:szCs w:val="20"/>
                          </w:rPr>
                          <w:t>16,923</w:t>
                        </w:r>
                      </w:p>
                    </w:txbxContent>
                  </v:textbox>
                </v:rect>
                <v:rect id="Rectangle 1469" o:spid="_x0000_s1061" style="position:absolute;left:38569;top:8439;width:2610;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JuI8IA&#10;AADcAAAADwAAAGRycy9kb3ducmV2LnhtbESPzYoCMRCE74LvEFrYm2YUdGXWKCIIKl4c9wGaSc8P&#10;Jp0hyTqzb78RhD0WVfUVtdkN1ogn+dA6VjCfZSCIS6dbrhV834/TNYgQkTUax6TglwLstuPRBnPt&#10;er7Rs4i1SBAOOSpoYuxyKUPZkMUwcx1x8irnLcYkfS21xz7BrZGLLFtJiy2nhQY7OjRUPoofq0De&#10;i2O/LozP3GVRXc35dKvIKfUxGfZfICIN8T/8bp+0guXqE1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om4jwgAAANwAAAAPAAAAAAAAAAAAAAAAAJgCAABkcnMvZG93&#10;bnJldi54bWxQSwUGAAAAAAQABAD1AAAAhwMAAAAA&#10;" filled="f" stroked="f">
                  <v:textbox style="mso-fit-shape-to-text:t" inset="0,0,0,0">
                    <w:txbxContent>
                      <w:p w14:paraId="0773BB34" w14:textId="77777777" w:rsidR="002D2105" w:rsidRDefault="002D2105" w:rsidP="000F50EA">
                        <w:r>
                          <w:rPr>
                            <w:rFonts w:ascii="Arial Narrow" w:hAnsi="Arial Narrow" w:cs="Arial Narrow"/>
                            <w:color w:val="000000"/>
                            <w:sz w:val="20"/>
                            <w:szCs w:val="20"/>
                          </w:rPr>
                          <w:t>9,859</w:t>
                        </w:r>
                      </w:p>
                    </w:txbxContent>
                  </v:textbox>
                </v:rect>
                <v:rect id="Rectangle 1470" o:spid="_x0000_s1062" style="position:absolute;left:44805;top:8439;width:3302;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36UcAA&#10;AADcAAAADwAAAGRycy9kb3ducmV2LnhtbERPS2rDMBDdF3IHMYHuGjmGBuNGCSUQSEo2sXuAwRp/&#10;qDQykmK7t68WhSwf778/LtaIiXwYHCvYbjIQxI3TA3cKvuvzWwEiRGSNxjEp+KUAx8PqZY+ldjPf&#10;aapiJ1IIhxIV9DGOpZSh6cli2LiROHGt8xZjgr6T2uOcwq2ReZbtpMWBU0OPI516an6qh1Ug6+o8&#10;F5XxmfvK25u5Xu4tOaVe18vnB4hIS3yK/90XreB9l9am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D36UcAAAADcAAAADwAAAAAAAAAAAAAAAACYAgAAZHJzL2Rvd25y&#10;ZXYueG1sUEsFBgAAAAAEAAQA9QAAAIUDAAAAAA==&#10;" filled="f" stroked="f">
                  <v:textbox style="mso-fit-shape-to-text:t" inset="0,0,0,0">
                    <w:txbxContent>
                      <w:p w14:paraId="0773BB35" w14:textId="77777777" w:rsidR="002D2105" w:rsidRDefault="002D2105" w:rsidP="000F50EA">
                        <w:r>
                          <w:rPr>
                            <w:rFonts w:ascii="Arial Narrow" w:hAnsi="Arial Narrow" w:cs="Arial Narrow"/>
                            <w:color w:val="000000"/>
                            <w:sz w:val="20"/>
                            <w:szCs w:val="20"/>
                          </w:rPr>
                          <w:t>-1.39%</w:t>
                        </w:r>
                      </w:p>
                    </w:txbxContent>
                  </v:textbox>
                </v:rect>
                <v:rect id="Rectangle 1471" o:spid="_x0000_s1063" style="position:absolute;left:34004;top:946;width:2318;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FfysIA&#10;AADcAAAADwAAAGRycy9kb3ducmV2LnhtbESPzYoCMRCE74LvEFrwphkFxR2NIoKgy14c9wGaSc8P&#10;Jp0hic749puFhT0WVfUVtTsM1ogX+dA6VrCYZyCIS6dbrhV838+zDYgQkTUax6TgTQEO+/Foh7l2&#10;Pd/oVcRaJAiHHBU0MXa5lKFsyGKYu444eZXzFmOSvpbaY5/g1shllq2lxZbTQoMdnRoqH8XTKpD3&#10;4txvCuMz97msvsz1cqvIKTWdDMctiEhD/A//tS9awWr9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V/KwgAAANwAAAAPAAAAAAAAAAAAAAAAAJgCAABkcnMvZG93&#10;bnJldi54bWxQSwUGAAAAAAQABAD1AAAAhwMAAAAA&#10;" filled="f" stroked="f">
                  <v:textbox style="mso-fit-shape-to-text:t" inset="0,0,0,0">
                    <w:txbxContent>
                      <w:p w14:paraId="0773BB36" w14:textId="77777777" w:rsidR="002D2105" w:rsidRDefault="002D2105" w:rsidP="000F50EA">
                        <w:r>
                          <w:rPr>
                            <w:rFonts w:ascii="Arial Narrow" w:hAnsi="Arial Narrow" w:cs="Arial Narrow"/>
                            <w:b/>
                            <w:bCs/>
                            <w:color w:val="000000"/>
                            <w:sz w:val="20"/>
                            <w:szCs w:val="20"/>
                          </w:rPr>
                          <w:t>2019</w:t>
                        </w:r>
                      </w:p>
                    </w:txbxContent>
                  </v:textbox>
                </v:rect>
                <v:rect id="Rectangle 1472" o:spid="_x0000_s1064" style="position:absolute;left:38646;top:946;width:2317;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Jgir8A&#10;AADcAAAADwAAAGRycy9kb3ducmV2LnhtbERPy4rCMBTdC/MP4Q7MTtMRfFCNIgOCDm5s/YBLc/vA&#10;5KYk0da/nywGXB7Oe7sfrRFP8qFzrOB7loEgrpzuuFFwK4/TNYgQkTUax6TgRQH2u4/JFnPtBr7S&#10;s4iNSCEcclTQxtjnUoaqJYth5nrixNXOW4wJ+kZqj0MKt0bOs2wpLXacGlrs6ael6l48rAJZFsdh&#10;XRifud95fTHn07Ump9TX53jYgIg0xrf4333SCharND+dSUd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kmCKvwAAANwAAAAPAAAAAAAAAAAAAAAAAJgCAABkcnMvZG93bnJl&#10;di54bWxQSwUGAAAAAAQABAD1AAAAhAMAAAAA&#10;" filled="f" stroked="f">
                  <v:textbox style="mso-fit-shape-to-text:t" inset="0,0,0,0">
                    <w:txbxContent>
                      <w:p w14:paraId="0773BB37" w14:textId="77777777" w:rsidR="002D2105" w:rsidRDefault="002D2105" w:rsidP="000F50EA">
                        <w:r>
                          <w:rPr>
                            <w:rFonts w:ascii="Arial Narrow" w:hAnsi="Arial Narrow" w:cs="Arial Narrow"/>
                            <w:b/>
                            <w:bCs/>
                            <w:color w:val="000000"/>
                            <w:sz w:val="20"/>
                            <w:szCs w:val="20"/>
                          </w:rPr>
                          <w:t>2020</w:t>
                        </w:r>
                      </w:p>
                    </w:txbxContent>
                  </v:textbox>
                </v:rect>
                <v:rect id="Rectangle 1473" o:spid="_x0000_s1065" style="position:absolute;left:4425;top:946;width:4458;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7FEcIA&#10;AADcAAAADwAAAGRycy9kb3ducmV2LnhtbESPzYoCMRCE74LvEFrwphkFXRmNIoLgLl4cfYBm0vOD&#10;SWdIojP79puFhT0WVfUVtTsM1og3+dA6VrCYZyCIS6dbrhU87ufZBkSIyBqNY1LwTQEO+/Foh7l2&#10;Pd/oXcRaJAiHHBU0MXa5lKFsyGKYu444eZXzFmOSvpbaY5/g1shllq2lxZbTQoMdnRoqn8XLKpD3&#10;4txvCuMz97WsrubzcqvIKTWdDMctiEhD/A//tS9awepj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3sURwgAAANwAAAAPAAAAAAAAAAAAAAAAAJgCAABkcnMvZG93&#10;bnJldi54bWxQSwUGAAAAAAQABAD1AAAAhwMAAAAA&#10;" filled="f" stroked="f">
                  <v:textbox style="mso-fit-shape-to-text:t" inset="0,0,0,0">
                    <w:txbxContent>
                      <w:p w14:paraId="0773BB38" w14:textId="77777777" w:rsidR="002D2105" w:rsidRDefault="002D2105" w:rsidP="000F50EA">
                        <w:r>
                          <w:rPr>
                            <w:rFonts w:ascii="Arial Narrow" w:hAnsi="Arial Narrow" w:cs="Arial Narrow"/>
                            <w:b/>
                            <w:bCs/>
                            <w:color w:val="000000"/>
                            <w:sz w:val="20"/>
                            <w:szCs w:val="20"/>
                          </w:rPr>
                          <w:t>Emërtimi</w:t>
                        </w:r>
                      </w:p>
                    </w:txbxContent>
                  </v:textbox>
                </v:rect>
                <v:rect id="Rectangle 1474" o:spid="_x0000_s1066" style="position:absolute;left:15443;top:946;width:2317;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xbZsIA&#10;AADcAAAADwAAAGRycy9kb3ducmV2LnhtbESP3WoCMRSE7wXfIRzBO826YCurUUQQbOmNqw9w2Jz9&#10;weRkSaK7ffumUOjlMDPfMLvDaI14kQ+dYwWrZQaCuHK640bB/XZebECEiKzROCYF3xTgsJ9Odlho&#10;N/CVXmVsRIJwKFBBG2NfSBmqliyGpeuJk1c7bzEm6RupPQ4Jbo3Ms+xNWuw4LbTY06ml6lE+rQJ5&#10;K8/DpjQ+c595/WU+LteanFLz2Xjcgog0xv/wX/uiFazf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DFtmwgAAANwAAAAPAAAAAAAAAAAAAAAAAJgCAABkcnMvZG93&#10;bnJldi54bWxQSwUGAAAAAAQABAD1AAAAhwMAAAAA&#10;" filled="f" stroked="f">
                  <v:textbox style="mso-fit-shape-to-text:t" inset="0,0,0,0">
                    <w:txbxContent>
                      <w:p w14:paraId="0773BB39" w14:textId="77777777" w:rsidR="002D2105" w:rsidRDefault="002D2105" w:rsidP="000F50EA">
                        <w:r>
                          <w:rPr>
                            <w:rFonts w:ascii="Arial Narrow" w:hAnsi="Arial Narrow" w:cs="Arial Narrow"/>
                            <w:b/>
                            <w:bCs/>
                            <w:color w:val="000000"/>
                            <w:sz w:val="20"/>
                            <w:szCs w:val="20"/>
                          </w:rPr>
                          <w:t>2015</w:t>
                        </w:r>
                      </w:p>
                    </w:txbxContent>
                  </v:textbox>
                </v:rect>
                <v:rect id="Rectangle 1475" o:spid="_x0000_s1067" style="position:absolute;left:20085;top:946;width:2317;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D+/cIA&#10;AADcAAAADwAAAGRycy9kb3ducmV2LnhtbESP3WoCMRSE7wu+QziCdzWrUpXVKFIQbPHG1Qc4bM7+&#10;YHKyJKm7ffumIHg5zMw3zHY/WCMe5EPrWMFsmoEgLp1uuVZwux7f1yBCRNZoHJOCXwqw343etphr&#10;1/OFHkWsRYJwyFFBE2OXSxnKhiyGqeuIk1c5bzEm6WupPfYJbo2cZ9lSWmw5LTTY0WdD5b34sQrk&#10;tTj268L4zH3Pq7P5Ol0qckpNxsNhAyLSEF/hZ/ukFXysF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QP79wgAAANwAAAAPAAAAAAAAAAAAAAAAAJgCAABkcnMvZG93&#10;bnJldi54bWxQSwUGAAAAAAQABAD1AAAAhwMAAAAA&#10;" filled="f" stroked="f">
                  <v:textbox style="mso-fit-shape-to-text:t" inset="0,0,0,0">
                    <w:txbxContent>
                      <w:p w14:paraId="0773BB3A" w14:textId="77777777" w:rsidR="002D2105" w:rsidRDefault="002D2105" w:rsidP="000F50EA">
                        <w:r>
                          <w:rPr>
                            <w:rFonts w:ascii="Arial Narrow" w:hAnsi="Arial Narrow" w:cs="Arial Narrow"/>
                            <w:b/>
                            <w:bCs/>
                            <w:color w:val="000000"/>
                            <w:sz w:val="20"/>
                            <w:szCs w:val="20"/>
                          </w:rPr>
                          <w:t>2016</w:t>
                        </w:r>
                      </w:p>
                    </w:txbxContent>
                  </v:textbox>
                </v:rect>
                <v:rect id="Rectangle 1476" o:spid="_x0000_s1068" style="position:absolute;left:24720;top:946;width:2318;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lmicIA&#10;AADcAAAADwAAAGRycy9kb3ducmV2LnhtbESP3WoCMRSE7wu+QziCdzWrWJXVKFIQbPHG1Qc4bM7+&#10;YHKyJKm7ffumIHg5zMw3zHY/WCMe5EPrWMFsmoEgLp1uuVZwux7f1yBCRNZoHJOCXwqw343etphr&#10;1/OFHkWsRYJwyFFBE2OXSxnKhiyGqeuIk1c5bzEm6WupPfYJbo2cZ9lSWmw5LTTY0WdD5b34sQrk&#10;tTj268L4zH3Pq7P5Ol0qckpNxsNhAyLSEF/hZ/ukFXysF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qWaJwgAAANwAAAAPAAAAAAAAAAAAAAAAAJgCAABkcnMvZG93&#10;bnJldi54bWxQSwUGAAAAAAQABAD1AAAAhwMAAAAA&#10;" filled="f" stroked="f">
                  <v:textbox style="mso-fit-shape-to-text:t" inset="0,0,0,0">
                    <w:txbxContent>
                      <w:p w14:paraId="0773BB3B" w14:textId="77777777" w:rsidR="002D2105" w:rsidRDefault="002D2105" w:rsidP="000F50EA">
                        <w:r>
                          <w:rPr>
                            <w:rFonts w:ascii="Arial Narrow" w:hAnsi="Arial Narrow" w:cs="Arial Narrow"/>
                            <w:b/>
                            <w:bCs/>
                            <w:color w:val="000000"/>
                            <w:sz w:val="20"/>
                            <w:szCs w:val="20"/>
                          </w:rPr>
                          <w:t>2017</w:t>
                        </w:r>
                      </w:p>
                    </w:txbxContent>
                  </v:textbox>
                </v:rect>
                <v:rect id="Rectangle 1477" o:spid="_x0000_s1069" style="position:absolute;left:29362;top:946;width:2318;height:29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DEsIA&#10;AADcAAAADwAAAGRycy9kb3ducmV2LnhtbESPzYoCMRCE74LvEFrwphkFf5g1igiCLl4c9wGaSc8P&#10;Jp0hyTqzb79ZWPBYVNVX1O4wWCNe5EPrWMFinoEgLp1uuVbw9TjPtiBCRNZoHJOCHwpw2I9HO8y1&#10;6/lOryLWIkE45KigibHLpQxlQxbD3HXEyauctxiT9LXUHvsEt0Yus2wtLbacFhrs6NRQ+Sy+rQL5&#10;KM79tjA+c5/L6maul3tFTqnpZDh+gIg0xHf4v33RClabF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5cMSwgAAANwAAAAPAAAAAAAAAAAAAAAAAJgCAABkcnMvZG93&#10;bnJldi54bWxQSwUGAAAAAAQABAD1AAAAhwMAAAAA&#10;" filled="f" stroked="f">
                  <v:textbox style="mso-fit-shape-to-text:t" inset="0,0,0,0">
                    <w:txbxContent>
                      <w:p w14:paraId="0773BB3C" w14:textId="77777777" w:rsidR="002D2105" w:rsidRDefault="002D2105" w:rsidP="000F50EA">
                        <w:r>
                          <w:rPr>
                            <w:rFonts w:ascii="Arial Narrow" w:hAnsi="Arial Narrow" w:cs="Arial Narrow"/>
                            <w:b/>
                            <w:bCs/>
                            <w:color w:val="000000"/>
                            <w:sz w:val="20"/>
                            <w:szCs w:val="20"/>
                          </w:rPr>
                          <w:t>2018</w:t>
                        </w:r>
                      </w:p>
                    </w:txbxContent>
                  </v:textbox>
                </v:rect>
                <v:line id="Line 1478" o:spid="_x0000_s1070" style="position:absolute;flip:y;visibility:visible;mso-wrap-style:square" from="72,72" to="7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3nOcYAAADcAAAADwAAAGRycy9kb3ducmV2LnhtbESPQWvCQBSE7wX/w/KE3uomlapEVxFB&#10;aS8VE1G8PbLPJJh9m2a3Mf333ULB4zAz3zCLVW9q0VHrKssK4lEEgji3uuJCwTHbvsxAOI+ssbZM&#10;Cn7IwWo5eFpgou2dD9SlvhABwi5BBaX3TSKly0sy6Ea2IQ7e1bYGfZBtIXWL9wA3tXyNook0WHFY&#10;KLGhTUn5Lf02Cr725/iSpd3Y7y/Z6Rx/7j5Ss1Pqediv5yA89f4R/m+/awVv0wn8nQlH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WN5znGAAAA3AAAAA8AAAAAAAAA&#10;AAAAAAAAoQIAAGRycy9kb3ducmV2LnhtbFBLBQYAAAAABAAEAPkAAACUAwAAAAA=&#10;" strokecolor="#d4d4d4" strokeweight="0"/>
                <v:rect id="Rectangle 1479" o:spid="_x0000_s1071" style="position:absolute;left:72;width:73;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cJjsUA&#10;AADcAAAADwAAAGRycy9kb3ducmV2LnhtbESPzWrDMBCE74W8g9hALyWRE3B+HCshlBTaW5vkARZr&#10;bTmxVkZSE7dPXxUKPQ4z8w1T7gbbiRv50DpWMJtmIIgrp1tuFJxPL5MViBCRNXaOScEXBdhtRw8l&#10;Ftrd+YNux9iIBOFQoAITY19IGSpDFsPU9cTJq523GJP0jdQe7wluOznPsoW02HJaMNjTs6Hqevy0&#10;CuTlXbeyPyz8pX666rV5y/E7V+pxPOw3ICIN8T/8137VCvLlEn7Pp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BwmOxQAAANwAAAAPAAAAAAAAAAAAAAAAAJgCAABkcnMv&#10;ZG93bnJldi54bWxQSwUGAAAAAAQABAD1AAAAigMAAAAA&#10;" fillcolor="#d4d4d4" stroked="f"/>
                <v:line id="Line 1480" o:spid="_x0000_s1072" style="position:absolute;flip:y;visibility:visible;mso-wrap-style:square" from="14139,72" to="1414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7W0MQAAADcAAAADwAAAGRycy9kb3ducmV2LnhtbERPTWvCQBC9C/0PyxR6000s2pJmlSJU&#10;6kUxKZXchuw0Cc3OptltjP/ePQgeH+87XY+mFQP1rrGsIJ5FIIhLqxuuFHzlH9NXEM4ja2wtk4IL&#10;OVivHiYpJtqe+UhD5isRQtglqKD2vkukdGVNBt3MdsSB+7G9QR9gX0nd4zmEm1bOo2gpDTYcGmrs&#10;aFNT+Zv9GwV/h1Nc5Nnw7A9F/n2K99tdZrZKPT2O728gPI3+Lr65P7WCxUtYG86EIy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7XtbQxAAAANwAAAAPAAAAAAAAAAAA&#10;AAAAAKECAABkcnMvZG93bnJldi54bWxQSwUGAAAAAAQABAD5AAAAkgMAAAAA&#10;" strokecolor="#d4d4d4" strokeweight="0"/>
                <v:rect id="Rectangle 1481" o:spid="_x0000_s1073" style="position:absolute;left:14139;width:73;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Q4Z8QA&#10;AADcAAAADwAAAGRycy9kb3ducmV2LnhtbESPUWvCMBSF34X9h3AHvshMFepm1yhDNphvzu0HXJpr&#10;09rclCTTbr/eCIKPh3POdzjlerCdOJEPjWMFs2kGgrhyuuFawc/3x9MLiBCRNXaOScEfBVivHkYl&#10;Ftqd+YtO+1iLBOFQoAITY19IGSpDFsPU9cTJOzhvMSbpa6k9nhPcdnKeZQtpseG0YLCnjaHquP+1&#10;CmS7043s3xe+PUyOemm2Of7nSo0fh7dXEJGGeA/f2p9aQf68hOuZdATk6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UOGfEAAAA3AAAAA8AAAAAAAAAAAAAAAAAmAIAAGRycy9k&#10;b3ducmV2LnhtbFBLBQYAAAAABAAEAPUAAACJAwAAAAA=&#10;" fillcolor="#d4d4d4" stroked="f"/>
                <v:line id="Line 1482" o:spid="_x0000_s1074" style="position:absolute;flip:y;visibility:visible;mso-wrap-style:square" from="18776,72" to="1878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2q8cQAAADcAAAADwAAAGRycy9kb3ducmV2LnhtbERPTWvCQBC9C/6HZYTedJNKS0izShEU&#10;e6k0ESW3ITtNQrOzaXYb03/fPRQ8Pt53tp1MJ0YaXGtZQbyKQBBXVrdcKzgX+2UCwnlkjZ1lUvBL&#10;Drab+SzDVNsbf9CY+1qEEHYpKmi871MpXdWQQbeyPXHgPu1g0Ac41FIPeAvhppOPUfQsDbYcGhrs&#10;addQ9ZX/GAXfp2tcFvm49qeyuFzj98Nbbg5KPSym1xcQniZ/F/+7j1rBUxLmhzPhCM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arxxAAAANwAAAAPAAAAAAAAAAAA&#10;AAAAAKECAABkcnMvZG93bnJldi54bWxQSwUGAAAAAAQABAD5AAAAkgMAAAAA&#10;" strokecolor="#d4d4d4" strokeweight="0"/>
                <v:rect id="Rectangle 1483" o:spid="_x0000_s1075" style="position:absolute;left:18776;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ERsQA&#10;AADcAAAADwAAAGRycy9kb3ducmV2LnhtbESPUWvCMBSF3wf7D+EOfBkzVah0nVGGbODeZrcfcGlu&#10;m2pzU5Ko1V9vBgMfD+ec73CW69H24kQ+dI4VzKYZCOLa6Y5bBb8/ny8FiBCRNfaOScGFAqxXjw9L&#10;LLU7845OVWxFgnAoUYGJcSilDLUhi2HqBuLkNc5bjEn6VmqP5wS3vZxn2UJa7DgtGBxoY6g+VEer&#10;QO6/dSeHj4XfN88H/Wq+crzmSk2exvc3EJHGeA//t7daQV7M4O9MOgJ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3REbEAAAA3AAAAA8AAAAAAAAAAAAAAAAAmAIAAGRycy9k&#10;b3ducmV2LnhtbFBLBQYAAAAABAAEAPUAAACJAwAAAAA=&#10;" fillcolor="#d4d4d4" stroked="f"/>
                <v:line id="Line 1484" o:spid="_x0000_s1076" style="position:absolute;flip:y;visibility:visible;mso-wrap-style:square" from="23418,72" to="2342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ORHcUAAADcAAAADwAAAGRycy9kb3ducmV2LnhtbESPQWvCQBSE74L/YXlCb7qJxSKpq4hQ&#10;qRelSal4e2SfSTD7Ns1uY/z3riD0OMzMN8xi1ZtadNS6yrKCeBKBIM6trrhQ8J19jOcgnEfWWFsm&#10;BTdysFoOBwtMtL3yF3WpL0SAsEtQQel9k0jp8pIMuoltiIN3tq1BH2RbSN3iNcBNLadR9CYNVhwW&#10;SmxoU1J+Sf+Mgt/DMT5laffqD6fs5xjvt7vUbJV6GfXrdxCeev8ffrY/tYLZfAqPM+EIyO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2ORHcUAAADcAAAADwAAAAAAAAAA&#10;AAAAAAChAgAAZHJzL2Rvd25yZXYueG1sUEsFBgAAAAAEAAQA+QAAAJMDAAAAAA==&#10;" strokecolor="#d4d4d4" strokeweight="0"/>
                <v:rect id="Rectangle 1485" o:spid="_x0000_s1077" style="position:absolute;left:23418;width:73;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l/qsUA&#10;AADcAAAADwAAAGRycy9kb3ducmV2LnhtbESPzWrDMBCE74W8g9hCL6WR2+KQulZCKAmkt+bnARZr&#10;Y9mxVkZSEidPXxUKOQ4z8w1TzgfbiTP50DhW8DrOQBBXTjdcK9jvVi9TECEia+wck4IrBZjPRg8l&#10;FtpdeEPnbaxFgnAoUIGJsS+kDJUhi2HseuLkHZy3GJP0tdQeLwluO/mWZRNpseG0YLCnL0PVcXuy&#10;CmT7oxvZLye+PTwf9Yf5zvGWK/X0OCw+QUQa4j38315rBfn0Hf7OpCM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6X+qxQAAANwAAAAPAAAAAAAAAAAAAAAAAJgCAABkcnMv&#10;ZG93bnJldi54bWxQSwUGAAAAAAQABAD1AAAAigMAAAAA&#10;" fillcolor="#d4d4d4" stroked="f"/>
                <v:line id="Line 1486" o:spid="_x0000_s1078" style="position:absolute;flip:y;visibility:visible;mso-wrap-style:square" from="28055,72" to="2806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as8sYAAADcAAAADwAAAGRycy9kb3ducmV2LnhtbESPQWvCQBSE7wX/w/IEb3WT2opEV5GC&#10;0l4qJqJ4e2SfSTD7Nma3Mf333ULB4zAz3zCLVW9q0VHrKssK4nEEgji3uuJCwSHbPM9AOI+ssbZM&#10;Cn7IwWo5eFpgou2d99SlvhABwi5BBaX3TSKly0sy6Ma2IQ7exbYGfZBtIXWL9wA3tXyJoqk0WHFY&#10;KLGh95Lya/ptFNx2p/icpd3E787Z8RR/bT9Ts1VqNOzXcxCeev8I/7c/tIK32Sv8nQlH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GrPLGAAAA3AAAAA8AAAAAAAAA&#10;AAAAAAAAoQIAAGRycy9kb3ducmV2LnhtbFBLBQYAAAAABAAEAPkAAACUAwAAAAA=&#10;" strokecolor="#d4d4d4" strokeweight="0"/>
                <v:rect id="Rectangle 1487" o:spid="_x0000_s1079" style="position:absolute;left:28055;width:73;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xCRcQA&#10;AADcAAAADwAAAGRycy9kb3ducmV2LnhtbESPUWvCMBSF3wf+h3AFX4ZNFSquNsoYG8y3re4HXJpr&#10;U21uShK1269fhMEeD+ec73Cq3Wh7cSUfOscKFlkOgrhxuuNWwdfhbb4GESKyxt4xKfimALvt5KHC&#10;Ursbf9K1jq1IEA4lKjAxDqWUoTFkMWRuIE7e0XmLMUnfSu3xluC2l8s8X0mLHacFgwO9GGrO9cUq&#10;kKcP3cnhdeVPx8ezfjL7An8KpWbT8XkDItIY/8N/7XetoFgXcD+Tjo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MQkXEAAAA3AAAAA8AAAAAAAAAAAAAAAAAmAIAAGRycy9k&#10;b3ducmV2LnhtbFBLBQYAAAAABAAEAPUAAACJAwAAAAA=&#10;" fillcolor="#d4d4d4" stroked="f"/>
                <v:line id="Line 1488" o:spid="_x0000_s1080" style="position:absolute;flip:y;visibility:visible;mso-wrap-style:square" from="32698,72" to="3270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iXHsUAAADcAAAADwAAAGRycy9kb3ducmV2LnhtbESPQWvCQBSE74L/YXlCb7pJS0VSVxGh&#10;Ui8Vk1Lx9sg+k2D2bZpdY/z3riD0OMzMN8x82ZtadNS6yrKCeBKBIM6trrhQ8JN9jmcgnEfWWFsm&#10;BTdysFwMB3NMtL3ynrrUFyJA2CWooPS+SaR0eUkG3cQ2xME72dagD7ItpG7xGuCmlq9RNJUGKw4L&#10;JTa0Lik/pxej4G93iI9Z2r353TH7PcTfm21qNkq9jPrVBwhPvf8PP9tfWsH7bAqPM+EIyM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FiXHsUAAADcAAAADwAAAAAAAAAA&#10;AAAAAAChAgAAZHJzL2Rvd25yZXYueG1sUEsFBgAAAAAEAAQA+QAAAJMDAAAAAA==&#10;" strokecolor="#d4d4d4" strokeweight="0"/>
                <v:rect id="Rectangle 1489" o:spid="_x0000_s1081" style="position:absolute;left:32698;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J5qcQA&#10;AADcAAAADwAAAGRycy9kb3ducmV2LnhtbESP3WoCMRSE74W+QziCN0WzFdaf1SiltKB31fYBDpvj&#10;ZnVzsiSpbn16IwheDjPzDbNcd7YRZ/KhdqzgbZSBIC6drrlS8PvzNZyBCBFZY+OYFPxTgPXqpbfE&#10;QrsL7+i8j5VIEA4FKjAxtoWUoTRkMYxcS5y8g/MWY5K+ktrjJcFtI8dZNpEWa04LBlv6MFSe9n9W&#10;gTx+61q2nxN/PLye9Nxsc7zmSg363fsCRKQuPsOP9kYryGdTuJ9JR0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SeanEAAAA3AAAAA8AAAAAAAAAAAAAAAAAmAIAAGRycy9k&#10;b3ducmV2LnhtbFBLBQYAAAAABAAEAPUAAACJAwAAAAA=&#10;" fillcolor="#d4d4d4" stroked="f"/>
                <v:line id="Line 1490" o:spid="_x0000_s1082" style="position:absolute;flip:y;visibility:visible;mso-wrap-style:square" from="37335,72" to="3734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um98QAAADcAAAADwAAAGRycy9kb3ducmV2LnhtbERPTWvCQBC9C/6HZYTedJNKS0izShEU&#10;e6k0ESW3ITtNQrOzaXYb03/fPRQ8Pt53tp1MJ0YaXGtZQbyKQBBXVrdcKzgX+2UCwnlkjZ1lUvBL&#10;Drab+SzDVNsbf9CY+1qEEHYpKmi871MpXdWQQbeyPXHgPu1g0Ac41FIPeAvhppOPUfQsDbYcGhrs&#10;addQ9ZX/GAXfp2tcFvm49qeyuFzj98Nbbg5KPSym1xcQniZ/F/+7j1rBUxLWhjPhCM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i6b3xAAAANwAAAAPAAAAAAAAAAAA&#10;AAAAAKECAABkcnMvZG93bnJldi54bWxQSwUGAAAAAAQABAD5AAAAkgMAAAAA&#10;" strokecolor="#d4d4d4" strokeweight="0"/>
                <v:rect id="Rectangle 1491" o:spid="_x0000_s1083" style="position:absolute;left:37335;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FIQMMA&#10;AADcAAAADwAAAGRycy9kb3ducmV2LnhtbESP0WoCMRRE3wX/IVzBF9FshRVdjVJKC+2bbvsBl811&#10;s7q5WZJUt369KQg+DjNzhtnsetuKC/nQOFbwMstAEFdON1wr+Pn+mC5BhIissXVMCv4owG47HGyw&#10;0O7KB7qUsRYJwqFABSbGrpAyVIYshpnriJN3dN5iTNLXUnu8Jrht5TzLFtJiw2nBYEdvhqpz+WsV&#10;yNNeN7J7X/jTcXLWK/OV4y1XajzqX9cgIvXxGX60P7WCfLmC/zPpCMjt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FIQMMAAADcAAAADwAAAAAAAAAAAAAAAACYAgAAZHJzL2Rv&#10;d25yZXYueG1sUEsFBgAAAAAEAAQA9QAAAIgDAAAAAA==&#10;" fillcolor="#d4d4d4" stroked="f"/>
                <v:line id="Line 1492" o:spid="_x0000_s1084" style="position:absolute;flip:y;visibility:visible;mso-wrap-style:square" from="41977,72" to="4198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Q8LMQAAADcAAAADwAAAGRycy9kb3ducmV2LnhtbERPTWvCQBC9C/0PyxR6000sSptmlSJU&#10;6kUxKZXchuw0Cc3OptltjP/ePQgeH+87XY+mFQP1rrGsIJ5FIIhLqxuuFHzlH9MXEM4ja2wtk4IL&#10;OVivHiYpJtqe+UhD5isRQtglqKD2vkukdGVNBt3MdsSB+7G9QR9gX0nd4zmEm1bOo2gpDTYcGmrs&#10;aFNT+Zv9GwV/h1Nc5Nnw7A9F/n2K99tdZrZKPT2O728gPI3+Lr65P7WCxWuYH86EIy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JDwsxAAAANwAAAAPAAAAAAAAAAAA&#10;AAAAAKECAABkcnMvZG93bnJldi54bWxQSwUGAAAAAAQABAD5AAAAkgMAAAAA&#10;" strokecolor="#d4d4d4" strokeweight="0"/>
                <v:rect id="Rectangle 1493" o:spid="_x0000_s1085" style="position:absolute;left:41977;width:73;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7Sm8QA&#10;AADcAAAADwAAAGRycy9kb3ducmV2LnhtbESPUWvCMBSF3wf7D+EOfBkzVaisnVGGbODeZrcfcGlu&#10;m2pzU5Ko1V9vBgMfD+ec73CW69H24kQ+dI4VzKYZCOLa6Y5bBb8/ny+vIEJE1tg7JgUXCrBePT4s&#10;sdTuzDs6VbEVCcKhRAUmxqGUMtSGLIapG4iT1zhvMSbpW6k9nhPc9nKeZQtpseO0YHCgjaH6UB2t&#10;Arn/1p0cPhZ+3zwfdGG+crzmSk2exvc3EJHGeA//t7daQV7M4O9MOgJ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u0pvEAAAA3AAAAA8AAAAAAAAAAAAAAAAAmAIAAGRycy9k&#10;b3ducmV2LnhtbFBLBQYAAAAABAAEAPUAAACJAwAAAAA=&#10;" fillcolor="#d4d4d4" stroked="f"/>
                <v:rect id="Rectangle 1494" o:spid="_x0000_s1086" style="position:absolute;left:145;width:50314;height: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ZRX8YA&#10;AADcAAAADwAAAGRycy9kb3ducmV2LnhtbESPT2sCMRTE70K/Q3iF3jTbpRZdjVILBS+C/w56e26e&#10;u4ubl22S6uqnbwTB4zAzv2HG09bU4kzOV5YVvPcSEMS51RUXCrabn+4AhA/IGmvLpOBKHqaTl84Y&#10;M20vvKLzOhQiQthnqKAMocmk9HlJBn3PNsTRO1pnMETpCqkdXiLc1DJNkk9psOK4UGJD3yXlp/Wf&#10;UTAbDma/yw9e3FaHPe13h1M/dYlSb6/t1whEoDY8w4/2XCvoD1O4n4lHQE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ZRX8YAAADcAAAADwAAAAAAAAAAAAAAAACYAgAAZHJz&#10;L2Rvd25yZXYueG1sUEsFBgAAAAAEAAQA9QAAAIsDAAAAAA==&#10;" fillcolor="black" stroked="f"/>
                <v:line id="Line 1495" o:spid="_x0000_s1087" style="position:absolute;flip:y;visibility:visible;mso-wrap-style:square" from="50386,72" to="5039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aiW8YAAADcAAAADwAAAGRycy9kb3ducmV2LnhtbESPQWvCQBSE7wX/w/KE3ppNKpY2uooI&#10;lXpRTIri7ZF9TUKzb9PsNsZ/7wqFHoeZ+YaZLwfTiJ46V1tWkEQxCOLC6ppLBZ/5+9MrCOeRNTaW&#10;ScGVHCwXo4c5ptpe+EB95ksRIOxSVFB536ZSuqIigy6yLXHwvmxn0AfZlVJ3eAlw08jnOH6RBmsO&#10;CxW2tK6o+M5+jYKf/Sk551k/8ftzfjwlu802MxulHsfDagbC0+D/w3/tD61g+jaB+5lw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X2olvGAAAA3AAAAA8AAAAAAAAA&#10;AAAAAAAAoQIAAGRycy9kb3ducmV2LnhtbFBLBQYAAAAABAAEAPkAAACUAwAAAAA=&#10;" strokecolor="#d4d4d4" strokeweight="0"/>
                <v:rect id="Rectangle 1496" o:spid="_x0000_s1088" style="position:absolute;left:50386;width:73;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lxA8MA&#10;AADcAAAADwAAAGRycy9kb3ducmV2LnhtbESP0WoCMRRE34X+Q7iCL6JZxRVdjVKkhfpmbT/gsrlu&#10;Vjc3S5Lqtl9vBKGPw8ycYdbbzjbiSj7UjhVMxhkI4tLpmisF31/vowWIEJE1No5JwS8F2G5eemss&#10;tLvxJ12PsRIJwqFABSbGtpAylIYshrFriZN3ct5iTNJXUnu8Jbht5DTL5tJizWnBYEs7Q+Xl+GMV&#10;yPNB17J9m/vzaXjRS7PP8S9XatDvXlcgInXxP/xsf2gF+XIGjzPpCM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lxA8MAAADcAAAADwAAAAAAAAAAAAAAAACYAgAAZHJzL2Rv&#10;d25yZXYueG1sUEsFBgAAAAAEAAQA9QAAAIgDAAAAAA==&#10;" fillcolor="#d4d4d4" stroked="f"/>
                <v:rect id="Rectangle 1497" o:spid="_x0000_s1089" style="position:absolute;left:145;top:3274;width:50314;height: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JK8YA&#10;AADcAAAADwAAAGRycy9kb3ducmV2LnhtbESPQWsCMRSE70L/Q3gFb5qtuEVXo9SC4EWo2kO9PTfP&#10;3cXNyzaJuvrrm4LgcZiZb5jpvDW1uJDzlWUFb/0EBHFudcWFgu/dsjcC4QOyxtoyKbiRh/nspTPF&#10;TNsrb+iyDYWIEPYZKihDaDIpfV6SQd+3DXH0jtYZDFG6QmqH1wg3tRwkybs0WHFcKLGhz5Ly0/Zs&#10;FCzGo8Xv15DX981hT/ufwykduESp7mv7MQERqA3P8KO90grScQr/Z+IR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1/JK8YAAADcAAAADwAAAAAAAAAAAAAAAACYAgAAZHJz&#10;L2Rvd25yZXYueG1sUEsFBgAAAAAEAAQA9QAAAIsDAAAAAA==&#10;" fillcolor="black" stroked="f"/>
                <v:rect id="Rectangle 1498" o:spid="_x0000_s1090" style="position:absolute;left:145;top:4948;width:50314;height: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1XXMYA&#10;AADcAAAADwAAAGRycy9kb3ducmV2LnhtbESPQWvCQBSE7wX/w/IEb3WjqGiaVaog9CKo7aHeXrLP&#10;JJh9m+5uNfbXu4VCj8PMfMNkq8404krO15YVjIYJCOLC6ppLBR/v2+c5CB+QNTaWScGdPKyWvacM&#10;U21vfKDrMZQiQtinqKAKoU2l9EVFBv3QtsTRO1tnMETpSqkd3iLcNHKcJDNpsOa4UGFLm4qKy/Hb&#10;KFgv5uuv/YR3P4f8RKfP/DIdu0SpQb97fQERqAv/4b/2m1YwXczg90w8AnL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1XXMYAAADcAAAADwAAAAAAAAAAAAAAAACYAgAAZHJz&#10;L2Rvd25yZXYueG1sUEsFBgAAAAAEAAQA9QAAAIsDAAAAAA==&#10;" fillcolor="black" stroked="f"/>
                <v:rect id="Rectangle 1499" o:spid="_x0000_s1091" style="position:absolute;left:145;top:6621;width:50314;height: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Hyx8cA&#10;AADcAAAADwAAAGRycy9kb3ducmV2LnhtbESPQWvCQBSE74X+h+UVequbSm01ZpUqCF4Kaj3o7SX7&#10;TILZt3F31dhf7xYKPQ4z8w2TTTvTiAs5X1tW8NpLQBAXVtdcKth+L16GIHxA1thYJgU38jCdPD5k&#10;mGp75TVdNqEUEcI+RQVVCG0qpS8qMuh7tiWO3sE6gyFKV0rt8BrhppH9JHmXBmuOCxW2NK+oOG7O&#10;RsFsNJydVm/89bPO97Tf5cdB3yVKPT91n2MQgbrwH/5rL7WCwegDfs/EIyA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B8sfHAAAA3AAAAA8AAAAAAAAAAAAAAAAAmAIAAGRy&#10;cy9kb3ducmV2LnhtbFBLBQYAAAAABAAEAPUAAACMAwAAAAA=&#10;" fillcolor="black" stroked="f"/>
                <v:rect id="Rectangle 1500" o:spid="_x0000_s1092" style="position:absolute;left:145;top:8295;width:50314;height: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5mtcQA&#10;AADcAAAADwAAAGRycy9kb3ducmV2LnhtbERPz2vCMBS+D/Y/hDfwNtOVKbYayxQGXoTpdlhvz+bZ&#10;FpuXmkTt9tcvB2HHj+/3ohhMJ67kfGtZwcs4AUFcWd1yreDr8/15BsIHZI2dZVLwQx6K5ePDAnNt&#10;b7yj6z7UIoawz1FBE0KfS+mrhgz6se2JI3e0zmCI0NVSO7zFcNPJNEmm0mDLsaHBntYNVaf9xShY&#10;ZbPV+eOVt7+7Q0nl9+E0SV2i1OhpeJuDCDSEf/HdvdEKJllcG8/E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eZrXEAAAA3AAAAA8AAAAAAAAAAAAAAAAAmAIAAGRycy9k&#10;b3ducmV2LnhtbFBLBQYAAAAABAAEAPUAAACJAwAAAAA=&#10;" fillcolor="black" stroked="f"/>
                <v:rect id="Rectangle 1501" o:spid="_x0000_s1093" style="position:absolute;width:145;height:10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LDLsYA&#10;AADcAAAADwAAAGRycy9kb3ducmV2LnhtbESPT2sCMRTE70K/Q3hCb5pVanFXo9RCwYvgnx7q7bl5&#10;7i5uXrZJqqufvhEEj8PM/IaZzltTizM5X1lWMOgnIIhzqysuFHzvvnpjED4ga6wtk4IreZjPXjpT&#10;zLS98IbO21CICGGfoYIyhCaT0uclGfR92xBH72idwRClK6R2eIlwU8thkrxLgxXHhRIb+iwpP23/&#10;jIJFOl78rt94ddsc9rT/OZxGQ5co9dptPyYgArXhGX60l1rBKE3hfiYeATn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LDLsYAAADcAAAADwAAAAAAAAAAAAAAAACYAgAAZHJz&#10;L2Rvd25yZXYueG1sUEsFBgAAAAAEAAQA9QAAAIsDAAAAAA==&#10;" fillcolor="black" stroked="f"/>
                <v:rect id="Rectangle 1502" o:spid="_x0000_s1094" style="position:absolute;left:14066;top:145;width:146;height:9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eeSMIA&#10;AADcAAAADwAAAGRycy9kb3ducmV2LnhtbERPy2oCMRTdF/yHcAvualKxYkejaEHopuBrUXfXyXVm&#10;cHIzTaJO/XqzEFweznsya20tLuRD5VjDe0+BIM6dqbjQsNsu30YgQkQ2WDsmDf8UYDbtvEwwM+7K&#10;a7psYiFSCIcMNZQxNpmUIS/JYui5hjhxR+ctxgR9IY3Hawq3tewrNZQWK04NJTb0VVJ+2pythsXn&#10;aPG3GvDPbX3Y0/73cProe6V197Wdj0FEauNT/HB/Gw1DleanM+kI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B55IwgAAANwAAAAPAAAAAAAAAAAAAAAAAJgCAABkcnMvZG93&#10;bnJldi54bWxQSwUGAAAAAAQABAD1AAAAhwMAAAAA&#10;" fillcolor="black" stroked="f"/>
                <v:rect id="Rectangle 1503" o:spid="_x0000_s1095" style="position:absolute;left:18703;top:145;width:145;height:9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708YA&#10;AADcAAAADwAAAGRycy9kb3ducmV2LnhtbESPQWsCMRSE74L/IbxCb26iVLFbo6hQ6KWgtod6e25e&#10;dxc3L2uS6tpfbwpCj8PMfMPMFp1txJl8qB1rGGYKBHHhTM2lhs+P18EURIjIBhvHpOFKARbzfm+G&#10;uXEX3tJ5F0uRIBxy1FDF2OZShqIiiyFzLXHyvp23GJP0pTQeLwluGzlSaiIt1pwWKmxpXVFx3P1Y&#10;Davn6eq0eeL33+1hT/uvw3E88krrx4du+QIiUhf/w/f2m9EwUUP4O5OO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s708YAAADcAAAADwAAAAAAAAAAAAAAAACYAgAAZHJz&#10;L2Rvd25yZXYueG1sUEsFBgAAAAAEAAQA9QAAAIsDAAAAAA==&#10;" fillcolor="black" stroked="f"/>
                <v:rect id="Rectangle 1504" o:spid="_x0000_s1096" style="position:absolute;left:23346;top:145;width:145;height:9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mlpMYA&#10;AADcAAAADwAAAGRycy9kb3ducmV2LnhtbESPT2sCMRTE74LfIbxCb5p0qaKrUbRQ6KVQ/xz09tw8&#10;dxc3L9sk1bWfvikUehxm5jfMfNnZRlzJh9qxhqehAkFcOFNzqWG/ex1MQISIbLBxTBruFGC56Pfm&#10;mBt34w1dt7EUCcIhRw1VjG0uZSgqshiGriVO3tl5izFJX0rj8ZbgtpGZUmNpsea0UGFLLxUVl+2X&#10;1bCeTtafH8/8/r05Hel4OF1GmVdaPz50qxmISF38D/+134yGscrg90w6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5mlpMYAAADcAAAADwAAAAAAAAAAAAAAAACYAgAAZHJz&#10;L2Rvd25yZXYueG1sUEsFBgAAAAAEAAQA9QAAAIsDAAAAAA==&#10;" fillcolor="black" stroked="f"/>
                <v:rect id="Rectangle 1505" o:spid="_x0000_s1097" style="position:absolute;left:27983;top:145;width:145;height:9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UAP8YA&#10;AADcAAAADwAAAGRycy9kb3ducmV2LnhtbESPT2sCMRTE74V+h/CE3mqibUW3RqlCoReh/jno7bl5&#10;3V3cvKxJqquf3giFHoeZ+Q0znra2FifyoXKsoddVIIhzZyouNGzWn89DECEiG6wdk4YLBZhOHh/G&#10;mBl35iWdVrEQCcIhQw1ljE0mZchLshi6riFO3o/zFmOSvpDG4znBbS37Sg2kxYrTQokNzUvKD6tf&#10;q2E2Gs6O36+8uC73O9pt94e3vldaP3Xaj3cQkdr4H/5rfxkNA/UC9zPpCMjJ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NUAP8YAAADcAAAADwAAAAAAAAAAAAAAAACYAgAAZHJz&#10;L2Rvd25yZXYueG1sUEsFBgAAAAAEAAQA9QAAAIsDAAAAAA==&#10;" fillcolor="black" stroked="f"/>
                <v:rect id="Rectangle 1506" o:spid="_x0000_s1098" style="position:absolute;left:32625;top:145;width:145;height:9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yYS8YA&#10;AADcAAAADwAAAGRycy9kb3ducmV2LnhtbESPT2sCMRTE70K/Q3gFb5pUrNitUaogeBH800O9PTev&#10;u4ubl20SddtPbwqCx2FmfsNMZq2txYV8qBxreOkrEMS5MxUXGj73y94YRIjIBmvHpOGXAsymT50J&#10;ZsZdeUuXXSxEgnDIUEMZY5NJGfKSLIa+a4iT9+28xZikL6TxeE1wW8uBUiNpseK0UGJDi5Ly0+5s&#10;NczfxvOfzZDXf9vjgQ5fx9PrwCutu8/txzuISG18hO/tldEwUkP4P5OOgJ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zyYS8YAAADcAAAADwAAAAAAAAAAAAAAAACYAgAAZHJz&#10;L2Rvd25yZXYueG1sUEsFBgAAAAAEAAQA9QAAAIsDAAAAAA==&#10;" fillcolor="black" stroked="f"/>
                <v:rect id="Rectangle 1507" o:spid="_x0000_s1099" style="position:absolute;left:37262;top:145;width:145;height:9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A90MYA&#10;AADcAAAADwAAAGRycy9kb3ducmV2LnhtbESPT2sCMRTE70K/Q3gFb25SUbFbo1RB6KVQ/xz09ty8&#10;7i5uXrZJqtt++qYgeBxm5jfMbNHZRlzIh9qxhqdMgSAunKm51LDfrQdTECEiG2wck4YfCrCYP/Rm&#10;mBt35Q1dtrEUCcIhRw1VjG0uZSgqshgy1xIn79N5izFJX0rj8ZrgtpFDpSbSYs1pocKWVhUV5+23&#10;1bB8ni6/Pkb8/rs5Hel4OJ3HQ6+07j92ry8gInXxHr6134yGiRrD/5l0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A90MYAAADcAAAADwAAAAAAAAAAAAAAAACYAgAAZHJz&#10;L2Rvd25yZXYueG1sUEsFBgAAAAAEAAQA9QAAAIsDAAAAAA==&#10;" fillcolor="black" stroked="f"/>
                <v:rect id="Rectangle 1508" o:spid="_x0000_s1100" style="position:absolute;left:41905;top:145;width:145;height:9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jp8YA&#10;AADcAAAADwAAAGRycy9kb3ducmV2LnhtbESPT2sCMRTE74LfIbxCb5pU6mK3RlGh0Euh/jnU23Pz&#10;uru4eVmTVNd++qYgeBxm5jfMdN7ZRpzJh9qxhqehAkFcOFNzqWG3fRtMQISIbLBxTBquFGA+6/em&#10;mBt34TWdN7EUCcIhRw1VjG0uZSgqshiGriVO3rfzFmOSvpTG4yXBbSNHSmXSYs1pocKWVhUVx82P&#10;1bB8mSxPn8/88bs+7Gn/dTiOR15p/fjQLV5BROriPXxrvxsNmcrg/0w6AnL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Kjp8YAAADcAAAADwAAAAAAAAAAAAAAAACYAgAAZHJz&#10;L2Rvd25yZXYueG1sUEsFBgAAAAAEAAQA9QAAAIsDAAAAAA==&#10;" fillcolor="black" stroked="f"/>
                <v:rect id="Rectangle 1509" o:spid="_x0000_s1101" style="position:absolute;left:145;top:9968;width:50314;height: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GPMYA&#10;AADcAAAADwAAAGRycy9kb3ducmV2LnhtbESPQWsCMRSE70L/Q3hCb5oorbVbo9SC0Iugtod6e25e&#10;dxc3L9sk6uqvN4LQ4zAz3zCTWWtrcSQfKscaBn0Fgjh3puJCw/fXojcGESKywdoxaThTgNn0oTPB&#10;zLgTr+m4iYVIEA4ZaihjbDIpQ16SxdB3DXHyfp23GJP0hTQeTwluazlUaiQtVpwWSmzoo6R8vzlY&#10;DfPX8fxv9cTLy3q3pe3Pbv889Errx277/gYiUhv/w/f2p9EwUi9wO5OOgJ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4GPMYAAADcAAAADwAAAAAAAAAAAAAAAACYAgAAZHJz&#10;L2Rvd25yZXYueG1sUEsFBgAAAAAEAAQA9QAAAIsDAAAAAA==&#10;" fillcolor="black" stroked="f"/>
                <v:rect id="Rectangle 1510" o:spid="_x0000_s1102" style="position:absolute;left:50314;top:145;width:145;height:9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GSTsIA&#10;AADcAAAADwAAAGRycy9kb3ducmV2LnhtbERPy2oCMRTdF/yHcAvualKxYkejaEHopuBrUXfXyXVm&#10;cHIzTaJO/XqzEFweznsya20tLuRD5VjDe0+BIM6dqbjQsNsu30YgQkQ2WDsmDf8UYDbtvEwwM+7K&#10;a7psYiFSCIcMNZQxNpmUIS/JYui5hjhxR+ctxgR9IY3Hawq3tewrNZQWK04NJTb0VVJ+2pythsXn&#10;aPG3GvDPbX3Y0/73cProe6V197Wdj0FEauNT/HB/Gw1DldamM+kI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cZJOwgAAANwAAAAPAAAAAAAAAAAAAAAAAJgCAABkcnMvZG93&#10;bnJldi54bWxQSwUGAAAAAAQABAD1AAAAhwMAAAAA&#10;" fillcolor="black" stroked="f"/>
                <v:line id="Line 1511" o:spid="_x0000_s1103" style="position:absolute;visibility:visible;mso-wrap-style:square" from="72,10113" to="78,10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rQkccAAADcAAAADwAAAGRycy9kb3ducmV2LnhtbESPQWsCMRSE74L/ITyhF6lZPUi7NYq2&#10;ViwIZa3i9bl57i5uXpYk6ra/3hQKPQ4z8w0zmbWmFldyvrKsYDhIQBDnVldcKNh9vT8+gfABWWNt&#10;mRR8k4fZtNuZYKrtjTO6bkMhIoR9igrKEJpUSp+XZNAPbEMcvZN1BkOUrpDa4S3CTS1HSTKWBiuO&#10;CyU29FpSft5ejILD8CP/yXZusVoc+ps3Pn4u9/Kk1EOvnb+ACNSG//Bfe60VjJNn+D0Tj4C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VGtCRxwAAANwAAAAPAAAAAAAA&#10;AAAAAAAAAKECAABkcnMvZG93bnJldi54bWxQSwUGAAAAAAQABAD5AAAAlQMAAAAA&#10;" strokecolor="#d4d4d4" strokeweight="0"/>
                <v:rect id="Rectangle 1512" o:spid="_x0000_s1104" style="position:absolute;left:72;top:10113;width:73;height: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QVJsAA&#10;AADcAAAADwAAAGRycy9kb3ducmV2LnhtbERPy4rCMBTdC/MP4Q64EU0dsDjVKMPggO58zAdcmmtT&#10;bW5KErX69WYhuDyc93zZ2UZcyYfasYLxKANBXDpdc6Xg//A3nIIIEVlj45gU3CnAcvHRm2Oh3Y13&#10;dN3HSqQQDgUqMDG2hZShNGQxjFxLnLij8xZjgr6S2uMthdtGfmVZLi3WnBoMtvRrqDzvL1aBPG11&#10;LdtV7k/HwVl/m80EHxOl+p/dzwxEpC6+xS/3WivIx2l+OpOOgF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RQVJsAAAADcAAAADwAAAAAAAAAAAAAAAACYAgAAZHJzL2Rvd25y&#10;ZXYueG1sUEsFBgAAAAAEAAQA9QAAAIUDAAAAAA==&#10;" fillcolor="#d4d4d4" stroked="f"/>
                <v:line id="Line 1513" o:spid="_x0000_s1105" style="position:absolute;visibility:visible;mso-wrap-style:square" from="14139,10113" to="14145,10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VKSscAAADcAAAADwAAAGRycy9kb3ducmV2LnhtbESPT2vCQBTE70K/w/IKvYhu0oOU6Cq1&#10;f0ShIKaK12f2mYRm34bdVaOfvlsQehxm5jfMZNaZRpzJ+dqygnSYgCAurK65VLD9/hy8gPABWWNj&#10;mRRcycNs+tCbYKbthTd0zkMpIoR9hgqqENpMSl9UZNAPbUscvaN1BkOUrpTa4SXCTSOfk2QkDdYc&#10;Fyps6a2i4ic/GQX7dFXcNls3X8z3/a93Pqw/dvKo1NNj9zoGEagL/+F7e6kVjNIU/s7EIyC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utUpKxwAAANwAAAAPAAAAAAAA&#10;AAAAAAAAAKECAABkcnMvZG93bnJldi54bWxQSwUGAAAAAAQABAD5AAAAlQMAAAAA&#10;" strokecolor="#d4d4d4" strokeweight="0"/>
                <v:rect id="Rectangle 1514" o:spid="_x0000_s1106" style="position:absolute;left:14139;top:10113;width:73;height: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ouysQA&#10;AADcAAAADwAAAGRycy9kb3ducmV2LnhtbESPUWvCMBSF3wf+h3AFX8ZMFSzaNYrIBPe2qT/g0lyb&#10;1uamJJnW/fplMNjj4ZzzHU65GWwnbuRD41jBbJqBIK6cbrhWcD7tX5YgQkTW2DkmBQ8KsFmPnkos&#10;tLvzJ92OsRYJwqFABSbGvpAyVIYshqnriZN3cd5iTNLXUnu8J7jt5DzLcmmx4bRgsKedoep6/LIK&#10;ZPuhG9m/5b69PF/1yrwv8Huh1GQ8bF9BRBrif/ivfdAK8tkcfs+kI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KLsrEAAAA3AAAAA8AAAAAAAAAAAAAAAAAmAIAAGRycy9k&#10;b3ducmV2LnhtbFBLBQYAAAAABAAEAPUAAACJAwAAAAA=&#10;" fillcolor="#d4d4d4" stroked="f"/>
                <v:line id="Line 1515" o:spid="_x0000_s1107" style="position:absolute;visibility:visible;mso-wrap-style:square" from="18776,10113" to="18782,10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txpscAAADcAAAADwAAAGRycy9kb3ducmV2LnhtbESP3WoCMRSE7wu+QzhCb4pm14KU1Sja&#10;WmlBKP7h7XFz3F3cnCxJ1G2fvikUvBxm5htmPG1NLa7kfGVZQdpPQBDnVldcKNht33svIHxA1lhb&#10;JgXf5GE66TyMMdP2xmu6bkIhIoR9hgrKEJpMSp+XZND3bUMcvZN1BkOUrpDa4S3CTS0HSTKUBiuO&#10;CyU29FpSft5cjIJD+pn/rHduvpwfnlZvfPxa7OVJqcduOxuBCNSGe/i//aEVDNNn+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K3GmxwAAANwAAAAPAAAAAAAA&#10;AAAAAAAAAKECAABkcnMvZG93bnJldi54bWxQSwUGAAAAAAQABAD5AAAAlQMAAAAA&#10;" strokecolor="#d4d4d4" strokeweight="0"/>
                <v:rect id="Rectangle 1516" o:spid="_x0000_s1108" style="position:absolute;left:18776;top:10113;width:72;height: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8TJcQA&#10;AADcAAAADwAAAGRycy9kb3ducmV2LnhtbESP3WoCMRSE74W+QziF3kjNWupSV6OIVGjvrPoAh81x&#10;sz85WZJU1z59UxB6OczMN8xyPdhOXMiH2rGC6SQDQVw6XXOl4HTcPb+BCBFZY+eYFNwowHr1MFpi&#10;od2Vv+hyiJVIEA4FKjAx9oWUoTRkMUxcT5y8s/MWY5K+ktrjNcFtJ1+yLJcWa04LBnvaGirbw7dV&#10;IJu9rmX/nvvmPG713HzO8Gem1NPjsFmAiDTE//C9/aEV5NNX+DuTj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vEyXEAAAA3AAAAA8AAAAAAAAAAAAAAAAAmAIAAGRycy9k&#10;b3ducmV2LnhtbFBLBQYAAAAABAAEAPUAAACJAwAAAAA=&#10;" fillcolor="#d4d4d4" stroked="f"/>
                <v:line id="Line 1517" o:spid="_x0000_s1109" style="position:absolute;visibility:visible;mso-wrap-style:square" from="23418,10113" to="23424,10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5MSccAAADcAAAADwAAAGRycy9kb3ducmV2LnhtbESP3WoCMRSE7wu+QzhCb4pmV6iU1Sja&#10;WmlBKP7h7XFz3F3cnCxJ1G2fvikUvBxm5htmPG1NLa7kfGVZQdpPQBDnVldcKNht33svIHxA1lhb&#10;JgXf5GE66TyMMdP2xmu6bkIhIoR9hgrKEJpMSp+XZND3bUMcvZN1BkOUrpDa4S3CTS0HSTKUBiuO&#10;CyU29FpSft5cjIJD+pn/rHduvpwfnlZvfPxa7OVJqcduOxuBCNSGe/i//aEVDNNn+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jkxJxwAAANwAAAAPAAAAAAAA&#10;AAAAAAAAAKECAABkcnMvZG93bnJldi54bWxQSwUGAAAAAAQABAD5AAAAlQMAAAAA&#10;" strokecolor="#d4d4d4" strokeweight="0"/>
                <v:rect id="Rectangle 1518" o:spid="_x0000_s1110" style="position:absolute;left:23418;top:10113;width:73;height: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EoycMA&#10;AADcAAAADwAAAGRycy9kb3ducmV2LnhtbESP0WoCMRRE3wv+Q7hCX4pmLbjoahQRBfvWrn7AZXPd&#10;rG5uliTq2q9vCoU+DjNzhlmue9uKO/nQOFYwGWcgiCunG64VnI770QxEiMgaW8ek4EkB1qvByxIL&#10;7R78Rfcy1iJBOBSowMTYFVKGypDFMHYdcfLOzluMSfpaao+PBLetfM+yXFpsOC0Y7GhrqLqWN6tA&#10;Xj51I7td7i/nt6uem48pfk+Veh32mwWISH38D/+1D1pBPsnh90w6An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EoycMAAADcAAAADwAAAAAAAAAAAAAAAACYAgAAZHJzL2Rv&#10;d25yZXYueG1sUEsFBgAAAAAEAAQA9QAAAIgDAAAAAA==&#10;" fillcolor="#d4d4d4" stroked="f"/>
                <v:line id="Line 1519" o:spid="_x0000_s1111" style="position:absolute;visibility:visible;mso-wrap-style:square" from="28055,10113" to="28061,10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B3pcgAAADcAAAADwAAAGRycy9kb3ducmV2LnhtbESPW2sCMRSE3wv+h3CEvpSa3T5YWY3i&#10;pS0WBPFSfD3dHHcXNydLkurqrzeFQh+HmfmGGU1aU4szOV9ZVpD2EhDEudUVFwr2u/fnAQgfkDXW&#10;lknBlTxMxp2HEWbaXnhD520oRISwz1BBGUKTSenzkgz6nm2Io3e0zmCI0hVSO7xEuKnlS5L0pcGK&#10;40KJDc1Lyk/bH6PgkH7mt83ezT5mh6fVgr/Xb1/yqNRjt50OQQRqw3/4r73UCvrpK/yeiUdAju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hB3pcgAAADcAAAADwAAAAAA&#10;AAAAAAAAAAChAgAAZHJzL2Rvd25yZXYueG1sUEsFBgAAAAAEAAQA+QAAAJYDAAAAAA==&#10;" strokecolor="#d4d4d4" strokeweight="0"/>
                <v:rect id="Rectangle 1520" o:spid="_x0000_s1112" style="position:absolute;left:28055;top:10113;width:73;height: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IZIMAA&#10;AADcAAAADwAAAGRycy9kb3ducmV2LnhtbERPy4rCMBTdC/MP4Q64EU0dsDjVKMPggO58zAdcmmtT&#10;bW5KErX69WYhuDyc93zZ2UZcyYfasYLxKANBXDpdc6Xg//A3nIIIEVlj45gU3CnAcvHRm2Oh3Y13&#10;dN3HSqQQDgUqMDG2hZShNGQxjFxLnLij8xZjgr6S2uMthdtGfmVZLi3WnBoMtvRrqDzvL1aBPG11&#10;LdtV7k/HwVl/m80EHxOl+p/dzwxEpC6+xS/3WivIx2ltOpOOgF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2IZIMAAAADcAAAADwAAAAAAAAAAAAAAAACYAgAAZHJzL2Rvd25y&#10;ZXYueG1sUEsFBgAAAAAEAAQA9QAAAIUDAAAAAA==&#10;" fillcolor="#d4d4d4" stroked="f"/>
                <v:line id="Line 1521" o:spid="_x0000_s1113" style="position:absolute;visibility:visible;mso-wrap-style:square" from="32698,10113" to="32703,10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NGTMgAAADcAAAADwAAAGRycy9kb3ducmV2LnhtbESPW2sCMRSE3wv+h3CEvpSa3T5IXY3i&#10;pS0WBPFSfD3dHHcXNydLkurqrzeFQh+HmfmGGU1aU4szOV9ZVpD2EhDEudUVFwr2u/fnVxA+IGus&#10;LZOCK3mYjDsPI8y0vfCGzttQiAhhn6GCMoQmk9LnJRn0PdsQR+9oncEQpSukdniJcFPLlyTpS4MV&#10;x4USG5qXlJ+2P0bBIf3Mb5u9m33MDk+rBX+v377kUanHbjsdggjUhv/wX3upFfTTAfyeiUdAju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MNGTMgAAADcAAAADwAAAAAA&#10;AAAAAAAAAAChAgAAZHJzL2Rvd25yZXYueG1sUEsFBgAAAAAEAAQA+QAAAJYDAAAAAA==&#10;" strokecolor="#d4d4d4" strokeweight="0"/>
                <v:rect id="Rectangle 1522" o:spid="_x0000_s1114" style="position:absolute;left:32698;top:10113;width:72;height: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jfm8EA&#10;AADcAAAADwAAAGRycy9kb3ducmV2LnhtbERP3WrCMBS+H/gO4Qi7GZpOsMxqWkQUtrvN+QCH5tj0&#10;JyclybTb0y8Xg11+fP+7arKDuJEPrWMFz8sMBHHtdMuNgsvnafECIkRkjYNjUvBNAapy9rDDQrs7&#10;f9DtHBuRQjgUqMDEOBZShtqQxbB0I3Hirs5bjAn6RmqP9xRuB7nKslxabDk1GBzpYKjuz19Wgeze&#10;dSvHY+6761OvN+ZtjT9rpR7n034LItIU/8V/7letIF+l+elMOgKy/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435vBAAAA3AAAAA8AAAAAAAAAAAAAAAAAmAIAAGRycy9kb3du&#10;cmV2LnhtbFBLBQYAAAAABAAEAPUAAACGAwAAAAA=&#10;" fillcolor="#d4d4d4" stroked="f"/>
                <v:line id="Line 1523" o:spid="_x0000_s1115" style="position:absolute;visibility:visible;mso-wrap-style:square" from="37335,10113" to="37340,10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mA98cAAADcAAAADwAAAGRycy9kb3ducmV2LnhtbESPT2sCMRTE7wW/Q3iCl6LZ9SBlNYra&#10;WlooiP/w+tw8dxc3L0uS6rafvikIHoeZ+Q0zmbWmFldyvrKsIB0kIIhzqysuFOx3q/4LCB+QNdaW&#10;ScEPeZhNO08TzLS98Yau21CICGGfoYIyhCaT0uclGfQD2xBH72ydwRClK6R2eItwU8thkoykwYrj&#10;QokNLUvKL9tvo+CYfua/m71bvC+Oz1+vfFq/HeRZqV63nY9BBGrDI3xvf2gFo2EK/2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g2YD3xwAAANwAAAAPAAAAAAAA&#10;AAAAAAAAAKECAABkcnMvZG93bnJldi54bWxQSwUGAAAAAAQABAD5AAAAlQMAAAAA&#10;" strokecolor="#d4d4d4" strokeweight="0"/>
                <v:rect id="Rectangle 1524" o:spid="_x0000_s1116" style="position:absolute;left:37335;top:10113;width:72;height: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bkd8QA&#10;AADcAAAADwAAAGRycy9kb3ducmV2LnhtbESPUWvCMBSF3wf7D+EKvow1XcHiaqOMoeDeNvUHXJpr&#10;U21uShK17tcvg8EeD+ec73Dq1Wh7cSUfOscKXrIcBHHjdMetgsN+8zwHESKyxt4xKbhTgNXy8aHG&#10;Srsbf9F1F1uRIBwqVGBiHCopQ2PIYsjcQJy8o/MWY5K+ldrjLcFtL4s8L6XFjtOCwYHeDTXn3cUq&#10;kKdP3clhXfrT8emsX83HDL9nSk0n49sCRKQx/of/2lutoCwK+D2Tjo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m5HfEAAAA3AAAAA8AAAAAAAAAAAAAAAAAmAIAAGRycy9k&#10;b3ducmV2LnhtbFBLBQYAAAAABAAEAPUAAACJAwAAAAA=&#10;" fillcolor="#d4d4d4" stroked="f"/>
                <v:line id="Line 1525" o:spid="_x0000_s1117" style="position:absolute;visibility:visible;mso-wrap-style:square" from="41977,10113" to="41983,10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0e7G8cAAADcAAAADwAAAGRycy9kb3ducmV2LnhtbESP3WoCMRSE7wXfIRzBG6lZLUjZGqXW&#10;HyoIstbi7enmuLt0c7IkUbd9+qYg9HKYmW+Y6bw1tbiS85VlBaNhAoI4t7riQsHxff3wBMIHZI21&#10;ZVLwTR7ms25niqm2N87oegiFiBD2KSooQ2hSKX1ekkE/tA1x9M7WGQxRukJqh7cIN7UcJ8lEGqw4&#10;LpTY0GtJ+dfhYhScRtv8Jzu6xWZxGuyW/LlffcizUv1e+/IMIlAb/sP39ptWMBk/wt+Ze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7sbxwAAANwAAAAPAAAAAAAA&#10;AAAAAAAAAKECAABkcnMvZG93bnJldi54bWxQSwUGAAAAAAQABAD5AAAAlQMAAAAA&#10;" strokecolor="#d4d4d4" strokeweight="0"/>
                <v:rect id="Rectangle 1526" o:spid="_x0000_s1118" style="position:absolute;left:41977;top:10113;width:73;height: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PZmMQA&#10;AADcAAAADwAAAGRycy9kb3ducmV2LnhtbESPUWvCMBSF34X9h3AHe5GZTmbZukYZMsG9qdsPuDS3&#10;TbW5KUnU6q9fBoKPh3POdzjlYrCdOJEPrWMFL5MMBHHldMuNgt+f1fMbiBCRNXaOScGFAizmD6MS&#10;C+3OvKXTLjYiQTgUqMDE2BdShsqQxTBxPXHyauctxiR9I7XHc4LbTk6zLJcWW04LBntaGqoOu6NV&#10;IPcb3cr+K/f7enzQ7+Z7hteZUk+Pw+cHiEhDvIdv7bVWkE9f4f9MOg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D2ZjEAAAA3AAAAA8AAAAAAAAAAAAAAAAAmAIAAGRycy9k&#10;b3ducmV2LnhtbFBLBQYAAAAABAAEAPUAAACJAwAAAAA=&#10;" fillcolor="#d4d4d4" stroked="f"/>
                <v:line id="Line 1527" o:spid="_x0000_s1119" style="position:absolute;visibility:visible;mso-wrap-style:square" from="50386,10113" to="50392,10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G9McAAADcAAAADwAAAGRycy9kb3ducmV2LnhtbESP3WoCMRSE7wXfIRzBG6lZhUrZGqXW&#10;HyoIstbi7enmuLt0c7IkUbd9+qYg9HKYmW+Y6bw1tbiS85VlBaNhAoI4t7riQsHxff3wBMIHZI21&#10;ZVLwTR7ms25niqm2N87oegiFiBD2KSooQ2hSKX1ekkE/tA1x9M7WGQxRukJqh7cIN7UcJ8lEGqw4&#10;LpTY0GtJ+dfhYhScRtv8Jzu6xWZxGuyW/LlffcizUv1e+/IMIlAb/sP39ptWMBk/wt+Ze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4ob0xwAAANwAAAAPAAAAAAAA&#10;AAAAAAAAAKECAABkcnMvZG93bnJldi54bWxQSwUGAAAAAAQABAD5AAAAlQMAAAAA&#10;" strokecolor="#d4d4d4" strokeweight="0"/>
                <v:rect id="Rectangle 1528" o:spid="_x0000_s1120" style="position:absolute;left:50386;top:10113;width:73;height: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3idMQA&#10;AADcAAAADwAAAGRycy9kb3ducmV2LnhtbESPUWvCMBSF34X9h3CFvYimCpZZG2XIBtvbrPsBl+ba&#10;tDY3Jcm0269fBgMfD+ec73DK/Wh7cSUfWscKlosMBHHtdMuNgs/T6/wJRIjIGnvHpOCbAux3D5MS&#10;C+1ufKRrFRuRIBwKVGBiHAopQ23IYli4gTh5Z+ctxiR9I7XHW4LbXq6yLJcWW04LBgc6GKov1ZdV&#10;ILsP3crhJffdeXbRG/O+xp+1Uo/T8XkLItIY7+H/9ptWkK9y+DuTjoD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d4nTEAAAA3AAAAA8AAAAAAAAAAAAAAAAAmAIAAGRycy9k&#10;b3ducmV2LnhtbFBLBQYAAAAABAAEAPUAAACJAwAAAAA=&#10;" fillcolor="#d4d4d4" stroked="f"/>
                <v:line id="Line 1529" o:spid="_x0000_s1121" style="position:absolute;visibility:visible;mso-wrap-style:square" from="50459,72" to="5046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y9GMgAAADcAAAADwAAAGRycy9kb3ducmV2LnhtbESPT2sCMRTE74LfITzBi9SsHmzZGqXW&#10;P1QQZK3F6+vmubt087IkUbf99I1Q6HGYmd8w03lranEl5yvLCkbDBARxbnXFhYLj+/rhCYQPyBpr&#10;y6TgmzzMZ93OFFNtb5zR9RAKESHsU1RQhtCkUvq8JIN+aBvi6J2tMxiidIXUDm8Rbmo5TpKJNFhx&#10;XCixodeS8q/DxSg4jbb5T3Z0i83iNNgt+XO/+pBnpfq99uUZRKA2/If/2m9awWT8CPcz8QjI2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Hy9GMgAAADcAAAADwAAAAAA&#10;AAAAAAAAAAChAgAAZHJzL2Rvd25yZXYueG1sUEsFBgAAAAAEAAQA+QAAAJYDAAAAAA==&#10;" strokecolor="#d4d4d4" strokeweight="0"/>
                <v:rect id="Rectangle 1530" o:spid="_x0000_s1122" style="position:absolute;left:50459;top:72;width:72;height: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7TncEA&#10;AADcAAAADwAAAGRycy9kb3ducmV2LnhtbERP3WrCMBS+H/gO4Qi7GZpOsMxqWkQUtrvN+QCH5tj0&#10;JyclybTb0y8Xg11+fP+7arKDuJEPrWMFz8sMBHHtdMuNgsvnafECIkRkjYNjUvBNAapy9rDDQrs7&#10;f9DtHBuRQjgUqMDEOBZShtqQxbB0I3Hirs5bjAn6RmqP9xRuB7nKslxabDk1GBzpYKjuz19Wgeze&#10;dSvHY+6761OvN+ZtjT9rpR7n034LItIU/8V/7letIF+ltelMOgKy/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O053BAAAA3AAAAA8AAAAAAAAAAAAAAAAAmAIAAGRycy9kb3du&#10;cmV2LnhtbFBLBQYAAAAABAAEAPUAAACGAwAAAAA=&#10;" fillcolor="#d4d4d4" stroked="f"/>
                <v:line id="Line 1531" o:spid="_x0000_s1123" style="position:absolute;visibility:visible;mso-wrap-style:square" from="50459,1673" to="50464,1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M8cgAAADcAAAADwAAAGRycy9kb3ducmV2LnhtbESPT2sCMRTE74LfITzBi9SsHqTdGqXW&#10;P1QQZK3F6+vmubt087IkUbf99I1Q6HGYmd8w03lranEl5yvLCkbDBARxbnXFhYLj+/rhEYQPyBpr&#10;y6TgmzzMZ93OFFNtb5zR9RAKESHsU1RQhtCkUvq8JIN+aBvi6J2tMxiidIXUDm8Rbmo5TpKJNFhx&#10;XCixodeS8q/DxSg4jbb5T3Z0i83iNNgt+XO/+pBnpfq99uUZRKA2/If/2m9awWT8BPcz8QjI2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q+M8cgAAADcAAAADwAAAAAA&#10;AAAAAAAAAAChAgAAZHJzL2Rvd25yZXYueG1sUEsFBgAAAAAEAAQA+QAAAJYDAAAAAA==&#10;" strokecolor="#d4d4d4" strokeweight="0"/>
                <v:rect id="Rectangle 1532" o:spid="_x0000_s1124" style="position:absolute;left:50459;top:1673;width:72;height: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FJRsEA&#10;AADcAAAADwAAAGRycy9kb3ducmV2LnhtbERP3WrCMBS+F3yHcITdiKZuWLQ2ioiD7W5zPsChOTat&#10;zUlJonZ7+uVisMuP77/cDbYTd/KhcaxgMc9AEFdON1wrOH+9zlYgQkTW2DkmBd8UYLcdj0ostHvw&#10;J91PsRYphEOBCkyMfSFlqAxZDHPXEyfu4rzFmKCvpfb4SOG2k89ZlkuLDacGgz0dDFXX080qkO2H&#10;bmR/zH17mV712rwv8Wep1NNk2G9ARBriv/jP/aYV5C9pfjqTjo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hSUbBAAAA3AAAAA8AAAAAAAAAAAAAAAAAmAIAAGRycy9kb3du&#10;cmV2LnhtbFBLBQYAAAAABAAEAPUAAACGAwAAAAA=&#10;" fillcolor="#d4d4d4" stroked="f"/>
                <v:line id="Line 1533" o:spid="_x0000_s1125" style="position:absolute;visibility:visible;mso-wrap-style:square" from="50459,3347" to="50464,3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AWKscAAADcAAAADwAAAGRycy9kb3ducmV2LnhtbESP3WoCMRSE7wu+QzhCb4pm14KU1Sja&#10;WmlBKP7h7XFz3F3cnCxJ1G2fvikUvBxm5htmPG1NLa7kfGVZQdpPQBDnVldcKNht33svIHxA1lhb&#10;JgXf5GE66TyMMdP2xmu6bkIhIoR9hgrKEJpMSp+XZND3bUMcvZN1BkOUrpDa4S3CTS0HSTKUBiuO&#10;CyU29FpSft5cjIJD+pn/rHduvpwfnlZvfPxa7OVJqcduOxuBCNSGe/i//aEVDJ9T+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lABYqxwAAANwAAAAPAAAAAAAA&#10;AAAAAAAAAKECAABkcnMvZG93bnJldi54bWxQSwUGAAAAAAQABAD5AAAAlQMAAAAA&#10;" strokecolor="#d4d4d4" strokeweight="0"/>
                <v:rect id="Rectangle 1534" o:spid="_x0000_s1126" style="position:absolute;left:50459;top:3347;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9yqsQA&#10;AADcAAAADwAAAGRycy9kb3ducmV2LnhtbESPUWvCMBSF34X9h3AHe5GZzmHZukYZMsG9qdsPuDS3&#10;TbW5KUnU6q9fBoKPh3POdzjlYrCdOJEPrWMFL5MMBHHldMuNgt+f1fMbiBCRNXaOScGFAizmD6MS&#10;C+3OvKXTLjYiQTgUqMDE2BdShsqQxTBxPXHyauctxiR9I7XHc4LbTk6zLJcWW04LBntaGqoOu6NV&#10;IPcb3cr+K/f7enzQ7+Z7hteZUk+Pw+cHiEhDvIdv7bVWkL9O4f9MOg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cqrEAAAA3AAAAA8AAAAAAAAAAAAAAAAAmAIAAGRycy9k&#10;b3ducmV2LnhtbFBLBQYAAAAABAAEAPUAAACJAwAAAAA=&#10;" fillcolor="#d4d4d4" stroked="f"/>
                <v:line id="Line 1535" o:spid="_x0000_s1127" style="position:absolute;visibility:visible;mso-wrap-style:square" from="50459,5020" to="50464,5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4txscAAADcAAAADwAAAGRycy9kb3ducmV2LnhtbESP3WoCMRSE7wu+QzhCb4pmrSCyGqXa&#10;WiwI4h/enm6Ou4ubkyWJuvbpm0LBy2FmvmHG08ZU4krOl5YV9LoJCOLM6pJzBfvdojME4QOyxsoy&#10;KbiTh+mk9TTGVNsbb+i6DbmIEPYpKihCqFMpfVaQQd+1NXH0TtYZDFG6XGqHtwg3lXxNkoE0WHJc&#10;KLCmeUHZeXsxCo69r+xns3ezz9nxZfXO3+uPgzwp9dxu3kYgAjXhEf5vL7WCQb8Pf2fiEZC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6ni3GxwAAANwAAAAPAAAAAAAA&#10;AAAAAAAAAKECAABkcnMvZG93bnJldi54bWxQSwUGAAAAAAQABAD5AAAAlQMAAAAA&#10;" strokecolor="#d4d4d4" strokeweight="0"/>
                <v:rect id="Rectangle 1536" o:spid="_x0000_s1128" style="position:absolute;left:50459;top:5020;width:72;height: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pPRcQA&#10;AADcAAAADwAAAGRycy9kb3ducmV2LnhtbESP0WoCMRRE34X+Q7iFvkjNtuqiq1GKVKhvrfUDLpvr&#10;ZnVzsyRRt369KQg+DjNzhpkvO9uIM/lQO1bwNshAEJdO11wp2P2uXycgQkTW2DgmBX8UYLl46s2x&#10;0O7CP3TexkokCIcCFZgY20LKUBqyGAauJU7e3nmLMUlfSe3xkuC2ke9ZlkuLNacFgy2tDJXH7ckq&#10;kIdvXcv2M/eHff+op2YzxutYqZfn7mMGIlIXH+F7+0sryIcj+D+Tjo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aT0XEAAAA3AAAAA8AAAAAAAAAAAAAAAAAmAIAAGRycy9k&#10;b3ducmV2LnhtbFBLBQYAAAAABAAEAPUAAACJAwAAAAA=&#10;" fillcolor="#d4d4d4" stroked="f"/>
                <v:line id="Line 1537" o:spid="_x0000_s1129" style="position:absolute;visibility:visible;mso-wrap-style:square" from="50459,6694" to="50464,6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sQKccAAADcAAAADwAAAGRycy9kb3ducmV2LnhtbESPW2sCMRSE3wv9D+EUfBHNaqnI1ije&#10;WloQxBu+nm6Ou4ubkyWJuu2vbwpCH4eZ+YYZTRpTiSs5X1pW0OsmIIgzq0vOFex3b50hCB+QNVaW&#10;ScE3eZiMHx9GmGp74w1dtyEXEcI+RQVFCHUqpc8KMui7tiaO3sk6gyFKl0vt8BbhppL9JBlIgyXH&#10;hQJrmheUnbcXo+DY+8x+Nns3e58d26sFf62XB3lSqvXUTF9BBGrCf/je/tAKBs8v8HcmHgE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OxApxwAAANwAAAAPAAAAAAAA&#10;AAAAAAAAAKECAABkcnMvZG93bnJldi54bWxQSwUGAAAAAAQABAD5AAAAlQMAAAAA&#10;" strokecolor="#d4d4d4" strokeweight="0"/>
                <v:rect id="Rectangle 1538" o:spid="_x0000_s1130" style="position:absolute;left:50459;top:6694;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R0qcQA&#10;AADcAAAADwAAAGRycy9kb3ducmV2LnhtbESPUWvCMBSF3wX/Q7jCXmSmbli22igiDra3qfsBl+a2&#10;qTY3JYna7dcvg4GPh3POdzjlerCduJIPrWMF81kGgrhyuuVGwdfx7fEFRIjIGjvHpOCbAqxX41GJ&#10;hXY33tP1EBuRIBwKVGBi7AspQ2XIYpi5njh5tfMWY5K+kdrjLcFtJ5+yLJcWW04LBnvaGqrOh4tV&#10;IE+fupX9LvenenrWr+ZjgT8LpR4mw2YJItIQ7+H/9rtWkD/n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EdKnEAAAA3AAAAA8AAAAAAAAAAAAAAAAAmAIAAGRycy9k&#10;b3ducmV2LnhtbFBLBQYAAAAABAAEAPUAAACJAwAAAAA=&#10;" fillcolor="#d4d4d4" stroked="f"/>
                <v:line id="Line 1539" o:spid="_x0000_s1131" style="position:absolute;visibility:visible;mso-wrap-style:square" from="50459,8367" to="50464,8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UrxccAAADcAAAADwAAAGRycy9kb3ducmV2LnhtbESPW2sCMRSE34X+h3AKvhTNakFlaxRv&#10;LS0UxBu+nm6Ou4ubkyWJuu2vbwoFH4eZ+YYZTxtTiSs5X1pW0OsmIIgzq0vOFex3r50RCB+QNVaW&#10;ScE3eZhOHlpjTLW98Yau25CLCGGfooIihDqV0mcFGfRdWxNH72SdwRCly6V2eItwU8l+kgykwZLj&#10;QoE1LQrKztuLUXDsfWQ/m72bv82PT59L/lqvDvKkVPuxmb2ACNSEe/i//a4VDJ6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pSvFxwAAANwAAAAPAAAAAAAA&#10;AAAAAAAAAKECAABkcnMvZG93bnJldi54bWxQSwUGAAAAAAQABAD5AAAAlQMAAAAA&#10;" strokecolor="#d4d4d4" strokeweight="0"/>
                <v:rect id="Rectangle 1540" o:spid="_x0000_s1132" style="position:absolute;left:50459;top:8367;width:72;height: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dFQMEA&#10;AADcAAAADwAAAGRycy9kb3ducmV2LnhtbERP3WrCMBS+F3yHcITdiKZuWLQ2ioiD7W5zPsChOTat&#10;zUlJonZ7+uVisMuP77/cDbYTd/KhcaxgMc9AEFdON1wrOH+9zlYgQkTW2DkmBd8UYLcdj0ostHvw&#10;J91PsRYphEOBCkyMfSFlqAxZDHPXEyfu4rzFmKCvpfb4SOG2k89ZlkuLDacGgz0dDFXX080qkO2H&#10;bmR/zH17mV712rwv8Wep1NNk2G9ARBriv/jP/aYV5C9pbTqTjo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XRUDBAAAA3AAAAA8AAAAAAAAAAAAAAAAAmAIAAGRycy9kb3du&#10;cmV2LnhtbFBLBQYAAAAABAAEAPUAAACGAwAAAAA=&#10;" fillcolor="#d4d4d4" stroked="f"/>
                <v:line id="Line 1541" o:spid="_x0000_s1133" style="position:absolute;visibility:visible;mso-wrap-style:square" from="50459,10041" to="50464,100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YaLMcAAADcAAAADwAAAGRycy9kb3ducmV2LnhtbESPW2sCMRSE34X+h3AKvhTNakF0axRv&#10;LS0UxBu+nm6Ou4ubkyWJuu2vbwoFH4eZ+YYZTxtTiSs5X1pW0OsmIIgzq0vOFex3r50hCB+QNVaW&#10;ScE3eZhOHlpjTLW98Yau25CLCGGfooIihDqV0mcFGfRdWxNH72SdwRCly6V2eItwU8l+kgykwZLj&#10;QoE1LQrKztuLUXDsfWQ/m72bv82PT59L/lqvDvKkVPuxmb2ACNSEe/i//a4VDJ5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dhosxwAAANwAAAAPAAAAAAAA&#10;AAAAAAAAAKECAABkcnMvZG93bnJldi54bWxQSwUGAAAAAAQABAD5AAAAlQMAAAAA&#10;" strokecolor="#d4d4d4" strokeweight="0"/>
                <v:rect id="Rectangle 1542" o:spid="_x0000_s1134" style="position:absolute;left:50459;top:10041;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c6O8EA&#10;AADcAAAADwAAAGRycy9kb3ducmV2LnhtbERP3WrCMBS+F3yHcITdiKaOWbQ2ioiD7W5zPsChOTat&#10;zUlJonZ7+uVisMuP77/cDbYTd/KhcaxgMc9AEFdON1wrOH+9zlYgQkTW2DkmBd8UYLcdj0ostHvw&#10;J91PsRYphEOBCkyMfSFlqAxZDHPXEyfu4rzFmKCvpfb4SOG2k89ZlkuLDacGgz0dDFXX080qkO2H&#10;bmR/zH17mV712rwv8Wep1NNk2G9ARBriv/jP/aYV5C9pfjqTjo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nOjvBAAAA3AAAAA8AAAAAAAAAAAAAAAAAmAIAAGRycy9kb3du&#10;cmV2LnhtbFBLBQYAAAAABAAEAPUAAACGAwAAAAA=&#10;" fillcolor="#d4d4d4" stroked="f"/>
                <w10:anchorlock/>
              </v:group>
            </w:pict>
          </mc:Fallback>
        </mc:AlternateContent>
      </w:r>
    </w:p>
    <w:p w14:paraId="0773AD92" w14:textId="77777777" w:rsidR="000F50EA" w:rsidRPr="0058349C" w:rsidRDefault="000F50EA" w:rsidP="00264AE4">
      <w:pPr>
        <w:pStyle w:val="TEKSTIIII"/>
        <w:ind w:firstLine="0"/>
        <w:jc w:val="center"/>
        <w:rPr>
          <w:lang w:val="sq-AL"/>
        </w:rPr>
      </w:pPr>
      <w:r w:rsidRPr="0058349C">
        <w:rPr>
          <w:lang w:val="sq-AL"/>
        </w:rPr>
        <w:t>Burimi: MBZHR (2020)</w:t>
      </w:r>
    </w:p>
    <w:p w14:paraId="0773AD93" w14:textId="77777777" w:rsidR="000F50EA" w:rsidRPr="0058349C" w:rsidRDefault="000F50EA" w:rsidP="000F50EA">
      <w:pPr>
        <w:spacing w:after="0" w:line="240" w:lineRule="auto"/>
        <w:ind w:firstLine="284"/>
        <w:jc w:val="both"/>
        <w:rPr>
          <w:rFonts w:ascii="Garamond" w:eastAsia="Arial" w:hAnsi="Garamond" w:cs="Arial"/>
          <w:sz w:val="24"/>
          <w:szCs w:val="24"/>
          <w:lang w:val="sq-AL"/>
        </w:rPr>
      </w:pPr>
    </w:p>
    <w:p w14:paraId="0773AD94" w14:textId="77777777"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Në vitin 2020, numri më i madh i ndërmarrjeve p</w:t>
      </w:r>
      <w:r w:rsidRPr="0058349C">
        <w:rPr>
          <w:rFonts w:ascii="Garamond" w:hAnsi="Garamond" w:cs="Arial"/>
          <w:sz w:val="24"/>
          <w:szCs w:val="24"/>
          <w:lang w:val="sq-AL"/>
        </w:rPr>
        <w:t>ërpunuese</w:t>
      </w:r>
      <w:r w:rsidRPr="0058349C">
        <w:rPr>
          <w:rFonts w:ascii="Garamond" w:eastAsia="Arial" w:hAnsi="Garamond" w:cs="Arial"/>
          <w:sz w:val="24"/>
          <w:szCs w:val="24"/>
          <w:lang w:val="sq-AL"/>
        </w:rPr>
        <w:t xml:space="preserve"> ishte në sektorin e prodhimit të bukës (56.4%), at</w:t>
      </w:r>
      <w:r w:rsidRPr="0058349C">
        <w:rPr>
          <w:rFonts w:ascii="Garamond" w:hAnsi="Garamond" w:cs="Arial"/>
          <w:sz w:val="24"/>
          <w:szCs w:val="24"/>
          <w:lang w:val="sq-AL"/>
        </w:rPr>
        <w:t xml:space="preserve">ë të </w:t>
      </w:r>
      <w:r w:rsidRPr="0058349C">
        <w:rPr>
          <w:rFonts w:ascii="Garamond" w:eastAsia="Arial" w:hAnsi="Garamond" w:cs="Arial"/>
          <w:sz w:val="24"/>
          <w:szCs w:val="24"/>
          <w:lang w:val="sq-AL"/>
        </w:rPr>
        <w:t>qumështit dhe produkteve të qumështit (12.2%) dhe t</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prodhimit të vajit vegjetal (7.8%). Ndërmarrjet agroushqimore janë të përqendruara kryesisht në Tiranë (31.4%), Fier (11.7%) dhe n</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Durrës (10.2%). Numri më i lartë i të punësuarve n</w:t>
      </w:r>
      <w:r w:rsidRPr="0058349C">
        <w:rPr>
          <w:rFonts w:ascii="Garamond" w:hAnsi="Garamond" w:cs="Arial"/>
          <w:sz w:val="24"/>
          <w:szCs w:val="24"/>
          <w:lang w:val="sq-AL"/>
        </w:rPr>
        <w:t xml:space="preserve">ë industrinë agroushqimore </w:t>
      </w:r>
      <w:r w:rsidRPr="0058349C">
        <w:rPr>
          <w:rFonts w:ascii="Garamond" w:eastAsia="Arial" w:hAnsi="Garamond" w:cs="Arial"/>
          <w:sz w:val="24"/>
          <w:szCs w:val="24"/>
          <w:lang w:val="sq-AL"/>
        </w:rPr>
        <w:t>ishte në Tiranë (36%), i ndjekur nga Durrësi (14%) dhe Elbasani (10%).</w:t>
      </w:r>
    </w:p>
    <w:p w14:paraId="0773AD95" w14:textId="359C2045"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Rritja e vëllimit të prodhimit është kryesisht për shkak të mishit t</w:t>
      </w:r>
      <w:r w:rsidRPr="0058349C">
        <w:rPr>
          <w:rFonts w:ascii="Garamond" w:hAnsi="Garamond" w:cs="Arial"/>
          <w:sz w:val="24"/>
          <w:szCs w:val="24"/>
          <w:lang w:val="sq-AL"/>
        </w:rPr>
        <w:t xml:space="preserve">ë ngrirë </w:t>
      </w:r>
      <w:r w:rsidRPr="0058349C">
        <w:rPr>
          <w:rFonts w:ascii="Garamond" w:eastAsia="Arial" w:hAnsi="Garamond" w:cs="Arial"/>
          <w:sz w:val="24"/>
          <w:szCs w:val="24"/>
          <w:lang w:val="sq-AL"/>
        </w:rPr>
        <w:t>dhe t</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produkteve të mishit të ngrirë, prodhimit të miellit, bukës dhe makaronave, qumështit dhe produkteve të qumështit. Nd</w:t>
      </w:r>
      <w:r w:rsidRPr="0058349C">
        <w:rPr>
          <w:rFonts w:ascii="Garamond" w:hAnsi="Garamond" w:cs="Arial"/>
          <w:sz w:val="24"/>
          <w:szCs w:val="24"/>
          <w:lang w:val="sq-AL"/>
        </w:rPr>
        <w:t xml:space="preserve">ërsa </w:t>
      </w:r>
      <w:r w:rsidRPr="0058349C">
        <w:rPr>
          <w:rFonts w:ascii="Garamond" w:eastAsia="Arial" w:hAnsi="Garamond" w:cs="Arial"/>
          <w:sz w:val="24"/>
          <w:szCs w:val="24"/>
          <w:lang w:val="sq-AL"/>
        </w:rPr>
        <w:t xml:space="preserve">vlera e prodhimit është rritur, kryesisht në sektorët e qumështit dhe </w:t>
      </w:r>
      <w:r w:rsidR="00563D94">
        <w:rPr>
          <w:rFonts w:ascii="Garamond" w:eastAsia="Arial" w:hAnsi="Garamond" w:cs="Arial"/>
          <w:sz w:val="24"/>
          <w:szCs w:val="24"/>
          <w:lang w:val="sq-AL"/>
        </w:rPr>
        <w:t xml:space="preserve">e </w:t>
      </w:r>
      <w:r w:rsidRPr="0058349C">
        <w:rPr>
          <w:rFonts w:ascii="Garamond" w:eastAsia="Arial" w:hAnsi="Garamond" w:cs="Arial"/>
          <w:sz w:val="24"/>
          <w:szCs w:val="24"/>
          <w:lang w:val="sq-AL"/>
        </w:rPr>
        <w:t>produkteve të qumështit, n</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 xml:space="preserve">sektorin e peshkut të konservuar (shih për më shumë detaje në </w:t>
      </w:r>
      <w:r w:rsidR="00563D94" w:rsidRPr="0058349C">
        <w:rPr>
          <w:rFonts w:ascii="Garamond" w:eastAsia="Arial" w:hAnsi="Garamond" w:cs="Arial"/>
          <w:sz w:val="24"/>
          <w:szCs w:val="24"/>
          <w:lang w:val="sq-AL"/>
        </w:rPr>
        <w:t>kapitulli</w:t>
      </w:r>
      <w:r w:rsidR="00563D94">
        <w:rPr>
          <w:rFonts w:ascii="Garamond" w:eastAsia="Arial" w:hAnsi="Garamond" w:cs="Arial"/>
          <w:sz w:val="24"/>
          <w:szCs w:val="24"/>
          <w:lang w:val="sq-AL"/>
        </w:rPr>
        <w:t>n</w:t>
      </w:r>
      <w:r w:rsidR="00563D94" w:rsidRPr="0058349C">
        <w:rPr>
          <w:rFonts w:ascii="Garamond" w:eastAsia="Arial" w:hAnsi="Garamond" w:cs="Arial"/>
          <w:sz w:val="24"/>
          <w:szCs w:val="24"/>
          <w:lang w:val="sq-AL"/>
        </w:rPr>
        <w:t xml:space="preserve"> </w:t>
      </w:r>
      <w:r w:rsidRPr="0058349C">
        <w:rPr>
          <w:rFonts w:ascii="Garamond" w:eastAsia="Arial" w:hAnsi="Garamond" w:cs="Arial"/>
          <w:sz w:val="24"/>
          <w:szCs w:val="24"/>
          <w:lang w:val="sq-AL"/>
        </w:rPr>
        <w:t>3.2.2 mbi sektorin e peshkimit), n</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sektorin e ujit t</w:t>
      </w:r>
      <w:r w:rsidRPr="0058349C">
        <w:rPr>
          <w:rFonts w:ascii="Garamond" w:hAnsi="Garamond" w:cs="Arial"/>
          <w:sz w:val="24"/>
          <w:szCs w:val="24"/>
          <w:lang w:val="sq-AL"/>
        </w:rPr>
        <w:t>ë ambalazhuar</w:t>
      </w:r>
      <w:r w:rsidRPr="0058349C">
        <w:rPr>
          <w:rFonts w:ascii="Garamond" w:eastAsia="Arial" w:hAnsi="Garamond" w:cs="Arial"/>
          <w:sz w:val="24"/>
          <w:szCs w:val="24"/>
          <w:lang w:val="sq-AL"/>
        </w:rPr>
        <w:t xml:space="preserve"> dhe t</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pijeve joalkoolike.</w:t>
      </w:r>
    </w:p>
    <w:p w14:paraId="0773AD96" w14:textId="204818BB"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Pesha më e madhe e </w:t>
      </w:r>
      <w:r w:rsidR="00537097" w:rsidRPr="0058349C">
        <w:rPr>
          <w:rFonts w:ascii="Garamond" w:eastAsia="Arial" w:hAnsi="Garamond" w:cs="Arial"/>
          <w:sz w:val="24"/>
          <w:szCs w:val="24"/>
          <w:lang w:val="sq-AL"/>
        </w:rPr>
        <w:t>investimeve gjatë viteve 2015–</w:t>
      </w:r>
      <w:r w:rsidRPr="0058349C">
        <w:rPr>
          <w:rFonts w:ascii="Garamond" w:eastAsia="Arial" w:hAnsi="Garamond" w:cs="Arial"/>
          <w:sz w:val="24"/>
          <w:szCs w:val="24"/>
          <w:lang w:val="sq-AL"/>
        </w:rPr>
        <w:t>2020 është regjistruar në prodhimin e miellit nga drithërat, n</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prodhimin e bukës, prodhimin</w:t>
      </w:r>
      <w:r w:rsidR="00CF7694" w:rsidRPr="0058349C">
        <w:rPr>
          <w:rFonts w:ascii="Garamond" w:eastAsia="Arial" w:hAnsi="Garamond" w:cs="Arial"/>
          <w:sz w:val="24"/>
          <w:szCs w:val="24"/>
          <w:lang w:val="sq-AL"/>
        </w:rPr>
        <w:t xml:space="preserve"> </w:t>
      </w:r>
      <w:r w:rsidRPr="0058349C">
        <w:rPr>
          <w:rFonts w:ascii="Garamond" w:eastAsia="Arial" w:hAnsi="Garamond" w:cs="Arial"/>
          <w:sz w:val="24"/>
          <w:szCs w:val="24"/>
          <w:lang w:val="sq-AL"/>
        </w:rPr>
        <w:t>e ujit t</w:t>
      </w:r>
      <w:r w:rsidRPr="0058349C">
        <w:rPr>
          <w:rFonts w:ascii="Garamond" w:hAnsi="Garamond" w:cs="Arial"/>
          <w:sz w:val="24"/>
          <w:szCs w:val="24"/>
          <w:lang w:val="sq-AL"/>
        </w:rPr>
        <w:t>ë ambalazhuar</w:t>
      </w:r>
      <w:r w:rsidRPr="0058349C">
        <w:rPr>
          <w:rFonts w:ascii="Garamond" w:eastAsia="Arial" w:hAnsi="Garamond" w:cs="Arial"/>
          <w:sz w:val="24"/>
          <w:szCs w:val="24"/>
          <w:lang w:val="sq-AL"/>
        </w:rPr>
        <w:t xml:space="preserve"> dhe t</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pijeve joalkoolike, produkteve</w:t>
      </w:r>
      <w:r w:rsidR="00CF7694" w:rsidRPr="0058349C">
        <w:rPr>
          <w:rFonts w:ascii="Garamond" w:eastAsia="Arial" w:hAnsi="Garamond" w:cs="Arial"/>
          <w:sz w:val="24"/>
          <w:szCs w:val="24"/>
          <w:lang w:val="sq-AL"/>
        </w:rPr>
        <w:t xml:space="preserve"> </w:t>
      </w:r>
      <w:r w:rsidRPr="0058349C">
        <w:rPr>
          <w:rFonts w:ascii="Garamond" w:eastAsia="Arial" w:hAnsi="Garamond" w:cs="Arial"/>
          <w:sz w:val="24"/>
          <w:szCs w:val="24"/>
          <w:lang w:val="sq-AL"/>
        </w:rPr>
        <w:t>t</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peshkut të përpunuar, t</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qumështit dhe produkteve t</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qumështit.</w:t>
      </w:r>
    </w:p>
    <w:p w14:paraId="0773AD97" w14:textId="5DF07140" w:rsidR="000F50EA" w:rsidRPr="0058349C" w:rsidRDefault="000F50EA" w:rsidP="00563D94">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Përqindja më e lartë e përfitimit ekonomik është nga eksporti në sektorin e </w:t>
      </w:r>
      <w:r w:rsidRPr="00563D94">
        <w:rPr>
          <w:rFonts w:ascii="Garamond" w:hAnsi="Garamond" w:cs="Arial"/>
          <w:sz w:val="24"/>
          <w:szCs w:val="24"/>
          <w:lang w:val="sq-AL"/>
        </w:rPr>
        <w:t>BAM</w:t>
      </w:r>
      <w:r w:rsidR="00563D94" w:rsidRPr="00563D94">
        <w:rPr>
          <w:rFonts w:ascii="Garamond" w:hAnsi="Garamond" w:cs="Arial"/>
          <w:sz w:val="24"/>
          <w:szCs w:val="24"/>
          <w:lang w:val="sq-AL"/>
        </w:rPr>
        <w:t>-</w:t>
      </w:r>
      <w:r w:rsidR="00563D94">
        <w:rPr>
          <w:rFonts w:ascii="Garamond" w:hAnsi="Garamond" w:cs="Arial"/>
          <w:sz w:val="24"/>
          <w:szCs w:val="24"/>
          <w:lang w:val="sq-AL"/>
        </w:rPr>
        <w:t>së dhe të fruta-</w:t>
      </w:r>
      <w:r w:rsidRPr="0058349C">
        <w:rPr>
          <w:rFonts w:ascii="Garamond" w:hAnsi="Garamond" w:cs="Arial"/>
          <w:sz w:val="24"/>
          <w:szCs w:val="24"/>
          <w:lang w:val="sq-AL"/>
        </w:rPr>
        <w:t>perimeve.</w:t>
      </w:r>
    </w:p>
    <w:p w14:paraId="0773AD98" w14:textId="77777777"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Siguria ushqimore në industrinë agroushqimore është një tregues i rëndësishëm i zhvillimit të sektorit dhe aftësisë së tij për të konkurruar ndërkombëtarisht. Kategorizimi që ekziston në sistemin e sigurisë ushqimore që menaxhohet nga Autoriteti Kombëtar i Ushqimit (AKU) bazohet në kategoritë e produkteve dhe jo në ndërmarrjet e operatorëve të biznesit ushqimor </w:t>
      </w:r>
      <w:r w:rsidRPr="0058349C">
        <w:rPr>
          <w:rFonts w:ascii="Garamond" w:eastAsia="Arial" w:hAnsi="Garamond" w:cs="Arial"/>
          <w:sz w:val="24"/>
          <w:szCs w:val="24"/>
          <w:lang w:val="sq-AL"/>
        </w:rPr>
        <w:lastRenderedPageBreak/>
        <w:t>(OBU). Po punohet për përcaktimin e kritereve për kategorizimin e OBU-ve dhe në përcaktimin më të detajuar të kategorizimeve.</w:t>
      </w:r>
    </w:p>
    <w:p w14:paraId="0773AD99" w14:textId="288B1373"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Kontrollet zyrtare të bazuara në rrezik dhe </w:t>
      </w:r>
      <w:r w:rsidR="006E39CC">
        <w:rPr>
          <w:rFonts w:ascii="Garamond" w:eastAsia="Arial" w:hAnsi="Garamond" w:cs="Arial"/>
          <w:sz w:val="24"/>
          <w:szCs w:val="24"/>
          <w:lang w:val="sq-AL"/>
        </w:rPr>
        <w:t xml:space="preserve">në </w:t>
      </w:r>
      <w:r w:rsidRPr="0058349C">
        <w:rPr>
          <w:rFonts w:ascii="Garamond" w:eastAsia="Arial" w:hAnsi="Garamond" w:cs="Arial"/>
          <w:sz w:val="24"/>
          <w:szCs w:val="24"/>
          <w:lang w:val="sq-AL"/>
        </w:rPr>
        <w:t>marrjen e mostrave për ushqimin, ushqimin e kafshëve, mbrojtjen e bimëve dhe inputet bujqësore, zhvillohen në bazë të një plani kombëtar.</w:t>
      </w:r>
    </w:p>
    <w:p w14:paraId="0773AD9A" w14:textId="1810719D"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eastAsia="Arial" w:hAnsi="Garamond" w:cs="Arial"/>
          <w:sz w:val="24"/>
          <w:szCs w:val="24"/>
          <w:lang w:val="sq-AL"/>
        </w:rPr>
        <w:t>Linjat e përpunimit kanë kapac</w:t>
      </w:r>
      <w:r w:rsidR="006E39CC">
        <w:rPr>
          <w:rFonts w:ascii="Garamond" w:eastAsia="Arial" w:hAnsi="Garamond" w:cs="Arial"/>
          <w:sz w:val="24"/>
          <w:szCs w:val="24"/>
          <w:lang w:val="sq-AL"/>
        </w:rPr>
        <w:t>itete të mjaftueshme përpunuese</w:t>
      </w:r>
      <w:r w:rsidRPr="0058349C">
        <w:rPr>
          <w:rFonts w:ascii="Garamond" w:eastAsia="Arial" w:hAnsi="Garamond" w:cs="Arial"/>
          <w:sz w:val="24"/>
          <w:szCs w:val="24"/>
          <w:lang w:val="sq-AL"/>
        </w:rPr>
        <w:t xml:space="preserve"> dhe kërkojnë m</w:t>
      </w:r>
      <w:r w:rsidRPr="0058349C">
        <w:rPr>
          <w:rFonts w:ascii="Garamond" w:hAnsi="Garamond" w:cs="Arial"/>
          <w:sz w:val="24"/>
          <w:szCs w:val="24"/>
          <w:lang w:val="sq-AL"/>
        </w:rPr>
        <w:t>ë shumë</w:t>
      </w:r>
      <w:r w:rsidRPr="0058349C">
        <w:rPr>
          <w:rFonts w:ascii="Garamond" w:eastAsia="Arial" w:hAnsi="Garamond" w:cs="Arial"/>
          <w:sz w:val="24"/>
          <w:szCs w:val="24"/>
          <w:lang w:val="sq-AL"/>
        </w:rPr>
        <w:t xml:space="preserve"> investime për rritjen e cilësisë së prodhimit dhe sigurimin e standardeve të sigurisë ushqimore</w:t>
      </w:r>
      <w:r w:rsidRPr="0058349C">
        <w:rPr>
          <w:rFonts w:ascii="Garamond" w:hAnsi="Garamond" w:cs="Arial"/>
          <w:sz w:val="24"/>
          <w:szCs w:val="24"/>
          <w:lang w:val="sq-AL"/>
        </w:rPr>
        <w:t>.</w:t>
      </w:r>
    </w:p>
    <w:p w14:paraId="0773AD9B" w14:textId="0ED069BC" w:rsidR="000F50EA" w:rsidRPr="0058349C" w:rsidRDefault="000F50EA" w:rsidP="006E39CC">
      <w:pPr>
        <w:spacing w:after="0" w:line="240" w:lineRule="auto"/>
        <w:ind w:firstLine="284"/>
        <w:jc w:val="both"/>
        <w:rPr>
          <w:rFonts w:ascii="Garamond" w:hAnsi="Garamond" w:cs="Arial"/>
          <w:bCs/>
          <w:sz w:val="24"/>
          <w:szCs w:val="24"/>
          <w:lang w:val="sq-AL"/>
        </w:rPr>
      </w:pPr>
      <w:r w:rsidRPr="0058349C">
        <w:rPr>
          <w:rFonts w:ascii="Garamond" w:hAnsi="Garamond" w:cs="Arial"/>
          <w:b/>
          <w:bCs/>
          <w:sz w:val="24"/>
          <w:szCs w:val="24"/>
          <w:lang w:val="sq-AL"/>
        </w:rPr>
        <w:t>Standardet e cilësisë dhe sigurisë</w:t>
      </w:r>
      <w:r w:rsidRPr="0058349C">
        <w:rPr>
          <w:rFonts w:ascii="Garamond" w:hAnsi="Garamond" w:cs="Arial"/>
          <w:bCs/>
          <w:sz w:val="24"/>
          <w:szCs w:val="24"/>
          <w:lang w:val="sq-AL"/>
        </w:rPr>
        <w:t>, të tilla si Global G.A.P</w:t>
      </w:r>
      <w:r w:rsidR="006E39CC">
        <w:rPr>
          <w:rFonts w:ascii="Garamond" w:hAnsi="Garamond" w:cs="Arial"/>
          <w:bCs/>
          <w:sz w:val="24"/>
          <w:szCs w:val="24"/>
          <w:lang w:val="sq-AL"/>
        </w:rPr>
        <w:t>.</w:t>
      </w:r>
      <w:r w:rsidRPr="0058349C">
        <w:rPr>
          <w:rFonts w:ascii="Garamond" w:hAnsi="Garamond" w:cs="Arial"/>
          <w:bCs/>
          <w:sz w:val="24"/>
          <w:szCs w:val="24"/>
          <w:lang w:val="sq-AL"/>
        </w:rPr>
        <w:t>, Analiza e Rrezikut dhe Pikat Kritike të Kontrollit (HACCP) janë të zbatuara në të gjithë sektorin shqiptar agroushqimor, por ka nevojë për përmirësime në element</w:t>
      </w:r>
      <w:r w:rsidR="006E39CC">
        <w:rPr>
          <w:rFonts w:ascii="Garamond" w:hAnsi="Garamond" w:cs="Arial"/>
          <w:bCs/>
          <w:sz w:val="24"/>
          <w:szCs w:val="24"/>
          <w:lang w:val="sq-AL"/>
        </w:rPr>
        <w:t>e</w:t>
      </w:r>
      <w:r w:rsidRPr="0058349C">
        <w:rPr>
          <w:rFonts w:ascii="Garamond" w:hAnsi="Garamond" w:cs="Arial"/>
          <w:bCs/>
          <w:sz w:val="24"/>
          <w:szCs w:val="24"/>
          <w:lang w:val="sq-AL"/>
        </w:rPr>
        <w:t xml:space="preserve"> të caktuar</w:t>
      </w:r>
      <w:r w:rsidR="006E39CC">
        <w:rPr>
          <w:rFonts w:ascii="Garamond" w:hAnsi="Garamond" w:cs="Arial"/>
          <w:bCs/>
          <w:sz w:val="24"/>
          <w:szCs w:val="24"/>
          <w:lang w:val="sq-AL"/>
        </w:rPr>
        <w:t>a</w:t>
      </w:r>
      <w:r w:rsidRPr="0058349C">
        <w:rPr>
          <w:rFonts w:ascii="Garamond" w:hAnsi="Garamond" w:cs="Arial"/>
          <w:bCs/>
          <w:sz w:val="24"/>
          <w:szCs w:val="24"/>
          <w:lang w:val="sq-AL"/>
        </w:rPr>
        <w:t>.</w:t>
      </w:r>
    </w:p>
    <w:p w14:paraId="0773AD9C" w14:textId="4AEB3B79" w:rsidR="000F50EA" w:rsidRPr="0058349C" w:rsidRDefault="000F50EA" w:rsidP="006E39CC">
      <w:pPr>
        <w:spacing w:after="0" w:line="240" w:lineRule="auto"/>
        <w:ind w:firstLine="284"/>
        <w:jc w:val="both"/>
        <w:rPr>
          <w:rFonts w:ascii="Garamond" w:hAnsi="Garamond" w:cs="Arial"/>
          <w:bCs/>
          <w:sz w:val="24"/>
          <w:szCs w:val="24"/>
          <w:lang w:val="sq-AL"/>
        </w:rPr>
      </w:pPr>
      <w:r w:rsidRPr="0058349C">
        <w:rPr>
          <w:rFonts w:ascii="Garamond" w:hAnsi="Garamond" w:cs="Arial"/>
          <w:bCs/>
          <w:sz w:val="24"/>
          <w:szCs w:val="24"/>
          <w:lang w:val="sq-AL"/>
        </w:rPr>
        <w:t>Emërtim Origjine i Mbrojtur (EOM) dhe Treguesit e Mbrojtur Gjeografikë (TMGJ), bujqësia organike dhe promovimi i standardeve të mir</w:t>
      </w:r>
      <w:r w:rsidRPr="0058349C">
        <w:rPr>
          <w:rFonts w:ascii="Garamond" w:hAnsi="Garamond" w:cs="Arial"/>
          <w:sz w:val="24"/>
          <w:szCs w:val="24"/>
          <w:lang w:val="sq-AL"/>
        </w:rPr>
        <w:t>ë</w:t>
      </w:r>
      <w:r w:rsidRPr="0058349C">
        <w:rPr>
          <w:rFonts w:ascii="Garamond" w:hAnsi="Garamond" w:cs="Arial"/>
          <w:bCs/>
          <w:sz w:val="24"/>
          <w:szCs w:val="24"/>
          <w:lang w:val="sq-AL"/>
        </w:rPr>
        <w:t>njohura vendore (si p.sh. ato për produktet tradicionale) janë në fazat e para të aplikimit dhe kanë nevojë për t</w:t>
      </w:r>
      <w:r w:rsidR="006E39CC">
        <w:rPr>
          <w:rFonts w:ascii="Garamond" w:hAnsi="Garamond" w:cs="Arial"/>
          <w:bCs/>
          <w:sz w:val="24"/>
          <w:szCs w:val="24"/>
          <w:lang w:val="sq-AL"/>
        </w:rPr>
        <w:t>’</w:t>
      </w:r>
      <w:r w:rsidRPr="0058349C">
        <w:rPr>
          <w:rFonts w:ascii="Garamond" w:hAnsi="Garamond" w:cs="Arial"/>
          <w:bCs/>
          <w:sz w:val="24"/>
          <w:szCs w:val="24"/>
          <w:lang w:val="sq-AL"/>
        </w:rPr>
        <w:t xml:space="preserve">u zhvilluar në të ardhmen. </w:t>
      </w:r>
    </w:p>
    <w:p w14:paraId="0773AD9D" w14:textId="3D557270"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hAnsi="Garamond" w:cs="Arial"/>
          <w:bCs/>
          <w:sz w:val="24"/>
          <w:szCs w:val="24"/>
          <w:lang w:val="sq-AL"/>
        </w:rPr>
        <w:t>Aktualisht</w:t>
      </w:r>
      <w:r w:rsidR="006E39CC">
        <w:rPr>
          <w:rFonts w:ascii="Garamond" w:hAnsi="Garamond" w:cs="Arial"/>
          <w:bCs/>
          <w:sz w:val="24"/>
          <w:szCs w:val="24"/>
          <w:lang w:val="sq-AL"/>
        </w:rPr>
        <w:t>,</w:t>
      </w:r>
      <w:r w:rsidRPr="0058349C">
        <w:rPr>
          <w:rFonts w:ascii="Garamond" w:hAnsi="Garamond" w:cs="Arial"/>
          <w:bCs/>
          <w:sz w:val="24"/>
          <w:szCs w:val="24"/>
          <w:lang w:val="sq-AL"/>
        </w:rPr>
        <w:t xml:space="preserve"> ka një numër në rritje të fermave të hortikulturës të certifikuara me standardin Global G.A.P., e cila është një avantazh tregu për të eksportuar në tregjet m</w:t>
      </w:r>
      <w:r w:rsidRPr="0058349C">
        <w:rPr>
          <w:rFonts w:ascii="Garamond" w:hAnsi="Garamond" w:cs="Arial"/>
          <w:sz w:val="24"/>
          <w:szCs w:val="24"/>
          <w:lang w:val="sq-AL"/>
        </w:rPr>
        <w:t xml:space="preserve">ë </w:t>
      </w:r>
      <w:r w:rsidRPr="0058349C">
        <w:rPr>
          <w:rFonts w:ascii="Garamond" w:hAnsi="Garamond" w:cs="Arial"/>
          <w:bCs/>
          <w:sz w:val="24"/>
          <w:szCs w:val="24"/>
          <w:lang w:val="sq-AL"/>
        </w:rPr>
        <w:t>atraktive të BE-së</w:t>
      </w:r>
      <w:r w:rsidRPr="006E39CC">
        <w:rPr>
          <w:rFonts w:ascii="Garamond" w:hAnsi="Garamond" w:cs="Arial"/>
          <w:sz w:val="24"/>
          <w:szCs w:val="24"/>
          <w:lang w:val="sq-AL"/>
        </w:rPr>
        <w:t>.</w:t>
      </w:r>
    </w:p>
    <w:p w14:paraId="0773AD9E" w14:textId="77777777" w:rsidR="000F50EA" w:rsidRPr="0058349C" w:rsidRDefault="000F50EA" w:rsidP="000F50EA">
      <w:pPr>
        <w:keepNext/>
        <w:keepLines/>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Konkurrueshmëria në nivel ndërkombëtar</w:t>
      </w:r>
    </w:p>
    <w:p w14:paraId="0773AD9F" w14:textId="3163C11A" w:rsidR="000F50EA" w:rsidRPr="0058349C" w:rsidRDefault="000F50EA" w:rsidP="006E39CC">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Sektori bujqësor dhe ai agroushqimor ka rritur në mënyrë të vazhdueshme nivelin e eksporteve</w:t>
      </w:r>
      <w:r w:rsidR="006E39CC">
        <w:rPr>
          <w:rFonts w:ascii="Garamond" w:hAnsi="Garamond" w:cs="Arial"/>
          <w:sz w:val="24"/>
          <w:szCs w:val="24"/>
          <w:lang w:val="sq-AL"/>
        </w:rPr>
        <w:t>,</w:t>
      </w:r>
      <w:r w:rsidRPr="0058349C">
        <w:rPr>
          <w:rFonts w:ascii="Garamond" w:hAnsi="Garamond" w:cs="Arial"/>
          <w:sz w:val="24"/>
          <w:szCs w:val="24"/>
          <w:lang w:val="sq-AL"/>
        </w:rPr>
        <w:t xml:space="preserve"> duke stabilizuar importet.</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Tendenca për vitin 2021 thekson</w:t>
      </w:r>
      <w:r w:rsidR="006E39CC">
        <w:rPr>
          <w:rFonts w:ascii="Garamond" w:hAnsi="Garamond" w:cs="Arial"/>
          <w:sz w:val="24"/>
          <w:szCs w:val="24"/>
          <w:lang w:val="sq-AL"/>
        </w:rPr>
        <w:t xml:space="preserve"> fenomenin/trendin e vitit 2020</w:t>
      </w:r>
      <w:r w:rsidRPr="0058349C">
        <w:rPr>
          <w:rFonts w:ascii="Garamond" w:hAnsi="Garamond" w:cs="Arial"/>
          <w:sz w:val="24"/>
          <w:szCs w:val="24"/>
          <w:lang w:val="sq-AL"/>
        </w:rPr>
        <w:t xml:space="preserve"> dhe ul më shumë raportin eksport</w:t>
      </w:r>
      <w:r w:rsidR="006E39CC">
        <w:rPr>
          <w:rFonts w:ascii="Garamond" w:hAnsi="Garamond" w:cs="Arial"/>
          <w:sz w:val="24"/>
          <w:szCs w:val="24"/>
          <w:lang w:val="sq-AL"/>
        </w:rPr>
        <w:t>-</w:t>
      </w:r>
      <w:r w:rsidRPr="0058349C">
        <w:rPr>
          <w:rFonts w:ascii="Garamond" w:hAnsi="Garamond" w:cs="Arial"/>
          <w:sz w:val="24"/>
          <w:szCs w:val="24"/>
          <w:lang w:val="sq-AL"/>
        </w:rPr>
        <w:t>import. Sektori i agropërpunimit ka akoma hapa të rëndësishëm për të ndërmarrë në rritjen e produktivitetit të tij, me objektivin për të ngushtuar</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 xml:space="preserve">apo përmbysur </w:t>
      </w:r>
      <w:r w:rsidRPr="0058349C">
        <w:rPr>
          <w:rFonts w:ascii="Garamond" w:hAnsi="Garamond" w:cs="Arial"/>
          <w:b/>
          <w:sz w:val="24"/>
          <w:szCs w:val="24"/>
          <w:lang w:val="sq-AL"/>
        </w:rPr>
        <w:t>trendin negativ të ekuilibrit të tregtisë</w:t>
      </w:r>
      <w:r w:rsidRPr="0058349C">
        <w:rPr>
          <w:rFonts w:ascii="Garamond" w:hAnsi="Garamond" w:cs="Arial"/>
          <w:sz w:val="24"/>
          <w:szCs w:val="24"/>
          <w:lang w:val="sq-AL"/>
        </w:rPr>
        <w:t>.</w:t>
      </w:r>
      <w:r w:rsidRPr="0058349C">
        <w:rPr>
          <w:rStyle w:val="FootnoteReference"/>
          <w:rFonts w:ascii="Garamond" w:hAnsi="Garamond" w:cs="Arial"/>
          <w:sz w:val="24"/>
          <w:szCs w:val="24"/>
          <w:lang w:val="sq-AL"/>
        </w:rPr>
        <w:footnoteReference w:id="11"/>
      </w:r>
    </w:p>
    <w:p w14:paraId="0773ADA0" w14:textId="77777777" w:rsidR="000F50EA" w:rsidRPr="0058349C" w:rsidRDefault="000F50EA" w:rsidP="000F50EA">
      <w:pPr>
        <w:pStyle w:val="Caption"/>
        <w:spacing w:after="0"/>
        <w:ind w:left="0" w:firstLine="284"/>
        <w:jc w:val="both"/>
        <w:rPr>
          <w:rFonts w:ascii="Garamond" w:hAnsi="Garamond"/>
          <w:color w:val="auto"/>
          <w:sz w:val="24"/>
          <w:szCs w:val="24"/>
        </w:rPr>
      </w:pPr>
    </w:p>
    <w:p w14:paraId="0773ADA1" w14:textId="6EEFD886" w:rsidR="000F50EA" w:rsidRPr="006E39CC" w:rsidRDefault="000F50EA" w:rsidP="006E39CC">
      <w:pPr>
        <w:pStyle w:val="Caption"/>
        <w:spacing w:after="0"/>
        <w:jc w:val="center"/>
        <w:rPr>
          <w:rFonts w:ascii="Garamond" w:hAnsi="Garamond" w:cs="Arial"/>
          <w:b w:val="0"/>
          <w:bCs w:val="0"/>
          <w:i/>
          <w:iCs/>
          <w:color w:val="auto"/>
          <w:sz w:val="20"/>
          <w:szCs w:val="20"/>
        </w:rPr>
      </w:pPr>
      <w:bookmarkStart w:id="9" w:name="_Toc103777361"/>
      <w:r w:rsidRPr="006E39CC">
        <w:rPr>
          <w:rFonts w:ascii="Garamond" w:hAnsi="Garamond"/>
          <w:i/>
          <w:iCs/>
          <w:color w:val="auto"/>
          <w:sz w:val="20"/>
          <w:szCs w:val="20"/>
        </w:rPr>
        <w:t>Tabela 3-</w:t>
      </w:r>
      <w:r w:rsidR="006E39CC" w:rsidRPr="006E39CC">
        <w:rPr>
          <w:rFonts w:ascii="Garamond" w:hAnsi="Garamond"/>
          <w:i/>
          <w:iCs/>
          <w:color w:val="auto"/>
          <w:sz w:val="20"/>
          <w:szCs w:val="20"/>
        </w:rPr>
        <w:t xml:space="preserve">4: </w:t>
      </w:r>
      <w:r w:rsidRPr="006E39CC">
        <w:rPr>
          <w:rFonts w:ascii="Garamond" w:hAnsi="Garamond"/>
          <w:b w:val="0"/>
          <w:bCs w:val="0"/>
          <w:i/>
          <w:iCs/>
          <w:color w:val="auto"/>
          <w:sz w:val="20"/>
          <w:szCs w:val="20"/>
        </w:rPr>
        <w:t>Bil</w:t>
      </w:r>
      <w:r w:rsidR="006E39CC" w:rsidRPr="006E39CC">
        <w:rPr>
          <w:rFonts w:ascii="Garamond" w:hAnsi="Garamond"/>
          <w:b w:val="0"/>
          <w:bCs w:val="0"/>
          <w:i/>
          <w:iCs/>
          <w:color w:val="auto"/>
          <w:sz w:val="20"/>
          <w:szCs w:val="20"/>
        </w:rPr>
        <w:t>anci tregtar në bujqësi (2015–</w:t>
      </w:r>
      <w:r w:rsidRPr="006E39CC">
        <w:rPr>
          <w:rFonts w:ascii="Garamond" w:hAnsi="Garamond"/>
          <w:b w:val="0"/>
          <w:bCs w:val="0"/>
          <w:i/>
          <w:iCs/>
          <w:color w:val="auto"/>
          <w:sz w:val="20"/>
          <w:szCs w:val="20"/>
        </w:rPr>
        <w:t>2020, Shqipëria me të gjitha vendet)</w:t>
      </w:r>
      <w:bookmarkEnd w:id="9"/>
    </w:p>
    <w:tbl>
      <w:tblPr>
        <w:tblW w:w="5000" w:type="pct"/>
        <w:tblLayout w:type="fixed"/>
        <w:tblLook w:val="04A0" w:firstRow="1" w:lastRow="0" w:firstColumn="1" w:lastColumn="0" w:noHBand="0" w:noVBand="1"/>
      </w:tblPr>
      <w:tblGrid>
        <w:gridCol w:w="2187"/>
        <w:gridCol w:w="1176"/>
        <w:gridCol w:w="1176"/>
        <w:gridCol w:w="1176"/>
        <w:gridCol w:w="1176"/>
        <w:gridCol w:w="1178"/>
        <w:gridCol w:w="1218"/>
      </w:tblGrid>
      <w:tr w:rsidR="000F50EA" w:rsidRPr="0058349C" w14:paraId="0773ADA9" w14:textId="77777777" w:rsidTr="006E39CC">
        <w:trPr>
          <w:trHeight w:val="345"/>
        </w:trPr>
        <w:tc>
          <w:tcPr>
            <w:tcW w:w="1178" w:type="pct"/>
            <w:tcBorders>
              <w:top w:val="single" w:sz="8" w:space="0" w:color="auto"/>
              <w:left w:val="single" w:sz="8" w:space="0" w:color="auto"/>
              <w:bottom w:val="single" w:sz="8" w:space="0" w:color="auto"/>
              <w:right w:val="single" w:sz="8" w:space="0" w:color="auto"/>
            </w:tcBorders>
            <w:shd w:val="clear" w:color="000000" w:fill="E5F7CA"/>
            <w:noWrap/>
            <w:vAlign w:val="center"/>
            <w:hideMark/>
          </w:tcPr>
          <w:p w14:paraId="0773ADA2" w14:textId="242D29A5" w:rsidR="000F50EA" w:rsidRPr="0058349C" w:rsidRDefault="000F50EA" w:rsidP="006E39CC">
            <w:pPr>
              <w:spacing w:after="0" w:line="240" w:lineRule="auto"/>
              <w:jc w:val="center"/>
              <w:rPr>
                <w:rFonts w:ascii="Garamond" w:hAnsi="Garamond" w:cs="Arial"/>
                <w:b/>
                <w:bCs/>
                <w:sz w:val="20"/>
                <w:szCs w:val="24"/>
                <w:lang w:val="sq-AL"/>
              </w:rPr>
            </w:pPr>
            <w:r w:rsidRPr="0058349C">
              <w:rPr>
                <w:rFonts w:ascii="Garamond" w:hAnsi="Garamond" w:cs="Arial"/>
                <w:b/>
                <w:bCs/>
                <w:sz w:val="20"/>
                <w:szCs w:val="24"/>
                <w:lang w:val="sq-AL"/>
              </w:rPr>
              <w:t>Ushqime, pije duhan</w:t>
            </w:r>
            <w:r w:rsidR="00CF7694" w:rsidRPr="0058349C">
              <w:rPr>
                <w:rFonts w:ascii="Garamond" w:hAnsi="Garamond" w:cs="Arial"/>
                <w:b/>
                <w:bCs/>
                <w:sz w:val="20"/>
                <w:szCs w:val="24"/>
                <w:lang w:val="sq-AL"/>
              </w:rPr>
              <w:t xml:space="preserve"> </w:t>
            </w:r>
            <w:r w:rsidRPr="0058349C">
              <w:rPr>
                <w:rFonts w:ascii="Garamond" w:hAnsi="Garamond" w:cs="Arial"/>
                <w:b/>
                <w:bCs/>
                <w:sz w:val="20"/>
                <w:szCs w:val="24"/>
                <w:lang w:val="sq-AL"/>
              </w:rPr>
              <w:t>(milion ALL)</w:t>
            </w:r>
          </w:p>
        </w:tc>
        <w:tc>
          <w:tcPr>
            <w:tcW w:w="633" w:type="pct"/>
            <w:tcBorders>
              <w:top w:val="single" w:sz="8" w:space="0" w:color="auto"/>
              <w:left w:val="nil"/>
              <w:bottom w:val="single" w:sz="8" w:space="0" w:color="auto"/>
              <w:right w:val="single" w:sz="8" w:space="0" w:color="auto"/>
            </w:tcBorders>
            <w:shd w:val="clear" w:color="000000" w:fill="E5F7CA"/>
            <w:noWrap/>
            <w:vAlign w:val="center"/>
            <w:hideMark/>
          </w:tcPr>
          <w:p w14:paraId="0773ADA3" w14:textId="77777777" w:rsidR="000F50EA" w:rsidRPr="0058349C" w:rsidRDefault="000F50EA" w:rsidP="006E39CC">
            <w:pPr>
              <w:spacing w:after="0" w:line="240" w:lineRule="auto"/>
              <w:jc w:val="center"/>
              <w:rPr>
                <w:rFonts w:ascii="Garamond" w:hAnsi="Garamond" w:cs="Calibri"/>
                <w:b/>
                <w:bCs/>
                <w:sz w:val="20"/>
                <w:szCs w:val="24"/>
                <w:lang w:val="sq-AL"/>
              </w:rPr>
            </w:pPr>
            <w:r w:rsidRPr="0058349C">
              <w:rPr>
                <w:rFonts w:ascii="Garamond" w:hAnsi="Garamond" w:cs="Calibri"/>
                <w:b/>
                <w:bCs/>
                <w:sz w:val="20"/>
                <w:szCs w:val="24"/>
                <w:lang w:val="sq-AL"/>
              </w:rPr>
              <w:t>2015</w:t>
            </w:r>
          </w:p>
        </w:tc>
        <w:tc>
          <w:tcPr>
            <w:tcW w:w="633" w:type="pct"/>
            <w:tcBorders>
              <w:top w:val="single" w:sz="8" w:space="0" w:color="auto"/>
              <w:left w:val="nil"/>
              <w:bottom w:val="single" w:sz="8" w:space="0" w:color="auto"/>
              <w:right w:val="single" w:sz="8" w:space="0" w:color="auto"/>
            </w:tcBorders>
            <w:shd w:val="clear" w:color="000000" w:fill="E5F7CA"/>
            <w:noWrap/>
            <w:vAlign w:val="center"/>
            <w:hideMark/>
          </w:tcPr>
          <w:p w14:paraId="0773ADA4" w14:textId="77777777" w:rsidR="000F50EA" w:rsidRPr="0058349C" w:rsidRDefault="000F50EA" w:rsidP="006E39CC">
            <w:pPr>
              <w:spacing w:after="0" w:line="240" w:lineRule="auto"/>
              <w:jc w:val="center"/>
              <w:rPr>
                <w:rFonts w:ascii="Garamond" w:hAnsi="Garamond" w:cs="Calibri"/>
                <w:b/>
                <w:bCs/>
                <w:sz w:val="20"/>
                <w:szCs w:val="24"/>
                <w:lang w:val="sq-AL"/>
              </w:rPr>
            </w:pPr>
            <w:r w:rsidRPr="0058349C">
              <w:rPr>
                <w:rFonts w:ascii="Garamond" w:hAnsi="Garamond" w:cs="Calibri"/>
                <w:b/>
                <w:bCs/>
                <w:sz w:val="20"/>
                <w:szCs w:val="24"/>
                <w:lang w:val="sq-AL"/>
              </w:rPr>
              <w:t>2016</w:t>
            </w:r>
          </w:p>
        </w:tc>
        <w:tc>
          <w:tcPr>
            <w:tcW w:w="633" w:type="pct"/>
            <w:tcBorders>
              <w:top w:val="single" w:sz="8" w:space="0" w:color="auto"/>
              <w:left w:val="nil"/>
              <w:bottom w:val="single" w:sz="8" w:space="0" w:color="auto"/>
              <w:right w:val="single" w:sz="8" w:space="0" w:color="auto"/>
            </w:tcBorders>
            <w:shd w:val="clear" w:color="000000" w:fill="E5F7CA"/>
            <w:noWrap/>
            <w:vAlign w:val="center"/>
            <w:hideMark/>
          </w:tcPr>
          <w:p w14:paraId="0773ADA5" w14:textId="77777777" w:rsidR="000F50EA" w:rsidRPr="0058349C" w:rsidRDefault="000F50EA" w:rsidP="006E39CC">
            <w:pPr>
              <w:spacing w:after="0" w:line="240" w:lineRule="auto"/>
              <w:jc w:val="center"/>
              <w:rPr>
                <w:rFonts w:ascii="Garamond" w:hAnsi="Garamond" w:cs="Calibri"/>
                <w:b/>
                <w:bCs/>
                <w:sz w:val="20"/>
                <w:szCs w:val="24"/>
                <w:lang w:val="sq-AL"/>
              </w:rPr>
            </w:pPr>
            <w:r w:rsidRPr="0058349C">
              <w:rPr>
                <w:rFonts w:ascii="Garamond" w:hAnsi="Garamond" w:cs="Calibri"/>
                <w:b/>
                <w:bCs/>
                <w:sz w:val="20"/>
                <w:szCs w:val="24"/>
                <w:lang w:val="sq-AL"/>
              </w:rPr>
              <w:t>2017</w:t>
            </w:r>
          </w:p>
        </w:tc>
        <w:tc>
          <w:tcPr>
            <w:tcW w:w="633" w:type="pct"/>
            <w:tcBorders>
              <w:top w:val="single" w:sz="8" w:space="0" w:color="auto"/>
              <w:left w:val="nil"/>
              <w:bottom w:val="single" w:sz="8" w:space="0" w:color="auto"/>
              <w:right w:val="single" w:sz="8" w:space="0" w:color="auto"/>
            </w:tcBorders>
            <w:shd w:val="clear" w:color="000000" w:fill="E5F7CA"/>
            <w:noWrap/>
            <w:vAlign w:val="center"/>
            <w:hideMark/>
          </w:tcPr>
          <w:p w14:paraId="0773ADA6" w14:textId="77777777" w:rsidR="000F50EA" w:rsidRPr="0058349C" w:rsidRDefault="000F50EA" w:rsidP="006E39CC">
            <w:pPr>
              <w:spacing w:after="0" w:line="240" w:lineRule="auto"/>
              <w:jc w:val="center"/>
              <w:rPr>
                <w:rFonts w:ascii="Garamond" w:hAnsi="Garamond" w:cs="Calibri"/>
                <w:b/>
                <w:bCs/>
                <w:sz w:val="20"/>
                <w:szCs w:val="24"/>
                <w:lang w:val="sq-AL"/>
              </w:rPr>
            </w:pPr>
            <w:r w:rsidRPr="0058349C">
              <w:rPr>
                <w:rFonts w:ascii="Garamond" w:hAnsi="Garamond" w:cs="Calibri"/>
                <w:b/>
                <w:bCs/>
                <w:sz w:val="20"/>
                <w:szCs w:val="24"/>
                <w:lang w:val="sq-AL"/>
              </w:rPr>
              <w:t>2018</w:t>
            </w:r>
          </w:p>
        </w:tc>
        <w:tc>
          <w:tcPr>
            <w:tcW w:w="634" w:type="pct"/>
            <w:tcBorders>
              <w:top w:val="single" w:sz="8" w:space="0" w:color="auto"/>
              <w:left w:val="nil"/>
              <w:bottom w:val="single" w:sz="8" w:space="0" w:color="auto"/>
              <w:right w:val="single" w:sz="8" w:space="0" w:color="auto"/>
            </w:tcBorders>
            <w:shd w:val="clear" w:color="000000" w:fill="E5F7CA"/>
            <w:noWrap/>
            <w:vAlign w:val="center"/>
            <w:hideMark/>
          </w:tcPr>
          <w:p w14:paraId="0773ADA7" w14:textId="77777777" w:rsidR="000F50EA" w:rsidRPr="0058349C" w:rsidRDefault="000F50EA" w:rsidP="006E39CC">
            <w:pPr>
              <w:spacing w:after="0" w:line="240" w:lineRule="auto"/>
              <w:jc w:val="center"/>
              <w:rPr>
                <w:rFonts w:ascii="Garamond" w:hAnsi="Garamond" w:cs="Calibri"/>
                <w:b/>
                <w:bCs/>
                <w:sz w:val="20"/>
                <w:szCs w:val="24"/>
                <w:lang w:val="sq-AL"/>
              </w:rPr>
            </w:pPr>
            <w:r w:rsidRPr="0058349C">
              <w:rPr>
                <w:rFonts w:ascii="Garamond" w:hAnsi="Garamond" w:cs="Calibri"/>
                <w:b/>
                <w:bCs/>
                <w:sz w:val="20"/>
                <w:szCs w:val="24"/>
                <w:lang w:val="sq-AL"/>
              </w:rPr>
              <w:t>2019</w:t>
            </w:r>
          </w:p>
        </w:tc>
        <w:tc>
          <w:tcPr>
            <w:tcW w:w="656" w:type="pct"/>
            <w:tcBorders>
              <w:top w:val="single" w:sz="8" w:space="0" w:color="auto"/>
              <w:left w:val="nil"/>
              <w:bottom w:val="single" w:sz="8" w:space="0" w:color="auto"/>
              <w:right w:val="single" w:sz="8" w:space="0" w:color="auto"/>
            </w:tcBorders>
            <w:shd w:val="clear" w:color="000000" w:fill="E5F7CA"/>
            <w:noWrap/>
            <w:vAlign w:val="center"/>
            <w:hideMark/>
          </w:tcPr>
          <w:p w14:paraId="0773ADA8" w14:textId="77777777" w:rsidR="000F50EA" w:rsidRPr="0058349C" w:rsidRDefault="000F50EA" w:rsidP="006E39CC">
            <w:pPr>
              <w:spacing w:after="0" w:line="240" w:lineRule="auto"/>
              <w:jc w:val="center"/>
              <w:rPr>
                <w:rFonts w:ascii="Garamond" w:hAnsi="Garamond" w:cs="Calibri"/>
                <w:b/>
                <w:bCs/>
                <w:sz w:val="20"/>
                <w:szCs w:val="24"/>
                <w:lang w:val="sq-AL"/>
              </w:rPr>
            </w:pPr>
            <w:r w:rsidRPr="0058349C">
              <w:rPr>
                <w:rFonts w:ascii="Garamond" w:hAnsi="Garamond" w:cs="Calibri"/>
                <w:b/>
                <w:bCs/>
                <w:sz w:val="20"/>
                <w:szCs w:val="24"/>
                <w:lang w:val="sq-AL"/>
              </w:rPr>
              <w:t>2020</w:t>
            </w:r>
          </w:p>
        </w:tc>
      </w:tr>
      <w:tr w:rsidR="000F50EA" w:rsidRPr="0058349C" w14:paraId="0773ADB2" w14:textId="77777777" w:rsidTr="00793D9F">
        <w:trPr>
          <w:trHeight w:val="315"/>
        </w:trPr>
        <w:tc>
          <w:tcPr>
            <w:tcW w:w="1178" w:type="pct"/>
            <w:tcBorders>
              <w:top w:val="nil"/>
              <w:left w:val="single" w:sz="8" w:space="0" w:color="auto"/>
              <w:bottom w:val="single" w:sz="8" w:space="0" w:color="auto"/>
              <w:right w:val="single" w:sz="8" w:space="0" w:color="auto"/>
            </w:tcBorders>
            <w:shd w:val="clear" w:color="auto" w:fill="auto"/>
            <w:noWrap/>
            <w:vAlign w:val="bottom"/>
            <w:hideMark/>
          </w:tcPr>
          <w:p w14:paraId="0773ADAB" w14:textId="44EE5F7C" w:rsidR="000F50EA" w:rsidRPr="0058349C" w:rsidRDefault="000F50EA" w:rsidP="006E39CC">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 xml:space="preserve">Eksport </w:t>
            </w:r>
            <w:r w:rsidR="006E39CC" w:rsidRPr="0058349C">
              <w:rPr>
                <w:rFonts w:ascii="Garamond" w:hAnsi="Garamond" w:cs="Arial"/>
                <w:bCs/>
                <w:sz w:val="20"/>
                <w:szCs w:val="24"/>
                <w:lang w:val="sq-AL"/>
              </w:rPr>
              <w:t>ushqime</w:t>
            </w:r>
            <w:r w:rsidRPr="0058349C">
              <w:rPr>
                <w:rFonts w:ascii="Garamond" w:hAnsi="Garamond" w:cs="Arial"/>
                <w:bCs/>
                <w:sz w:val="20"/>
                <w:szCs w:val="24"/>
                <w:lang w:val="sq-AL"/>
              </w:rPr>
              <w:t>, pije duhan</w:t>
            </w:r>
            <w:r w:rsidR="00CF7694" w:rsidRPr="0058349C">
              <w:rPr>
                <w:rFonts w:ascii="Garamond" w:hAnsi="Garamond" w:cs="Arial"/>
                <w:bCs/>
                <w:sz w:val="20"/>
                <w:szCs w:val="24"/>
                <w:lang w:val="sq-AL"/>
              </w:rPr>
              <w:t xml:space="preserve"> </w:t>
            </w:r>
            <w:r w:rsidRPr="0058349C">
              <w:rPr>
                <w:rFonts w:ascii="Garamond" w:hAnsi="Garamond" w:cs="Arial"/>
                <w:bCs/>
                <w:sz w:val="20"/>
                <w:szCs w:val="24"/>
                <w:lang w:val="sq-AL"/>
              </w:rPr>
              <w:t xml:space="preserve">(milion </w:t>
            </w:r>
            <w:r w:rsidR="006E39CC" w:rsidRPr="0058349C">
              <w:rPr>
                <w:rFonts w:ascii="Garamond" w:hAnsi="Garamond" w:cs="Arial"/>
                <w:bCs/>
                <w:sz w:val="20"/>
                <w:szCs w:val="24"/>
                <w:lang w:val="sq-AL"/>
              </w:rPr>
              <w:t>lek</w:t>
            </w:r>
            <w:r w:rsidRPr="0058349C">
              <w:rPr>
                <w:rFonts w:ascii="Garamond" w:hAnsi="Garamond" w:cs="Arial"/>
                <w:bCs/>
                <w:sz w:val="20"/>
                <w:szCs w:val="24"/>
                <w:lang w:val="sq-AL"/>
              </w:rPr>
              <w:t>)</w:t>
            </w:r>
          </w:p>
        </w:tc>
        <w:tc>
          <w:tcPr>
            <w:tcW w:w="633" w:type="pct"/>
            <w:tcBorders>
              <w:top w:val="nil"/>
              <w:left w:val="nil"/>
              <w:bottom w:val="single" w:sz="8" w:space="0" w:color="auto"/>
              <w:right w:val="single" w:sz="8" w:space="0" w:color="auto"/>
            </w:tcBorders>
            <w:shd w:val="clear" w:color="auto" w:fill="auto"/>
            <w:noWrap/>
            <w:vAlign w:val="center"/>
            <w:hideMark/>
          </w:tcPr>
          <w:p w14:paraId="0773ADAC" w14:textId="77777777" w:rsidR="000F50EA" w:rsidRPr="0058349C" w:rsidRDefault="000F50EA" w:rsidP="000F50EA">
            <w:pPr>
              <w:spacing w:after="0" w:line="240" w:lineRule="auto"/>
              <w:jc w:val="both"/>
              <w:rPr>
                <w:rFonts w:ascii="Garamond" w:hAnsi="Garamond" w:cs="Calibri"/>
                <w:sz w:val="20"/>
                <w:szCs w:val="24"/>
                <w:lang w:val="sq-AL"/>
              </w:rPr>
            </w:pPr>
            <w:r w:rsidRPr="0058349C">
              <w:rPr>
                <w:rFonts w:ascii="Garamond" w:hAnsi="Garamond" w:cs="Calibri"/>
                <w:sz w:val="20"/>
                <w:szCs w:val="24"/>
                <w:lang w:val="sq-AL"/>
              </w:rPr>
              <w:t>21,066.3</w:t>
            </w:r>
          </w:p>
        </w:tc>
        <w:tc>
          <w:tcPr>
            <w:tcW w:w="633" w:type="pct"/>
            <w:tcBorders>
              <w:top w:val="nil"/>
              <w:left w:val="nil"/>
              <w:bottom w:val="single" w:sz="8" w:space="0" w:color="auto"/>
              <w:right w:val="single" w:sz="8" w:space="0" w:color="auto"/>
            </w:tcBorders>
            <w:shd w:val="clear" w:color="auto" w:fill="auto"/>
            <w:noWrap/>
            <w:vAlign w:val="center"/>
            <w:hideMark/>
          </w:tcPr>
          <w:p w14:paraId="0773ADAD" w14:textId="77777777" w:rsidR="000F50EA" w:rsidRPr="0058349C" w:rsidRDefault="000F50EA" w:rsidP="000F50EA">
            <w:pPr>
              <w:spacing w:after="0" w:line="240" w:lineRule="auto"/>
              <w:jc w:val="both"/>
              <w:rPr>
                <w:rFonts w:ascii="Garamond" w:hAnsi="Garamond" w:cs="Calibri"/>
                <w:sz w:val="20"/>
                <w:szCs w:val="24"/>
                <w:lang w:val="sq-AL"/>
              </w:rPr>
            </w:pPr>
            <w:r w:rsidRPr="0058349C">
              <w:rPr>
                <w:rFonts w:ascii="Garamond" w:hAnsi="Garamond" w:cs="Calibri"/>
                <w:sz w:val="20"/>
                <w:szCs w:val="24"/>
                <w:lang w:val="sq-AL"/>
              </w:rPr>
              <w:t>25,347.0</w:t>
            </w:r>
          </w:p>
        </w:tc>
        <w:tc>
          <w:tcPr>
            <w:tcW w:w="633" w:type="pct"/>
            <w:tcBorders>
              <w:top w:val="nil"/>
              <w:left w:val="nil"/>
              <w:bottom w:val="single" w:sz="8" w:space="0" w:color="auto"/>
              <w:right w:val="single" w:sz="8" w:space="0" w:color="auto"/>
            </w:tcBorders>
            <w:shd w:val="clear" w:color="auto" w:fill="auto"/>
            <w:noWrap/>
            <w:vAlign w:val="center"/>
            <w:hideMark/>
          </w:tcPr>
          <w:p w14:paraId="0773ADAE" w14:textId="77777777" w:rsidR="000F50EA" w:rsidRPr="0058349C" w:rsidRDefault="000F50EA" w:rsidP="000F50EA">
            <w:pPr>
              <w:spacing w:after="0" w:line="240" w:lineRule="auto"/>
              <w:jc w:val="both"/>
              <w:rPr>
                <w:rFonts w:ascii="Garamond" w:hAnsi="Garamond" w:cs="Calibri"/>
                <w:sz w:val="20"/>
                <w:szCs w:val="24"/>
                <w:lang w:val="sq-AL"/>
              </w:rPr>
            </w:pPr>
            <w:r w:rsidRPr="0058349C">
              <w:rPr>
                <w:rFonts w:ascii="Garamond" w:hAnsi="Garamond" w:cs="Calibri"/>
                <w:sz w:val="20"/>
                <w:szCs w:val="24"/>
                <w:lang w:val="sq-AL"/>
              </w:rPr>
              <w:t>30,080.5</w:t>
            </w:r>
          </w:p>
        </w:tc>
        <w:tc>
          <w:tcPr>
            <w:tcW w:w="633" w:type="pct"/>
            <w:tcBorders>
              <w:top w:val="nil"/>
              <w:left w:val="nil"/>
              <w:bottom w:val="single" w:sz="8" w:space="0" w:color="auto"/>
              <w:right w:val="single" w:sz="8" w:space="0" w:color="auto"/>
            </w:tcBorders>
            <w:shd w:val="clear" w:color="auto" w:fill="auto"/>
            <w:noWrap/>
            <w:vAlign w:val="center"/>
            <w:hideMark/>
          </w:tcPr>
          <w:p w14:paraId="0773ADAF" w14:textId="77777777" w:rsidR="000F50EA" w:rsidRPr="0058349C" w:rsidRDefault="000F50EA" w:rsidP="000F50EA">
            <w:pPr>
              <w:spacing w:after="0" w:line="240" w:lineRule="auto"/>
              <w:jc w:val="both"/>
              <w:rPr>
                <w:rFonts w:ascii="Garamond" w:hAnsi="Garamond" w:cs="Calibri"/>
                <w:sz w:val="20"/>
                <w:szCs w:val="24"/>
                <w:lang w:val="sq-AL"/>
              </w:rPr>
            </w:pPr>
            <w:r w:rsidRPr="0058349C">
              <w:rPr>
                <w:rFonts w:ascii="Garamond" w:hAnsi="Garamond" w:cs="Calibri"/>
                <w:sz w:val="20"/>
                <w:szCs w:val="24"/>
                <w:lang w:val="sq-AL"/>
              </w:rPr>
              <w:t>32,333.6</w:t>
            </w:r>
          </w:p>
        </w:tc>
        <w:tc>
          <w:tcPr>
            <w:tcW w:w="634" w:type="pct"/>
            <w:tcBorders>
              <w:top w:val="nil"/>
              <w:left w:val="nil"/>
              <w:bottom w:val="single" w:sz="8" w:space="0" w:color="auto"/>
              <w:right w:val="single" w:sz="8" w:space="0" w:color="auto"/>
            </w:tcBorders>
            <w:shd w:val="clear" w:color="auto" w:fill="auto"/>
            <w:noWrap/>
            <w:vAlign w:val="center"/>
            <w:hideMark/>
          </w:tcPr>
          <w:p w14:paraId="0773ADB0" w14:textId="77777777" w:rsidR="000F50EA" w:rsidRPr="0058349C" w:rsidRDefault="000F50EA" w:rsidP="000F50EA">
            <w:pPr>
              <w:spacing w:after="0" w:line="240" w:lineRule="auto"/>
              <w:jc w:val="both"/>
              <w:rPr>
                <w:rFonts w:ascii="Garamond" w:hAnsi="Garamond" w:cs="Calibri"/>
                <w:sz w:val="20"/>
                <w:szCs w:val="24"/>
                <w:lang w:val="sq-AL"/>
              </w:rPr>
            </w:pPr>
            <w:r w:rsidRPr="0058349C">
              <w:rPr>
                <w:rFonts w:ascii="Garamond" w:hAnsi="Garamond" w:cs="Calibri"/>
                <w:sz w:val="20"/>
                <w:szCs w:val="24"/>
                <w:lang w:val="sq-AL"/>
              </w:rPr>
              <w:t>35,374.3</w:t>
            </w:r>
          </w:p>
        </w:tc>
        <w:tc>
          <w:tcPr>
            <w:tcW w:w="656" w:type="pct"/>
            <w:tcBorders>
              <w:top w:val="nil"/>
              <w:left w:val="nil"/>
              <w:bottom w:val="single" w:sz="8" w:space="0" w:color="auto"/>
              <w:right w:val="single" w:sz="8" w:space="0" w:color="auto"/>
            </w:tcBorders>
            <w:shd w:val="clear" w:color="auto" w:fill="auto"/>
            <w:noWrap/>
            <w:vAlign w:val="center"/>
            <w:hideMark/>
          </w:tcPr>
          <w:p w14:paraId="0773ADB1" w14:textId="77777777" w:rsidR="000F50EA" w:rsidRPr="0058349C" w:rsidRDefault="000F50EA" w:rsidP="000F50EA">
            <w:pPr>
              <w:spacing w:after="0" w:line="240" w:lineRule="auto"/>
              <w:jc w:val="both"/>
              <w:rPr>
                <w:rFonts w:ascii="Garamond" w:hAnsi="Garamond" w:cs="Calibri"/>
                <w:sz w:val="20"/>
                <w:szCs w:val="24"/>
                <w:lang w:val="sq-AL"/>
              </w:rPr>
            </w:pPr>
            <w:r w:rsidRPr="0058349C">
              <w:rPr>
                <w:rFonts w:ascii="Garamond" w:hAnsi="Garamond" w:cs="Calibri"/>
                <w:sz w:val="20"/>
                <w:szCs w:val="24"/>
                <w:lang w:val="sq-AL"/>
              </w:rPr>
              <w:t>39,050.1</w:t>
            </w:r>
          </w:p>
        </w:tc>
      </w:tr>
      <w:tr w:rsidR="000F50EA" w:rsidRPr="0058349C" w14:paraId="0773ADBB" w14:textId="77777777" w:rsidTr="00793D9F">
        <w:trPr>
          <w:trHeight w:val="315"/>
        </w:trPr>
        <w:tc>
          <w:tcPr>
            <w:tcW w:w="1178" w:type="pct"/>
            <w:tcBorders>
              <w:top w:val="nil"/>
              <w:left w:val="single" w:sz="8" w:space="0" w:color="auto"/>
              <w:bottom w:val="single" w:sz="8" w:space="0" w:color="auto"/>
              <w:right w:val="single" w:sz="8" w:space="0" w:color="auto"/>
            </w:tcBorders>
            <w:shd w:val="clear" w:color="auto" w:fill="auto"/>
            <w:noWrap/>
            <w:vAlign w:val="bottom"/>
            <w:hideMark/>
          </w:tcPr>
          <w:p w14:paraId="0773ADB4" w14:textId="61524A9E" w:rsidR="000F50EA" w:rsidRPr="0058349C" w:rsidRDefault="000F50EA" w:rsidP="006E39CC">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 xml:space="preserve">Importe </w:t>
            </w:r>
            <w:r w:rsidR="006E39CC" w:rsidRPr="0058349C">
              <w:rPr>
                <w:rFonts w:ascii="Garamond" w:hAnsi="Garamond" w:cs="Arial"/>
                <w:bCs/>
                <w:sz w:val="20"/>
                <w:szCs w:val="24"/>
                <w:lang w:val="sq-AL"/>
              </w:rPr>
              <w:t>ushqime</w:t>
            </w:r>
            <w:r w:rsidRPr="0058349C">
              <w:rPr>
                <w:rFonts w:ascii="Garamond" w:hAnsi="Garamond" w:cs="Arial"/>
                <w:bCs/>
                <w:sz w:val="20"/>
                <w:szCs w:val="24"/>
                <w:lang w:val="sq-AL"/>
              </w:rPr>
              <w:t>, pije duhan</w:t>
            </w:r>
            <w:r w:rsidR="00CF7694" w:rsidRPr="0058349C">
              <w:rPr>
                <w:rFonts w:ascii="Garamond" w:hAnsi="Garamond" w:cs="Arial"/>
                <w:bCs/>
                <w:sz w:val="20"/>
                <w:szCs w:val="24"/>
                <w:lang w:val="sq-AL"/>
              </w:rPr>
              <w:t xml:space="preserve"> </w:t>
            </w:r>
            <w:r w:rsidRPr="0058349C">
              <w:rPr>
                <w:rFonts w:ascii="Garamond" w:hAnsi="Garamond" w:cs="Arial"/>
                <w:bCs/>
                <w:sz w:val="20"/>
                <w:szCs w:val="24"/>
                <w:lang w:val="sq-AL"/>
              </w:rPr>
              <w:t xml:space="preserve">(milion </w:t>
            </w:r>
            <w:r w:rsidR="006E39CC" w:rsidRPr="0058349C">
              <w:rPr>
                <w:rFonts w:ascii="Garamond" w:hAnsi="Garamond" w:cs="Arial"/>
                <w:bCs/>
                <w:sz w:val="20"/>
                <w:szCs w:val="24"/>
                <w:lang w:val="sq-AL"/>
              </w:rPr>
              <w:t>lek</w:t>
            </w:r>
            <w:r w:rsidRPr="0058349C">
              <w:rPr>
                <w:rFonts w:ascii="Garamond" w:hAnsi="Garamond" w:cs="Arial"/>
                <w:bCs/>
                <w:sz w:val="20"/>
                <w:szCs w:val="24"/>
                <w:lang w:val="sq-AL"/>
              </w:rPr>
              <w:t>)</w:t>
            </w:r>
          </w:p>
        </w:tc>
        <w:tc>
          <w:tcPr>
            <w:tcW w:w="633" w:type="pct"/>
            <w:tcBorders>
              <w:top w:val="nil"/>
              <w:left w:val="nil"/>
              <w:bottom w:val="single" w:sz="8" w:space="0" w:color="auto"/>
              <w:right w:val="single" w:sz="8" w:space="0" w:color="auto"/>
            </w:tcBorders>
            <w:shd w:val="clear" w:color="auto" w:fill="auto"/>
            <w:noWrap/>
            <w:vAlign w:val="center"/>
            <w:hideMark/>
          </w:tcPr>
          <w:p w14:paraId="0773ADB5" w14:textId="77777777" w:rsidR="000F50EA" w:rsidRPr="0058349C" w:rsidRDefault="000F50EA" w:rsidP="000F50EA">
            <w:pPr>
              <w:spacing w:after="0" w:line="240" w:lineRule="auto"/>
              <w:jc w:val="both"/>
              <w:rPr>
                <w:rFonts w:ascii="Garamond" w:hAnsi="Garamond" w:cs="Calibri"/>
                <w:sz w:val="20"/>
                <w:szCs w:val="24"/>
                <w:lang w:val="sq-AL"/>
              </w:rPr>
            </w:pPr>
            <w:r w:rsidRPr="0058349C">
              <w:rPr>
                <w:rFonts w:ascii="Garamond" w:hAnsi="Garamond" w:cs="Calibri"/>
                <w:sz w:val="20"/>
                <w:szCs w:val="24"/>
                <w:lang w:val="sq-AL"/>
              </w:rPr>
              <w:t>96,896.6</w:t>
            </w:r>
          </w:p>
        </w:tc>
        <w:tc>
          <w:tcPr>
            <w:tcW w:w="633" w:type="pct"/>
            <w:tcBorders>
              <w:top w:val="nil"/>
              <w:left w:val="nil"/>
              <w:bottom w:val="single" w:sz="8" w:space="0" w:color="auto"/>
              <w:right w:val="single" w:sz="8" w:space="0" w:color="auto"/>
            </w:tcBorders>
            <w:shd w:val="clear" w:color="auto" w:fill="auto"/>
            <w:noWrap/>
            <w:vAlign w:val="center"/>
            <w:hideMark/>
          </w:tcPr>
          <w:p w14:paraId="0773ADB6" w14:textId="77777777" w:rsidR="000F50EA" w:rsidRPr="0058349C" w:rsidRDefault="000F50EA" w:rsidP="000F50EA">
            <w:pPr>
              <w:spacing w:after="0" w:line="240" w:lineRule="auto"/>
              <w:jc w:val="both"/>
              <w:rPr>
                <w:rFonts w:ascii="Garamond" w:hAnsi="Garamond" w:cs="Calibri"/>
                <w:sz w:val="20"/>
                <w:szCs w:val="24"/>
                <w:lang w:val="sq-AL"/>
              </w:rPr>
            </w:pPr>
            <w:r w:rsidRPr="0058349C">
              <w:rPr>
                <w:rFonts w:ascii="Garamond" w:hAnsi="Garamond" w:cs="Calibri"/>
                <w:sz w:val="20"/>
                <w:szCs w:val="24"/>
                <w:lang w:val="sq-AL"/>
              </w:rPr>
              <w:t>100,364.9</w:t>
            </w:r>
          </w:p>
        </w:tc>
        <w:tc>
          <w:tcPr>
            <w:tcW w:w="633" w:type="pct"/>
            <w:tcBorders>
              <w:top w:val="nil"/>
              <w:left w:val="nil"/>
              <w:bottom w:val="single" w:sz="8" w:space="0" w:color="auto"/>
              <w:right w:val="single" w:sz="8" w:space="0" w:color="auto"/>
            </w:tcBorders>
            <w:shd w:val="clear" w:color="auto" w:fill="auto"/>
            <w:noWrap/>
            <w:vAlign w:val="center"/>
            <w:hideMark/>
          </w:tcPr>
          <w:p w14:paraId="0773ADB7" w14:textId="77777777" w:rsidR="000F50EA" w:rsidRPr="0058349C" w:rsidRDefault="000F50EA" w:rsidP="000F50EA">
            <w:pPr>
              <w:spacing w:after="0" w:line="240" w:lineRule="auto"/>
              <w:jc w:val="both"/>
              <w:rPr>
                <w:rFonts w:ascii="Garamond" w:hAnsi="Garamond" w:cs="Calibri"/>
                <w:sz w:val="20"/>
                <w:szCs w:val="24"/>
                <w:lang w:val="sq-AL"/>
              </w:rPr>
            </w:pPr>
            <w:r w:rsidRPr="0058349C">
              <w:rPr>
                <w:rFonts w:ascii="Garamond" w:hAnsi="Garamond" w:cs="Calibri"/>
                <w:sz w:val="20"/>
                <w:szCs w:val="24"/>
                <w:lang w:val="sq-AL"/>
              </w:rPr>
              <w:t>106,737.8</w:t>
            </w:r>
          </w:p>
        </w:tc>
        <w:tc>
          <w:tcPr>
            <w:tcW w:w="633" w:type="pct"/>
            <w:tcBorders>
              <w:top w:val="nil"/>
              <w:left w:val="nil"/>
              <w:bottom w:val="single" w:sz="8" w:space="0" w:color="auto"/>
              <w:right w:val="single" w:sz="8" w:space="0" w:color="auto"/>
            </w:tcBorders>
            <w:shd w:val="clear" w:color="auto" w:fill="auto"/>
            <w:noWrap/>
            <w:vAlign w:val="center"/>
            <w:hideMark/>
          </w:tcPr>
          <w:p w14:paraId="0773ADB8" w14:textId="77777777" w:rsidR="000F50EA" w:rsidRPr="0058349C" w:rsidRDefault="000F50EA" w:rsidP="000F50EA">
            <w:pPr>
              <w:spacing w:after="0" w:line="240" w:lineRule="auto"/>
              <w:jc w:val="both"/>
              <w:rPr>
                <w:rFonts w:ascii="Garamond" w:hAnsi="Garamond" w:cs="Calibri"/>
                <w:sz w:val="20"/>
                <w:szCs w:val="24"/>
                <w:lang w:val="sq-AL"/>
              </w:rPr>
            </w:pPr>
            <w:r w:rsidRPr="0058349C">
              <w:rPr>
                <w:rFonts w:ascii="Garamond" w:hAnsi="Garamond" w:cs="Calibri"/>
                <w:sz w:val="20"/>
                <w:szCs w:val="24"/>
                <w:lang w:val="sq-AL"/>
              </w:rPr>
              <w:t>106,507.7</w:t>
            </w:r>
          </w:p>
        </w:tc>
        <w:tc>
          <w:tcPr>
            <w:tcW w:w="634" w:type="pct"/>
            <w:tcBorders>
              <w:top w:val="nil"/>
              <w:left w:val="nil"/>
              <w:bottom w:val="single" w:sz="8" w:space="0" w:color="auto"/>
              <w:right w:val="single" w:sz="8" w:space="0" w:color="auto"/>
            </w:tcBorders>
            <w:shd w:val="clear" w:color="auto" w:fill="auto"/>
            <w:noWrap/>
            <w:vAlign w:val="center"/>
            <w:hideMark/>
          </w:tcPr>
          <w:p w14:paraId="0773ADB9" w14:textId="77777777" w:rsidR="000F50EA" w:rsidRPr="0058349C" w:rsidRDefault="000F50EA" w:rsidP="000F50EA">
            <w:pPr>
              <w:spacing w:after="0" w:line="240" w:lineRule="auto"/>
              <w:jc w:val="both"/>
              <w:rPr>
                <w:rFonts w:ascii="Garamond" w:hAnsi="Garamond" w:cs="Calibri"/>
                <w:sz w:val="20"/>
                <w:szCs w:val="24"/>
                <w:lang w:val="sq-AL"/>
              </w:rPr>
            </w:pPr>
            <w:r w:rsidRPr="0058349C">
              <w:rPr>
                <w:rFonts w:ascii="Garamond" w:hAnsi="Garamond" w:cs="Calibri"/>
                <w:sz w:val="20"/>
                <w:szCs w:val="24"/>
                <w:lang w:val="sq-AL"/>
              </w:rPr>
              <w:t>110,365.2</w:t>
            </w:r>
          </w:p>
        </w:tc>
        <w:tc>
          <w:tcPr>
            <w:tcW w:w="656" w:type="pct"/>
            <w:tcBorders>
              <w:top w:val="nil"/>
              <w:left w:val="nil"/>
              <w:bottom w:val="single" w:sz="8" w:space="0" w:color="auto"/>
              <w:right w:val="single" w:sz="8" w:space="0" w:color="auto"/>
            </w:tcBorders>
            <w:shd w:val="clear" w:color="auto" w:fill="auto"/>
            <w:noWrap/>
            <w:vAlign w:val="center"/>
            <w:hideMark/>
          </w:tcPr>
          <w:p w14:paraId="0773ADBA" w14:textId="77777777" w:rsidR="000F50EA" w:rsidRPr="0058349C" w:rsidRDefault="000F50EA" w:rsidP="000F50EA">
            <w:pPr>
              <w:spacing w:after="0" w:line="240" w:lineRule="auto"/>
              <w:jc w:val="both"/>
              <w:rPr>
                <w:rFonts w:ascii="Garamond" w:hAnsi="Garamond" w:cs="Calibri"/>
                <w:sz w:val="20"/>
                <w:szCs w:val="24"/>
                <w:lang w:val="sq-AL"/>
              </w:rPr>
            </w:pPr>
            <w:r w:rsidRPr="0058349C">
              <w:rPr>
                <w:rFonts w:ascii="Garamond" w:hAnsi="Garamond" w:cs="Calibri"/>
                <w:sz w:val="20"/>
                <w:szCs w:val="24"/>
                <w:lang w:val="sq-AL"/>
              </w:rPr>
              <w:t>110,926.7</w:t>
            </w:r>
          </w:p>
        </w:tc>
      </w:tr>
      <w:tr w:rsidR="000F50EA" w:rsidRPr="0058349C" w14:paraId="0773ADC3" w14:textId="77777777" w:rsidTr="00793D9F">
        <w:trPr>
          <w:trHeight w:val="315"/>
        </w:trPr>
        <w:tc>
          <w:tcPr>
            <w:tcW w:w="1178" w:type="pct"/>
            <w:tcBorders>
              <w:top w:val="nil"/>
              <w:left w:val="single" w:sz="8" w:space="0" w:color="auto"/>
              <w:bottom w:val="single" w:sz="8" w:space="0" w:color="auto"/>
              <w:right w:val="single" w:sz="8" w:space="0" w:color="auto"/>
            </w:tcBorders>
            <w:shd w:val="clear" w:color="auto" w:fill="auto"/>
            <w:noWrap/>
            <w:vAlign w:val="bottom"/>
            <w:hideMark/>
          </w:tcPr>
          <w:p w14:paraId="0773ADBC" w14:textId="396853E0" w:rsidR="000F50EA" w:rsidRPr="0058349C" w:rsidRDefault="000F50EA" w:rsidP="006E39CC">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Balanca tregtare</w:t>
            </w:r>
            <w:r w:rsidR="00CF7694" w:rsidRPr="0058349C">
              <w:rPr>
                <w:rFonts w:ascii="Garamond" w:hAnsi="Garamond" w:cs="Arial"/>
                <w:bCs/>
                <w:sz w:val="20"/>
                <w:szCs w:val="24"/>
                <w:lang w:val="sq-AL"/>
              </w:rPr>
              <w:t xml:space="preserve"> </w:t>
            </w:r>
            <w:r w:rsidRPr="0058349C">
              <w:rPr>
                <w:rFonts w:ascii="Garamond" w:hAnsi="Garamond" w:cs="Arial"/>
                <w:bCs/>
                <w:sz w:val="20"/>
                <w:szCs w:val="24"/>
                <w:lang w:val="sq-AL"/>
              </w:rPr>
              <w:t xml:space="preserve">(milion </w:t>
            </w:r>
            <w:r w:rsidR="006E39CC" w:rsidRPr="0058349C">
              <w:rPr>
                <w:rFonts w:ascii="Garamond" w:hAnsi="Garamond" w:cs="Arial"/>
                <w:bCs/>
                <w:sz w:val="20"/>
                <w:szCs w:val="24"/>
                <w:lang w:val="sq-AL"/>
              </w:rPr>
              <w:t>lek</w:t>
            </w:r>
            <w:r w:rsidRPr="0058349C">
              <w:rPr>
                <w:rFonts w:ascii="Garamond" w:hAnsi="Garamond" w:cs="Arial"/>
                <w:bCs/>
                <w:sz w:val="20"/>
                <w:szCs w:val="24"/>
                <w:lang w:val="sq-AL"/>
              </w:rPr>
              <w:t>)</w:t>
            </w:r>
          </w:p>
        </w:tc>
        <w:tc>
          <w:tcPr>
            <w:tcW w:w="633" w:type="pct"/>
            <w:tcBorders>
              <w:top w:val="nil"/>
              <w:left w:val="nil"/>
              <w:bottom w:val="single" w:sz="8" w:space="0" w:color="auto"/>
              <w:right w:val="single" w:sz="8" w:space="0" w:color="auto"/>
            </w:tcBorders>
            <w:shd w:val="clear" w:color="auto" w:fill="auto"/>
            <w:noWrap/>
            <w:vAlign w:val="center"/>
            <w:hideMark/>
          </w:tcPr>
          <w:p w14:paraId="0773ADBD" w14:textId="77777777" w:rsidR="000F50EA" w:rsidRPr="0058349C" w:rsidRDefault="000F50EA" w:rsidP="000F50EA">
            <w:pPr>
              <w:spacing w:after="0" w:line="240" w:lineRule="auto"/>
              <w:jc w:val="both"/>
              <w:rPr>
                <w:rFonts w:ascii="Garamond" w:hAnsi="Garamond" w:cs="Calibri"/>
                <w:b/>
                <w:bCs/>
                <w:sz w:val="20"/>
                <w:szCs w:val="24"/>
                <w:lang w:val="sq-AL"/>
              </w:rPr>
            </w:pPr>
            <w:r w:rsidRPr="0058349C">
              <w:rPr>
                <w:rFonts w:ascii="Garamond" w:hAnsi="Garamond" w:cs="Calibri"/>
                <w:b/>
                <w:bCs/>
                <w:sz w:val="20"/>
                <w:szCs w:val="24"/>
                <w:lang w:val="sq-AL"/>
              </w:rPr>
              <w:t>(75,830.3)</w:t>
            </w:r>
          </w:p>
        </w:tc>
        <w:tc>
          <w:tcPr>
            <w:tcW w:w="633" w:type="pct"/>
            <w:tcBorders>
              <w:top w:val="nil"/>
              <w:left w:val="nil"/>
              <w:bottom w:val="single" w:sz="8" w:space="0" w:color="auto"/>
              <w:right w:val="single" w:sz="8" w:space="0" w:color="auto"/>
            </w:tcBorders>
            <w:shd w:val="clear" w:color="auto" w:fill="auto"/>
            <w:noWrap/>
            <w:vAlign w:val="center"/>
            <w:hideMark/>
          </w:tcPr>
          <w:p w14:paraId="0773ADBE" w14:textId="77777777" w:rsidR="000F50EA" w:rsidRPr="0058349C" w:rsidRDefault="000F50EA" w:rsidP="000F50EA">
            <w:pPr>
              <w:spacing w:after="0" w:line="240" w:lineRule="auto"/>
              <w:jc w:val="both"/>
              <w:rPr>
                <w:rFonts w:ascii="Garamond" w:hAnsi="Garamond" w:cs="Calibri"/>
                <w:b/>
                <w:bCs/>
                <w:sz w:val="20"/>
                <w:szCs w:val="24"/>
                <w:lang w:val="sq-AL"/>
              </w:rPr>
            </w:pPr>
            <w:r w:rsidRPr="0058349C">
              <w:rPr>
                <w:rFonts w:ascii="Garamond" w:hAnsi="Garamond" w:cs="Calibri"/>
                <w:b/>
                <w:bCs/>
                <w:sz w:val="20"/>
                <w:szCs w:val="24"/>
                <w:lang w:val="sq-AL"/>
              </w:rPr>
              <w:t>(75,017.9)</w:t>
            </w:r>
          </w:p>
        </w:tc>
        <w:tc>
          <w:tcPr>
            <w:tcW w:w="633" w:type="pct"/>
            <w:tcBorders>
              <w:top w:val="nil"/>
              <w:left w:val="nil"/>
              <w:bottom w:val="single" w:sz="8" w:space="0" w:color="auto"/>
              <w:right w:val="single" w:sz="8" w:space="0" w:color="auto"/>
            </w:tcBorders>
            <w:shd w:val="clear" w:color="auto" w:fill="auto"/>
            <w:noWrap/>
            <w:vAlign w:val="center"/>
            <w:hideMark/>
          </w:tcPr>
          <w:p w14:paraId="0773ADBF" w14:textId="77777777" w:rsidR="000F50EA" w:rsidRPr="0058349C" w:rsidRDefault="000F50EA" w:rsidP="000F50EA">
            <w:pPr>
              <w:spacing w:after="0" w:line="240" w:lineRule="auto"/>
              <w:jc w:val="both"/>
              <w:rPr>
                <w:rFonts w:ascii="Garamond" w:hAnsi="Garamond" w:cs="Calibri"/>
                <w:b/>
                <w:bCs/>
                <w:sz w:val="20"/>
                <w:szCs w:val="24"/>
                <w:lang w:val="sq-AL"/>
              </w:rPr>
            </w:pPr>
            <w:r w:rsidRPr="0058349C">
              <w:rPr>
                <w:rFonts w:ascii="Garamond" w:hAnsi="Garamond" w:cs="Calibri"/>
                <w:b/>
                <w:bCs/>
                <w:sz w:val="20"/>
                <w:szCs w:val="24"/>
                <w:lang w:val="sq-AL"/>
              </w:rPr>
              <w:t>(76,657.3)</w:t>
            </w:r>
          </w:p>
        </w:tc>
        <w:tc>
          <w:tcPr>
            <w:tcW w:w="633" w:type="pct"/>
            <w:tcBorders>
              <w:top w:val="nil"/>
              <w:left w:val="nil"/>
              <w:bottom w:val="single" w:sz="8" w:space="0" w:color="auto"/>
              <w:right w:val="single" w:sz="8" w:space="0" w:color="auto"/>
            </w:tcBorders>
            <w:shd w:val="clear" w:color="auto" w:fill="auto"/>
            <w:noWrap/>
            <w:vAlign w:val="center"/>
            <w:hideMark/>
          </w:tcPr>
          <w:p w14:paraId="0773ADC0" w14:textId="77777777" w:rsidR="000F50EA" w:rsidRPr="0058349C" w:rsidRDefault="000F50EA" w:rsidP="000F50EA">
            <w:pPr>
              <w:spacing w:after="0" w:line="240" w:lineRule="auto"/>
              <w:jc w:val="both"/>
              <w:rPr>
                <w:rFonts w:ascii="Garamond" w:hAnsi="Garamond" w:cs="Calibri"/>
                <w:b/>
                <w:bCs/>
                <w:sz w:val="20"/>
                <w:szCs w:val="24"/>
                <w:lang w:val="sq-AL"/>
              </w:rPr>
            </w:pPr>
            <w:r w:rsidRPr="0058349C">
              <w:rPr>
                <w:rFonts w:ascii="Garamond" w:hAnsi="Garamond" w:cs="Calibri"/>
                <w:b/>
                <w:bCs/>
                <w:sz w:val="20"/>
                <w:szCs w:val="24"/>
                <w:lang w:val="sq-AL"/>
              </w:rPr>
              <w:t>(74,174.1)</w:t>
            </w:r>
          </w:p>
        </w:tc>
        <w:tc>
          <w:tcPr>
            <w:tcW w:w="634" w:type="pct"/>
            <w:tcBorders>
              <w:top w:val="nil"/>
              <w:left w:val="nil"/>
              <w:bottom w:val="single" w:sz="8" w:space="0" w:color="auto"/>
              <w:right w:val="single" w:sz="8" w:space="0" w:color="auto"/>
            </w:tcBorders>
            <w:shd w:val="clear" w:color="auto" w:fill="auto"/>
            <w:noWrap/>
            <w:vAlign w:val="center"/>
            <w:hideMark/>
          </w:tcPr>
          <w:p w14:paraId="0773ADC1" w14:textId="77777777" w:rsidR="000F50EA" w:rsidRPr="0058349C" w:rsidRDefault="000F50EA" w:rsidP="000F50EA">
            <w:pPr>
              <w:spacing w:after="0" w:line="240" w:lineRule="auto"/>
              <w:jc w:val="both"/>
              <w:rPr>
                <w:rFonts w:ascii="Garamond" w:hAnsi="Garamond" w:cs="Calibri"/>
                <w:b/>
                <w:bCs/>
                <w:sz w:val="20"/>
                <w:szCs w:val="24"/>
                <w:lang w:val="sq-AL"/>
              </w:rPr>
            </w:pPr>
            <w:r w:rsidRPr="0058349C">
              <w:rPr>
                <w:rFonts w:ascii="Garamond" w:hAnsi="Garamond" w:cs="Calibri"/>
                <w:b/>
                <w:bCs/>
                <w:sz w:val="20"/>
                <w:szCs w:val="24"/>
                <w:lang w:val="sq-AL"/>
              </w:rPr>
              <w:t>(74,990.9)</w:t>
            </w:r>
          </w:p>
        </w:tc>
        <w:tc>
          <w:tcPr>
            <w:tcW w:w="656" w:type="pct"/>
            <w:tcBorders>
              <w:top w:val="nil"/>
              <w:left w:val="nil"/>
              <w:bottom w:val="single" w:sz="8" w:space="0" w:color="auto"/>
              <w:right w:val="single" w:sz="8" w:space="0" w:color="auto"/>
            </w:tcBorders>
            <w:shd w:val="clear" w:color="auto" w:fill="auto"/>
            <w:noWrap/>
            <w:vAlign w:val="center"/>
            <w:hideMark/>
          </w:tcPr>
          <w:p w14:paraId="0773ADC2" w14:textId="77777777" w:rsidR="000F50EA" w:rsidRPr="0058349C" w:rsidRDefault="000F50EA" w:rsidP="000F50EA">
            <w:pPr>
              <w:spacing w:after="0" w:line="240" w:lineRule="auto"/>
              <w:jc w:val="both"/>
              <w:rPr>
                <w:rFonts w:ascii="Garamond" w:hAnsi="Garamond" w:cs="Calibri"/>
                <w:b/>
                <w:bCs/>
                <w:sz w:val="20"/>
                <w:szCs w:val="24"/>
                <w:lang w:val="sq-AL"/>
              </w:rPr>
            </w:pPr>
            <w:r w:rsidRPr="0058349C">
              <w:rPr>
                <w:rFonts w:ascii="Garamond" w:hAnsi="Garamond" w:cs="Calibri"/>
                <w:b/>
                <w:bCs/>
                <w:sz w:val="20"/>
                <w:szCs w:val="24"/>
                <w:lang w:val="sq-AL"/>
              </w:rPr>
              <w:t>(71,876.5)</w:t>
            </w:r>
          </w:p>
        </w:tc>
      </w:tr>
    </w:tbl>
    <w:p w14:paraId="0773ADC4" w14:textId="77777777" w:rsidR="000F50EA" w:rsidRPr="0058349C" w:rsidRDefault="000F50EA" w:rsidP="00264AE4">
      <w:pPr>
        <w:spacing w:after="0" w:line="240" w:lineRule="auto"/>
        <w:jc w:val="center"/>
        <w:rPr>
          <w:rFonts w:ascii="Garamond" w:hAnsi="Garamond" w:cs="Arial"/>
          <w:i/>
          <w:sz w:val="24"/>
          <w:szCs w:val="24"/>
          <w:lang w:val="sq-AL"/>
        </w:rPr>
      </w:pPr>
      <w:r w:rsidRPr="0058349C">
        <w:rPr>
          <w:rFonts w:ascii="Garamond" w:hAnsi="Garamond" w:cs="Calibri"/>
          <w:sz w:val="24"/>
          <w:szCs w:val="24"/>
          <w:lang w:val="sq-AL"/>
        </w:rPr>
        <w:t>Burimi: Instituti i Statistikave (INSTAT)</w:t>
      </w:r>
    </w:p>
    <w:p w14:paraId="0773ADC5" w14:textId="77777777" w:rsidR="000F50EA" w:rsidRPr="0058349C" w:rsidRDefault="000F50EA" w:rsidP="000F50EA">
      <w:pPr>
        <w:pStyle w:val="Heading3"/>
        <w:spacing w:before="0" w:after="0" w:line="240" w:lineRule="auto"/>
        <w:ind w:left="0" w:firstLine="284"/>
        <w:jc w:val="both"/>
        <w:rPr>
          <w:rFonts w:ascii="Garamond" w:hAnsi="Garamond"/>
          <w:color w:val="auto"/>
          <w:sz w:val="24"/>
          <w:szCs w:val="24"/>
        </w:rPr>
      </w:pPr>
    </w:p>
    <w:p w14:paraId="0773ADC6" w14:textId="2F2B0E53" w:rsidR="000F50EA" w:rsidRPr="0058349C" w:rsidRDefault="000F50EA" w:rsidP="006E39CC">
      <w:pPr>
        <w:pStyle w:val="TEKSTIIII"/>
        <w:rPr>
          <w:b/>
          <w:lang w:val="sq-AL"/>
        </w:rPr>
      </w:pPr>
      <w:bookmarkStart w:id="10" w:name="_Toc103838819"/>
      <w:r w:rsidRPr="0058349C">
        <w:rPr>
          <w:b/>
          <w:lang w:val="sq-AL"/>
        </w:rPr>
        <w:t>3.2.1.3 Politika 1</w:t>
      </w:r>
      <w:r w:rsidR="006E39CC">
        <w:rPr>
          <w:b/>
          <w:lang w:val="sq-AL"/>
        </w:rPr>
        <w:t>.</w:t>
      </w:r>
      <w:r w:rsidRPr="0058349C">
        <w:rPr>
          <w:b/>
          <w:lang w:val="sq-AL"/>
        </w:rPr>
        <w:t xml:space="preserve"> </w:t>
      </w:r>
      <w:r w:rsidR="006E39CC" w:rsidRPr="0058349C">
        <w:rPr>
          <w:b/>
          <w:lang w:val="sq-AL"/>
        </w:rPr>
        <w:t xml:space="preserve">Objektivi </w:t>
      </w:r>
      <w:r w:rsidRPr="0058349C">
        <w:rPr>
          <w:b/>
          <w:lang w:val="sq-AL"/>
        </w:rPr>
        <w:t>specifik 3: Përmirësimi i reagimit ndaj kërkesave të konsumatorëve për ushqim të sigurte, me vlera të larta ushqyese dhe të qëndrueshëm</w:t>
      </w:r>
      <w:bookmarkEnd w:id="10"/>
    </w:p>
    <w:p w14:paraId="0773ADC7" w14:textId="14408A01" w:rsidR="000F50EA" w:rsidRPr="0058349C" w:rsidRDefault="000F50EA" w:rsidP="00D177B7">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Nga </w:t>
      </w:r>
      <w:r w:rsidRPr="0058349C">
        <w:rPr>
          <w:rFonts w:ascii="Garamond" w:eastAsia="Arial" w:hAnsi="Garamond" w:cs="Arial"/>
          <w:b/>
          <w:sz w:val="24"/>
          <w:szCs w:val="24"/>
          <w:lang w:val="sq-AL"/>
        </w:rPr>
        <w:t>këndvështrimi i kërkesës së konsumatorit</w:t>
      </w:r>
      <w:r w:rsidRPr="0058349C">
        <w:rPr>
          <w:rFonts w:ascii="Garamond" w:eastAsia="Arial" w:hAnsi="Garamond" w:cs="Arial"/>
          <w:sz w:val="24"/>
          <w:szCs w:val="24"/>
          <w:lang w:val="sq-AL"/>
        </w:rPr>
        <w:t xml:space="preserve"> për kërkesat për përmirësimin e ushqimit dhe shëndetit, prodhimi i ushqimit të sigurt, me vlera ushqyese dhe të qëndrueshëm, reduktimi i mbetjeve ushqimore dhe mirëqenia e përmirësuar e kafshëve janë të nevojshme për të zbatuar standardet dhe objektivat e përcaktuar kombëtar</w:t>
      </w:r>
      <w:r w:rsidR="00D177B7">
        <w:rPr>
          <w:rFonts w:ascii="Garamond" w:eastAsia="Arial" w:hAnsi="Garamond" w:cs="Arial"/>
          <w:sz w:val="24"/>
          <w:szCs w:val="24"/>
          <w:lang w:val="sq-AL"/>
        </w:rPr>
        <w:t>ë</w:t>
      </w:r>
      <w:r w:rsidRPr="0058349C">
        <w:rPr>
          <w:rFonts w:ascii="Garamond" w:eastAsia="Arial" w:hAnsi="Garamond" w:cs="Arial"/>
          <w:sz w:val="24"/>
          <w:szCs w:val="24"/>
          <w:lang w:val="sq-AL"/>
        </w:rPr>
        <w:t xml:space="preserve"> të bujqësisë</w:t>
      </w:r>
      <w:r w:rsidR="00D177B7">
        <w:rPr>
          <w:rFonts w:ascii="Garamond" w:eastAsia="Arial" w:hAnsi="Garamond" w:cs="Arial"/>
          <w:sz w:val="24"/>
          <w:szCs w:val="24"/>
          <w:lang w:val="sq-AL"/>
        </w:rPr>
        <w:t>,</w:t>
      </w:r>
      <w:r w:rsidRPr="0058349C">
        <w:rPr>
          <w:rFonts w:ascii="Garamond" w:eastAsia="Arial" w:hAnsi="Garamond" w:cs="Arial"/>
          <w:sz w:val="24"/>
          <w:szCs w:val="24"/>
          <w:lang w:val="sq-AL"/>
        </w:rPr>
        <w:t xml:space="preserve"> si edhe në Strategjinë e BE-së nga ferma në tavolin</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në lidhje me reduktimin e mbetjeve të azotit dhe t</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pesticideve dhe përdorimin e substancave antimikrobike në sektorin agroushqimor.</w:t>
      </w:r>
    </w:p>
    <w:p w14:paraId="0773ADC8" w14:textId="77777777" w:rsidR="000F50EA" w:rsidRPr="0058349C" w:rsidRDefault="000F50EA" w:rsidP="000F50EA">
      <w:pPr>
        <w:keepNext/>
        <w:keepLines/>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Mirëqenia dhe shëndeti i kafshëve</w:t>
      </w:r>
    </w:p>
    <w:p w14:paraId="0773ADC9" w14:textId="105A1491"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Programet e mirëqenies së kafshëve janë pjesë e programeve vjetore të kontrollit të shëndetit dhe </w:t>
      </w:r>
      <w:r w:rsidR="00D177B7">
        <w:rPr>
          <w:rFonts w:ascii="Garamond" w:hAnsi="Garamond" w:cs="Arial"/>
          <w:sz w:val="24"/>
          <w:szCs w:val="24"/>
          <w:lang w:val="sq-AL"/>
        </w:rPr>
        <w:t xml:space="preserve">të </w:t>
      </w:r>
      <w:r w:rsidRPr="0058349C">
        <w:rPr>
          <w:rFonts w:ascii="Garamond" w:hAnsi="Garamond" w:cs="Arial"/>
          <w:sz w:val="24"/>
          <w:szCs w:val="24"/>
          <w:lang w:val="sq-AL"/>
        </w:rPr>
        <w:t xml:space="preserve">mirëqenies së kafshëve. Njëkohësisht, ato janë pjesë e kontrolleve nga </w:t>
      </w:r>
      <w:r w:rsidR="006D67B4" w:rsidRPr="0058349C">
        <w:rPr>
          <w:rFonts w:ascii="Garamond" w:hAnsi="Garamond" w:cs="Arial"/>
          <w:sz w:val="24"/>
          <w:szCs w:val="24"/>
          <w:lang w:val="sq-AL"/>
        </w:rPr>
        <w:t>drejtoritë rajonale të veterinarisë dhe mbrojtjes së bimëve</w:t>
      </w:r>
      <w:r w:rsidRPr="0058349C">
        <w:rPr>
          <w:rFonts w:ascii="Garamond" w:hAnsi="Garamond" w:cs="Arial"/>
          <w:sz w:val="24"/>
          <w:szCs w:val="24"/>
          <w:lang w:val="sq-AL"/>
        </w:rPr>
        <w:t>, në përbërje të Autoritetit Kombëtar të Veterinarisë dhe Mbrojtjes së Bimëve. Sipas këtyre programeve, kontrollet zyrtare kryhen në fermat e mbarështimit të blegtorisë nga veterinerë zyrtarë. Zbatim i standardeve të mirëqenies së kafshëve, është shoqëruar edhe me fuqizimin e organeve të kontrollit dhe të certifikimit (trupat teknikë) dhe ka pasur mbështetjen financiare për modernizim</w:t>
      </w:r>
      <w:r w:rsidR="006D67B4">
        <w:rPr>
          <w:rFonts w:ascii="Garamond" w:hAnsi="Garamond" w:cs="Arial"/>
          <w:sz w:val="24"/>
          <w:szCs w:val="24"/>
          <w:lang w:val="sq-AL"/>
        </w:rPr>
        <w:t>in</w:t>
      </w:r>
      <w:r w:rsidRPr="0058349C">
        <w:rPr>
          <w:rFonts w:ascii="Garamond" w:hAnsi="Garamond" w:cs="Arial"/>
          <w:sz w:val="24"/>
          <w:szCs w:val="24"/>
          <w:lang w:val="sq-AL"/>
        </w:rPr>
        <w:t xml:space="preserve"> e të gjitha hallkave.</w:t>
      </w:r>
    </w:p>
    <w:p w14:paraId="0773ADCA" w14:textId="5CB4439B"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lastRenderedPageBreak/>
        <w:t xml:space="preserve">Në vitin 2019, u zbatua një përditësim dhe regjistrim gjithëpërfshirës i </w:t>
      </w:r>
      <w:r w:rsidRPr="0058349C">
        <w:rPr>
          <w:rFonts w:ascii="Garamond" w:hAnsi="Garamond" w:cs="Arial"/>
          <w:b/>
          <w:sz w:val="24"/>
          <w:szCs w:val="24"/>
          <w:lang w:val="sq-AL"/>
        </w:rPr>
        <w:t>Regjistrit të Kafshëve (sistemi RUDA).</w:t>
      </w:r>
      <w:r w:rsidRPr="0058349C">
        <w:rPr>
          <w:rFonts w:ascii="Garamond" w:hAnsi="Garamond" w:cs="Arial"/>
          <w:sz w:val="24"/>
          <w:szCs w:val="24"/>
          <w:lang w:val="sq-AL"/>
        </w:rPr>
        <w:t xml:space="preserve"> Sistemi RUDA është funksional dhe regjistron numrat e kafshëve, gjatë vitit 2021 janë kryer disa përditësime</w:t>
      </w:r>
      <w:r w:rsidR="002651A0">
        <w:rPr>
          <w:rFonts w:ascii="Garamond" w:hAnsi="Garamond" w:cs="Arial"/>
          <w:sz w:val="24"/>
          <w:szCs w:val="24"/>
          <w:lang w:val="sq-AL"/>
        </w:rPr>
        <w:t>,</w:t>
      </w:r>
      <w:r w:rsidRPr="0058349C">
        <w:rPr>
          <w:rFonts w:ascii="Garamond" w:hAnsi="Garamond" w:cs="Arial"/>
          <w:sz w:val="24"/>
          <w:szCs w:val="24"/>
          <w:lang w:val="sq-AL"/>
        </w:rPr>
        <w:t xml:space="preserve"> me qëllim funksionalizimin e plotë dhe ofrimin e informacionit të saktë mbi gjendjen e blegtorisë</w:t>
      </w:r>
      <w:r w:rsidR="002651A0">
        <w:rPr>
          <w:rFonts w:ascii="Garamond" w:hAnsi="Garamond" w:cs="Arial"/>
          <w:sz w:val="24"/>
          <w:szCs w:val="24"/>
          <w:lang w:val="sq-AL"/>
        </w:rPr>
        <w:t>,</w:t>
      </w:r>
      <w:r w:rsidRPr="0058349C">
        <w:rPr>
          <w:rFonts w:ascii="Garamond" w:hAnsi="Garamond" w:cs="Arial"/>
          <w:sz w:val="24"/>
          <w:szCs w:val="24"/>
          <w:lang w:val="sq-AL"/>
        </w:rPr>
        <w:t xml:space="preserve"> që do të jetë plotësisht funksional në mesin e vitit 2022. Numri i kafshëve u verifikua dhe u regjistrua në mbarë vendin me një inspektim kapilar </w:t>
      </w:r>
      <w:r w:rsidR="00664693" w:rsidRPr="0058349C">
        <w:rPr>
          <w:rFonts w:ascii="Garamond" w:hAnsi="Garamond" w:cs="Arial"/>
          <w:sz w:val="24"/>
          <w:szCs w:val="24"/>
          <w:lang w:val="sq-AL"/>
        </w:rPr>
        <w:t>“</w:t>
      </w:r>
      <w:r w:rsidRPr="0058349C">
        <w:rPr>
          <w:rFonts w:ascii="Garamond" w:hAnsi="Garamond" w:cs="Arial"/>
          <w:sz w:val="24"/>
          <w:szCs w:val="24"/>
          <w:lang w:val="sq-AL"/>
        </w:rPr>
        <w:t>derë më derë</w:t>
      </w:r>
      <w:r w:rsidR="00664693" w:rsidRPr="0058349C">
        <w:rPr>
          <w:rFonts w:ascii="Garamond" w:hAnsi="Garamond" w:cs="Arial"/>
          <w:sz w:val="24"/>
          <w:szCs w:val="24"/>
          <w:lang w:val="sq-AL"/>
        </w:rPr>
        <w:t>”</w:t>
      </w:r>
      <w:r w:rsidRPr="0058349C">
        <w:rPr>
          <w:rFonts w:ascii="Garamond" w:hAnsi="Garamond" w:cs="Arial"/>
          <w:sz w:val="24"/>
          <w:szCs w:val="24"/>
          <w:lang w:val="sq-AL"/>
        </w:rPr>
        <w:t xml:space="preserve"> për çdo fermë. Ky certifikim është përfunduar në mars 2020. Që nga nëntori i vitit 2020, identifikimi dhe regjistrimi i kafshëve është transferuar nga klinikat private në sistemin veterinar shtetëror, i cili është forcuar me rekrutimin e 300 veterinerëve zyrtarë. </w:t>
      </w:r>
    </w:p>
    <w:p w14:paraId="0773ADCB" w14:textId="54DB8643"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Pavarësisht punës së kryer për forcimin e njohurive dhe ndërgjegjësimin e blegtorëve, më shumë duhet bërë për </w:t>
      </w:r>
      <w:r w:rsidRPr="0058349C">
        <w:rPr>
          <w:rFonts w:ascii="Garamond" w:hAnsi="Garamond" w:cs="Arial"/>
          <w:b/>
          <w:sz w:val="24"/>
          <w:szCs w:val="24"/>
          <w:lang w:val="sq-AL"/>
        </w:rPr>
        <w:t xml:space="preserve">promovimin e regjimeve të mira të mbarështimit të blegtorisë dhe të </w:t>
      </w:r>
      <w:r w:rsidR="002651A0">
        <w:rPr>
          <w:rFonts w:ascii="Garamond" w:hAnsi="Garamond" w:cs="Arial"/>
          <w:b/>
          <w:sz w:val="24"/>
          <w:szCs w:val="24"/>
          <w:lang w:val="sq-AL"/>
        </w:rPr>
        <w:t xml:space="preserve">të </w:t>
      </w:r>
      <w:r w:rsidRPr="0058349C">
        <w:rPr>
          <w:rFonts w:ascii="Garamond" w:hAnsi="Garamond" w:cs="Arial"/>
          <w:b/>
          <w:sz w:val="24"/>
          <w:szCs w:val="24"/>
          <w:lang w:val="sq-AL"/>
        </w:rPr>
        <w:t>ushqyerit,</w:t>
      </w:r>
      <w:r w:rsidRPr="0058349C">
        <w:rPr>
          <w:rFonts w:ascii="Garamond" w:hAnsi="Garamond" w:cs="Arial"/>
          <w:sz w:val="24"/>
          <w:szCs w:val="24"/>
          <w:lang w:val="sq-AL"/>
        </w:rPr>
        <w:t xml:space="preserve"> të cilat mbështesin shëndetin dhe mirëqenien e kafshëve dhe kontribuojnë në reduktimin e konsumit të preparateve antimikrobike. </w:t>
      </w:r>
    </w:p>
    <w:p w14:paraId="0773ADCC" w14:textId="77777777" w:rsidR="000F50EA" w:rsidRPr="0058349C" w:rsidRDefault="000F50EA" w:rsidP="000F50EA">
      <w:pPr>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Përdorimi i produkteve për mbrojtjen e bimëve (PMB)</w:t>
      </w:r>
    </w:p>
    <w:p w14:paraId="0773ADCD" w14:textId="7E72E906"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N</w:t>
      </w:r>
      <w:r w:rsidRPr="0058349C">
        <w:rPr>
          <w:rFonts w:ascii="Garamond" w:hAnsi="Garamond" w:cs="Arial"/>
          <w:sz w:val="24"/>
          <w:szCs w:val="24"/>
          <w:lang w:val="sq-AL"/>
        </w:rPr>
        <w:t>ë Shqipëri</w:t>
      </w:r>
      <w:r w:rsidR="001544E9">
        <w:rPr>
          <w:rFonts w:ascii="Garamond" w:hAnsi="Garamond" w:cs="Arial"/>
          <w:sz w:val="24"/>
          <w:szCs w:val="24"/>
          <w:lang w:val="sq-AL"/>
        </w:rPr>
        <w:t>,</w:t>
      </w:r>
      <w:r w:rsidRPr="0058349C">
        <w:rPr>
          <w:rFonts w:ascii="Garamond" w:hAnsi="Garamond" w:cs="Arial"/>
          <w:sz w:val="24"/>
          <w:szCs w:val="24"/>
          <w:lang w:val="sq-AL"/>
        </w:rPr>
        <w:t xml:space="preserve"> </w:t>
      </w:r>
      <w:r w:rsidRPr="0058349C">
        <w:rPr>
          <w:rFonts w:ascii="Garamond" w:eastAsia="Arial" w:hAnsi="Garamond" w:cs="Arial"/>
          <w:sz w:val="24"/>
          <w:szCs w:val="24"/>
          <w:lang w:val="sq-AL"/>
        </w:rPr>
        <w:t xml:space="preserve">deri tani, të </w:t>
      </w:r>
      <w:r w:rsidR="001544E9">
        <w:rPr>
          <w:rFonts w:ascii="Garamond" w:eastAsia="Arial" w:hAnsi="Garamond" w:cs="Arial"/>
          <w:sz w:val="24"/>
          <w:szCs w:val="24"/>
          <w:lang w:val="sq-AL"/>
        </w:rPr>
        <w:t>dhënat rreth përdorimit të PMB-</w:t>
      </w:r>
      <w:r w:rsidRPr="0058349C">
        <w:rPr>
          <w:rFonts w:ascii="Garamond" w:eastAsia="Arial" w:hAnsi="Garamond" w:cs="Arial"/>
          <w:sz w:val="24"/>
          <w:szCs w:val="24"/>
          <w:lang w:val="sq-AL"/>
        </w:rPr>
        <w:t>ve kufizoheshin me disa të dhëna për importet dhe mungonin sasitë aktuale të përdorura nga fermerët. Kontrollet fokusoheshin kryesisht në importe dhe tregti se</w:t>
      </w:r>
      <w:r w:rsidR="0050612B">
        <w:rPr>
          <w:rFonts w:ascii="Garamond" w:eastAsia="Arial" w:hAnsi="Garamond" w:cs="Arial"/>
          <w:sz w:val="24"/>
          <w:szCs w:val="24"/>
          <w:lang w:val="sq-AL"/>
        </w:rPr>
        <w:t xml:space="preserve"> </w:t>
      </w:r>
      <w:r w:rsidRPr="0058349C">
        <w:rPr>
          <w:rFonts w:ascii="Garamond" w:eastAsia="Arial" w:hAnsi="Garamond" w:cs="Arial"/>
          <w:sz w:val="24"/>
          <w:szCs w:val="24"/>
          <w:lang w:val="sq-AL"/>
        </w:rPr>
        <w:t>sa në mënyrën se si pesticidet dhe plehrat ruheshin dhe aplikoheshin në nivel ferme. Që prej prillit të vitit 2022, të dhënat n</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 xml:space="preserve">ferma (libri i fermerit) për llojin dhe sasinë e pesticideve të aplikuara në parcela do të regjistrohen nga ana e fermerëve dhe do të kontrollohen nga shërbimet e specializuara të kontrollit. </w:t>
      </w:r>
    </w:p>
    <w:p w14:paraId="0773ADCE" w14:textId="77777777"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Inputet bujqësore që aktualisht janë të regjistruara janë plehrat organike, PMB-të, ilaçet veterinare, produktet e bujqësisë organike dhe biocidet (preparatet e luftimit biologjik t</w:t>
      </w:r>
      <w:r w:rsidRPr="0058349C">
        <w:rPr>
          <w:rFonts w:ascii="Garamond" w:hAnsi="Garamond" w:cs="Arial"/>
          <w:sz w:val="24"/>
          <w:szCs w:val="24"/>
          <w:lang w:val="sq-AL"/>
        </w:rPr>
        <w:t>ë sëmundjeve</w:t>
      </w:r>
      <w:r w:rsidRPr="0058349C">
        <w:rPr>
          <w:rFonts w:ascii="Garamond" w:eastAsia="Arial" w:hAnsi="Garamond" w:cs="Arial"/>
          <w:sz w:val="24"/>
          <w:szCs w:val="24"/>
          <w:lang w:val="sq-AL"/>
        </w:rPr>
        <w:t xml:space="preserve">). </w:t>
      </w:r>
    </w:p>
    <w:p w14:paraId="0773ADCF" w14:textId="61E27B6B" w:rsidR="000F50EA" w:rsidRPr="0058349C" w:rsidRDefault="000F50EA" w:rsidP="000F50EA">
      <w:pPr>
        <w:pStyle w:val="BodyText"/>
        <w:ind w:left="0" w:firstLine="284"/>
        <w:jc w:val="both"/>
        <w:rPr>
          <w:rFonts w:ascii="Garamond" w:hAnsi="Garamond"/>
          <w:b/>
          <w:sz w:val="24"/>
          <w:szCs w:val="24"/>
          <w:lang w:val="sq-AL"/>
        </w:rPr>
      </w:pPr>
      <w:r w:rsidRPr="0058349C">
        <w:rPr>
          <w:rFonts w:ascii="Garamond" w:hAnsi="Garamond"/>
          <w:b/>
          <w:sz w:val="24"/>
          <w:szCs w:val="24"/>
          <w:lang w:val="sq-AL"/>
        </w:rPr>
        <w:t xml:space="preserve">Analiza </w:t>
      </w:r>
      <w:r w:rsidR="0050612B" w:rsidRPr="0058349C">
        <w:rPr>
          <w:rFonts w:ascii="Garamond" w:hAnsi="Garamond"/>
          <w:b/>
          <w:sz w:val="24"/>
          <w:szCs w:val="24"/>
          <w:lang w:val="sq-AL"/>
        </w:rPr>
        <w:t xml:space="preserve">mundësi </w:t>
      </w:r>
      <w:r w:rsidRPr="0058349C">
        <w:rPr>
          <w:rFonts w:ascii="Garamond" w:hAnsi="Garamond"/>
          <w:b/>
          <w:sz w:val="24"/>
          <w:szCs w:val="24"/>
          <w:lang w:val="sq-AL"/>
        </w:rPr>
        <w:t xml:space="preserve">– </w:t>
      </w:r>
      <w:r w:rsidR="00641897" w:rsidRPr="0058349C">
        <w:rPr>
          <w:rFonts w:ascii="Garamond" w:hAnsi="Garamond"/>
          <w:b/>
          <w:sz w:val="24"/>
          <w:szCs w:val="24"/>
          <w:lang w:val="sq-AL"/>
        </w:rPr>
        <w:t>Kërcënime</w:t>
      </w:r>
      <w:r w:rsidR="00641897">
        <w:rPr>
          <w:rFonts w:ascii="Garamond" w:hAnsi="Garamond"/>
          <w:b/>
          <w:sz w:val="24"/>
          <w:szCs w:val="24"/>
          <w:lang w:val="sq-AL"/>
        </w:rPr>
        <w:t xml:space="preserve"> </w:t>
      </w:r>
      <w:r w:rsidR="0050612B">
        <w:rPr>
          <w:rFonts w:ascii="Garamond" w:hAnsi="Garamond"/>
          <w:b/>
          <w:sz w:val="24"/>
          <w:szCs w:val="24"/>
          <w:lang w:val="sq-AL"/>
        </w:rPr>
        <w:t>–</w:t>
      </w:r>
      <w:r w:rsidR="0050612B" w:rsidRPr="0058349C">
        <w:rPr>
          <w:rFonts w:ascii="Garamond" w:hAnsi="Garamond"/>
          <w:b/>
          <w:sz w:val="24"/>
          <w:szCs w:val="24"/>
          <w:lang w:val="sq-AL"/>
        </w:rPr>
        <w:t xml:space="preserve"> </w:t>
      </w:r>
      <w:r w:rsidR="00641897" w:rsidRPr="0058349C">
        <w:rPr>
          <w:rFonts w:ascii="Garamond" w:hAnsi="Garamond"/>
          <w:b/>
          <w:sz w:val="24"/>
          <w:szCs w:val="24"/>
          <w:lang w:val="sq-AL"/>
        </w:rPr>
        <w:t xml:space="preserve">Politika </w:t>
      </w:r>
      <w:r w:rsidR="0050612B" w:rsidRPr="0058349C">
        <w:rPr>
          <w:rFonts w:ascii="Garamond" w:hAnsi="Garamond"/>
          <w:b/>
          <w:sz w:val="24"/>
          <w:szCs w:val="24"/>
          <w:lang w:val="sq-AL"/>
        </w:rPr>
        <w:t>1, objektivi i përgjithshëm 1</w:t>
      </w:r>
    </w:p>
    <w:p w14:paraId="0773ADD0" w14:textId="77777777" w:rsidR="000F50EA" w:rsidRPr="0058349C" w:rsidRDefault="000F50EA" w:rsidP="000F50EA">
      <w:pPr>
        <w:pStyle w:val="Caption"/>
        <w:spacing w:after="0"/>
        <w:ind w:left="0" w:firstLine="284"/>
        <w:jc w:val="both"/>
        <w:rPr>
          <w:rFonts w:ascii="Garamond" w:hAnsi="Garamond"/>
          <w:color w:val="auto"/>
          <w:sz w:val="24"/>
          <w:szCs w:val="24"/>
        </w:rPr>
      </w:pPr>
    </w:p>
    <w:p w14:paraId="0773ADD1" w14:textId="1D39E096" w:rsidR="000F50EA" w:rsidRPr="000D14E0" w:rsidRDefault="000F50EA" w:rsidP="000D14E0">
      <w:pPr>
        <w:pStyle w:val="Caption"/>
        <w:spacing w:after="0"/>
        <w:jc w:val="center"/>
        <w:rPr>
          <w:rFonts w:ascii="Garamond" w:hAnsi="Garamond"/>
          <w:b w:val="0"/>
          <w:i/>
          <w:iCs/>
          <w:color w:val="auto"/>
        </w:rPr>
      </w:pPr>
      <w:bookmarkStart w:id="11" w:name="_Toc103777362"/>
      <w:r w:rsidRPr="000D14E0">
        <w:rPr>
          <w:rFonts w:ascii="Garamond" w:hAnsi="Garamond"/>
          <w:i/>
          <w:iCs/>
          <w:color w:val="auto"/>
        </w:rPr>
        <w:t>Tabela 3</w:t>
      </w:r>
      <w:r w:rsidR="00710648" w:rsidRPr="000D14E0">
        <w:rPr>
          <w:rFonts w:ascii="Garamond" w:hAnsi="Garamond"/>
          <w:i/>
          <w:iCs/>
          <w:color w:val="auto"/>
        </w:rPr>
        <w:t xml:space="preserve">–5: </w:t>
      </w:r>
      <w:r w:rsidRPr="001D3CF0">
        <w:rPr>
          <w:rFonts w:ascii="Garamond" w:hAnsi="Garamond"/>
          <w:b w:val="0"/>
          <w:i/>
          <w:iCs/>
          <w:color w:val="auto"/>
        </w:rPr>
        <w:t>Vështrim i përgjithshëm – Mundësitë dhe kërcënimet</w:t>
      </w:r>
      <w:bookmarkEnd w:id="1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10"/>
      </w:tblGrid>
      <w:tr w:rsidR="003B5F32" w:rsidRPr="0058349C" w14:paraId="0773ADD4" w14:textId="77777777" w:rsidTr="003B5F32">
        <w:trPr>
          <w:jc w:val="center"/>
        </w:trPr>
        <w:tc>
          <w:tcPr>
            <w:tcW w:w="4106" w:type="dxa"/>
            <w:shd w:val="clear" w:color="auto" w:fill="CCEE96"/>
          </w:tcPr>
          <w:p w14:paraId="0773ADD2" w14:textId="77777777" w:rsidR="000F50EA" w:rsidRPr="0058349C" w:rsidRDefault="000F50EA" w:rsidP="000F50EA">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 xml:space="preserve">MUNDËSITË </w:t>
            </w:r>
          </w:p>
        </w:tc>
        <w:tc>
          <w:tcPr>
            <w:tcW w:w="4910" w:type="dxa"/>
            <w:shd w:val="clear" w:color="auto" w:fill="CCEE96"/>
          </w:tcPr>
          <w:p w14:paraId="0773ADD3" w14:textId="77777777" w:rsidR="000F50EA" w:rsidRPr="0058349C" w:rsidRDefault="000F50EA" w:rsidP="000F50EA">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 xml:space="preserve">KËRCËNIMET </w:t>
            </w:r>
          </w:p>
        </w:tc>
      </w:tr>
      <w:tr w:rsidR="003B5F32" w:rsidRPr="0058349C" w14:paraId="0773ADDD" w14:textId="77777777" w:rsidTr="003B5F32">
        <w:trPr>
          <w:jc w:val="center"/>
        </w:trPr>
        <w:tc>
          <w:tcPr>
            <w:tcW w:w="4106" w:type="dxa"/>
            <w:shd w:val="clear" w:color="auto" w:fill="auto"/>
          </w:tcPr>
          <w:p w14:paraId="0773ADD5" w14:textId="76AD5358" w:rsidR="000F50EA" w:rsidRPr="0058349C" w:rsidRDefault="000F50EA" w:rsidP="000F50EA">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 xml:space="preserve">Preferenca e konsumatorit për produktet </w:t>
            </w:r>
            <w:r w:rsidR="00BC084C">
              <w:rPr>
                <w:rFonts w:ascii="Garamond" w:hAnsi="Garamond" w:cs="Arial"/>
                <w:bCs/>
                <w:sz w:val="20"/>
                <w:szCs w:val="24"/>
                <w:lang w:val="sq-AL"/>
              </w:rPr>
              <w:t>vendës</w:t>
            </w:r>
            <w:r w:rsidRPr="0058349C">
              <w:rPr>
                <w:rFonts w:ascii="Garamond" w:hAnsi="Garamond" w:cs="Arial"/>
                <w:bCs/>
                <w:sz w:val="20"/>
                <w:szCs w:val="24"/>
                <w:lang w:val="sq-AL"/>
              </w:rPr>
              <w:t>e;</w:t>
            </w:r>
          </w:p>
          <w:p w14:paraId="0773ADD6" w14:textId="77777777" w:rsidR="000F50EA" w:rsidRPr="0058349C" w:rsidRDefault="000F50EA" w:rsidP="000F50EA">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Rritja e të ardhurave të konsumatorëve;</w:t>
            </w:r>
          </w:p>
          <w:p w14:paraId="0773ADD7" w14:textId="506989C5" w:rsidR="000F50EA" w:rsidRPr="0058349C" w:rsidRDefault="000F50EA" w:rsidP="000F50EA">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Akses në tregun e CEFTA-s dhe BE-së dhe kërkesë e fortë për perime n</w:t>
            </w:r>
            <w:r w:rsidRPr="0058349C">
              <w:rPr>
                <w:rFonts w:ascii="Garamond" w:hAnsi="Garamond" w:cs="Arial"/>
                <w:sz w:val="20"/>
                <w:szCs w:val="24"/>
                <w:lang w:val="sq-AL"/>
              </w:rPr>
              <w:t xml:space="preserve">ë </w:t>
            </w:r>
            <w:r w:rsidRPr="0058349C">
              <w:rPr>
                <w:rFonts w:ascii="Garamond" w:hAnsi="Garamond" w:cs="Arial"/>
                <w:bCs/>
                <w:sz w:val="20"/>
                <w:szCs w:val="24"/>
                <w:lang w:val="sq-AL"/>
              </w:rPr>
              <w:t>ser</w:t>
            </w:r>
            <w:r w:rsidR="000D14E0">
              <w:rPr>
                <w:rFonts w:ascii="Garamond" w:hAnsi="Garamond" w:cs="Arial"/>
                <w:bCs/>
                <w:sz w:val="20"/>
                <w:szCs w:val="24"/>
                <w:lang w:val="sq-AL"/>
              </w:rPr>
              <w:t>r</w:t>
            </w:r>
            <w:r w:rsidRPr="0058349C">
              <w:rPr>
                <w:rFonts w:ascii="Garamond" w:hAnsi="Garamond" w:cs="Arial"/>
                <w:bCs/>
                <w:sz w:val="20"/>
                <w:szCs w:val="24"/>
                <w:lang w:val="sq-AL"/>
              </w:rPr>
              <w:t>a dhe fruta;</w:t>
            </w:r>
          </w:p>
          <w:p w14:paraId="0773ADD8" w14:textId="77777777" w:rsidR="000F50EA" w:rsidRPr="0058349C" w:rsidRDefault="000F50EA" w:rsidP="000F50EA">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Projekte mbështet</w:t>
            </w:r>
            <w:r w:rsidRPr="0058349C">
              <w:rPr>
                <w:rFonts w:ascii="Garamond" w:hAnsi="Garamond" w:cs="Arial"/>
                <w:sz w:val="20"/>
                <w:szCs w:val="24"/>
                <w:lang w:val="sq-AL"/>
              </w:rPr>
              <w:t>ëse</w:t>
            </w:r>
            <w:r w:rsidRPr="0058349C">
              <w:rPr>
                <w:rFonts w:ascii="Garamond" w:hAnsi="Garamond" w:cs="Arial"/>
                <w:bCs/>
                <w:sz w:val="20"/>
                <w:szCs w:val="24"/>
                <w:lang w:val="sq-AL"/>
              </w:rPr>
              <w:t xml:space="preserve"> nga donatorët jan</w:t>
            </w:r>
            <w:r w:rsidRPr="0058349C">
              <w:rPr>
                <w:rFonts w:ascii="Garamond" w:hAnsi="Garamond" w:cs="Arial"/>
                <w:sz w:val="20"/>
                <w:szCs w:val="24"/>
                <w:lang w:val="sq-AL"/>
              </w:rPr>
              <w:t xml:space="preserve">ë </w:t>
            </w:r>
            <w:r w:rsidRPr="0058349C">
              <w:rPr>
                <w:rFonts w:ascii="Garamond" w:hAnsi="Garamond" w:cs="Arial"/>
                <w:bCs/>
                <w:sz w:val="20"/>
                <w:szCs w:val="24"/>
                <w:lang w:val="sq-AL"/>
              </w:rPr>
              <w:t xml:space="preserve">akoma konsistent; </w:t>
            </w:r>
          </w:p>
          <w:p w14:paraId="0773ADD9" w14:textId="49DD362A" w:rsidR="000F50EA" w:rsidRPr="0058349C" w:rsidRDefault="000F50EA" w:rsidP="000F50EA">
            <w:pPr>
              <w:spacing w:after="0" w:line="240" w:lineRule="auto"/>
              <w:jc w:val="both"/>
              <w:rPr>
                <w:rFonts w:ascii="Garamond" w:hAnsi="Garamond" w:cs="Arial"/>
                <w:b/>
                <w:bCs/>
                <w:sz w:val="20"/>
                <w:szCs w:val="24"/>
                <w:lang w:val="sq-AL"/>
              </w:rPr>
            </w:pPr>
            <w:r w:rsidRPr="0058349C">
              <w:rPr>
                <w:rFonts w:ascii="Garamond" w:hAnsi="Garamond" w:cs="Arial"/>
                <w:bCs/>
                <w:sz w:val="20"/>
                <w:szCs w:val="24"/>
                <w:lang w:val="sq-AL"/>
              </w:rPr>
              <w:t>Turiz</w:t>
            </w:r>
            <w:r w:rsidRPr="0058349C">
              <w:rPr>
                <w:rFonts w:ascii="Garamond" w:hAnsi="Garamond" w:cs="Arial"/>
                <w:sz w:val="20"/>
                <w:szCs w:val="24"/>
                <w:lang w:val="sq-AL"/>
              </w:rPr>
              <w:t>ëm në rritje</w:t>
            </w:r>
            <w:r w:rsidRPr="0058349C">
              <w:rPr>
                <w:rFonts w:ascii="Garamond" w:hAnsi="Garamond" w:cs="Arial"/>
                <w:bCs/>
                <w:sz w:val="20"/>
                <w:szCs w:val="24"/>
                <w:lang w:val="sq-AL"/>
              </w:rPr>
              <w:t xml:space="preserve"> me kërkesë të fortë për prodhimet </w:t>
            </w:r>
            <w:r w:rsidR="00BC084C">
              <w:rPr>
                <w:rFonts w:ascii="Garamond" w:hAnsi="Garamond" w:cs="Arial"/>
                <w:bCs/>
                <w:sz w:val="20"/>
                <w:szCs w:val="24"/>
                <w:lang w:val="sq-AL"/>
              </w:rPr>
              <w:t>vendës</w:t>
            </w:r>
            <w:r w:rsidR="000D14E0">
              <w:rPr>
                <w:rFonts w:ascii="Garamond" w:hAnsi="Garamond" w:cs="Arial"/>
                <w:bCs/>
                <w:sz w:val="20"/>
                <w:szCs w:val="24"/>
                <w:lang w:val="sq-AL"/>
              </w:rPr>
              <w:t>e.</w:t>
            </w:r>
          </w:p>
        </w:tc>
        <w:tc>
          <w:tcPr>
            <w:tcW w:w="4910" w:type="dxa"/>
            <w:shd w:val="clear" w:color="auto" w:fill="auto"/>
          </w:tcPr>
          <w:p w14:paraId="0773ADDA" w14:textId="77777777" w:rsidR="000F50EA" w:rsidRPr="0058349C" w:rsidRDefault="000F50EA" w:rsidP="000F50EA">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Rritja e kostove të inputeve, duke përfshirë kostot për plehrat, PMB-t</w:t>
            </w:r>
            <w:r w:rsidRPr="0058349C">
              <w:rPr>
                <w:rFonts w:ascii="Garamond" w:hAnsi="Garamond" w:cs="Arial"/>
                <w:sz w:val="20"/>
                <w:szCs w:val="24"/>
                <w:lang w:val="sq-AL"/>
              </w:rPr>
              <w:t>ë</w:t>
            </w:r>
            <w:r w:rsidRPr="0058349C">
              <w:rPr>
                <w:rFonts w:ascii="Garamond" w:hAnsi="Garamond" w:cs="Arial"/>
                <w:bCs/>
                <w:sz w:val="20"/>
                <w:szCs w:val="24"/>
                <w:lang w:val="sq-AL"/>
              </w:rPr>
              <w:t xml:space="preserve"> dhe naftën;</w:t>
            </w:r>
          </w:p>
          <w:p w14:paraId="0773ADDB" w14:textId="61CE4ABA" w:rsidR="000F50EA" w:rsidRPr="0058349C" w:rsidRDefault="000F50EA" w:rsidP="000D14E0">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Konkurrencë e fortë nga importet, veçanërisht për mishin e ngrirë, qumështin dhe produktet e shumëllojshëm e të përpunuar t</w:t>
            </w:r>
            <w:r w:rsidRPr="0058349C">
              <w:rPr>
                <w:rFonts w:ascii="Garamond" w:hAnsi="Garamond" w:cs="Arial"/>
                <w:sz w:val="20"/>
                <w:szCs w:val="24"/>
                <w:lang w:val="sq-AL"/>
              </w:rPr>
              <w:t>ë</w:t>
            </w:r>
            <w:r w:rsidRPr="0058349C">
              <w:rPr>
                <w:rFonts w:ascii="Garamond" w:hAnsi="Garamond" w:cs="Arial"/>
                <w:bCs/>
                <w:sz w:val="20"/>
                <w:szCs w:val="24"/>
                <w:lang w:val="sq-AL"/>
              </w:rPr>
              <w:t xml:space="preserve"> mishit dhe djathit</w:t>
            </w:r>
            <w:r w:rsidR="000D14E0">
              <w:rPr>
                <w:rFonts w:ascii="Garamond" w:hAnsi="Garamond" w:cs="Arial"/>
                <w:bCs/>
                <w:sz w:val="20"/>
                <w:szCs w:val="24"/>
                <w:lang w:val="sq-AL"/>
              </w:rPr>
              <w:t>.</w:t>
            </w:r>
          </w:p>
          <w:p w14:paraId="0773ADDC" w14:textId="77777777" w:rsidR="000F50EA" w:rsidRPr="0058349C" w:rsidRDefault="000F50EA" w:rsidP="000F50EA">
            <w:pPr>
              <w:spacing w:after="0" w:line="240" w:lineRule="auto"/>
              <w:jc w:val="both"/>
              <w:rPr>
                <w:rFonts w:ascii="Garamond" w:hAnsi="Garamond" w:cs="Arial"/>
                <w:bCs/>
                <w:sz w:val="20"/>
                <w:szCs w:val="24"/>
                <w:lang w:val="sq-AL"/>
              </w:rPr>
            </w:pPr>
          </w:p>
        </w:tc>
      </w:tr>
    </w:tbl>
    <w:p w14:paraId="0773ADDE" w14:textId="77777777" w:rsidR="000F50EA" w:rsidRPr="0058349C" w:rsidRDefault="000F50EA" w:rsidP="000F50EA">
      <w:pPr>
        <w:pStyle w:val="Heading4"/>
        <w:spacing w:before="0" w:after="0" w:line="240" w:lineRule="auto"/>
        <w:ind w:left="0" w:firstLine="284"/>
        <w:jc w:val="both"/>
        <w:rPr>
          <w:rStyle w:val="Heading3Char"/>
          <w:rFonts w:ascii="Garamond" w:hAnsi="Garamond"/>
          <w:b/>
          <w:color w:val="auto"/>
          <w:sz w:val="24"/>
          <w:szCs w:val="24"/>
        </w:rPr>
      </w:pPr>
      <w:bookmarkStart w:id="12" w:name="_Ref88984273"/>
      <w:bookmarkStart w:id="13" w:name="_Toc103838820"/>
    </w:p>
    <w:p w14:paraId="0773ADDF" w14:textId="24F0ABD9" w:rsidR="000F50EA" w:rsidRPr="0058349C" w:rsidRDefault="000F50EA" w:rsidP="000F50EA">
      <w:pPr>
        <w:pStyle w:val="Heading4"/>
        <w:spacing w:before="0" w:after="0" w:line="240" w:lineRule="auto"/>
        <w:ind w:left="0" w:firstLine="284"/>
        <w:jc w:val="both"/>
        <w:rPr>
          <w:rFonts w:ascii="Garamond" w:hAnsi="Garamond"/>
          <w:color w:val="auto"/>
          <w:sz w:val="24"/>
          <w:szCs w:val="24"/>
        </w:rPr>
      </w:pPr>
      <w:r w:rsidRPr="0058349C">
        <w:rPr>
          <w:rStyle w:val="Heading3Char"/>
          <w:rFonts w:ascii="Garamond" w:hAnsi="Garamond"/>
          <w:b/>
          <w:color w:val="auto"/>
          <w:sz w:val="24"/>
          <w:szCs w:val="24"/>
        </w:rPr>
        <w:t>Identifikimi i nd</w:t>
      </w:r>
      <w:r w:rsidRPr="0058349C">
        <w:rPr>
          <w:rFonts w:ascii="Garamond" w:hAnsi="Garamond"/>
          <w:color w:val="auto"/>
          <w:sz w:val="24"/>
          <w:szCs w:val="24"/>
        </w:rPr>
        <w:t xml:space="preserve">ërhyrjeve sipas </w:t>
      </w:r>
      <w:r w:rsidRPr="0058349C">
        <w:rPr>
          <w:rStyle w:val="Heading3Char"/>
          <w:rFonts w:ascii="Garamond" w:hAnsi="Garamond"/>
          <w:b/>
          <w:color w:val="auto"/>
          <w:sz w:val="24"/>
          <w:szCs w:val="24"/>
        </w:rPr>
        <w:t>nevojave</w:t>
      </w:r>
      <w:bookmarkEnd w:id="12"/>
      <w:r w:rsidRPr="0058349C">
        <w:rPr>
          <w:rStyle w:val="Heading3Char"/>
          <w:rFonts w:ascii="Garamond" w:hAnsi="Garamond"/>
          <w:b/>
          <w:color w:val="auto"/>
          <w:sz w:val="24"/>
          <w:szCs w:val="24"/>
        </w:rPr>
        <w:t xml:space="preserve"> për mbështetje në kuadër të </w:t>
      </w:r>
      <w:r w:rsidR="00506333" w:rsidRPr="0058349C">
        <w:rPr>
          <w:rStyle w:val="Heading3Char"/>
          <w:rFonts w:ascii="Garamond" w:hAnsi="Garamond"/>
          <w:b/>
          <w:color w:val="auto"/>
          <w:sz w:val="24"/>
          <w:szCs w:val="24"/>
        </w:rPr>
        <w:t xml:space="preserve">politikës </w:t>
      </w:r>
      <w:r w:rsidRPr="0058349C">
        <w:rPr>
          <w:rStyle w:val="Heading3Char"/>
          <w:rFonts w:ascii="Garamond" w:hAnsi="Garamond"/>
          <w:b/>
          <w:color w:val="auto"/>
          <w:sz w:val="24"/>
          <w:szCs w:val="24"/>
        </w:rPr>
        <w:t>1, Objektivit të përgjithshëm 1</w:t>
      </w:r>
      <w:bookmarkEnd w:id="13"/>
    </w:p>
    <w:p w14:paraId="0773ADE0" w14:textId="7ABCA1CD" w:rsidR="000F50EA" w:rsidRPr="0058349C" w:rsidRDefault="00BC5EB0" w:rsidP="00506333">
      <w:pPr>
        <w:pStyle w:val="TEKSTIIII"/>
        <w:rPr>
          <w:b/>
          <w:lang w:val="sq-AL"/>
        </w:rPr>
      </w:pPr>
      <w:r w:rsidRPr="0058349C">
        <w:rPr>
          <w:b/>
          <w:lang w:val="sq-AL"/>
        </w:rPr>
        <w:t>1.1</w:t>
      </w:r>
      <w:r w:rsidR="00506333">
        <w:rPr>
          <w:b/>
          <w:lang w:val="sq-AL"/>
        </w:rPr>
        <w:t xml:space="preserve"> </w:t>
      </w:r>
      <w:r w:rsidR="000F50EA" w:rsidRPr="0058349C">
        <w:rPr>
          <w:b/>
          <w:lang w:val="sq-AL"/>
        </w:rPr>
        <w:t>Sigurimi i të ardhurave të qëndrueshme për fermerët dhe rezistenca ndaj presioneve të tregut</w:t>
      </w:r>
    </w:p>
    <w:p w14:paraId="0773ADE1" w14:textId="31982378"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Duke pasur parasysh disavantazhet e ndryshme</w:t>
      </w:r>
      <w:r w:rsidR="00506333">
        <w:rPr>
          <w:rFonts w:ascii="Garamond" w:eastAsia="Arial" w:hAnsi="Garamond" w:cs="Arial"/>
          <w:sz w:val="24"/>
          <w:szCs w:val="24"/>
          <w:lang w:val="sq-AL"/>
        </w:rPr>
        <w:t>,</w:t>
      </w:r>
      <w:r w:rsidRPr="0058349C">
        <w:rPr>
          <w:rFonts w:ascii="Garamond" w:eastAsia="Arial" w:hAnsi="Garamond" w:cs="Arial"/>
          <w:sz w:val="24"/>
          <w:szCs w:val="24"/>
          <w:lang w:val="sq-AL"/>
        </w:rPr>
        <w:t xml:space="preserve"> me të cilat përballen fermerët në Shqipëri dhe konkurrencën e hapur me vendet e Marrëveshjes s</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Tregtisë së Lirë të Evropës Qendrore (CEFTA) dhe me vendet e BE-së që kanë skema më të forta mbështetëse për fermerët, është e nevojshme që </w:t>
      </w:r>
      <w:r w:rsidRPr="0058349C">
        <w:rPr>
          <w:rFonts w:ascii="Garamond" w:eastAsia="Arial" w:hAnsi="Garamond" w:cs="Arial"/>
          <w:b/>
          <w:sz w:val="24"/>
          <w:szCs w:val="24"/>
          <w:lang w:val="sq-AL"/>
        </w:rPr>
        <w:t>fermerët të vazhdojnë të përfitojnë pagesa direkte për sipërfaqe të shfrytëzuar dhe për bagëti,</w:t>
      </w:r>
      <w:r w:rsidRPr="0058349C">
        <w:rPr>
          <w:rFonts w:ascii="Garamond" w:eastAsia="Arial" w:hAnsi="Garamond" w:cs="Arial"/>
          <w:sz w:val="24"/>
          <w:szCs w:val="24"/>
          <w:lang w:val="sq-AL"/>
        </w:rPr>
        <w:t xml:space="preserve"> si shtesë e të ardhurave të tyre.</w:t>
      </w:r>
    </w:p>
    <w:p w14:paraId="0773ADE2" w14:textId="197B709C"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Duhet të merret parasysh edhe futja graduale e skemave të tjera të drejtpërdrejta që </w:t>
      </w:r>
      <w:r w:rsidR="00506333" w:rsidRPr="0058349C">
        <w:rPr>
          <w:rFonts w:ascii="Garamond" w:eastAsia="Arial" w:hAnsi="Garamond" w:cs="Arial"/>
          <w:sz w:val="24"/>
          <w:szCs w:val="24"/>
          <w:lang w:val="sq-AL"/>
        </w:rPr>
        <w:t>shtetet anëta</w:t>
      </w:r>
      <w:r w:rsidRPr="0058349C">
        <w:rPr>
          <w:rFonts w:ascii="Garamond" w:eastAsia="Arial" w:hAnsi="Garamond" w:cs="Arial"/>
          <w:sz w:val="24"/>
          <w:szCs w:val="24"/>
          <w:lang w:val="sq-AL"/>
        </w:rPr>
        <w:t>re të BE-së i kanë në p</w:t>
      </w:r>
      <w:r w:rsidRPr="0058349C">
        <w:rPr>
          <w:rFonts w:ascii="Garamond" w:hAnsi="Garamond" w:cs="Arial"/>
          <w:sz w:val="24"/>
          <w:szCs w:val="24"/>
          <w:lang w:val="sq-AL"/>
        </w:rPr>
        <w:t>ërdorim</w:t>
      </w:r>
      <w:r w:rsidRPr="0058349C">
        <w:rPr>
          <w:rFonts w:ascii="Garamond" w:eastAsia="Arial" w:hAnsi="Garamond" w:cs="Arial"/>
          <w:sz w:val="24"/>
          <w:szCs w:val="24"/>
          <w:lang w:val="sq-AL"/>
        </w:rPr>
        <w:t>, të tilla si skemat specifike të mbështetjes për ullinjtë, frutat dhe perimet n</w:t>
      </w:r>
      <w:r w:rsidRPr="0058349C">
        <w:rPr>
          <w:rFonts w:ascii="Garamond" w:hAnsi="Garamond" w:cs="Arial"/>
          <w:sz w:val="24"/>
          <w:szCs w:val="24"/>
          <w:lang w:val="sq-AL"/>
        </w:rPr>
        <w:t>ë kuadër të</w:t>
      </w:r>
      <w:r w:rsidRPr="0058349C">
        <w:rPr>
          <w:rFonts w:ascii="Garamond" w:eastAsia="Arial" w:hAnsi="Garamond" w:cs="Arial"/>
          <w:sz w:val="24"/>
          <w:szCs w:val="24"/>
          <w:lang w:val="sq-AL"/>
        </w:rPr>
        <w:t xml:space="preserve"> Organizimit të Tregut të Përbashkët (OTP) për të inkurajuar disa sektorë. Konvergjenca e mbështetjes direkte drejt nivelit të vendeve me të cilat Shqipëria ka një marrëveshje të tregtisë së lirë nuk duhet parë si një garë për subvencione më të larta, por si një mjet për të mbrojtur sektorin derisa të bëhet më konkurrues, duke zhvendosur në këtë mënyrë gradualisht më shumë buxhet për skemat e grandeve dhe lidhjen e pagesave direkte me </w:t>
      </w:r>
      <w:r w:rsidRPr="0058349C">
        <w:rPr>
          <w:rFonts w:ascii="Garamond" w:eastAsia="Arial" w:hAnsi="Garamond" w:cs="Arial"/>
          <w:sz w:val="24"/>
          <w:szCs w:val="24"/>
          <w:lang w:val="sq-AL"/>
        </w:rPr>
        <w:lastRenderedPageBreak/>
        <w:t>kushtëzimet e standardeve mjedisore, të shëndetit njerëzve, të kafshëve dhe bimëve, si dhe të mirëqenies së kafshëve.</w:t>
      </w:r>
    </w:p>
    <w:p w14:paraId="0773ADE3" w14:textId="1DD606E8" w:rsidR="000F50EA" w:rsidRPr="0058349C" w:rsidRDefault="000F50EA" w:rsidP="00F3367D">
      <w:pPr>
        <w:spacing w:after="0" w:line="240" w:lineRule="auto"/>
        <w:ind w:firstLine="284"/>
        <w:jc w:val="both"/>
        <w:rPr>
          <w:rFonts w:ascii="Garamond" w:hAnsi="Garamond" w:cs="Arial"/>
          <w:sz w:val="24"/>
          <w:szCs w:val="24"/>
          <w:lang w:val="sq-AL"/>
        </w:rPr>
      </w:pPr>
      <w:r w:rsidRPr="0058349C">
        <w:rPr>
          <w:rFonts w:ascii="Garamond" w:eastAsia="Arial" w:hAnsi="Garamond" w:cs="Arial"/>
          <w:sz w:val="24"/>
          <w:szCs w:val="24"/>
          <w:lang w:val="sq-AL"/>
        </w:rPr>
        <w:t>Tregjet e bagëtive, marketingu i drejtpërdrejtë dhe zinxhirët e shkurtër të furnizimit duhet të përdoren si mjete për t</w:t>
      </w:r>
      <w:r w:rsidR="00F3367D">
        <w:rPr>
          <w:rFonts w:ascii="Garamond" w:eastAsia="Arial" w:hAnsi="Garamond" w:cs="Arial"/>
          <w:sz w:val="24"/>
          <w:szCs w:val="24"/>
          <w:lang w:val="sq-AL"/>
        </w:rPr>
        <w:t>’u</w:t>
      </w:r>
      <w:r w:rsidRPr="0058349C">
        <w:rPr>
          <w:rFonts w:ascii="Garamond" w:eastAsia="Arial" w:hAnsi="Garamond" w:cs="Arial"/>
          <w:sz w:val="24"/>
          <w:szCs w:val="24"/>
          <w:lang w:val="sq-AL"/>
        </w:rPr>
        <w:t xml:space="preserve"> rezistuar presioneve të tregut dhe për këtë arsye ato duhet të mbështeten.</w:t>
      </w:r>
    </w:p>
    <w:p w14:paraId="0773ADE4" w14:textId="77777777" w:rsidR="000F50EA" w:rsidRPr="0058349C" w:rsidRDefault="00BC5EB0" w:rsidP="00BC5EB0">
      <w:pPr>
        <w:pStyle w:val="TEKSTIIII"/>
        <w:rPr>
          <w:b/>
          <w:lang w:val="sq-AL"/>
        </w:rPr>
      </w:pPr>
      <w:r w:rsidRPr="0058349C">
        <w:rPr>
          <w:b/>
          <w:lang w:val="sq-AL"/>
        </w:rPr>
        <w:t xml:space="preserve">1.2 </w:t>
      </w:r>
      <w:r w:rsidR="000F50EA" w:rsidRPr="0058349C">
        <w:rPr>
          <w:b/>
          <w:lang w:val="sq-AL"/>
        </w:rPr>
        <w:t>Rritja e madhësisë së fermës, konsolidimi i tokës dhe orientimi ndaj tregut i fermerëve të vegjël</w:t>
      </w:r>
    </w:p>
    <w:p w14:paraId="0773ADE5" w14:textId="36D3A5E8"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Duhet të diskutohet dhe të shihet mundësia e adoptimit të një kuadri rregullator ligjor për </w:t>
      </w:r>
      <w:r w:rsidRPr="0058349C">
        <w:rPr>
          <w:rFonts w:ascii="Garamond" w:eastAsia="Arial" w:hAnsi="Garamond" w:cs="Arial"/>
          <w:b/>
          <w:sz w:val="24"/>
          <w:szCs w:val="24"/>
          <w:lang w:val="sq-AL"/>
        </w:rPr>
        <w:t>konsolidimin e tokës</w:t>
      </w:r>
      <w:r w:rsidR="00F3367D">
        <w:rPr>
          <w:rFonts w:ascii="Garamond" w:eastAsia="Arial" w:hAnsi="Garamond" w:cs="Arial"/>
          <w:b/>
          <w:sz w:val="24"/>
          <w:szCs w:val="24"/>
          <w:lang w:val="sq-AL"/>
        </w:rPr>
        <w:t>,</w:t>
      </w:r>
      <w:r w:rsidRPr="0058349C">
        <w:rPr>
          <w:rFonts w:ascii="Garamond" w:eastAsia="Arial" w:hAnsi="Garamond" w:cs="Arial"/>
          <w:sz w:val="24"/>
          <w:szCs w:val="24"/>
          <w:lang w:val="sq-AL"/>
        </w:rPr>
        <w:t xml:space="preserve"> që synon të drejtat e parablerjes nga pronarët e tokave pranë tyre.</w:t>
      </w:r>
    </w:p>
    <w:p w14:paraId="0773ADE6" w14:textId="1E86A940" w:rsidR="000F50EA" w:rsidRPr="0058349C" w:rsidRDefault="000F50EA" w:rsidP="00F3367D">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Gjithashtu, qëndrueshmëria e mbështetjes publike për fermerët varet shumë nga aftësia e fermave për t</w:t>
      </w:r>
      <w:r w:rsidR="00F3367D">
        <w:rPr>
          <w:rFonts w:ascii="Garamond" w:eastAsia="Arial" w:hAnsi="Garamond" w:cs="Arial"/>
          <w:sz w:val="24"/>
          <w:szCs w:val="24"/>
          <w:lang w:val="sq-AL"/>
        </w:rPr>
        <w:t>’</w:t>
      </w:r>
      <w:r w:rsidRPr="0058349C">
        <w:rPr>
          <w:rFonts w:ascii="Garamond" w:eastAsia="Arial" w:hAnsi="Garamond" w:cs="Arial"/>
          <w:sz w:val="24"/>
          <w:szCs w:val="24"/>
          <w:lang w:val="sq-AL"/>
        </w:rPr>
        <w:t>i rezistuar vetë presioneve të tregut, gjë që është më e vështirë</w:t>
      </w:r>
      <w:r w:rsidRPr="0058349C">
        <w:rPr>
          <w:rFonts w:ascii="Garamond" w:hAnsi="Garamond" w:cs="Arial"/>
          <w:sz w:val="24"/>
          <w:szCs w:val="24"/>
          <w:lang w:val="sq-AL"/>
        </w:rPr>
        <w:t xml:space="preserve"> </w:t>
      </w:r>
      <w:r w:rsidRPr="0058349C">
        <w:rPr>
          <w:rFonts w:ascii="Garamond" w:eastAsia="Arial" w:hAnsi="Garamond" w:cs="Arial"/>
          <w:sz w:val="24"/>
          <w:szCs w:val="24"/>
          <w:lang w:val="sq-AL"/>
        </w:rPr>
        <w:t>në rastin e madhësisë mesatare të vog</w:t>
      </w:r>
      <w:r w:rsidRPr="0058349C">
        <w:rPr>
          <w:rFonts w:ascii="Garamond" w:hAnsi="Garamond" w:cs="Arial"/>
          <w:sz w:val="24"/>
          <w:szCs w:val="24"/>
          <w:lang w:val="sq-AL"/>
        </w:rPr>
        <w:t>ë</w:t>
      </w:r>
      <w:r w:rsidRPr="0058349C">
        <w:rPr>
          <w:rFonts w:ascii="Garamond" w:eastAsia="Arial" w:hAnsi="Garamond" w:cs="Arial"/>
          <w:sz w:val="24"/>
          <w:szCs w:val="24"/>
          <w:lang w:val="sq-AL"/>
        </w:rPr>
        <w:t>l të fermave. Pavarësisht se pjesëmarrja në treg e bujqësisë së fermave të vogla në Shqipëri është në rritje, ajo mbetet e ulët në krahasim me Evrop</w:t>
      </w:r>
      <w:r w:rsidRPr="0058349C">
        <w:rPr>
          <w:rFonts w:ascii="Garamond" w:hAnsi="Garamond" w:cs="Arial"/>
          <w:sz w:val="24"/>
          <w:szCs w:val="24"/>
          <w:lang w:val="sq-AL"/>
        </w:rPr>
        <w:t>ën</w:t>
      </w:r>
      <w:r w:rsidRPr="0058349C">
        <w:rPr>
          <w:rFonts w:ascii="Garamond" w:eastAsia="Arial" w:hAnsi="Garamond" w:cs="Arial"/>
          <w:sz w:val="24"/>
          <w:szCs w:val="24"/>
          <w:lang w:val="sq-AL"/>
        </w:rPr>
        <w:t xml:space="preserve">, për shkak të konsumit të lartë vetjak (i cili </w:t>
      </w:r>
      <w:r w:rsidRPr="0058349C">
        <w:rPr>
          <w:rFonts w:ascii="Garamond" w:hAnsi="Garamond" w:cs="Arial"/>
          <w:sz w:val="24"/>
          <w:szCs w:val="24"/>
          <w:lang w:val="sq-AL"/>
        </w:rPr>
        <w:t xml:space="preserve">është në raport </w:t>
      </w:r>
      <w:r w:rsidRPr="0058349C">
        <w:rPr>
          <w:rFonts w:ascii="Garamond" w:eastAsia="Arial" w:hAnsi="Garamond" w:cs="Arial"/>
          <w:sz w:val="24"/>
          <w:szCs w:val="24"/>
          <w:lang w:val="sq-AL"/>
        </w:rPr>
        <w:t>të zhdrejtë me madhësinë e fermës). Bashkëpunimi dhe bashkërendimi i forcave midis fermerëve, do të bëjë të mundur rritjen e fuqisë së tyre në tregje.</w:t>
      </w:r>
    </w:p>
    <w:p w14:paraId="0773ADE7" w14:textId="3C836FCF"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b/>
          <w:bCs/>
          <w:sz w:val="24"/>
          <w:szCs w:val="24"/>
          <w:lang w:val="sq-AL"/>
        </w:rPr>
        <w:t>Mbështetja publike duhet të lidhet</w:t>
      </w:r>
      <w:r w:rsidR="00F3367D">
        <w:rPr>
          <w:rFonts w:ascii="Garamond" w:eastAsia="Arial" w:hAnsi="Garamond" w:cs="Arial"/>
          <w:b/>
          <w:bCs/>
          <w:sz w:val="24"/>
          <w:szCs w:val="24"/>
          <w:lang w:val="sq-AL"/>
        </w:rPr>
        <w:t>,</w:t>
      </w:r>
      <w:r w:rsidRPr="0058349C">
        <w:rPr>
          <w:rFonts w:ascii="Garamond" w:eastAsia="Arial" w:hAnsi="Garamond" w:cs="Arial"/>
          <w:b/>
          <w:bCs/>
          <w:sz w:val="24"/>
          <w:szCs w:val="24"/>
          <w:lang w:val="sq-AL"/>
        </w:rPr>
        <w:t xml:space="preserve"> gjithashtu</w:t>
      </w:r>
      <w:r w:rsidR="00F3367D">
        <w:rPr>
          <w:rFonts w:ascii="Garamond" w:eastAsia="Arial" w:hAnsi="Garamond" w:cs="Arial"/>
          <w:b/>
          <w:bCs/>
          <w:sz w:val="24"/>
          <w:szCs w:val="24"/>
          <w:lang w:val="sq-AL"/>
        </w:rPr>
        <w:t>,</w:t>
      </w:r>
      <w:r w:rsidRPr="0058349C">
        <w:rPr>
          <w:rFonts w:ascii="Garamond" w:eastAsia="Arial" w:hAnsi="Garamond" w:cs="Arial"/>
          <w:b/>
          <w:bCs/>
          <w:sz w:val="24"/>
          <w:szCs w:val="24"/>
          <w:lang w:val="sq-AL"/>
        </w:rPr>
        <w:t xml:space="preserve"> me objektivin e rritjes së madhësisë së fermave</w:t>
      </w:r>
      <w:r w:rsidRPr="0058349C">
        <w:rPr>
          <w:rFonts w:ascii="Garamond" w:eastAsia="Arial" w:hAnsi="Garamond" w:cs="Arial"/>
          <w:sz w:val="24"/>
          <w:szCs w:val="24"/>
          <w:lang w:val="sq-AL"/>
        </w:rPr>
        <w:t>. Pagesat direkte duhet të jenë më të larta për fermat e mesme të qëndrueshme ekonomikisht, ndërsa në fund të mbështetjes duhet të v</w:t>
      </w:r>
      <w:r w:rsidRPr="0058349C">
        <w:rPr>
          <w:rFonts w:ascii="Garamond" w:hAnsi="Garamond" w:cs="Arial"/>
          <w:sz w:val="24"/>
          <w:szCs w:val="24"/>
          <w:lang w:val="sq-AL"/>
        </w:rPr>
        <w:t>ërtetohet</w:t>
      </w:r>
      <w:r w:rsidRPr="0058349C">
        <w:rPr>
          <w:rFonts w:ascii="Garamond" w:eastAsia="Arial" w:hAnsi="Garamond" w:cs="Arial"/>
          <w:sz w:val="24"/>
          <w:szCs w:val="24"/>
          <w:lang w:val="sq-AL"/>
        </w:rPr>
        <w:t xml:space="preserve"> rritja e madhësisë së fermës (qoftë rritje fizike ose ekonomike). Fermerët më të vegjël duhet të stimulohen që të shfrytëzojnë mundësinë e kultivimit të kulturave që nxjerrin të ardhura më të larta ose të bashkëpunojnë me njëri-tjetrin. Të gjithë përfituesit e skemave të grandeve duhet të inkurajohen me një kontribut formal n</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treg të rritin nivelin e formalizimit të shitjes së prodhimit e të tregtimit të tyre. </w:t>
      </w:r>
    </w:p>
    <w:p w14:paraId="0773ADE8" w14:textId="76666364" w:rsidR="000F50EA" w:rsidRPr="0058349C" w:rsidRDefault="00BC5EB0" w:rsidP="00BC5EB0">
      <w:pPr>
        <w:pStyle w:val="TEKSTIIII"/>
        <w:rPr>
          <w:b/>
          <w:lang w:val="sq-AL"/>
        </w:rPr>
      </w:pPr>
      <w:r w:rsidRPr="0058349C">
        <w:rPr>
          <w:b/>
          <w:lang w:val="sq-AL"/>
        </w:rPr>
        <w:t xml:space="preserve">1.3 </w:t>
      </w:r>
      <w:r w:rsidR="003B5F32" w:rsidRPr="0058349C">
        <w:rPr>
          <w:b/>
          <w:lang w:val="sq-AL"/>
        </w:rPr>
        <w:t>Rritja e qëndrueshmërisë/</w:t>
      </w:r>
      <w:r w:rsidR="000F50EA" w:rsidRPr="0058349C">
        <w:rPr>
          <w:b/>
          <w:lang w:val="sq-AL"/>
        </w:rPr>
        <w:t>elasticitetit (aftësisë për të reaguar) të fermave ndaj faktorëve klimatikë</w:t>
      </w:r>
    </w:p>
    <w:p w14:paraId="0773ADE9" w14:textId="77777777"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eastAsia="Arial" w:hAnsi="Garamond" w:cs="Arial"/>
          <w:sz w:val="24"/>
          <w:szCs w:val="24"/>
          <w:lang w:val="sq-AL"/>
        </w:rPr>
        <w:t>Bujqësia është shumë e ekspozuar ndaj faktorëve klimatikë dhe paqëndrueshmërisë së tregut. Duhet të arrihet nj</w:t>
      </w:r>
      <w:r w:rsidRPr="0058349C">
        <w:rPr>
          <w:rFonts w:ascii="Garamond" w:hAnsi="Garamond" w:cs="Arial"/>
          <w:sz w:val="24"/>
          <w:szCs w:val="24"/>
          <w:lang w:val="sq-AL"/>
        </w:rPr>
        <w:t xml:space="preserve">ë </w:t>
      </w:r>
      <w:r w:rsidRPr="0058349C">
        <w:rPr>
          <w:rFonts w:ascii="Garamond" w:eastAsia="Arial" w:hAnsi="Garamond" w:cs="Arial"/>
          <w:b/>
          <w:sz w:val="24"/>
          <w:szCs w:val="24"/>
          <w:lang w:val="sq-AL"/>
        </w:rPr>
        <w:t>ulje e ndikimit ndaj sektorit bujqësor të faktorëve klimatikë</w:t>
      </w:r>
      <w:r w:rsidRPr="0058349C">
        <w:rPr>
          <w:rFonts w:ascii="Garamond" w:eastAsia="Arial" w:hAnsi="Garamond" w:cs="Arial"/>
          <w:sz w:val="24"/>
          <w:szCs w:val="24"/>
          <w:lang w:val="sq-AL"/>
        </w:rPr>
        <w:t xml:space="preserve"> si thatësira dhe përmbytjet, veçanërisht për bujqësinë e produkteve me vlerë të lartë, duke siguruar në këtë mënyrë për këto ferma një prodhimtari të lartë e të qëndrueshme nëpërmjet vazhdimit të investimeve në sistemin e ujitjes dhe t</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kullimit. Në të njëjtën kohë, rritja e elasticitetit të fermave ndaj faktorëve klimatik do të thotë gjithashtu edhe nj</w:t>
      </w:r>
      <w:r w:rsidRPr="0058349C">
        <w:rPr>
          <w:rFonts w:ascii="Garamond" w:hAnsi="Garamond" w:cs="Arial"/>
          <w:sz w:val="24"/>
          <w:szCs w:val="24"/>
          <w:lang w:val="sq-AL"/>
        </w:rPr>
        <w:t xml:space="preserve">ë </w:t>
      </w:r>
      <w:r w:rsidRPr="0058349C">
        <w:rPr>
          <w:rFonts w:ascii="Garamond" w:eastAsia="Arial" w:hAnsi="Garamond" w:cs="Arial"/>
          <w:b/>
          <w:sz w:val="24"/>
          <w:szCs w:val="24"/>
          <w:lang w:val="sq-AL"/>
        </w:rPr>
        <w:t>mbrojtje më e mirë e fermerëve ndaj rreziqeve në bujqësi</w:t>
      </w:r>
      <w:r w:rsidRPr="0058349C">
        <w:rPr>
          <w:rFonts w:ascii="Garamond" w:eastAsia="Arial" w:hAnsi="Garamond" w:cs="Arial"/>
          <w:sz w:val="24"/>
          <w:szCs w:val="24"/>
          <w:lang w:val="sq-AL"/>
        </w:rPr>
        <w:t xml:space="preserve"> me anë të </w:t>
      </w:r>
      <w:r w:rsidRPr="0058349C">
        <w:rPr>
          <w:rFonts w:ascii="Garamond" w:eastAsia="Arial" w:hAnsi="Garamond" w:cs="Arial"/>
          <w:b/>
          <w:sz w:val="24"/>
          <w:szCs w:val="24"/>
          <w:lang w:val="sq-AL"/>
        </w:rPr>
        <w:t>skemave të sigurimit</w:t>
      </w:r>
      <w:r w:rsidRPr="0058349C">
        <w:rPr>
          <w:rFonts w:ascii="Garamond" w:eastAsia="Arial" w:hAnsi="Garamond" w:cs="Arial"/>
          <w:sz w:val="24"/>
          <w:szCs w:val="24"/>
          <w:lang w:val="sq-AL"/>
        </w:rPr>
        <w:t>, që mbulojnë një sërë fenomenesh të motit që dëmtojnë prodhimin.</w:t>
      </w:r>
    </w:p>
    <w:p w14:paraId="0773ADEA" w14:textId="77777777" w:rsidR="000F50EA" w:rsidRPr="0058349C" w:rsidRDefault="00BC5EB0" w:rsidP="00BC5EB0">
      <w:pPr>
        <w:pStyle w:val="TEKSTIIII"/>
        <w:rPr>
          <w:b/>
          <w:lang w:val="sq-AL"/>
        </w:rPr>
      </w:pPr>
      <w:r w:rsidRPr="0058349C">
        <w:rPr>
          <w:b/>
          <w:lang w:val="sq-AL"/>
        </w:rPr>
        <w:t xml:space="preserve">1.4 </w:t>
      </w:r>
      <w:r w:rsidR="000F50EA" w:rsidRPr="0058349C">
        <w:rPr>
          <w:b/>
          <w:lang w:val="sq-AL"/>
        </w:rPr>
        <w:t>Lehtësimi i aksesit në kapitalin financiar</w:t>
      </w:r>
    </w:p>
    <w:p w14:paraId="0773ADEB" w14:textId="1D07612A"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b/>
          <w:bCs/>
          <w:sz w:val="24"/>
          <w:szCs w:val="24"/>
          <w:lang w:val="sq-AL"/>
        </w:rPr>
        <w:t xml:space="preserve">Lehtësimi i aksesit në kredi: </w:t>
      </w:r>
      <w:r w:rsidR="00412131" w:rsidRPr="0058349C">
        <w:rPr>
          <w:rFonts w:ascii="Garamond" w:eastAsia="Arial" w:hAnsi="Garamond" w:cs="Arial"/>
          <w:b/>
          <w:bCs/>
          <w:sz w:val="24"/>
          <w:szCs w:val="24"/>
          <w:lang w:val="sq-AL"/>
        </w:rPr>
        <w:t xml:space="preserve">Sektori </w:t>
      </w:r>
      <w:r w:rsidRPr="0058349C">
        <w:rPr>
          <w:rFonts w:ascii="Garamond" w:eastAsia="Arial" w:hAnsi="Garamond" w:cs="Arial"/>
          <w:b/>
          <w:bCs/>
          <w:sz w:val="24"/>
          <w:szCs w:val="24"/>
          <w:lang w:val="sq-AL"/>
        </w:rPr>
        <w:t xml:space="preserve">bankar duhet të zhvillojë produkte specifike për sektorin e bujqësisë. </w:t>
      </w:r>
      <w:r w:rsidRPr="0058349C">
        <w:rPr>
          <w:rFonts w:ascii="Garamond" w:eastAsia="Arial" w:hAnsi="Garamond" w:cs="Arial"/>
          <w:bCs/>
          <w:sz w:val="24"/>
          <w:szCs w:val="24"/>
          <w:lang w:val="sq-AL"/>
        </w:rPr>
        <w:t>Nevoja për instrumente financiare në bujqësi është jashtëzakonisht e lartë dhe duhet të vazhdojë të përfshijë skemat e garancisë, si</w:t>
      </w:r>
      <w:r w:rsidR="00CF7694" w:rsidRPr="0058349C">
        <w:rPr>
          <w:rFonts w:ascii="Garamond" w:eastAsia="Arial" w:hAnsi="Garamond" w:cs="Arial"/>
          <w:bCs/>
          <w:sz w:val="24"/>
          <w:szCs w:val="24"/>
          <w:lang w:val="sq-AL"/>
        </w:rPr>
        <w:t xml:space="preserve"> </w:t>
      </w:r>
      <w:r w:rsidRPr="0058349C">
        <w:rPr>
          <w:rFonts w:ascii="Garamond" w:eastAsia="Arial" w:hAnsi="Garamond" w:cs="Arial"/>
          <w:bCs/>
          <w:sz w:val="24"/>
          <w:szCs w:val="24"/>
          <w:lang w:val="sq-AL"/>
        </w:rPr>
        <w:t>për akses më të mirë në kredi, ashtu edhe</w:t>
      </w:r>
      <w:r w:rsidR="00CF7694" w:rsidRPr="0058349C">
        <w:rPr>
          <w:rFonts w:ascii="Garamond" w:eastAsia="Arial" w:hAnsi="Garamond" w:cs="Arial"/>
          <w:bCs/>
          <w:sz w:val="24"/>
          <w:szCs w:val="24"/>
          <w:lang w:val="sq-AL"/>
        </w:rPr>
        <w:t xml:space="preserve"> </w:t>
      </w:r>
      <w:r w:rsidRPr="0058349C">
        <w:rPr>
          <w:rFonts w:ascii="Garamond" w:eastAsia="Arial" w:hAnsi="Garamond" w:cs="Arial"/>
          <w:bCs/>
          <w:sz w:val="24"/>
          <w:szCs w:val="24"/>
          <w:lang w:val="sq-AL"/>
        </w:rPr>
        <w:t>t</w:t>
      </w:r>
      <w:r w:rsidRPr="0058349C">
        <w:rPr>
          <w:rFonts w:ascii="Garamond" w:hAnsi="Garamond" w:cs="Arial"/>
          <w:sz w:val="24"/>
          <w:szCs w:val="24"/>
          <w:lang w:val="sq-AL"/>
        </w:rPr>
        <w:t>ë</w:t>
      </w:r>
      <w:r w:rsidRPr="0058349C">
        <w:rPr>
          <w:rFonts w:ascii="Garamond" w:eastAsia="Arial" w:hAnsi="Garamond" w:cs="Arial"/>
          <w:bCs/>
          <w:sz w:val="24"/>
          <w:szCs w:val="24"/>
          <w:lang w:val="sq-AL"/>
        </w:rPr>
        <w:t xml:space="preserve"> portofolit të ndarjes së rrezikut t</w:t>
      </w:r>
      <w:r w:rsidRPr="0058349C">
        <w:rPr>
          <w:rFonts w:ascii="Garamond" w:hAnsi="Garamond" w:cs="Arial"/>
          <w:sz w:val="24"/>
          <w:szCs w:val="24"/>
          <w:lang w:val="sq-AL"/>
        </w:rPr>
        <w:t xml:space="preserve">ë </w:t>
      </w:r>
      <w:r w:rsidRPr="0058349C">
        <w:rPr>
          <w:rFonts w:ascii="Garamond" w:eastAsia="Arial" w:hAnsi="Garamond" w:cs="Arial"/>
          <w:bCs/>
          <w:sz w:val="24"/>
          <w:szCs w:val="24"/>
          <w:lang w:val="sq-AL"/>
        </w:rPr>
        <w:t>huave, të cilat reduktojnë nevojën për kolateral, por edhe normat e interesit</w:t>
      </w:r>
      <w:r w:rsidRPr="0058349C">
        <w:rPr>
          <w:rFonts w:ascii="Garamond" w:eastAsia="Arial" w:hAnsi="Garamond" w:cs="Arial"/>
          <w:sz w:val="24"/>
          <w:szCs w:val="24"/>
          <w:lang w:val="sq-AL"/>
        </w:rPr>
        <w:t>.</w:t>
      </w:r>
    </w:p>
    <w:p w14:paraId="0773ADEC" w14:textId="77777777" w:rsidR="000F50EA" w:rsidRPr="0058349C" w:rsidRDefault="000F50EA" w:rsidP="000F50EA">
      <w:pPr>
        <w:tabs>
          <w:tab w:val="left" w:pos="7906"/>
        </w:tabs>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Në rastin e fermerëve të rinj duhen menduar skema të veçanta mbështetëse për të shmangur barrën e financimit paraprak dhe at</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t</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bashkëfinancimit të investimeve.</w:t>
      </w:r>
    </w:p>
    <w:p w14:paraId="0773ADED" w14:textId="412C96C0" w:rsidR="000F50EA" w:rsidRPr="0058349C" w:rsidRDefault="00BC5EB0" w:rsidP="00BC5EB0">
      <w:pPr>
        <w:pStyle w:val="TEKSTIIII"/>
        <w:rPr>
          <w:b/>
          <w:lang w:val="sq-AL"/>
        </w:rPr>
      </w:pPr>
      <w:r w:rsidRPr="0058349C">
        <w:rPr>
          <w:b/>
          <w:lang w:val="sq-AL"/>
        </w:rPr>
        <w:t xml:space="preserve">1.5 </w:t>
      </w:r>
      <w:r w:rsidR="000F50EA" w:rsidRPr="0058349C">
        <w:rPr>
          <w:b/>
          <w:lang w:val="sq-AL"/>
        </w:rPr>
        <w:t xml:space="preserve">Tërheqja dhe mbështetja e fermerëve në moshë të re për të ngritur dhe </w:t>
      </w:r>
      <w:r w:rsidR="00412131">
        <w:rPr>
          <w:b/>
          <w:lang w:val="sq-AL"/>
        </w:rPr>
        <w:t xml:space="preserve">për të </w:t>
      </w:r>
      <w:r w:rsidR="000F50EA" w:rsidRPr="0058349C">
        <w:rPr>
          <w:b/>
          <w:lang w:val="sq-AL"/>
        </w:rPr>
        <w:t>zhvilluar biznese bujqësore.</w:t>
      </w:r>
    </w:p>
    <w:p w14:paraId="0773ADEE" w14:textId="1F748BE5" w:rsidR="000F50EA" w:rsidRPr="0058349C" w:rsidRDefault="000F50EA" w:rsidP="000F50EA">
      <w:pPr>
        <w:spacing w:after="0" w:line="240" w:lineRule="auto"/>
        <w:ind w:firstLine="284"/>
        <w:jc w:val="both"/>
        <w:rPr>
          <w:rFonts w:ascii="Garamond" w:eastAsia="Arial" w:hAnsi="Garamond" w:cs="Arial"/>
          <w:bCs/>
          <w:sz w:val="24"/>
          <w:szCs w:val="24"/>
          <w:lang w:val="sq-AL"/>
        </w:rPr>
      </w:pPr>
      <w:r w:rsidRPr="0058349C">
        <w:rPr>
          <w:rFonts w:ascii="Garamond" w:eastAsia="Arial" w:hAnsi="Garamond" w:cs="Arial"/>
          <w:b/>
          <w:bCs/>
          <w:sz w:val="24"/>
          <w:szCs w:val="24"/>
          <w:lang w:val="sq-AL"/>
        </w:rPr>
        <w:t>Fermerët e rinj janë veçan</w:t>
      </w:r>
      <w:r w:rsidRPr="00412131">
        <w:rPr>
          <w:rFonts w:ascii="Garamond" w:hAnsi="Garamond" w:cs="Arial"/>
          <w:b/>
          <w:bCs/>
          <w:sz w:val="24"/>
          <w:szCs w:val="24"/>
          <w:lang w:val="sq-AL"/>
        </w:rPr>
        <w:t>ërisht</w:t>
      </w:r>
      <w:r w:rsidRPr="0058349C">
        <w:rPr>
          <w:rFonts w:ascii="Garamond" w:hAnsi="Garamond" w:cs="Arial"/>
          <w:sz w:val="24"/>
          <w:szCs w:val="24"/>
          <w:lang w:val="sq-AL"/>
        </w:rPr>
        <w:t xml:space="preserve"> </w:t>
      </w:r>
      <w:r w:rsidRPr="0058349C">
        <w:rPr>
          <w:rFonts w:ascii="Garamond" w:eastAsia="Arial" w:hAnsi="Garamond" w:cs="Arial"/>
          <w:b/>
          <w:bCs/>
          <w:sz w:val="24"/>
          <w:szCs w:val="24"/>
          <w:lang w:val="sq-AL"/>
        </w:rPr>
        <w:t>të rrezikuar nga papunësia</w:t>
      </w:r>
      <w:r w:rsidRPr="0058349C">
        <w:rPr>
          <w:rFonts w:ascii="Garamond" w:eastAsia="Arial" w:hAnsi="Garamond" w:cs="Arial"/>
          <w:bCs/>
          <w:sz w:val="24"/>
          <w:szCs w:val="24"/>
          <w:lang w:val="sq-AL"/>
        </w:rPr>
        <w:t xml:space="preserve"> dhe nga nj</w:t>
      </w:r>
      <w:r w:rsidRPr="0058349C">
        <w:rPr>
          <w:rFonts w:ascii="Garamond" w:hAnsi="Garamond" w:cs="Arial"/>
          <w:sz w:val="24"/>
          <w:szCs w:val="24"/>
          <w:lang w:val="sq-AL"/>
        </w:rPr>
        <w:t>ë perceptim mbi mungesën</w:t>
      </w:r>
      <w:r w:rsidRPr="0058349C">
        <w:rPr>
          <w:rFonts w:ascii="Garamond" w:eastAsia="Arial" w:hAnsi="Garamond" w:cs="Arial"/>
          <w:b/>
          <w:bCs/>
          <w:sz w:val="24"/>
          <w:szCs w:val="24"/>
          <w:lang w:val="sq-AL"/>
        </w:rPr>
        <w:t xml:space="preserve"> e jetës sociale</w:t>
      </w:r>
      <w:r w:rsidRPr="0058349C">
        <w:rPr>
          <w:rFonts w:ascii="Garamond" w:eastAsia="Arial" w:hAnsi="Garamond" w:cs="Arial"/>
          <w:bCs/>
          <w:sz w:val="24"/>
          <w:szCs w:val="24"/>
          <w:lang w:val="sq-AL"/>
        </w:rPr>
        <w:t xml:space="preserve"> në zonat rurale. Prandaj, ata janë veçanërisht të ekspozuar ndaj migrimit në qytete brenda vendit, por dhe jashtë vendit. Kjo nuk është një veçori shqiptare, por që haset gjerësisht. Fermerët e rinj kanë një interes më të madh në </w:t>
      </w:r>
      <w:r w:rsidRPr="0058349C">
        <w:rPr>
          <w:rFonts w:ascii="Garamond" w:eastAsia="Arial" w:hAnsi="Garamond" w:cs="Arial"/>
          <w:b/>
          <w:bCs/>
          <w:sz w:val="24"/>
          <w:szCs w:val="24"/>
          <w:lang w:val="sq-AL"/>
        </w:rPr>
        <w:t xml:space="preserve">adoptimin e teknologjive të reja dhe praktikave miqësore me mjedisin. </w:t>
      </w:r>
      <w:r w:rsidRPr="00070408">
        <w:rPr>
          <w:rFonts w:ascii="Garamond" w:eastAsia="Arial" w:hAnsi="Garamond" w:cs="Arial"/>
          <w:bCs/>
          <w:sz w:val="24"/>
          <w:szCs w:val="24"/>
          <w:lang w:val="sq-AL"/>
        </w:rPr>
        <w:t>R</w:t>
      </w:r>
      <w:r w:rsidRPr="0058349C">
        <w:rPr>
          <w:rFonts w:ascii="Garamond" w:eastAsia="Arial" w:hAnsi="Garamond" w:cs="Arial"/>
          <w:bCs/>
          <w:sz w:val="24"/>
          <w:szCs w:val="24"/>
          <w:lang w:val="sq-AL"/>
        </w:rPr>
        <w:t>rjedhimisht, nevojitet inkurajimi i fermerëve të rinj edhe me mjete të tjera për të ngritur një biznes në bujqësi, përveç diferencimit me pikë n</w:t>
      </w:r>
      <w:r w:rsidRPr="0058349C">
        <w:rPr>
          <w:rFonts w:ascii="Garamond" w:hAnsi="Garamond" w:cs="Arial"/>
          <w:sz w:val="24"/>
          <w:szCs w:val="24"/>
          <w:lang w:val="sq-AL"/>
        </w:rPr>
        <w:t xml:space="preserve">ë </w:t>
      </w:r>
      <w:r w:rsidRPr="0058349C">
        <w:rPr>
          <w:rFonts w:ascii="Garamond" w:eastAsia="Arial" w:hAnsi="Garamond" w:cs="Arial"/>
          <w:bCs/>
          <w:sz w:val="24"/>
          <w:szCs w:val="24"/>
          <w:lang w:val="sq-AL"/>
        </w:rPr>
        <w:t>klasifikimin p</w:t>
      </w:r>
      <w:r w:rsidRPr="0058349C">
        <w:rPr>
          <w:rFonts w:ascii="Garamond" w:hAnsi="Garamond" w:cs="Arial"/>
          <w:sz w:val="24"/>
          <w:szCs w:val="24"/>
          <w:lang w:val="sq-AL"/>
        </w:rPr>
        <w:t>ër</w:t>
      </w:r>
      <w:r w:rsidRPr="0058349C">
        <w:rPr>
          <w:rFonts w:ascii="Garamond" w:eastAsia="Arial" w:hAnsi="Garamond" w:cs="Arial"/>
          <w:bCs/>
          <w:sz w:val="24"/>
          <w:szCs w:val="24"/>
          <w:lang w:val="sq-AL"/>
        </w:rPr>
        <w:t xml:space="preserve"> grande. Kjo, për sa kohë që vetëm një numër shumë i kufizuar i të rinjve kanë aktualisht akses në grande ose janë në gjendje të përdorin grande si rrjedhoj</w:t>
      </w:r>
      <w:r w:rsidRPr="0058349C">
        <w:rPr>
          <w:rFonts w:ascii="Garamond" w:hAnsi="Garamond" w:cs="Arial"/>
          <w:sz w:val="24"/>
          <w:szCs w:val="24"/>
          <w:lang w:val="sq-AL"/>
        </w:rPr>
        <w:t xml:space="preserve">ë e kushtit </w:t>
      </w:r>
      <w:r w:rsidRPr="0058349C">
        <w:rPr>
          <w:rFonts w:ascii="Garamond" w:eastAsia="Arial" w:hAnsi="Garamond" w:cs="Arial"/>
          <w:bCs/>
          <w:sz w:val="24"/>
          <w:szCs w:val="24"/>
          <w:lang w:val="sq-AL"/>
        </w:rPr>
        <w:t xml:space="preserve">të </w:t>
      </w:r>
      <w:r w:rsidRPr="0058349C">
        <w:rPr>
          <w:rFonts w:ascii="Garamond" w:eastAsia="Arial" w:hAnsi="Garamond" w:cs="Arial"/>
          <w:bCs/>
          <w:sz w:val="24"/>
          <w:szCs w:val="24"/>
          <w:lang w:val="sq-AL"/>
        </w:rPr>
        <w:lastRenderedPageBreak/>
        <w:t>financimit paraprak dhe vetëm pjesërisht të faturave (shpenzimeve) të rimbursueshme. Gjithashtu, është e nevojshme të ketë mbështetje plotësuese të të ardhurave për fermerët e rinj. Skema</w:t>
      </w:r>
      <w:r w:rsidR="00CF7694" w:rsidRPr="0058349C">
        <w:rPr>
          <w:rFonts w:ascii="Garamond" w:eastAsia="Arial" w:hAnsi="Garamond" w:cs="Arial"/>
          <w:bCs/>
          <w:sz w:val="24"/>
          <w:szCs w:val="24"/>
          <w:lang w:val="sq-AL"/>
        </w:rPr>
        <w:t xml:space="preserve"> </w:t>
      </w:r>
      <w:r w:rsidRPr="0058349C">
        <w:rPr>
          <w:rFonts w:ascii="Garamond" w:eastAsia="Arial" w:hAnsi="Garamond" w:cs="Arial"/>
          <w:bCs/>
          <w:sz w:val="24"/>
          <w:szCs w:val="24"/>
          <w:lang w:val="sq-AL"/>
        </w:rPr>
        <w:t>t</w:t>
      </w:r>
      <w:r w:rsidRPr="0058349C">
        <w:rPr>
          <w:rFonts w:ascii="Garamond" w:hAnsi="Garamond" w:cs="Arial"/>
          <w:sz w:val="24"/>
          <w:szCs w:val="24"/>
          <w:lang w:val="sq-AL"/>
        </w:rPr>
        <w:t>ë</w:t>
      </w:r>
      <w:r w:rsidRPr="0058349C">
        <w:rPr>
          <w:rFonts w:ascii="Garamond" w:eastAsia="Arial" w:hAnsi="Garamond" w:cs="Arial"/>
          <w:bCs/>
          <w:sz w:val="24"/>
          <w:szCs w:val="24"/>
          <w:lang w:val="sq-AL"/>
        </w:rPr>
        <w:t xml:space="preserve"> veçanta të mbështetjes me pagesa paradhënie të bazuara në planet e dorëzuara të biznesit janë më të përshtatshme për fermerët e rinj. Duhet të mbahet n</w:t>
      </w:r>
      <w:r w:rsidRPr="0058349C">
        <w:rPr>
          <w:rFonts w:ascii="Garamond" w:hAnsi="Garamond" w:cs="Arial"/>
          <w:sz w:val="24"/>
          <w:szCs w:val="24"/>
          <w:lang w:val="sq-AL"/>
        </w:rPr>
        <w:t>ë konsideratë</w:t>
      </w:r>
      <w:r w:rsidRPr="0058349C">
        <w:rPr>
          <w:rFonts w:ascii="Garamond" w:eastAsia="Arial" w:hAnsi="Garamond" w:cs="Arial"/>
          <w:bCs/>
          <w:sz w:val="24"/>
          <w:szCs w:val="24"/>
          <w:lang w:val="sq-AL"/>
        </w:rPr>
        <w:t xml:space="preserve"> mundësia e tërheqjes së të rinjve të diplomuar nga universitetet bujqësore.</w:t>
      </w:r>
    </w:p>
    <w:p w14:paraId="0773ADEF" w14:textId="77777777" w:rsidR="000F50EA" w:rsidRPr="0058349C" w:rsidRDefault="00BC5EB0" w:rsidP="00BC5EB0">
      <w:pPr>
        <w:pStyle w:val="TEKSTIIII"/>
        <w:rPr>
          <w:b/>
          <w:lang w:val="sq-AL"/>
        </w:rPr>
      </w:pPr>
      <w:r w:rsidRPr="0058349C">
        <w:rPr>
          <w:b/>
          <w:lang w:val="sq-AL"/>
        </w:rPr>
        <w:t xml:space="preserve">1.6 </w:t>
      </w:r>
      <w:r w:rsidR="000F50EA" w:rsidRPr="0058349C">
        <w:rPr>
          <w:b/>
          <w:lang w:val="sq-AL"/>
        </w:rPr>
        <w:t>Nxitje e zgjerimit të sektorit bujqësor me vlerë më të lartë të shtuar dhe kërkesës së tregut</w:t>
      </w:r>
    </w:p>
    <w:p w14:paraId="0773ADF0" w14:textId="70379445" w:rsidR="000F50EA" w:rsidRPr="0058349C" w:rsidRDefault="000F50EA" w:rsidP="003F5E5B">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Stimulimi i sektorëve me vlerë të lartë të shtuar do të bëjë diferencën për t</w:t>
      </w:r>
      <w:r w:rsidR="00070408">
        <w:rPr>
          <w:rFonts w:ascii="Garamond" w:eastAsia="Arial" w:hAnsi="Garamond" w:cs="Arial"/>
          <w:sz w:val="24"/>
          <w:szCs w:val="24"/>
          <w:lang w:val="sq-AL"/>
        </w:rPr>
        <w:t>’</w:t>
      </w:r>
      <w:r w:rsidRPr="0058349C">
        <w:rPr>
          <w:rFonts w:ascii="Garamond" w:eastAsia="Arial" w:hAnsi="Garamond" w:cs="Arial"/>
          <w:sz w:val="24"/>
          <w:szCs w:val="24"/>
          <w:lang w:val="sq-AL"/>
        </w:rPr>
        <w:t>i dhënë bujqësisë shqiptare një perspektivë të qartë ndaj tregut dhe p</w:t>
      </w:r>
      <w:r w:rsidRPr="0058349C">
        <w:rPr>
          <w:rFonts w:ascii="Garamond" w:hAnsi="Garamond" w:cs="Arial"/>
          <w:sz w:val="24"/>
          <w:szCs w:val="24"/>
          <w:lang w:val="sq-AL"/>
        </w:rPr>
        <w:t xml:space="preserve">ër të </w:t>
      </w:r>
      <w:r w:rsidRPr="0058349C">
        <w:rPr>
          <w:rFonts w:ascii="Garamond" w:eastAsia="Arial" w:hAnsi="Garamond" w:cs="Arial"/>
          <w:sz w:val="24"/>
          <w:szCs w:val="24"/>
          <w:lang w:val="sq-AL"/>
        </w:rPr>
        <w:t>reduktuar akoma më shumë deficitin e saj tregtar. Shqipëria ka mundësinë të përdorë potencialin e saj të lartë natyror (veçanërisht klimën e saj të ngrohtë), fuqinë punëtore ende me kosto të ulët dhe kanalet e konsoliduara të shpërndarjes shoq</w:t>
      </w:r>
      <w:r w:rsidRPr="0058349C">
        <w:rPr>
          <w:rFonts w:ascii="Garamond" w:hAnsi="Garamond" w:cs="Arial"/>
          <w:sz w:val="24"/>
          <w:szCs w:val="24"/>
          <w:lang w:val="sq-AL"/>
        </w:rPr>
        <w:t>ëruar</w:t>
      </w:r>
      <w:r w:rsidRPr="0058349C">
        <w:rPr>
          <w:rFonts w:ascii="Garamond" w:eastAsia="Arial" w:hAnsi="Garamond" w:cs="Arial"/>
          <w:sz w:val="24"/>
          <w:szCs w:val="24"/>
          <w:lang w:val="sq-AL"/>
        </w:rPr>
        <w:t xml:space="preserve"> edhe me kërkesën e lartë të tregut për perime dhe fruta, rrush dhe verëra si dhe bimë aromatike dhe mjekësore (BAM). </w:t>
      </w:r>
      <w:r w:rsidRPr="0058349C">
        <w:rPr>
          <w:rFonts w:ascii="Garamond" w:eastAsia="Arial" w:hAnsi="Garamond" w:cs="Arial"/>
          <w:b/>
          <w:sz w:val="24"/>
          <w:szCs w:val="24"/>
          <w:lang w:val="sq-AL"/>
        </w:rPr>
        <w:t>Zgjerimi i ser</w:t>
      </w:r>
      <w:r w:rsidR="00070408">
        <w:rPr>
          <w:rFonts w:ascii="Garamond" w:eastAsia="Arial" w:hAnsi="Garamond" w:cs="Arial"/>
          <w:b/>
          <w:sz w:val="24"/>
          <w:szCs w:val="24"/>
          <w:lang w:val="sq-AL"/>
        </w:rPr>
        <w:t>r</w:t>
      </w:r>
      <w:r w:rsidRPr="0058349C">
        <w:rPr>
          <w:rFonts w:ascii="Garamond" w:eastAsia="Arial" w:hAnsi="Garamond" w:cs="Arial"/>
          <w:b/>
          <w:sz w:val="24"/>
          <w:szCs w:val="24"/>
          <w:lang w:val="sq-AL"/>
        </w:rPr>
        <w:t>ave dhe plantacioneve të reja intensive të pemishteve dhe vreshtave janë pjesë e zgjidhjes</w:t>
      </w:r>
      <w:r w:rsidRPr="0058349C">
        <w:rPr>
          <w:rFonts w:ascii="Garamond" w:eastAsia="Arial" w:hAnsi="Garamond" w:cs="Arial"/>
          <w:sz w:val="24"/>
          <w:szCs w:val="24"/>
          <w:lang w:val="sq-AL"/>
        </w:rPr>
        <w:t>. Realizimi i ambicieve më të larta mjedisore dhe klimatike nëpërmjet përdorimit të energjisë së rinovueshme dhe aplikimit të praktikave dhe teknikave të prodhimit q</w:t>
      </w:r>
      <w:r w:rsidRPr="0058349C">
        <w:rPr>
          <w:rFonts w:ascii="Garamond" w:hAnsi="Garamond" w:cs="Arial"/>
          <w:sz w:val="24"/>
          <w:szCs w:val="24"/>
          <w:lang w:val="sq-AL"/>
        </w:rPr>
        <w:t>ë përdorin në mënyrë efi</w:t>
      </w:r>
      <w:r w:rsidR="003F5E5B">
        <w:rPr>
          <w:rFonts w:ascii="Garamond" w:hAnsi="Garamond" w:cs="Arial"/>
          <w:sz w:val="24"/>
          <w:szCs w:val="24"/>
          <w:lang w:val="sq-AL"/>
        </w:rPr>
        <w:t>ci</w:t>
      </w:r>
      <w:r w:rsidRPr="0058349C">
        <w:rPr>
          <w:rFonts w:ascii="Garamond" w:hAnsi="Garamond" w:cs="Arial"/>
          <w:sz w:val="24"/>
          <w:szCs w:val="24"/>
          <w:lang w:val="sq-AL"/>
        </w:rPr>
        <w:t xml:space="preserve">ente </w:t>
      </w:r>
      <w:r w:rsidRPr="0058349C">
        <w:rPr>
          <w:rFonts w:ascii="Garamond" w:eastAsia="Arial" w:hAnsi="Garamond" w:cs="Arial"/>
          <w:sz w:val="24"/>
          <w:szCs w:val="24"/>
          <w:lang w:val="sq-AL"/>
        </w:rPr>
        <w:t>burime natyrore, dhe q</w:t>
      </w:r>
      <w:r w:rsidRPr="0058349C">
        <w:rPr>
          <w:rFonts w:ascii="Garamond" w:hAnsi="Garamond" w:cs="Arial"/>
          <w:sz w:val="24"/>
          <w:szCs w:val="24"/>
          <w:lang w:val="sq-AL"/>
        </w:rPr>
        <w:t xml:space="preserve">ë janë </w:t>
      </w:r>
      <w:r w:rsidRPr="0058349C">
        <w:rPr>
          <w:rFonts w:ascii="Garamond" w:eastAsia="Arial" w:hAnsi="Garamond" w:cs="Arial"/>
          <w:sz w:val="24"/>
          <w:szCs w:val="24"/>
          <w:lang w:val="sq-AL"/>
        </w:rPr>
        <w:t>miqësore me mjedisin dhe me klimën duhet t</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diferencohet në programet e financimit.</w:t>
      </w:r>
    </w:p>
    <w:p w14:paraId="0773ADF1" w14:textId="3A293956"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b/>
          <w:sz w:val="24"/>
          <w:szCs w:val="24"/>
          <w:lang w:val="sq-AL"/>
        </w:rPr>
        <w:t>Sektori i mbarështimit të kafshëve</w:t>
      </w:r>
      <w:r w:rsidRPr="0058349C">
        <w:rPr>
          <w:rFonts w:ascii="Garamond" w:eastAsia="Arial" w:hAnsi="Garamond" w:cs="Arial"/>
          <w:sz w:val="24"/>
          <w:szCs w:val="24"/>
          <w:lang w:val="sq-AL"/>
        </w:rPr>
        <w:t xml:space="preserve"> është një sektor me vlerë të shtuar. Duhet të nxitet rritja e cilësisë së qumështit të furnizuar nga fermat për përpunim n</w:t>
      </w:r>
      <w:r w:rsidRPr="0058349C">
        <w:rPr>
          <w:rFonts w:ascii="Garamond" w:hAnsi="Garamond" w:cs="Arial"/>
          <w:sz w:val="24"/>
          <w:szCs w:val="24"/>
          <w:lang w:val="sq-AL"/>
        </w:rPr>
        <w:t>ë njësitë e përpunimit</w:t>
      </w:r>
      <w:r w:rsidRPr="0058349C">
        <w:rPr>
          <w:rFonts w:ascii="Garamond" w:eastAsia="Arial" w:hAnsi="Garamond" w:cs="Arial"/>
          <w:sz w:val="24"/>
          <w:szCs w:val="24"/>
          <w:lang w:val="sq-AL"/>
        </w:rPr>
        <w:t>. P</w:t>
      </w:r>
      <w:r w:rsidRPr="0058349C">
        <w:rPr>
          <w:rFonts w:ascii="Garamond" w:hAnsi="Garamond" w:cs="Arial"/>
          <w:sz w:val="24"/>
          <w:szCs w:val="24"/>
          <w:lang w:val="sq-AL"/>
        </w:rPr>
        <w:t xml:space="preserve">ër këtë arsye është një nevojë urgjente </w:t>
      </w:r>
      <w:r w:rsidRPr="0058349C">
        <w:rPr>
          <w:rFonts w:ascii="Garamond" w:eastAsia="Arial" w:hAnsi="Garamond" w:cs="Arial"/>
          <w:sz w:val="24"/>
          <w:szCs w:val="24"/>
          <w:lang w:val="sq-AL"/>
        </w:rPr>
        <w:t>të rritet prodhimi blegtoral. Mekanizmat për pagesat</w:t>
      </w:r>
      <w:r w:rsidR="00CF7694" w:rsidRPr="0058349C">
        <w:rPr>
          <w:rFonts w:ascii="Garamond" w:eastAsia="Arial" w:hAnsi="Garamond" w:cs="Arial"/>
          <w:sz w:val="24"/>
          <w:szCs w:val="24"/>
          <w:lang w:val="sq-AL"/>
        </w:rPr>
        <w:t xml:space="preserve"> </w:t>
      </w:r>
      <w:r w:rsidRPr="0058349C">
        <w:rPr>
          <w:rFonts w:ascii="Garamond" w:eastAsia="Arial" w:hAnsi="Garamond" w:cs="Arial"/>
          <w:sz w:val="24"/>
          <w:szCs w:val="24"/>
          <w:lang w:val="sq-AL"/>
        </w:rPr>
        <w:t>direkte dhe për grandet duhet ta marrin parasysh këtë, ndërkohë që duhet t</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 xml:space="preserve">trajtojnë edhe sfidat e standardeve të kullotjes së qëndrueshme dhe </w:t>
      </w:r>
      <w:r w:rsidR="003F5E5B">
        <w:rPr>
          <w:rFonts w:ascii="Garamond" w:eastAsia="Arial" w:hAnsi="Garamond" w:cs="Arial"/>
          <w:sz w:val="24"/>
          <w:szCs w:val="24"/>
          <w:lang w:val="sq-AL"/>
        </w:rPr>
        <w:t xml:space="preserve">të </w:t>
      </w:r>
      <w:r w:rsidRPr="0058349C">
        <w:rPr>
          <w:rFonts w:ascii="Garamond" w:eastAsia="Arial" w:hAnsi="Garamond" w:cs="Arial"/>
          <w:sz w:val="24"/>
          <w:szCs w:val="24"/>
          <w:lang w:val="sq-AL"/>
        </w:rPr>
        <w:t>prodhimit të q</w:t>
      </w:r>
      <w:r w:rsidRPr="0058349C">
        <w:rPr>
          <w:rFonts w:ascii="Garamond" w:hAnsi="Garamond" w:cs="Arial"/>
          <w:sz w:val="24"/>
          <w:szCs w:val="24"/>
          <w:lang w:val="sq-AL"/>
        </w:rPr>
        <w:t xml:space="preserve">ëndrueshëm të </w:t>
      </w:r>
      <w:r w:rsidRPr="0058349C">
        <w:rPr>
          <w:rFonts w:ascii="Garamond" w:eastAsia="Arial" w:hAnsi="Garamond" w:cs="Arial"/>
          <w:sz w:val="24"/>
          <w:szCs w:val="24"/>
          <w:lang w:val="sq-AL"/>
        </w:rPr>
        <w:t>foragjereve, të zbatimit t</w:t>
      </w:r>
      <w:r w:rsidRPr="0058349C">
        <w:rPr>
          <w:rFonts w:ascii="Garamond" w:hAnsi="Garamond" w:cs="Arial"/>
          <w:sz w:val="24"/>
          <w:szCs w:val="24"/>
          <w:lang w:val="sq-AL"/>
        </w:rPr>
        <w:t xml:space="preserve">ë standardeve të </w:t>
      </w:r>
      <w:r w:rsidRPr="0058349C">
        <w:rPr>
          <w:rFonts w:ascii="Garamond" w:eastAsia="Arial" w:hAnsi="Garamond" w:cs="Arial"/>
          <w:sz w:val="24"/>
          <w:szCs w:val="24"/>
          <w:lang w:val="sq-AL"/>
        </w:rPr>
        <w:t>shëndetit dhe mirëqenies së kafshëve.</w:t>
      </w:r>
    </w:p>
    <w:p w14:paraId="0773ADF2" w14:textId="4245ED11" w:rsidR="000F50EA" w:rsidRPr="0058349C" w:rsidRDefault="00BC5EB0" w:rsidP="00BC5EB0">
      <w:pPr>
        <w:pStyle w:val="TEKSTIIII"/>
        <w:rPr>
          <w:b/>
          <w:lang w:val="sq-AL"/>
        </w:rPr>
      </w:pPr>
      <w:r w:rsidRPr="0058349C">
        <w:rPr>
          <w:b/>
          <w:lang w:val="sq-AL"/>
        </w:rPr>
        <w:t xml:space="preserve">1.7 </w:t>
      </w:r>
      <w:r w:rsidR="000F50EA" w:rsidRPr="0058349C">
        <w:rPr>
          <w:b/>
          <w:lang w:val="sq-AL"/>
        </w:rPr>
        <w:t xml:space="preserve">Konsolidimi i sistemit të ujitjes dhe </w:t>
      </w:r>
      <w:r w:rsidR="003F5E5B">
        <w:rPr>
          <w:b/>
          <w:lang w:val="sq-AL"/>
        </w:rPr>
        <w:t xml:space="preserve">të </w:t>
      </w:r>
      <w:r w:rsidR="000F50EA" w:rsidRPr="0058349C">
        <w:rPr>
          <w:b/>
          <w:lang w:val="sq-AL"/>
        </w:rPr>
        <w:t>kullimit</w:t>
      </w:r>
    </w:p>
    <w:p w14:paraId="0773ADF3" w14:textId="70C432EF" w:rsidR="000F50EA" w:rsidRPr="0058349C" w:rsidRDefault="000F50EA" w:rsidP="00203125">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Në kontekstin e rritjes së konkurrencës në tregje edhe t</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ndryshimeve klimatike, sistemi modern dhe efi</w:t>
      </w:r>
      <w:r w:rsidR="00203125">
        <w:rPr>
          <w:rFonts w:ascii="Garamond" w:eastAsia="Arial" w:hAnsi="Garamond" w:cs="Arial"/>
          <w:sz w:val="24"/>
          <w:szCs w:val="24"/>
          <w:lang w:val="sq-AL"/>
        </w:rPr>
        <w:t>c</w:t>
      </w:r>
      <w:r w:rsidRPr="0058349C">
        <w:rPr>
          <w:rFonts w:ascii="Garamond" w:eastAsia="Arial" w:hAnsi="Garamond" w:cs="Arial"/>
          <w:sz w:val="24"/>
          <w:szCs w:val="24"/>
          <w:lang w:val="sq-AL"/>
        </w:rPr>
        <w:t>ient i ujitjes dhe kullimit është thelbësor. Strategjia Kombëtare e Ujitjes dhe Kullimit 2019</w:t>
      </w:r>
      <w:r w:rsidR="00203125">
        <w:rPr>
          <w:rFonts w:ascii="Garamond" w:eastAsia="Arial" w:hAnsi="Garamond" w:cs="Arial"/>
          <w:sz w:val="24"/>
          <w:szCs w:val="24"/>
          <w:lang w:val="sq-AL"/>
        </w:rPr>
        <w:t>–</w:t>
      </w:r>
      <w:r w:rsidRPr="0058349C">
        <w:rPr>
          <w:rFonts w:ascii="Garamond" w:eastAsia="Arial" w:hAnsi="Garamond" w:cs="Arial"/>
          <w:sz w:val="24"/>
          <w:szCs w:val="24"/>
          <w:lang w:val="sq-AL"/>
        </w:rPr>
        <w:t>2031 dhe Plani i saj i Veprimit do të zbatohen me qëllim rritjen e sip</w:t>
      </w:r>
      <w:r w:rsidRPr="0058349C">
        <w:rPr>
          <w:rFonts w:ascii="Garamond" w:hAnsi="Garamond" w:cs="Arial"/>
          <w:sz w:val="24"/>
          <w:szCs w:val="24"/>
          <w:lang w:val="sq-AL"/>
        </w:rPr>
        <w:t xml:space="preserve">ërfaqes të </w:t>
      </w:r>
      <w:r w:rsidRPr="0058349C">
        <w:rPr>
          <w:rFonts w:ascii="Garamond" w:eastAsia="Arial" w:hAnsi="Garamond" w:cs="Arial"/>
          <w:sz w:val="24"/>
          <w:szCs w:val="24"/>
          <w:lang w:val="sq-AL"/>
        </w:rPr>
        <w:t>tokës bujqësore të ujitur në mënyrë efikase ndaj p</w:t>
      </w:r>
      <w:r w:rsidRPr="0058349C">
        <w:rPr>
          <w:rFonts w:ascii="Garamond" w:hAnsi="Garamond" w:cs="Arial"/>
          <w:sz w:val="24"/>
          <w:szCs w:val="24"/>
          <w:lang w:val="sq-AL"/>
        </w:rPr>
        <w:t>ërdorimit të</w:t>
      </w:r>
      <w:r w:rsidRPr="0058349C">
        <w:rPr>
          <w:rFonts w:ascii="Garamond" w:eastAsia="Arial" w:hAnsi="Garamond" w:cs="Arial"/>
          <w:sz w:val="24"/>
          <w:szCs w:val="24"/>
          <w:lang w:val="sq-AL"/>
        </w:rPr>
        <w:t xml:space="preserve"> burimeve ujore ose duke rehabilituar sistemin n</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sipërfaqet e mbetura</w:t>
      </w:r>
      <w:r w:rsidR="00203125">
        <w:rPr>
          <w:rFonts w:ascii="Garamond" w:eastAsia="Arial" w:hAnsi="Garamond" w:cs="Arial"/>
          <w:sz w:val="24"/>
          <w:szCs w:val="24"/>
          <w:lang w:val="sq-AL"/>
        </w:rPr>
        <w:t>,</w:t>
      </w:r>
      <w:r w:rsidRPr="0058349C">
        <w:rPr>
          <w:rFonts w:ascii="Garamond" w:eastAsia="Arial" w:hAnsi="Garamond" w:cs="Arial"/>
          <w:sz w:val="24"/>
          <w:szCs w:val="24"/>
          <w:lang w:val="sq-AL"/>
        </w:rPr>
        <w:t xml:space="preserve"> ku aktualisht sistemi nuk </w:t>
      </w:r>
      <w:r w:rsidRPr="0058349C">
        <w:rPr>
          <w:rFonts w:ascii="Garamond" w:hAnsi="Garamond" w:cs="Arial"/>
          <w:sz w:val="24"/>
          <w:szCs w:val="24"/>
          <w:lang w:val="sq-AL"/>
        </w:rPr>
        <w:t>është</w:t>
      </w:r>
      <w:r w:rsidRPr="0058349C">
        <w:rPr>
          <w:rFonts w:ascii="Garamond" w:eastAsia="Arial" w:hAnsi="Garamond" w:cs="Arial"/>
          <w:sz w:val="24"/>
          <w:szCs w:val="24"/>
          <w:lang w:val="sq-AL"/>
        </w:rPr>
        <w:t xml:space="preserve"> në përdorim. Krahas fuqizimit t</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rolit dhe t</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kapacitetit t</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bashkive, duhet t</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inkurajohen dhe mb</w:t>
      </w:r>
      <w:r w:rsidRPr="0058349C">
        <w:rPr>
          <w:rFonts w:ascii="Garamond" w:hAnsi="Garamond" w:cs="Arial"/>
          <w:sz w:val="24"/>
          <w:szCs w:val="24"/>
          <w:lang w:val="sq-AL"/>
        </w:rPr>
        <w:t>ë</w:t>
      </w:r>
      <w:r w:rsidRPr="0058349C">
        <w:rPr>
          <w:rFonts w:ascii="Garamond" w:eastAsia="Arial" w:hAnsi="Garamond" w:cs="Arial"/>
          <w:sz w:val="24"/>
          <w:szCs w:val="24"/>
          <w:lang w:val="sq-AL"/>
        </w:rPr>
        <w:t>shteten edhe autoritetet vendore, sidomos n</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menaxhimin e infrastruktu</w:t>
      </w:r>
      <w:r w:rsidRPr="0058349C">
        <w:rPr>
          <w:rFonts w:ascii="Garamond" w:hAnsi="Garamond" w:cs="Arial"/>
          <w:sz w:val="24"/>
          <w:szCs w:val="24"/>
          <w:lang w:val="sq-AL"/>
        </w:rPr>
        <w:t>r</w:t>
      </w:r>
      <w:r w:rsidRPr="0058349C">
        <w:rPr>
          <w:rFonts w:ascii="Garamond" w:eastAsia="Arial" w:hAnsi="Garamond" w:cs="Arial"/>
          <w:sz w:val="24"/>
          <w:szCs w:val="24"/>
          <w:lang w:val="sq-AL"/>
        </w:rPr>
        <w:t>ës n</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nivel dytësor dhe terciar.</w:t>
      </w:r>
    </w:p>
    <w:p w14:paraId="0773ADF4" w14:textId="51E33817" w:rsidR="000F50EA" w:rsidRPr="0058349C" w:rsidRDefault="000F50EA" w:rsidP="00C45BF2">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Në rast të grandeve, sistemet efi</w:t>
      </w:r>
      <w:r w:rsidR="00C45BF2">
        <w:rPr>
          <w:rFonts w:ascii="Garamond" w:eastAsia="Arial" w:hAnsi="Garamond" w:cs="Arial"/>
          <w:sz w:val="24"/>
          <w:szCs w:val="24"/>
          <w:lang w:val="sq-AL"/>
        </w:rPr>
        <w:t>ci</w:t>
      </w:r>
      <w:r w:rsidRPr="0058349C">
        <w:rPr>
          <w:rFonts w:ascii="Garamond" w:eastAsia="Arial" w:hAnsi="Garamond" w:cs="Arial"/>
          <w:sz w:val="24"/>
          <w:szCs w:val="24"/>
          <w:lang w:val="sq-AL"/>
        </w:rPr>
        <w:t>ente t</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ujitjes duhet t</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vazhdojn</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të jenë të detyrueshme për investimet për sektorët e frutave dhe t</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perimeve.</w:t>
      </w:r>
    </w:p>
    <w:p w14:paraId="0773ADF5" w14:textId="14EB9942" w:rsidR="000F50EA" w:rsidRPr="0058349C" w:rsidRDefault="00BC5EB0" w:rsidP="00BC5EB0">
      <w:pPr>
        <w:pStyle w:val="TEKSTIIII"/>
        <w:rPr>
          <w:b/>
          <w:lang w:val="sq-AL"/>
        </w:rPr>
      </w:pPr>
      <w:r w:rsidRPr="0058349C">
        <w:rPr>
          <w:b/>
          <w:lang w:val="sq-AL"/>
        </w:rPr>
        <w:t xml:space="preserve">1.8 </w:t>
      </w:r>
      <w:r w:rsidR="000F50EA" w:rsidRPr="0058349C">
        <w:rPr>
          <w:b/>
          <w:lang w:val="sq-AL"/>
        </w:rPr>
        <w:t>Investime në mbështetje të përmirësimit të produktivitetit në punë, si p.sh</w:t>
      </w:r>
      <w:r w:rsidR="00C45BF2">
        <w:rPr>
          <w:b/>
          <w:lang w:val="sq-AL"/>
        </w:rPr>
        <w:t>.</w:t>
      </w:r>
      <w:r w:rsidR="000F50EA" w:rsidRPr="0058349C">
        <w:rPr>
          <w:b/>
          <w:lang w:val="sq-AL"/>
        </w:rPr>
        <w:t xml:space="preserve"> në mekanizim dhe në pajisje të reja.</w:t>
      </w:r>
    </w:p>
    <w:p w14:paraId="0773ADF6" w14:textId="77777777"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Sektori i bujqësisë </w:t>
      </w:r>
      <w:r w:rsidRPr="0058349C">
        <w:rPr>
          <w:rFonts w:ascii="Garamond" w:eastAsia="Arial" w:hAnsi="Garamond" w:cs="Arial"/>
          <w:b/>
          <w:sz w:val="24"/>
          <w:szCs w:val="24"/>
          <w:lang w:val="sq-AL"/>
        </w:rPr>
        <w:t>në Shqipëri nuk mund të mbështetet më gjat</w:t>
      </w:r>
      <w:r w:rsidRPr="0058349C">
        <w:rPr>
          <w:rFonts w:ascii="Garamond" w:hAnsi="Garamond" w:cs="Arial"/>
          <w:sz w:val="24"/>
          <w:szCs w:val="24"/>
          <w:lang w:val="sq-AL"/>
        </w:rPr>
        <w:t>ë</w:t>
      </w:r>
      <w:r w:rsidRPr="0058349C">
        <w:rPr>
          <w:rFonts w:ascii="Garamond" w:eastAsia="Arial" w:hAnsi="Garamond" w:cs="Arial"/>
          <w:b/>
          <w:sz w:val="24"/>
          <w:szCs w:val="24"/>
          <w:lang w:val="sq-AL"/>
        </w:rPr>
        <w:t xml:space="preserve"> në fuqinë punëtore me kosto të ulët si një premisë për zhvillimin e tij</w:t>
      </w:r>
      <w:r w:rsidRPr="0058349C">
        <w:rPr>
          <w:rFonts w:ascii="Garamond" w:eastAsia="Arial" w:hAnsi="Garamond" w:cs="Arial"/>
          <w:sz w:val="24"/>
          <w:szCs w:val="24"/>
          <w:lang w:val="sq-AL"/>
        </w:rPr>
        <w:t>. Ekziston mundësia për të investuar në mekanizimin për rritjen e produktivitetit të fuqisë punëtore. Përmirësimi i produktivitetit të punës nevojitet edhe për sektorin e agropërpunimit.</w:t>
      </w:r>
    </w:p>
    <w:p w14:paraId="0773ADF7" w14:textId="77777777" w:rsidR="000F50EA" w:rsidRPr="0058349C" w:rsidRDefault="00BC5EB0" w:rsidP="00BC5EB0">
      <w:pPr>
        <w:pStyle w:val="TEKSTIIII"/>
        <w:rPr>
          <w:b/>
          <w:lang w:val="sq-AL"/>
        </w:rPr>
      </w:pPr>
      <w:r w:rsidRPr="0058349C">
        <w:rPr>
          <w:b/>
          <w:lang w:val="sq-AL"/>
        </w:rPr>
        <w:t xml:space="preserve">1.9 </w:t>
      </w:r>
      <w:r w:rsidR="000F50EA" w:rsidRPr="0058349C">
        <w:rPr>
          <w:b/>
          <w:lang w:val="sq-AL"/>
        </w:rPr>
        <w:t>Optimizimi i zinxhirëve të furnizimit në bujqësi</w:t>
      </w:r>
    </w:p>
    <w:p w14:paraId="0773ADF8" w14:textId="5236FE18" w:rsidR="000F50EA" w:rsidRPr="0058349C" w:rsidRDefault="000F50EA" w:rsidP="00C45BF2">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Në zinxhirin e furnizimit për shumicën e kulturave bujqësore duhet përmirësuar akoma më shumë </w:t>
      </w:r>
      <w:r w:rsidRPr="0058349C">
        <w:rPr>
          <w:rFonts w:ascii="Garamond" w:eastAsia="Arial" w:hAnsi="Garamond" w:cs="Arial"/>
          <w:b/>
          <w:sz w:val="24"/>
          <w:szCs w:val="24"/>
          <w:lang w:val="sq-AL"/>
        </w:rPr>
        <w:t xml:space="preserve">kapaciteti i pamjaftueshëm i magazinimit dhe objektet dhe pajisjet (facilitetet) </w:t>
      </w:r>
      <w:r w:rsidRPr="0058349C">
        <w:rPr>
          <w:rFonts w:ascii="Garamond" w:eastAsia="Arial" w:hAnsi="Garamond" w:cs="Arial"/>
          <w:sz w:val="24"/>
          <w:szCs w:val="24"/>
          <w:lang w:val="sq-AL"/>
        </w:rPr>
        <w:t>p</w:t>
      </w:r>
      <w:r w:rsidRPr="0058349C">
        <w:rPr>
          <w:rFonts w:ascii="Garamond" w:hAnsi="Garamond" w:cs="Arial"/>
          <w:sz w:val="24"/>
          <w:szCs w:val="24"/>
          <w:lang w:val="sq-AL"/>
        </w:rPr>
        <w:t xml:space="preserve">ër periudhën e </w:t>
      </w:r>
      <w:r w:rsidRPr="0058349C">
        <w:rPr>
          <w:rFonts w:ascii="Garamond" w:eastAsia="Arial" w:hAnsi="Garamond" w:cs="Arial"/>
          <w:b/>
          <w:sz w:val="24"/>
          <w:szCs w:val="24"/>
          <w:lang w:val="sq-AL"/>
        </w:rPr>
        <w:t xml:space="preserve">pas vjeljes. </w:t>
      </w:r>
      <w:r w:rsidRPr="0058349C">
        <w:rPr>
          <w:rFonts w:ascii="Garamond" w:eastAsia="Arial" w:hAnsi="Garamond" w:cs="Arial"/>
          <w:sz w:val="24"/>
          <w:szCs w:val="24"/>
          <w:lang w:val="sq-AL"/>
        </w:rPr>
        <w:t>Skemat e grandeve me fondet kombëtare ose IPARD për fermerët duhet të synojnë facilitetet p</w:t>
      </w:r>
      <w:r w:rsidRPr="0058349C">
        <w:rPr>
          <w:rFonts w:ascii="Garamond" w:hAnsi="Garamond" w:cs="Arial"/>
          <w:sz w:val="24"/>
          <w:szCs w:val="24"/>
          <w:lang w:val="sq-AL"/>
        </w:rPr>
        <w:t xml:space="preserve">ër </w:t>
      </w:r>
      <w:r w:rsidRPr="0058349C">
        <w:rPr>
          <w:rFonts w:ascii="Garamond" w:eastAsia="Arial" w:hAnsi="Garamond" w:cs="Arial"/>
          <w:sz w:val="24"/>
          <w:szCs w:val="24"/>
          <w:lang w:val="sq-AL"/>
        </w:rPr>
        <w:t>magazinimin edhe në periudh</w:t>
      </w:r>
      <w:r w:rsidRPr="0058349C">
        <w:rPr>
          <w:rFonts w:ascii="Garamond" w:hAnsi="Garamond" w:cs="Arial"/>
          <w:sz w:val="24"/>
          <w:szCs w:val="24"/>
          <w:lang w:val="sq-AL"/>
        </w:rPr>
        <w:t>ën</w:t>
      </w:r>
      <w:r w:rsidRPr="0058349C">
        <w:rPr>
          <w:rFonts w:ascii="Garamond" w:eastAsia="Arial" w:hAnsi="Garamond" w:cs="Arial"/>
          <w:sz w:val="24"/>
          <w:szCs w:val="24"/>
          <w:lang w:val="sq-AL"/>
        </w:rPr>
        <w:t xml:space="preserve"> e pasvjeljes</w:t>
      </w:r>
      <w:r w:rsidR="00C45BF2">
        <w:rPr>
          <w:rFonts w:ascii="Garamond" w:eastAsia="Arial" w:hAnsi="Garamond" w:cs="Arial"/>
          <w:sz w:val="24"/>
          <w:szCs w:val="24"/>
          <w:lang w:val="sq-AL"/>
        </w:rPr>
        <w:t>,</w:t>
      </w:r>
      <w:r w:rsidRPr="0058349C">
        <w:rPr>
          <w:rFonts w:ascii="Garamond" w:eastAsia="Arial" w:hAnsi="Garamond" w:cs="Arial"/>
          <w:sz w:val="24"/>
          <w:szCs w:val="24"/>
          <w:lang w:val="sq-AL"/>
        </w:rPr>
        <w:t xml:space="preserve"> si për fermerët ashtu edhe për përpunuesit, ndërsa grandet për industritë agroushqimore duhet të synojnë integrimin më të mirë me fermerët vend</w:t>
      </w:r>
      <w:r w:rsidR="003B5F32" w:rsidRPr="0058349C">
        <w:rPr>
          <w:rFonts w:ascii="Garamond" w:eastAsia="Arial" w:hAnsi="Garamond" w:cs="Arial"/>
          <w:sz w:val="24"/>
          <w:szCs w:val="24"/>
          <w:lang w:val="sq-AL"/>
        </w:rPr>
        <w:t>ë</w:t>
      </w:r>
      <w:r w:rsidRPr="0058349C">
        <w:rPr>
          <w:rFonts w:ascii="Garamond" w:eastAsia="Arial" w:hAnsi="Garamond" w:cs="Arial"/>
          <w:sz w:val="24"/>
          <w:szCs w:val="24"/>
          <w:lang w:val="sq-AL"/>
        </w:rPr>
        <w:t xml:space="preserve">s, për të zhbllokuar potencialin e prodhimit </w:t>
      </w:r>
      <w:r w:rsidR="00BC084C">
        <w:rPr>
          <w:rFonts w:ascii="Garamond" w:eastAsia="Arial" w:hAnsi="Garamond" w:cs="Arial"/>
          <w:sz w:val="24"/>
          <w:szCs w:val="24"/>
          <w:lang w:val="sq-AL"/>
        </w:rPr>
        <w:t>vendës</w:t>
      </w:r>
      <w:r w:rsidRPr="0058349C">
        <w:rPr>
          <w:rFonts w:ascii="Garamond" w:eastAsia="Arial" w:hAnsi="Garamond" w:cs="Arial"/>
          <w:sz w:val="24"/>
          <w:szCs w:val="24"/>
          <w:lang w:val="sq-AL"/>
        </w:rPr>
        <w:t xml:space="preserve"> dhe për të mundësuar zinxhirë të shkurtër furnizimi. Skemat e mbështetjes duhet të kenë në konsideratë edhe platformat e bashkëpunimit të fermerëve, të</w:t>
      </w:r>
      <w:r w:rsidR="00CF7694" w:rsidRPr="0058349C">
        <w:rPr>
          <w:rFonts w:ascii="Garamond" w:eastAsia="Arial" w:hAnsi="Garamond" w:cs="Arial"/>
          <w:sz w:val="24"/>
          <w:szCs w:val="24"/>
          <w:lang w:val="sq-AL"/>
        </w:rPr>
        <w:t xml:space="preserve"> </w:t>
      </w:r>
      <w:r w:rsidRPr="0058349C">
        <w:rPr>
          <w:rFonts w:ascii="Garamond" w:eastAsia="Arial" w:hAnsi="Garamond" w:cs="Arial"/>
          <w:sz w:val="24"/>
          <w:szCs w:val="24"/>
          <w:lang w:val="sq-AL"/>
        </w:rPr>
        <w:t>administruara nga njësitë e</w:t>
      </w:r>
      <w:r w:rsidR="00CF7694" w:rsidRPr="0058349C">
        <w:rPr>
          <w:rFonts w:ascii="Garamond" w:eastAsia="Arial" w:hAnsi="Garamond" w:cs="Arial"/>
          <w:sz w:val="24"/>
          <w:szCs w:val="24"/>
          <w:lang w:val="sq-AL"/>
        </w:rPr>
        <w:t xml:space="preserve"> </w:t>
      </w:r>
      <w:r w:rsidRPr="0058349C">
        <w:rPr>
          <w:rFonts w:ascii="Garamond" w:eastAsia="Arial" w:hAnsi="Garamond" w:cs="Arial"/>
          <w:sz w:val="24"/>
          <w:szCs w:val="24"/>
          <w:lang w:val="sq-AL"/>
        </w:rPr>
        <w:t>qeverisjes vendore.</w:t>
      </w:r>
    </w:p>
    <w:p w14:paraId="0773ADF9" w14:textId="77777777" w:rsidR="000F50EA" w:rsidRPr="0058349C" w:rsidRDefault="00BC5EB0" w:rsidP="00BC5EB0">
      <w:pPr>
        <w:pStyle w:val="TEKSTIIII"/>
        <w:rPr>
          <w:b/>
          <w:lang w:val="sq-AL"/>
        </w:rPr>
      </w:pPr>
      <w:r w:rsidRPr="0058349C">
        <w:rPr>
          <w:b/>
          <w:lang w:val="sq-AL"/>
        </w:rPr>
        <w:t xml:space="preserve">1.10 </w:t>
      </w:r>
      <w:r w:rsidR="000F50EA" w:rsidRPr="0058349C">
        <w:rPr>
          <w:b/>
          <w:lang w:val="sq-AL"/>
        </w:rPr>
        <w:t>Inkurajimi i organizatave prodhuese</w:t>
      </w:r>
    </w:p>
    <w:p w14:paraId="0773ADFA" w14:textId="77777777"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lastRenderedPageBreak/>
        <w:t xml:space="preserve">Bujqësia e Shqipërisë është shumë e varur nga inputet e importuara. </w:t>
      </w:r>
      <w:r w:rsidRPr="0058349C">
        <w:rPr>
          <w:rFonts w:ascii="Garamond" w:eastAsia="Arial" w:hAnsi="Garamond" w:cs="Arial"/>
          <w:b/>
          <w:sz w:val="24"/>
          <w:szCs w:val="24"/>
          <w:lang w:val="sq-AL"/>
        </w:rPr>
        <w:t>Tregtarët janë krijuesit e tregut dhe vendosin çmimet.</w:t>
      </w:r>
      <w:r w:rsidRPr="0058349C">
        <w:rPr>
          <w:rFonts w:ascii="Garamond" w:eastAsia="Arial" w:hAnsi="Garamond" w:cs="Arial"/>
          <w:sz w:val="24"/>
          <w:szCs w:val="24"/>
          <w:lang w:val="sq-AL"/>
        </w:rPr>
        <w:t xml:space="preserve"> Organizatat e prodhuesve, siç janë grupet e prodhuesve, duhet të mbështeten me njohuri dhe financiarisht në ngritjen dhe funksionimin e tyre për të rritur fuqinë negociuese në blerjen dhe shitjen e përbashkët. Kooperativat kanë potencial për të inkurajuar fermerët për përdorimin e përbashkët të shoq</w:t>
      </w:r>
      <w:r w:rsidRPr="0058349C">
        <w:rPr>
          <w:rFonts w:ascii="Garamond" w:hAnsi="Garamond" w:cs="Arial"/>
          <w:sz w:val="24"/>
          <w:szCs w:val="24"/>
          <w:lang w:val="sq-AL"/>
        </w:rPr>
        <w:t>ërive</w:t>
      </w:r>
      <w:r w:rsidRPr="0058349C">
        <w:rPr>
          <w:rFonts w:ascii="Garamond" w:eastAsia="Arial" w:hAnsi="Garamond" w:cs="Arial"/>
          <w:sz w:val="24"/>
          <w:szCs w:val="24"/>
          <w:lang w:val="sq-AL"/>
        </w:rPr>
        <w:t xml:space="preserve"> të makinerive, depove dhe objekteve t</w:t>
      </w:r>
      <w:r w:rsidRPr="0058349C">
        <w:rPr>
          <w:rFonts w:ascii="Garamond" w:hAnsi="Garamond" w:cs="Arial"/>
          <w:sz w:val="24"/>
          <w:szCs w:val="24"/>
          <w:lang w:val="sq-AL"/>
        </w:rPr>
        <w:t xml:space="preserve">ë nevojshme </w:t>
      </w:r>
      <w:r w:rsidRPr="0058349C">
        <w:rPr>
          <w:rFonts w:ascii="Garamond" w:eastAsia="Arial" w:hAnsi="Garamond" w:cs="Arial"/>
          <w:sz w:val="24"/>
          <w:szCs w:val="24"/>
          <w:lang w:val="sq-AL"/>
        </w:rPr>
        <w:t>pas vjeljes. Tregjet në të cilat fermerët tregtojnë bashkë, është një tjetër rrugë që duhet të ndiqet.</w:t>
      </w:r>
    </w:p>
    <w:p w14:paraId="0773ADFB" w14:textId="77777777" w:rsidR="000F50EA" w:rsidRPr="0058349C" w:rsidRDefault="00BC5EB0" w:rsidP="00BC5EB0">
      <w:pPr>
        <w:pStyle w:val="TEKSTIIII"/>
        <w:rPr>
          <w:b/>
          <w:lang w:val="sq-AL"/>
        </w:rPr>
      </w:pPr>
      <w:r w:rsidRPr="0058349C">
        <w:rPr>
          <w:b/>
          <w:lang w:val="sq-AL"/>
        </w:rPr>
        <w:t xml:space="preserve">1.11 </w:t>
      </w:r>
      <w:r w:rsidR="000F50EA" w:rsidRPr="0058349C">
        <w:rPr>
          <w:b/>
          <w:lang w:val="sq-AL"/>
        </w:rPr>
        <w:t>Përafrimi gradual me standardet e BE-së në fushat e mjedisit, sigurisë ushqimore, shëndetit të bimëve dhe kafshëve dhe të mirëqenies së kafshëve</w:t>
      </w:r>
    </w:p>
    <w:p w14:paraId="0773ADFC" w14:textId="30F693AE"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eastAsia="Arial" w:hAnsi="Garamond" w:cs="Arial"/>
          <w:sz w:val="24"/>
          <w:szCs w:val="24"/>
          <w:lang w:val="sq-AL"/>
        </w:rPr>
        <w:t xml:space="preserve">Sektori privat është në qendër të përpjekjeve për përafrimin me BE-në. Duhet të parashikohen periudha të përshtatshme </w:t>
      </w:r>
      <w:r w:rsidRPr="0058349C">
        <w:rPr>
          <w:rStyle w:val="Emphasis"/>
          <w:rFonts w:ascii="Garamond" w:hAnsi="Garamond"/>
          <w:bCs/>
          <w:i w:val="0"/>
          <w:iCs w:val="0"/>
          <w:sz w:val="24"/>
          <w:szCs w:val="24"/>
          <w:shd w:val="clear" w:color="auto" w:fill="FFFFFF"/>
          <w:lang w:val="sq-AL"/>
        </w:rPr>
        <w:t>n</w:t>
      </w:r>
      <w:r w:rsidRPr="0058349C">
        <w:rPr>
          <w:rFonts w:ascii="Garamond" w:hAnsi="Garamond" w:cs="Arial"/>
          <w:sz w:val="24"/>
          <w:szCs w:val="24"/>
          <w:lang w:val="sq-AL"/>
        </w:rPr>
        <w:t>ë kohëzgjatje që</w:t>
      </w:r>
      <w:r w:rsidRPr="0058349C">
        <w:rPr>
          <w:rFonts w:ascii="Garamond" w:eastAsia="Arial" w:hAnsi="Garamond" w:cs="Arial"/>
          <w:sz w:val="24"/>
          <w:szCs w:val="24"/>
          <w:lang w:val="sq-AL"/>
        </w:rPr>
        <w:t xml:space="preserve"> nga momenti i miratimit të legjislacionit deri në hyrjen e tij në fuqi, si dhe alokimet e nevojshme financiare për të mbështetur sektorin privat në realizimin e investimeve. </w:t>
      </w:r>
      <w:r w:rsidRPr="0058349C">
        <w:rPr>
          <w:rFonts w:ascii="Garamond" w:eastAsia="Arial" w:hAnsi="Garamond" w:cs="Arial"/>
          <w:b/>
          <w:sz w:val="24"/>
          <w:szCs w:val="24"/>
          <w:lang w:val="sq-AL"/>
        </w:rPr>
        <w:t>Fermerët dhe përpunuesit agroushqimor janë të detyruar të investojnë në objekte, pajisje dhe makineri që kërkojnë më tej kosto operative shtesë. Siguria e ushqimit dhe menaxhimi i mbetjeve janë çështje kyçe</w:t>
      </w:r>
      <w:r w:rsidRPr="0058349C">
        <w:rPr>
          <w:rFonts w:ascii="Garamond" w:eastAsia="Arial" w:hAnsi="Garamond" w:cs="Arial"/>
          <w:sz w:val="24"/>
          <w:szCs w:val="24"/>
          <w:lang w:val="sq-AL"/>
        </w:rPr>
        <w:t>. Standardeve duhet t</w:t>
      </w:r>
      <w:r w:rsidR="00C45BF2">
        <w:rPr>
          <w:rFonts w:ascii="Garamond" w:eastAsia="Arial" w:hAnsi="Garamond" w:cs="Arial"/>
          <w:sz w:val="24"/>
          <w:szCs w:val="24"/>
          <w:lang w:val="sq-AL"/>
        </w:rPr>
        <w:t>’</w:t>
      </w:r>
      <w:r w:rsidRPr="0058349C">
        <w:rPr>
          <w:rFonts w:ascii="Garamond" w:eastAsia="Arial" w:hAnsi="Garamond" w:cs="Arial"/>
          <w:sz w:val="24"/>
          <w:szCs w:val="24"/>
          <w:lang w:val="sq-AL"/>
        </w:rPr>
        <w:t>u jepet prioritet si n</w:t>
      </w:r>
      <w:r w:rsidRPr="0058349C">
        <w:rPr>
          <w:rFonts w:ascii="Garamond" w:hAnsi="Garamond" w:cs="Arial"/>
          <w:sz w:val="24"/>
          <w:szCs w:val="24"/>
          <w:lang w:val="sq-AL"/>
        </w:rPr>
        <w:t>ë investime e</w:t>
      </w:r>
      <w:r w:rsidRPr="0058349C">
        <w:rPr>
          <w:rFonts w:ascii="Garamond" w:eastAsia="Arial" w:hAnsi="Garamond" w:cs="Arial"/>
          <w:sz w:val="24"/>
          <w:szCs w:val="24"/>
          <w:lang w:val="sq-AL"/>
        </w:rPr>
        <w:t>dhe të mbështeten financiarisht me kuot</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më të lartë të ndihmës financiare publike. Gjithashtu duhet të merren parasysh edhe mb</w:t>
      </w:r>
      <w:r w:rsidRPr="0058349C">
        <w:rPr>
          <w:rFonts w:ascii="Garamond" w:hAnsi="Garamond" w:cs="Arial"/>
          <w:sz w:val="24"/>
          <w:szCs w:val="24"/>
          <w:lang w:val="sq-AL"/>
        </w:rPr>
        <w:t xml:space="preserve">ështetja për </w:t>
      </w:r>
      <w:r w:rsidRPr="0058349C">
        <w:rPr>
          <w:rFonts w:ascii="Garamond" w:eastAsia="Arial" w:hAnsi="Garamond" w:cs="Arial"/>
          <w:sz w:val="24"/>
          <w:szCs w:val="24"/>
          <w:lang w:val="sq-AL"/>
        </w:rPr>
        <w:t>fermat q</w:t>
      </w:r>
      <w:r w:rsidRPr="0058349C">
        <w:rPr>
          <w:rFonts w:ascii="Garamond" w:hAnsi="Garamond" w:cs="Arial"/>
          <w:sz w:val="24"/>
          <w:szCs w:val="24"/>
          <w:lang w:val="sq-AL"/>
        </w:rPr>
        <w:t>ë angazhohen në aktivitete</w:t>
      </w:r>
      <w:r w:rsidR="00CF7694" w:rsidRPr="0058349C">
        <w:rPr>
          <w:rFonts w:ascii="Garamond" w:hAnsi="Garamond" w:cs="Arial"/>
          <w:sz w:val="24"/>
          <w:szCs w:val="24"/>
          <w:lang w:val="sq-AL"/>
        </w:rPr>
        <w:t xml:space="preserve"> </w:t>
      </w:r>
      <w:r w:rsidRPr="0058349C">
        <w:rPr>
          <w:rFonts w:ascii="Garamond" w:eastAsia="Arial" w:hAnsi="Garamond" w:cs="Arial"/>
          <w:sz w:val="24"/>
          <w:szCs w:val="24"/>
          <w:lang w:val="sq-AL"/>
        </w:rPr>
        <w:t>demonstrimi.</w:t>
      </w:r>
    </w:p>
    <w:p w14:paraId="0773ADFD" w14:textId="17A538D4" w:rsidR="000F50EA" w:rsidRPr="0058349C" w:rsidRDefault="000F50EA" w:rsidP="00C45BF2">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Objektivi është përmirësimi i kushteve kornizë për t</w:t>
      </w:r>
      <w:r w:rsidR="00C45BF2">
        <w:rPr>
          <w:rFonts w:ascii="Garamond" w:eastAsia="Arial" w:hAnsi="Garamond" w:cs="Arial"/>
          <w:sz w:val="24"/>
          <w:szCs w:val="24"/>
          <w:lang w:val="sq-AL"/>
        </w:rPr>
        <w:t>’</w:t>
      </w:r>
      <w:r w:rsidRPr="0058349C">
        <w:rPr>
          <w:rFonts w:ascii="Garamond" w:eastAsia="Arial" w:hAnsi="Garamond" w:cs="Arial"/>
          <w:sz w:val="24"/>
          <w:szCs w:val="24"/>
          <w:lang w:val="sq-AL"/>
        </w:rPr>
        <w:t>iu përgjigjur kërkesës së konsumatorëve për produkte agroushqimore, për të mbështetur aktorët e zinxhirit agroushqimor për të aksesuar prodhimin, tregun dhe informacionin mjedisor/klimatik, si dhe në shërbimet mbështetëse financiare, logjistike dhe teknike, të p</w:t>
      </w:r>
      <w:r w:rsidRPr="0058349C">
        <w:rPr>
          <w:rFonts w:ascii="Garamond" w:hAnsi="Garamond" w:cs="Arial"/>
          <w:sz w:val="24"/>
          <w:szCs w:val="24"/>
          <w:lang w:val="sq-AL"/>
        </w:rPr>
        <w:t xml:space="preserve">ërputhura me nevojat dhe që janë të </w:t>
      </w:r>
      <w:r w:rsidRPr="0058349C">
        <w:rPr>
          <w:rFonts w:ascii="Garamond" w:eastAsia="Arial" w:hAnsi="Garamond" w:cs="Arial"/>
          <w:sz w:val="24"/>
          <w:szCs w:val="24"/>
          <w:lang w:val="sq-AL"/>
        </w:rPr>
        <w:t>nevojshme për të hyrë në segmentet strategjike të tregut.</w:t>
      </w:r>
    </w:p>
    <w:p w14:paraId="0773ADFE" w14:textId="77777777"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b/>
          <w:bCs/>
          <w:sz w:val="24"/>
          <w:szCs w:val="24"/>
          <w:lang w:val="sq-AL"/>
        </w:rPr>
        <w:t xml:space="preserve">Menaxhimi kolektiv i plehut organik: </w:t>
      </w:r>
      <w:r w:rsidRPr="0058349C">
        <w:rPr>
          <w:rFonts w:ascii="Garamond" w:eastAsia="Arial" w:hAnsi="Garamond" w:cs="Arial"/>
          <w:bCs/>
          <w:sz w:val="24"/>
          <w:szCs w:val="24"/>
          <w:lang w:val="sq-AL"/>
        </w:rPr>
        <w:t>Ndër masat e tjera në mbrojtje të mjedisit dhe të burimeve natyrore nga ndikimi i aktivitetit ekonomik bujqësor, është një pjesë e zgjidhjes për bujqësinë bazuar n</w:t>
      </w:r>
      <w:r w:rsidRPr="0058349C">
        <w:rPr>
          <w:rFonts w:ascii="Garamond" w:hAnsi="Garamond" w:cs="Arial"/>
          <w:sz w:val="24"/>
          <w:szCs w:val="24"/>
          <w:lang w:val="sq-AL"/>
        </w:rPr>
        <w:t>ë ferma</w:t>
      </w:r>
      <w:r w:rsidRPr="0058349C">
        <w:rPr>
          <w:rFonts w:ascii="Garamond" w:eastAsia="Arial" w:hAnsi="Garamond" w:cs="Arial"/>
          <w:bCs/>
          <w:sz w:val="24"/>
          <w:szCs w:val="24"/>
          <w:lang w:val="sq-AL"/>
        </w:rPr>
        <w:t xml:space="preserve"> të vogla</w:t>
      </w:r>
      <w:r w:rsidRPr="0058349C">
        <w:rPr>
          <w:rFonts w:ascii="Garamond" w:eastAsia="Arial" w:hAnsi="Garamond" w:cs="Arial"/>
          <w:sz w:val="24"/>
          <w:szCs w:val="24"/>
          <w:lang w:val="sq-AL"/>
        </w:rPr>
        <w:t xml:space="preserve">. </w:t>
      </w:r>
    </w:p>
    <w:p w14:paraId="0773ADFF" w14:textId="77777777" w:rsidR="000F50EA" w:rsidRPr="0058349C" w:rsidRDefault="000F50EA" w:rsidP="000F50EA">
      <w:pPr>
        <w:spacing w:after="0" w:line="240" w:lineRule="auto"/>
        <w:ind w:firstLine="284"/>
        <w:jc w:val="both"/>
        <w:rPr>
          <w:rFonts w:ascii="Garamond" w:eastAsia="Arial" w:hAnsi="Garamond" w:cs="Arial"/>
          <w:strike/>
          <w:sz w:val="24"/>
          <w:szCs w:val="24"/>
          <w:lang w:val="sq-AL"/>
        </w:rPr>
      </w:pPr>
      <w:r w:rsidRPr="0058349C">
        <w:rPr>
          <w:rFonts w:ascii="Garamond" w:eastAsia="Arial" w:hAnsi="Garamond" w:cs="Arial"/>
          <w:sz w:val="24"/>
          <w:szCs w:val="24"/>
          <w:lang w:val="sq-AL"/>
        </w:rPr>
        <w:t xml:space="preserve">Mbajtja e të dhënave </w:t>
      </w:r>
      <w:r w:rsidRPr="00C45BF2">
        <w:rPr>
          <w:rFonts w:ascii="Garamond" w:eastAsia="Arial" w:hAnsi="Garamond" w:cs="Arial"/>
          <w:b/>
          <w:bCs/>
          <w:sz w:val="24"/>
          <w:szCs w:val="24"/>
          <w:lang w:val="sq-AL"/>
        </w:rPr>
        <w:t>(</w:t>
      </w:r>
      <w:r w:rsidRPr="0058349C">
        <w:rPr>
          <w:rFonts w:ascii="Garamond" w:eastAsia="Arial" w:hAnsi="Garamond" w:cs="Arial"/>
          <w:b/>
          <w:sz w:val="24"/>
          <w:szCs w:val="24"/>
          <w:lang w:val="sq-AL"/>
        </w:rPr>
        <w:t>regjistrave)</w:t>
      </w:r>
      <w:r w:rsidRPr="0058349C">
        <w:rPr>
          <w:rFonts w:ascii="Garamond" w:eastAsia="Arial" w:hAnsi="Garamond" w:cs="Arial"/>
          <w:sz w:val="24"/>
          <w:szCs w:val="24"/>
          <w:lang w:val="sq-AL"/>
        </w:rPr>
        <w:t xml:space="preserve"> mbi përdorimin e PMB-ve, produkteve plehëruese dhe PMV-ve, apo edhe e vaksinimeve dhe përdorimit të antibiotikëve në mjekimin e kafshëve në nivel ferme duhet të jetë një nga kushtet e përfitimit të pagesave direkte.</w:t>
      </w:r>
    </w:p>
    <w:p w14:paraId="0773AE00" w14:textId="7EF815B0" w:rsidR="000F50EA" w:rsidRPr="0058349C" w:rsidRDefault="00BC5EB0" w:rsidP="00BC5EB0">
      <w:pPr>
        <w:pStyle w:val="TEKSTIIII"/>
        <w:rPr>
          <w:b/>
          <w:lang w:val="sq-AL"/>
        </w:rPr>
      </w:pPr>
      <w:r w:rsidRPr="0058349C">
        <w:rPr>
          <w:b/>
          <w:lang w:val="sq-AL"/>
        </w:rPr>
        <w:t xml:space="preserve">1.12 </w:t>
      </w:r>
      <w:r w:rsidR="000F50EA" w:rsidRPr="0058349C">
        <w:rPr>
          <w:b/>
          <w:lang w:val="sq-AL"/>
        </w:rPr>
        <w:t xml:space="preserve">Skemat e cilësisë dhe marketingu i produkteve </w:t>
      </w:r>
      <w:r w:rsidR="00BC084C">
        <w:rPr>
          <w:b/>
          <w:lang w:val="sq-AL"/>
        </w:rPr>
        <w:t>vendës</w:t>
      </w:r>
      <w:r w:rsidR="000F50EA" w:rsidRPr="0058349C">
        <w:rPr>
          <w:b/>
          <w:lang w:val="sq-AL"/>
        </w:rPr>
        <w:t>e</w:t>
      </w:r>
    </w:p>
    <w:p w14:paraId="0773AE01" w14:textId="24A8F11F" w:rsidR="000F50EA" w:rsidRPr="0058349C" w:rsidRDefault="000F50EA" w:rsidP="00010FB4">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Duke përfituar nga </w:t>
      </w:r>
      <w:r w:rsidRPr="0058349C">
        <w:rPr>
          <w:rFonts w:ascii="Garamond" w:eastAsia="Arial" w:hAnsi="Garamond" w:cs="Arial"/>
          <w:b/>
          <w:sz w:val="24"/>
          <w:szCs w:val="24"/>
          <w:lang w:val="sq-AL"/>
        </w:rPr>
        <w:t xml:space="preserve">preferenca e konsumatorëve për produktet </w:t>
      </w:r>
      <w:r w:rsidR="00BC084C">
        <w:rPr>
          <w:rFonts w:ascii="Garamond" w:eastAsia="Arial" w:hAnsi="Garamond" w:cs="Arial"/>
          <w:b/>
          <w:sz w:val="24"/>
          <w:szCs w:val="24"/>
          <w:lang w:val="sq-AL"/>
        </w:rPr>
        <w:t>vendës</w:t>
      </w:r>
      <w:r w:rsidRPr="0058349C">
        <w:rPr>
          <w:rFonts w:ascii="Garamond" w:eastAsia="Arial" w:hAnsi="Garamond" w:cs="Arial"/>
          <w:b/>
          <w:sz w:val="24"/>
          <w:szCs w:val="24"/>
          <w:lang w:val="sq-AL"/>
        </w:rPr>
        <w:t>e</w:t>
      </w:r>
      <w:r w:rsidRPr="0058349C">
        <w:rPr>
          <w:rFonts w:ascii="Garamond" w:eastAsia="Arial" w:hAnsi="Garamond" w:cs="Arial"/>
          <w:sz w:val="24"/>
          <w:szCs w:val="24"/>
          <w:lang w:val="sq-AL"/>
        </w:rPr>
        <w:t>, certifikimi për skemat e</w:t>
      </w:r>
      <w:r w:rsidR="00CF7694" w:rsidRPr="0058349C">
        <w:rPr>
          <w:rFonts w:ascii="Garamond" w:eastAsia="Arial" w:hAnsi="Garamond" w:cs="Arial"/>
          <w:sz w:val="24"/>
          <w:szCs w:val="24"/>
          <w:lang w:val="sq-AL"/>
        </w:rPr>
        <w:t xml:space="preserve"> </w:t>
      </w:r>
      <w:r w:rsidRPr="0058349C">
        <w:rPr>
          <w:rFonts w:ascii="Garamond" w:eastAsia="Arial" w:hAnsi="Garamond" w:cs="Arial"/>
          <w:sz w:val="24"/>
          <w:szCs w:val="24"/>
          <w:lang w:val="sq-AL"/>
        </w:rPr>
        <w:t>cilësisë, si EOM dhe TMGJ do të mbështetet më tej, por së pari duhet të krijohet besimi i konsumatorëve (verifikueshmëria, cilësia) në k</w:t>
      </w:r>
      <w:r w:rsidRPr="0058349C">
        <w:rPr>
          <w:rFonts w:ascii="Garamond" w:hAnsi="Garamond" w:cs="Arial"/>
          <w:sz w:val="24"/>
          <w:szCs w:val="24"/>
          <w:lang w:val="sq-AL"/>
        </w:rPr>
        <w:t xml:space="preserve">ëto </w:t>
      </w:r>
      <w:r w:rsidRPr="0058349C">
        <w:rPr>
          <w:rFonts w:ascii="Garamond" w:eastAsia="Arial" w:hAnsi="Garamond" w:cs="Arial"/>
          <w:sz w:val="24"/>
          <w:szCs w:val="24"/>
          <w:lang w:val="sq-AL"/>
        </w:rPr>
        <w:t>skema. Nevojitet një kornizë ligjore e përmirësuar dhe krijimi i strukturave të menaxhimit dhe kontrollit për njohjen e standardeve bazë të cilësisë për produktet EOM/TMGJ. Duhet të instalohet një sistem kontrolli i besueshëm, ndërsa në të njëjtën kohë, duhet të merret në konsideratë një fushatë informuese dhe promovimi i produkteve të regjistruara si EOM/TMGJ, duke rritur në këtë mënyrë besimin e konsumatorit. Informacioni për skemat e ndryshme të cilësisë duhet t</w:t>
      </w:r>
      <w:r w:rsidR="00010FB4">
        <w:rPr>
          <w:rFonts w:ascii="Garamond" w:eastAsia="Arial" w:hAnsi="Garamond" w:cs="Arial"/>
          <w:sz w:val="24"/>
          <w:szCs w:val="24"/>
          <w:lang w:val="sq-AL"/>
        </w:rPr>
        <w:t>’</w:t>
      </w:r>
      <w:r w:rsidRPr="0058349C">
        <w:rPr>
          <w:rFonts w:ascii="Garamond" w:eastAsia="Arial" w:hAnsi="Garamond" w:cs="Arial"/>
          <w:sz w:val="24"/>
          <w:szCs w:val="24"/>
          <w:lang w:val="sq-AL"/>
        </w:rPr>
        <w:t>u komunikohet qartë konsumatorëve në mënyrë që të parandalohet konfuzioni dhe të dallohet qartë nga skemat e tjera të cilësisë për prodhuesit e vegjël të ushqimit (</w:t>
      </w:r>
      <w:r w:rsidR="00010FB4" w:rsidRPr="0058349C">
        <w:rPr>
          <w:rFonts w:ascii="Garamond" w:eastAsia="Arial" w:hAnsi="Garamond" w:cs="Arial"/>
          <w:sz w:val="24"/>
          <w:szCs w:val="24"/>
          <w:lang w:val="sq-AL"/>
        </w:rPr>
        <w:t xml:space="preserve">objektivi </w:t>
      </w:r>
      <w:r w:rsidRPr="0058349C">
        <w:rPr>
          <w:rFonts w:ascii="Garamond" w:eastAsia="Arial" w:hAnsi="Garamond" w:cs="Arial"/>
          <w:sz w:val="24"/>
          <w:szCs w:val="24"/>
          <w:lang w:val="sq-AL"/>
        </w:rPr>
        <w:t xml:space="preserve">3 </w:t>
      </w:r>
      <w:r w:rsidR="00010FB4">
        <w:rPr>
          <w:rFonts w:ascii="Garamond" w:eastAsia="Arial" w:hAnsi="Garamond" w:cs="Arial"/>
          <w:sz w:val="24"/>
          <w:szCs w:val="24"/>
          <w:lang w:val="sq-AL"/>
        </w:rPr>
        <w:t>–</w:t>
      </w:r>
      <w:r w:rsidRPr="0058349C">
        <w:rPr>
          <w:rFonts w:ascii="Garamond" w:eastAsia="Arial" w:hAnsi="Garamond" w:cs="Arial"/>
          <w:sz w:val="24"/>
          <w:szCs w:val="24"/>
          <w:lang w:val="sq-AL"/>
        </w:rPr>
        <w:t xml:space="preserve"> </w:t>
      </w:r>
      <w:r w:rsidR="00010FB4" w:rsidRPr="0058349C">
        <w:rPr>
          <w:rFonts w:ascii="Garamond" w:eastAsia="Arial" w:hAnsi="Garamond" w:cs="Arial"/>
          <w:sz w:val="24"/>
          <w:szCs w:val="24"/>
          <w:lang w:val="sq-AL"/>
        </w:rPr>
        <w:t xml:space="preserve">Marketing </w:t>
      </w:r>
      <w:r w:rsidRPr="0058349C">
        <w:rPr>
          <w:rFonts w:ascii="Garamond" w:eastAsia="Arial" w:hAnsi="Garamond" w:cs="Arial"/>
          <w:sz w:val="24"/>
          <w:szCs w:val="24"/>
          <w:lang w:val="sq-AL"/>
        </w:rPr>
        <w:t xml:space="preserve">i drejtpërdrejtë). Promovimi i zinxhirëve të furnizimit të shkurtër do të stimulojë konsumin e produkteve </w:t>
      </w:r>
      <w:r w:rsidR="00BC084C">
        <w:rPr>
          <w:rFonts w:ascii="Garamond" w:eastAsia="Arial" w:hAnsi="Garamond" w:cs="Arial"/>
          <w:sz w:val="24"/>
          <w:szCs w:val="24"/>
          <w:lang w:val="sq-AL"/>
        </w:rPr>
        <w:t>vendës</w:t>
      </w:r>
      <w:r w:rsidRPr="0058349C">
        <w:rPr>
          <w:rFonts w:ascii="Garamond" w:eastAsia="Arial" w:hAnsi="Garamond" w:cs="Arial"/>
          <w:sz w:val="24"/>
          <w:szCs w:val="24"/>
          <w:lang w:val="sq-AL"/>
        </w:rPr>
        <w:t>e me cilësi të lartë, ndërsa përfshirja nga operatorët turistikë në fushatat e tyre promovuese mund të rrisë sinergjinë midis EOM/TMGJ dhe turizmit.</w:t>
      </w:r>
    </w:p>
    <w:p w14:paraId="0773AE02" w14:textId="15A03772" w:rsidR="000F50EA" w:rsidRPr="0058349C" w:rsidRDefault="00BC5EB0" w:rsidP="00BC5EB0">
      <w:pPr>
        <w:pStyle w:val="TEKSTIIII"/>
        <w:rPr>
          <w:lang w:val="sq-AL"/>
        </w:rPr>
      </w:pPr>
      <w:r w:rsidRPr="0058349C">
        <w:rPr>
          <w:b/>
          <w:lang w:val="sq-AL"/>
        </w:rPr>
        <w:t xml:space="preserve">1.13 </w:t>
      </w:r>
      <w:r w:rsidR="000F50EA" w:rsidRPr="0058349C">
        <w:rPr>
          <w:b/>
          <w:lang w:val="sq-AL"/>
        </w:rPr>
        <w:t>Konsolidimi i mëtejshëm i shërbimeve këshillimore drejt sistemeve të njohurive dhe inovacionit bujqësor dhe transferimit të njohurive</w:t>
      </w:r>
      <w:r w:rsidR="000F50EA" w:rsidRPr="0058349C">
        <w:rPr>
          <w:lang w:val="sq-AL"/>
        </w:rPr>
        <w:t xml:space="preserve"> (për më shumë shih Objektivi</w:t>
      </w:r>
      <w:r w:rsidR="00FB0621">
        <w:rPr>
          <w:lang w:val="sq-AL"/>
        </w:rPr>
        <w:t>n</w:t>
      </w:r>
      <w:r w:rsidR="000F50EA" w:rsidRPr="0058349C">
        <w:rPr>
          <w:lang w:val="sq-AL"/>
        </w:rPr>
        <w:t xml:space="preserve"> </w:t>
      </w:r>
      <w:r w:rsidR="00FB0621" w:rsidRPr="0058349C">
        <w:rPr>
          <w:lang w:val="sq-AL"/>
        </w:rPr>
        <w:t xml:space="preserve">ndërsektorial </w:t>
      </w:r>
      <w:r w:rsidR="00FB0621">
        <w:rPr>
          <w:lang w:val="sq-AL"/>
        </w:rPr>
        <w:t>1</w:t>
      </w:r>
      <w:r w:rsidR="000F50EA" w:rsidRPr="0058349C">
        <w:rPr>
          <w:lang w:val="sq-AL"/>
        </w:rPr>
        <w:t>).</w:t>
      </w:r>
    </w:p>
    <w:p w14:paraId="0773AE03" w14:textId="50DA7228" w:rsidR="000F50EA" w:rsidRPr="0058349C" w:rsidRDefault="000F50EA" w:rsidP="00AE784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Shqipëria e ka mundësinë të shkojë përtej formatit klasik të trajnimit. Inovacioni është në qendër të ndryshimeve, drejt një bujqësie të modernizuar dhe sektorëve që kanë lidhje me të. Njohuritë e disponueshme të QTTB-ve, AREB-ve dhe universiteteve duhet të lidhen drejtpërdrejt me sistemin e këshillimit dhe t</w:t>
      </w:r>
      <w:r w:rsidR="00AE784A">
        <w:rPr>
          <w:rFonts w:ascii="Garamond" w:eastAsia="Arial" w:hAnsi="Garamond" w:cs="Arial"/>
          <w:sz w:val="24"/>
          <w:szCs w:val="24"/>
          <w:lang w:val="sq-AL"/>
        </w:rPr>
        <w:t>’</w:t>
      </w:r>
      <w:r w:rsidRPr="0058349C">
        <w:rPr>
          <w:rFonts w:ascii="Garamond" w:eastAsia="Arial" w:hAnsi="Garamond" w:cs="Arial"/>
          <w:sz w:val="24"/>
          <w:szCs w:val="24"/>
          <w:lang w:val="sq-AL"/>
        </w:rPr>
        <w:t xml:space="preserve">u transferohen fermerëve. Ekstensionistët publikë </w:t>
      </w:r>
      <w:r w:rsidRPr="0058349C">
        <w:rPr>
          <w:rFonts w:ascii="Garamond" w:eastAsia="Arial" w:hAnsi="Garamond" w:cs="Arial"/>
          <w:sz w:val="24"/>
          <w:szCs w:val="24"/>
          <w:lang w:val="sq-AL"/>
        </w:rPr>
        <w:lastRenderedPageBreak/>
        <w:t xml:space="preserve">nga Shërbimi Kombëtar i Ekstensionit Bujqësor (SHKEB) duhet të jenë më të lidhur me ofruesit e inovacionit dhe </w:t>
      </w:r>
      <w:r w:rsidR="00AE784A">
        <w:rPr>
          <w:rFonts w:ascii="Garamond" w:eastAsia="Arial" w:hAnsi="Garamond" w:cs="Arial"/>
          <w:sz w:val="24"/>
          <w:szCs w:val="24"/>
          <w:lang w:val="sq-AL"/>
        </w:rPr>
        <w:t xml:space="preserve">të </w:t>
      </w:r>
      <w:r w:rsidRPr="0058349C">
        <w:rPr>
          <w:rFonts w:ascii="Garamond" w:eastAsia="Arial" w:hAnsi="Garamond" w:cs="Arial"/>
          <w:sz w:val="24"/>
          <w:szCs w:val="24"/>
          <w:lang w:val="sq-AL"/>
        </w:rPr>
        <w:t>njohurive.</w:t>
      </w:r>
    </w:p>
    <w:p w14:paraId="0773AE04" w14:textId="77777777"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Ndërtimi i një skeme kombëtare të trajnimit në bujqësi përbën një zhvillim të rëndësishëm për përmirësimin e shërbimit të këshillimit në bujqësi.</w:t>
      </w:r>
    </w:p>
    <w:p w14:paraId="0773AE05" w14:textId="04406E80"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Krijimi i grupeve operacionale që </w:t>
      </w:r>
      <w:r w:rsidR="00AE784A">
        <w:rPr>
          <w:rFonts w:ascii="Garamond" w:eastAsia="Arial" w:hAnsi="Garamond" w:cs="Arial"/>
          <w:sz w:val="24"/>
          <w:szCs w:val="24"/>
          <w:lang w:val="sq-AL"/>
        </w:rPr>
        <w:t>përfshijnë institutet kërkimore</w:t>
      </w:r>
      <w:r w:rsidR="00797859">
        <w:rPr>
          <w:rFonts w:ascii="Garamond" w:eastAsia="Arial" w:hAnsi="Garamond" w:cs="Arial"/>
          <w:sz w:val="24"/>
          <w:szCs w:val="24"/>
          <w:lang w:val="sq-AL"/>
        </w:rPr>
        <w:t>/</w:t>
      </w:r>
      <w:r w:rsidR="00AE784A">
        <w:rPr>
          <w:rFonts w:ascii="Garamond" w:eastAsia="Arial" w:hAnsi="Garamond" w:cs="Arial"/>
          <w:sz w:val="24"/>
          <w:szCs w:val="24"/>
          <w:lang w:val="sq-AL"/>
        </w:rPr>
        <w:t>universitetet</w:t>
      </w:r>
      <w:r w:rsidR="00797859">
        <w:rPr>
          <w:rFonts w:ascii="Garamond" w:eastAsia="Arial" w:hAnsi="Garamond" w:cs="Arial"/>
          <w:sz w:val="24"/>
          <w:szCs w:val="24"/>
          <w:lang w:val="sq-AL"/>
        </w:rPr>
        <w:t>/</w:t>
      </w:r>
      <w:r w:rsidRPr="0058349C">
        <w:rPr>
          <w:rFonts w:ascii="Garamond" w:eastAsia="Arial" w:hAnsi="Garamond" w:cs="Arial"/>
          <w:sz w:val="24"/>
          <w:szCs w:val="24"/>
          <w:lang w:val="sq-AL"/>
        </w:rPr>
        <w:t>organizatat joqeveritare (OJQ), si dhe fermerët dhe përpunuesit, duhet të stimulojnë inovacionin me zbatueshmëri të drejtpërdrejtë në praktikë (jo vetëm teorikisht).</w:t>
      </w:r>
    </w:p>
    <w:p w14:paraId="0773AE06" w14:textId="53B9D75B" w:rsidR="000F50EA" w:rsidRPr="0058349C" w:rsidRDefault="000F50EA" w:rsidP="000F50E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Organizatat e fermerëve duhet të inkurajohen që gradualisht të dele</w:t>
      </w:r>
      <w:r w:rsidR="00AE784A">
        <w:rPr>
          <w:rFonts w:ascii="Garamond" w:eastAsia="Arial" w:hAnsi="Garamond" w:cs="Arial"/>
          <w:sz w:val="24"/>
          <w:szCs w:val="24"/>
          <w:lang w:val="sq-AL"/>
        </w:rPr>
        <w:t>gojnë kompetenca të caktuara tek</w:t>
      </w:r>
      <w:r w:rsidRPr="0058349C">
        <w:rPr>
          <w:rFonts w:ascii="Garamond" w:eastAsia="Arial" w:hAnsi="Garamond" w:cs="Arial"/>
          <w:sz w:val="24"/>
          <w:szCs w:val="24"/>
          <w:lang w:val="sq-AL"/>
        </w:rPr>
        <w:t xml:space="preserve"> organizatat prodhuese (kur ato kanë kapacitetin e nevojshëm) për të ofruar shërbime specifike, të tilla si menaxhimi i platformave digjitale </w:t>
      </w:r>
      <w:r w:rsidRPr="00B21CC9">
        <w:rPr>
          <w:rFonts w:ascii="Garamond" w:eastAsia="Arial" w:hAnsi="Garamond" w:cs="Arial"/>
          <w:i/>
          <w:iCs/>
          <w:sz w:val="24"/>
          <w:szCs w:val="24"/>
          <w:lang w:val="sq-AL"/>
        </w:rPr>
        <w:t>online</w:t>
      </w:r>
      <w:r w:rsidRPr="0058349C">
        <w:rPr>
          <w:rFonts w:ascii="Garamond" w:eastAsia="Arial" w:hAnsi="Garamond" w:cs="Arial"/>
          <w:sz w:val="24"/>
          <w:szCs w:val="24"/>
          <w:lang w:val="sq-AL"/>
        </w:rPr>
        <w:t xml:space="preserve"> për ofrimin e shërbimeve të informacionit të tregut, këshilla për përdorimin e inputeve bujqësore, kontrollin zyrtar të prodhimit të qumështit etj.</w:t>
      </w:r>
    </w:p>
    <w:p w14:paraId="0773AE07" w14:textId="3BAD3124" w:rsidR="000F50EA" w:rsidRPr="0058349C" w:rsidRDefault="000F50EA" w:rsidP="00B21CC9">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Ndërsa inovacioni i bazuar në kërkime mund të jetë i vështirë për t</w:t>
      </w:r>
      <w:r w:rsidR="00B21CC9">
        <w:rPr>
          <w:rFonts w:ascii="Garamond" w:eastAsia="Arial" w:hAnsi="Garamond" w:cs="Arial"/>
          <w:sz w:val="24"/>
          <w:szCs w:val="24"/>
          <w:lang w:val="sq-AL"/>
        </w:rPr>
        <w:t>’</w:t>
      </w:r>
      <w:r w:rsidRPr="0058349C">
        <w:rPr>
          <w:rFonts w:ascii="Garamond" w:eastAsia="Arial" w:hAnsi="Garamond" w:cs="Arial"/>
          <w:sz w:val="24"/>
          <w:szCs w:val="24"/>
          <w:lang w:val="sq-AL"/>
        </w:rPr>
        <w:t>u stimuluar, transferimi i njohurive ekzistuese nga universitetet dhe institutet kërkimore drejt fermerëve duhet të mbetet një prioritet, pasi në nivel lokal mund të perceptohet si risi në krahasim me praktikat aktuale bujqësore. Forcimi i strukturave këshillimore lokale duhet të marrë në konsideratë parimet e Sistemit të Njohurive dhe të Inovacionit Bujqësor (SNJIB). Meqenëse do të fillojnë të zbatohen</w:t>
      </w:r>
      <w:r w:rsidR="00CF7694" w:rsidRPr="0058349C">
        <w:rPr>
          <w:rFonts w:ascii="Garamond" w:eastAsia="Arial" w:hAnsi="Garamond" w:cs="Arial"/>
          <w:sz w:val="24"/>
          <w:szCs w:val="24"/>
          <w:lang w:val="sq-AL"/>
        </w:rPr>
        <w:t xml:space="preserve"> </w:t>
      </w:r>
      <w:r w:rsidRPr="0058349C">
        <w:rPr>
          <w:rFonts w:ascii="Garamond" w:eastAsia="Arial" w:hAnsi="Garamond" w:cs="Arial"/>
          <w:sz w:val="24"/>
          <w:szCs w:val="24"/>
          <w:lang w:val="sq-AL"/>
        </w:rPr>
        <w:t>Kushtet e Mira Bujqësore dhe Mjedisore (KMBM) të thjeshtëzuara, SHKF-ja duhet t</w:t>
      </w:r>
      <w:r w:rsidRPr="0058349C">
        <w:rPr>
          <w:rFonts w:ascii="Garamond" w:hAnsi="Garamond" w:cs="Arial"/>
          <w:sz w:val="24"/>
          <w:szCs w:val="24"/>
          <w:lang w:val="sq-AL"/>
        </w:rPr>
        <w:t xml:space="preserve">ë fokusohet edhe në kushtëzimet </w:t>
      </w:r>
      <w:r w:rsidRPr="00B21CC9">
        <w:rPr>
          <w:rFonts w:ascii="Garamond" w:hAnsi="Garamond" w:cs="Arial"/>
          <w:i/>
          <w:iCs/>
          <w:sz w:val="24"/>
          <w:szCs w:val="24"/>
          <w:lang w:val="sq-AL"/>
        </w:rPr>
        <w:t>(crross compliance).</w:t>
      </w:r>
      <w:r w:rsidR="00CF7694" w:rsidRPr="0058349C">
        <w:rPr>
          <w:rFonts w:ascii="Garamond" w:hAnsi="Garamond" w:cs="Arial"/>
          <w:sz w:val="24"/>
          <w:szCs w:val="24"/>
          <w:lang w:val="sq-AL"/>
        </w:rPr>
        <w:t xml:space="preserve"> </w:t>
      </w:r>
    </w:p>
    <w:p w14:paraId="0773AE08" w14:textId="77777777" w:rsidR="000F50EA" w:rsidRPr="0058349C" w:rsidRDefault="00BC5EB0" w:rsidP="00BC5EB0">
      <w:pPr>
        <w:pStyle w:val="TEKSTIIII"/>
        <w:rPr>
          <w:b/>
          <w:lang w:val="sq-AL"/>
        </w:rPr>
      </w:pPr>
      <w:r w:rsidRPr="0058349C">
        <w:rPr>
          <w:b/>
          <w:lang w:val="sq-AL"/>
        </w:rPr>
        <w:t xml:space="preserve">1.14 </w:t>
      </w:r>
      <w:r w:rsidR="000F50EA" w:rsidRPr="0058349C">
        <w:rPr>
          <w:b/>
          <w:lang w:val="sq-AL"/>
        </w:rPr>
        <w:t>Forcimi i kapaciteteve institucionale të MBZHR-së dhe organeve të saj teknike</w:t>
      </w:r>
    </w:p>
    <w:p w14:paraId="0773AE09" w14:textId="495F77F6" w:rsidR="000F50EA" w:rsidRPr="0058349C" w:rsidRDefault="000F50EA" w:rsidP="000F50EA">
      <w:pPr>
        <w:spacing w:after="0" w:line="240" w:lineRule="auto"/>
        <w:ind w:firstLine="284"/>
        <w:jc w:val="both"/>
        <w:rPr>
          <w:rStyle w:val="Heading2Char"/>
          <w:rFonts w:ascii="Garamond" w:eastAsia="Arial" w:hAnsi="Garamond"/>
          <w:b w:val="0"/>
          <w:color w:val="auto"/>
          <w:sz w:val="24"/>
          <w:szCs w:val="24"/>
          <w:lang w:val="sq-AL"/>
        </w:rPr>
      </w:pPr>
      <w:r w:rsidRPr="0058349C">
        <w:rPr>
          <w:rFonts w:ascii="Garamond" w:eastAsia="Arial" w:hAnsi="Garamond" w:cs="Arial"/>
          <w:sz w:val="24"/>
          <w:szCs w:val="24"/>
          <w:lang w:val="sq-AL"/>
        </w:rPr>
        <w:t xml:space="preserve">Nevojat e ndryshme për forcimin e kapaciteteve janë të lidhura drejtpërdrejt me </w:t>
      </w:r>
      <w:r w:rsidRPr="0058349C">
        <w:rPr>
          <w:rFonts w:ascii="Garamond" w:eastAsia="Arial" w:hAnsi="Garamond" w:cs="Arial"/>
          <w:b/>
          <w:sz w:val="24"/>
          <w:szCs w:val="24"/>
          <w:lang w:val="sq-AL"/>
        </w:rPr>
        <w:t>procesin e</w:t>
      </w:r>
      <w:r w:rsidR="00CF7694" w:rsidRPr="0058349C">
        <w:rPr>
          <w:rFonts w:ascii="Garamond" w:eastAsia="Arial" w:hAnsi="Garamond" w:cs="Arial"/>
          <w:b/>
          <w:sz w:val="24"/>
          <w:szCs w:val="24"/>
          <w:lang w:val="sq-AL"/>
        </w:rPr>
        <w:t xml:space="preserve"> </w:t>
      </w:r>
      <w:r w:rsidRPr="0058349C">
        <w:rPr>
          <w:rFonts w:ascii="Garamond" w:eastAsia="Arial" w:hAnsi="Garamond" w:cs="Arial"/>
          <w:b/>
          <w:sz w:val="24"/>
          <w:szCs w:val="24"/>
          <w:lang w:val="sq-AL"/>
        </w:rPr>
        <w:t xml:space="preserve">përafrimit me </w:t>
      </w:r>
      <w:r w:rsidR="00B25257" w:rsidRPr="00B25257">
        <w:rPr>
          <w:rFonts w:ascii="Garamond" w:eastAsia="Arial" w:hAnsi="Garamond" w:cs="Arial"/>
          <w:b/>
          <w:i/>
          <w:iCs/>
          <w:sz w:val="24"/>
          <w:szCs w:val="24"/>
          <w:lang w:val="sq-AL"/>
        </w:rPr>
        <w:t>acquis</w:t>
      </w:r>
      <w:r w:rsidRPr="0058349C">
        <w:rPr>
          <w:rFonts w:ascii="Garamond" w:eastAsia="Arial" w:hAnsi="Garamond" w:cs="Arial"/>
          <w:b/>
          <w:sz w:val="24"/>
          <w:szCs w:val="24"/>
          <w:lang w:val="sq-AL"/>
        </w:rPr>
        <w:t xml:space="preserve"> të PPB-së të BE-së, përkatësisht me negocimin e </w:t>
      </w:r>
      <w:r w:rsidR="009E4B01" w:rsidRPr="0058349C">
        <w:rPr>
          <w:rFonts w:ascii="Garamond" w:eastAsia="Arial" w:hAnsi="Garamond" w:cs="Arial"/>
          <w:b/>
          <w:sz w:val="24"/>
          <w:szCs w:val="24"/>
          <w:lang w:val="sq-AL"/>
        </w:rPr>
        <w:t xml:space="preserve">kapitujve </w:t>
      </w:r>
      <w:r w:rsidRPr="0058349C">
        <w:rPr>
          <w:rFonts w:ascii="Garamond" w:eastAsia="Arial" w:hAnsi="Garamond" w:cs="Arial"/>
          <w:b/>
          <w:sz w:val="24"/>
          <w:szCs w:val="24"/>
          <w:lang w:val="sq-AL"/>
        </w:rPr>
        <w:t>11, 12 dhe 13</w:t>
      </w:r>
      <w:r w:rsidRPr="0058349C">
        <w:rPr>
          <w:rFonts w:ascii="Garamond" w:eastAsia="Arial" w:hAnsi="Garamond" w:cs="Arial"/>
          <w:sz w:val="24"/>
          <w:szCs w:val="24"/>
          <w:lang w:val="sq-AL"/>
        </w:rPr>
        <w:t xml:space="preserve">. Detajet janë përcaktuar në Objektivin </w:t>
      </w:r>
      <w:r w:rsidR="00040E9F" w:rsidRPr="0058349C">
        <w:rPr>
          <w:rFonts w:ascii="Garamond" w:eastAsia="Arial" w:hAnsi="Garamond" w:cs="Arial"/>
          <w:sz w:val="24"/>
          <w:szCs w:val="24"/>
          <w:lang w:val="sq-AL"/>
        </w:rPr>
        <w:t xml:space="preserve">ndërsektorial </w:t>
      </w:r>
      <w:r w:rsidRPr="0058349C">
        <w:rPr>
          <w:rFonts w:ascii="Garamond" w:eastAsia="Arial" w:hAnsi="Garamond" w:cs="Arial"/>
          <w:sz w:val="24"/>
          <w:szCs w:val="24"/>
          <w:lang w:val="sq-AL"/>
        </w:rPr>
        <w:t xml:space="preserve">2, </w:t>
      </w:r>
      <w:r w:rsidR="00040E9F" w:rsidRPr="0058349C">
        <w:rPr>
          <w:rFonts w:ascii="Garamond" w:eastAsia="Arial" w:hAnsi="Garamond" w:cs="Arial"/>
          <w:sz w:val="24"/>
          <w:szCs w:val="24"/>
          <w:lang w:val="sq-AL"/>
        </w:rPr>
        <w:t xml:space="preserve">kapitulli </w:t>
      </w:r>
      <w:r w:rsidRPr="0058349C">
        <w:rPr>
          <w:rFonts w:ascii="Garamond" w:eastAsia="Arial" w:hAnsi="Garamond" w:cs="Arial"/>
          <w:sz w:val="24"/>
          <w:szCs w:val="24"/>
          <w:lang w:val="sq-AL"/>
        </w:rPr>
        <w:t>3.5.1.</w:t>
      </w:r>
      <w:bookmarkStart w:id="14" w:name="_Ref88729061"/>
    </w:p>
    <w:p w14:paraId="0773AE0A" w14:textId="4F35ECC2" w:rsidR="000F50EA" w:rsidRPr="0058349C" w:rsidRDefault="00BC5EB0" w:rsidP="00040E9F">
      <w:pPr>
        <w:pStyle w:val="TEKSTIIII"/>
        <w:rPr>
          <w:lang w:val="sq-AL"/>
        </w:rPr>
      </w:pPr>
      <w:bookmarkStart w:id="15" w:name="_Toc103838821"/>
      <w:r w:rsidRPr="0058349C">
        <w:rPr>
          <w:rStyle w:val="Heading2Char"/>
          <w:rFonts w:ascii="Garamond" w:hAnsi="Garamond"/>
          <w:color w:val="auto"/>
          <w:sz w:val="24"/>
          <w:szCs w:val="24"/>
          <w:lang w:val="sq-AL"/>
        </w:rPr>
        <w:t xml:space="preserve">3.2.2 </w:t>
      </w:r>
      <w:r w:rsidR="000F50EA" w:rsidRPr="0058349C">
        <w:rPr>
          <w:rStyle w:val="Heading2Char"/>
          <w:rFonts w:ascii="Garamond" w:hAnsi="Garamond"/>
          <w:color w:val="auto"/>
          <w:sz w:val="24"/>
          <w:szCs w:val="24"/>
          <w:lang w:val="sq-AL"/>
        </w:rPr>
        <w:t>Politika 1</w:t>
      </w:r>
      <w:r w:rsidR="00040E9F">
        <w:rPr>
          <w:rStyle w:val="Heading2Char"/>
          <w:rFonts w:ascii="Garamond" w:hAnsi="Garamond"/>
          <w:color w:val="auto"/>
          <w:sz w:val="24"/>
          <w:szCs w:val="24"/>
          <w:lang w:val="sq-AL"/>
        </w:rPr>
        <w:t>.</w:t>
      </w:r>
      <w:r w:rsidR="000F50EA" w:rsidRPr="0058349C">
        <w:rPr>
          <w:rStyle w:val="Heading2Char"/>
          <w:rFonts w:ascii="Garamond" w:hAnsi="Garamond"/>
          <w:color w:val="auto"/>
          <w:sz w:val="24"/>
          <w:szCs w:val="24"/>
          <w:lang w:val="sq-AL"/>
        </w:rPr>
        <w:t xml:space="preserve"> Objektivi i përgjithshëm 2: Menaxhimi i qëndrueshëm i burimeve natyrore dhe </w:t>
      </w:r>
      <w:r w:rsidR="00040E9F">
        <w:rPr>
          <w:rStyle w:val="Heading2Char"/>
          <w:rFonts w:ascii="Garamond" w:hAnsi="Garamond"/>
          <w:color w:val="auto"/>
          <w:sz w:val="24"/>
          <w:szCs w:val="24"/>
          <w:lang w:val="sq-AL"/>
        </w:rPr>
        <w:t xml:space="preserve">i </w:t>
      </w:r>
      <w:r w:rsidR="000F50EA" w:rsidRPr="0058349C">
        <w:rPr>
          <w:rStyle w:val="Heading2Char"/>
          <w:rFonts w:ascii="Garamond" w:hAnsi="Garamond"/>
          <w:color w:val="auto"/>
          <w:sz w:val="24"/>
          <w:szCs w:val="24"/>
          <w:lang w:val="sq-AL"/>
        </w:rPr>
        <w:t>veprimeve lidhur me klimën</w:t>
      </w:r>
      <w:bookmarkEnd w:id="14"/>
      <w:bookmarkEnd w:id="15"/>
    </w:p>
    <w:p w14:paraId="0773AE0B" w14:textId="47BCF3C9" w:rsidR="000F50EA" w:rsidRPr="0058349C" w:rsidRDefault="000F50EA" w:rsidP="00040E9F">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Sektori bujqësor, por edhe ai i pyjeve, vazhdojnë të përballen me sfida thelbësore për sa </w:t>
      </w:r>
      <w:r w:rsidR="00040E9F">
        <w:rPr>
          <w:rFonts w:ascii="Garamond" w:hAnsi="Garamond" w:cs="Arial"/>
          <w:sz w:val="24"/>
          <w:szCs w:val="24"/>
          <w:lang w:val="sq-AL"/>
        </w:rPr>
        <w:t>u</w:t>
      </w:r>
      <w:r w:rsidRPr="0058349C">
        <w:rPr>
          <w:rFonts w:ascii="Garamond" w:hAnsi="Garamond" w:cs="Arial"/>
          <w:sz w:val="24"/>
          <w:szCs w:val="24"/>
          <w:lang w:val="sq-AL"/>
        </w:rPr>
        <w:t xml:space="preserve"> përket mjedisit dhe klimës. Fermerët luajnë një rol kyç në trajtimin e ndryshimeve klimatike, mbrojtjen e mjedisit dhe ruajtjen e peizazheve, biodiversitetit dhe burimeve natyrore (toka, uji dhe ajri).</w:t>
      </w:r>
    </w:p>
    <w:p w14:paraId="0773AE0C" w14:textId="6A992D64" w:rsidR="000F50EA" w:rsidRPr="0058349C" w:rsidRDefault="000F50EA" w:rsidP="000423B3">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lang w:val="sq-AL"/>
        </w:rPr>
        <w:t xml:space="preserve">Reflektimi i ambicieve më të larta mjedisore dhe klimatike </w:t>
      </w:r>
      <w:r w:rsidRPr="0058349C">
        <w:rPr>
          <w:rFonts w:ascii="Garamond" w:hAnsi="Garamond" w:cs="Arial"/>
          <w:bCs/>
          <w:sz w:val="24"/>
          <w:szCs w:val="24"/>
          <w:lang w:val="sq-AL"/>
        </w:rPr>
        <w:t>përputhet me angazhimet e A</w:t>
      </w:r>
      <w:r w:rsidR="000423B3">
        <w:rPr>
          <w:rFonts w:ascii="Garamond" w:hAnsi="Garamond" w:cs="Arial"/>
          <w:bCs/>
          <w:sz w:val="24"/>
          <w:szCs w:val="24"/>
          <w:lang w:val="sq-AL"/>
        </w:rPr>
        <w:t>gj</w:t>
      </w:r>
      <w:r w:rsidRPr="0058349C">
        <w:rPr>
          <w:rFonts w:ascii="Garamond" w:hAnsi="Garamond" w:cs="Arial"/>
          <w:bCs/>
          <w:sz w:val="24"/>
          <w:szCs w:val="24"/>
          <w:lang w:val="sq-AL"/>
        </w:rPr>
        <w:t>endës së Gjelbër për Ballkanin Perëndimor (Deklarata e Sofjes 11/2020) bazuar në Marrëveshjen e Gjelbër të BE-së (12/2019) për të arritur neutralitetin klimatik të kontinentit Evropian deri në vitin 2050, përdorimin e reduktuar dhe më shumë të efektshëm të plehrave dhe pesticideve dhe rritjen e sipërfaqeve bujqësore të përdorura në bujqësinë organike, që</w:t>
      </w:r>
      <w:r w:rsidR="00CF7694" w:rsidRPr="0058349C">
        <w:rPr>
          <w:rFonts w:ascii="Garamond" w:hAnsi="Garamond" w:cs="Arial"/>
          <w:bCs/>
          <w:sz w:val="24"/>
          <w:szCs w:val="24"/>
          <w:lang w:val="sq-AL"/>
        </w:rPr>
        <w:t xml:space="preserve"> </w:t>
      </w:r>
      <w:r w:rsidRPr="0058349C">
        <w:rPr>
          <w:rFonts w:ascii="Garamond" w:hAnsi="Garamond" w:cs="Arial"/>
          <w:bCs/>
          <w:sz w:val="24"/>
          <w:szCs w:val="24"/>
          <w:lang w:val="sq-AL"/>
        </w:rPr>
        <w:t>mund të sjellin përfitime për mjedisin, klimën dhe prodhimin e ushqimit të shëndetshëm</w:t>
      </w:r>
      <w:r w:rsidRPr="0058349C">
        <w:rPr>
          <w:rFonts w:ascii="Garamond" w:hAnsi="Garamond" w:cs="Arial"/>
          <w:sz w:val="24"/>
          <w:szCs w:val="24"/>
          <w:lang w:val="sq-AL"/>
        </w:rPr>
        <w:t>.</w:t>
      </w:r>
    </w:p>
    <w:p w14:paraId="0773AE0D" w14:textId="439A6FF5" w:rsidR="000F50EA" w:rsidRPr="0058349C" w:rsidRDefault="000F50EA" w:rsidP="000423B3">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Kët</w:t>
      </w:r>
      <w:r w:rsidR="000423B3">
        <w:rPr>
          <w:rFonts w:ascii="Garamond" w:hAnsi="Garamond" w:cs="Arial"/>
          <w:sz w:val="24"/>
          <w:szCs w:val="24"/>
          <w:lang w:val="sq-AL"/>
        </w:rPr>
        <w:t>a</w:t>
      </w:r>
      <w:r w:rsidRPr="0058349C">
        <w:rPr>
          <w:rFonts w:ascii="Garamond" w:hAnsi="Garamond" w:cs="Arial"/>
          <w:sz w:val="24"/>
          <w:szCs w:val="24"/>
          <w:lang w:val="sq-AL"/>
        </w:rPr>
        <w:t xml:space="preserve"> objektiva kërkojnë një kusht shtesë për pagesat e drejtpërdrejta, skemat pilot ekologjike, përmirësimin e SHKF-së, s</w:t>
      </w:r>
      <w:r w:rsidR="00414700">
        <w:rPr>
          <w:rFonts w:ascii="Garamond" w:hAnsi="Garamond" w:cs="Arial"/>
          <w:sz w:val="24"/>
          <w:szCs w:val="24"/>
          <w:lang w:val="sq-AL"/>
        </w:rPr>
        <w:t>i dhe masat dhe investimet agro</w:t>
      </w:r>
      <w:r w:rsidRPr="0058349C">
        <w:rPr>
          <w:rFonts w:ascii="Garamond" w:hAnsi="Garamond" w:cs="Arial"/>
          <w:sz w:val="24"/>
          <w:szCs w:val="24"/>
          <w:lang w:val="sq-AL"/>
        </w:rPr>
        <w:t>mjedisore dhe klimatike. Përgatitja graduale e sektorit bujqësor në Shqipëri për aplikimin e praktikave bujqësore mjedisore do të rrisë perspektivat e anëtarësimit dhe aksesin në fondet konsistente të BE-së për zhvillimin e mëtejshëm të sektorit në respektim të parimeve të qëndrueshmërisë.</w:t>
      </w:r>
    </w:p>
    <w:p w14:paraId="0773AE0E" w14:textId="11E28B8E" w:rsidR="000F50EA" w:rsidRPr="0058349C" w:rsidRDefault="00BC5EB0" w:rsidP="00414700">
      <w:pPr>
        <w:pStyle w:val="TEKSTIIII"/>
        <w:rPr>
          <w:lang w:val="sq-AL"/>
        </w:rPr>
      </w:pPr>
      <w:bookmarkStart w:id="16" w:name="_Toc103838822"/>
      <w:r w:rsidRPr="0058349C">
        <w:rPr>
          <w:rStyle w:val="Heading3Char"/>
          <w:rFonts w:ascii="Garamond" w:hAnsi="Garamond"/>
          <w:color w:val="auto"/>
        </w:rPr>
        <w:t xml:space="preserve">3.2.2.1 </w:t>
      </w:r>
      <w:r w:rsidR="000F50EA" w:rsidRPr="0058349C">
        <w:rPr>
          <w:rStyle w:val="Heading3Char"/>
          <w:rFonts w:ascii="Garamond" w:hAnsi="Garamond"/>
          <w:color w:val="auto"/>
        </w:rPr>
        <w:t>Politika 1</w:t>
      </w:r>
      <w:r w:rsidR="00414700">
        <w:rPr>
          <w:rStyle w:val="Heading3Char"/>
          <w:rFonts w:ascii="Garamond" w:hAnsi="Garamond"/>
          <w:color w:val="auto"/>
        </w:rPr>
        <w:t>.</w:t>
      </w:r>
      <w:r w:rsidR="000F50EA" w:rsidRPr="0058349C">
        <w:rPr>
          <w:rStyle w:val="Heading3Char"/>
          <w:rFonts w:ascii="Garamond" w:hAnsi="Garamond"/>
          <w:color w:val="auto"/>
        </w:rPr>
        <w:t xml:space="preserve"> Objektivi specifik 4: Kontributi në zbutjen dhe përshtatjen ndaj ndryshimeve klimatike, si dhe në energjinë e rinovueshme</w:t>
      </w:r>
      <w:bookmarkEnd w:id="16"/>
    </w:p>
    <w:p w14:paraId="0773AE0F" w14:textId="3B107544" w:rsidR="000F50EA" w:rsidRPr="0058349C" w:rsidRDefault="000F50EA" w:rsidP="000F50EA">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Sipas Profilit të Vendit të Rrezikuar nga Klima 2021</w:t>
      </w:r>
      <w:r w:rsidRPr="00414700">
        <w:rPr>
          <w:vertAlign w:val="superscript"/>
        </w:rPr>
        <w:footnoteReference w:id="12"/>
      </w:r>
      <w:r w:rsidRPr="0058349C">
        <w:rPr>
          <w:rFonts w:ascii="Garamond" w:hAnsi="Garamond" w:cs="Arial"/>
          <w:sz w:val="24"/>
          <w:szCs w:val="24"/>
          <w:lang w:val="sq-AL"/>
        </w:rPr>
        <w:t xml:space="preserve">, </w:t>
      </w:r>
      <w:r w:rsidR="00664693" w:rsidRPr="0058349C">
        <w:rPr>
          <w:rFonts w:ascii="Garamond" w:hAnsi="Garamond" w:cs="Arial"/>
          <w:sz w:val="24"/>
          <w:szCs w:val="24"/>
          <w:lang w:val="sq-AL"/>
        </w:rPr>
        <w:t>“</w:t>
      </w:r>
      <w:r w:rsidRPr="0058349C">
        <w:rPr>
          <w:rFonts w:ascii="Garamond" w:hAnsi="Garamond" w:cs="Arial"/>
          <w:sz w:val="24"/>
          <w:szCs w:val="24"/>
          <w:lang w:val="sq-AL"/>
        </w:rPr>
        <w:t>tendencat e parashikuara tregojnë rritje të temperaturave</w:t>
      </w:r>
      <w:r w:rsidR="00414700">
        <w:rPr>
          <w:rFonts w:ascii="Garamond" w:hAnsi="Garamond" w:cs="Arial"/>
          <w:sz w:val="24"/>
          <w:szCs w:val="24"/>
          <w:lang w:val="sq-AL"/>
        </w:rPr>
        <w:t>,</w:t>
      </w:r>
      <w:r w:rsidRPr="0058349C">
        <w:rPr>
          <w:rFonts w:ascii="Garamond" w:hAnsi="Garamond" w:cs="Arial"/>
          <w:sz w:val="24"/>
          <w:szCs w:val="24"/>
          <w:lang w:val="sq-AL"/>
        </w:rPr>
        <w:t xml:space="preserve"> si dhe ndryshueshmëri të reshjeve</w:t>
      </w:r>
      <w:r w:rsidR="00664693" w:rsidRPr="0058349C">
        <w:rPr>
          <w:rFonts w:ascii="Garamond" w:hAnsi="Garamond" w:cs="Arial"/>
          <w:sz w:val="24"/>
          <w:szCs w:val="24"/>
          <w:lang w:val="sq-AL"/>
        </w:rPr>
        <w:t>”</w:t>
      </w:r>
      <w:r w:rsidRPr="0058349C">
        <w:rPr>
          <w:rFonts w:ascii="Garamond" w:hAnsi="Garamond" w:cs="Arial"/>
          <w:sz w:val="24"/>
          <w:szCs w:val="24"/>
          <w:lang w:val="sq-AL"/>
        </w:rPr>
        <w:t xml:space="preserve">. Gjithashtu, </w:t>
      </w:r>
      <w:r w:rsidR="00664693" w:rsidRPr="0058349C">
        <w:rPr>
          <w:rFonts w:ascii="Garamond" w:hAnsi="Garamond" w:cs="Arial"/>
          <w:sz w:val="24"/>
          <w:szCs w:val="24"/>
          <w:lang w:val="sq-AL"/>
        </w:rPr>
        <w:t>“</w:t>
      </w:r>
      <w:r w:rsidRPr="0058349C">
        <w:rPr>
          <w:rFonts w:ascii="Garamond" w:hAnsi="Garamond" w:cs="Arial"/>
          <w:sz w:val="24"/>
          <w:szCs w:val="24"/>
          <w:lang w:val="sq-AL"/>
        </w:rPr>
        <w:t>rritja e ngjarjeve ekstreme të motit ka gjasa të përbëjë një kërcënim serioz për prodhimin bujqësor, furnizimin me ujë,</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sigurimin e ushqimit dhe rritjen ekonomike për shumicën e popullsisë rurale</w:t>
      </w:r>
      <w:r w:rsidR="00664693" w:rsidRPr="0058349C">
        <w:rPr>
          <w:rFonts w:ascii="Garamond" w:hAnsi="Garamond" w:cs="Arial"/>
          <w:sz w:val="24"/>
          <w:szCs w:val="24"/>
          <w:lang w:val="sq-AL"/>
        </w:rPr>
        <w:t>”</w:t>
      </w:r>
      <w:r w:rsidRPr="0058349C">
        <w:rPr>
          <w:rFonts w:ascii="Garamond" w:hAnsi="Garamond" w:cs="Arial"/>
          <w:sz w:val="24"/>
          <w:szCs w:val="24"/>
          <w:lang w:val="sq-AL"/>
        </w:rPr>
        <w:t>. Rritja mesatare e temperaturave pritet të ndryshojë në bazë mujore nga 1</w:t>
      </w:r>
      <w:r w:rsidRPr="0058349C">
        <w:rPr>
          <w:rFonts w:ascii="Garamond" w:hAnsi="Garamond" w:cs="Arial"/>
          <w:sz w:val="24"/>
          <w:szCs w:val="24"/>
          <w:vertAlign w:val="superscript"/>
          <w:lang w:val="sq-AL"/>
        </w:rPr>
        <w:t>o</w:t>
      </w:r>
      <w:r w:rsidRPr="0058349C">
        <w:rPr>
          <w:rFonts w:ascii="Garamond" w:hAnsi="Garamond" w:cs="Arial"/>
          <w:sz w:val="24"/>
          <w:szCs w:val="24"/>
          <w:lang w:val="sq-AL"/>
        </w:rPr>
        <w:t>C deri në 2</w:t>
      </w:r>
      <w:r w:rsidRPr="0058349C">
        <w:rPr>
          <w:rFonts w:ascii="Garamond" w:hAnsi="Garamond" w:cs="Arial"/>
          <w:sz w:val="24"/>
          <w:szCs w:val="24"/>
          <w:vertAlign w:val="superscript"/>
          <w:lang w:val="sq-AL"/>
        </w:rPr>
        <w:t>o</w:t>
      </w:r>
      <w:r w:rsidRPr="0058349C">
        <w:rPr>
          <w:rFonts w:ascii="Garamond" w:hAnsi="Garamond" w:cs="Arial"/>
          <w:sz w:val="24"/>
          <w:szCs w:val="24"/>
          <w:lang w:val="sq-AL"/>
        </w:rPr>
        <w:t>C në fund të verës.</w:t>
      </w:r>
    </w:p>
    <w:p w14:paraId="0773AE10" w14:textId="77777777" w:rsidR="000F50EA" w:rsidRPr="0058349C" w:rsidRDefault="000F50EA" w:rsidP="000F50EA">
      <w:pPr>
        <w:tabs>
          <w:tab w:val="left" w:pos="1418"/>
        </w:tabs>
        <w:spacing w:after="0" w:line="240" w:lineRule="auto"/>
        <w:ind w:firstLine="284"/>
        <w:jc w:val="both"/>
        <w:rPr>
          <w:rFonts w:ascii="Garamond" w:hAnsi="Garamond" w:cs="Arial"/>
          <w:b/>
          <w:bCs/>
          <w:sz w:val="24"/>
          <w:szCs w:val="24"/>
          <w:lang w:val="sq-AL"/>
        </w:rPr>
      </w:pPr>
      <w:bookmarkStart w:id="17" w:name="_Ref88980573"/>
    </w:p>
    <w:p w14:paraId="0773AE11" w14:textId="0525FD10" w:rsidR="000F50EA" w:rsidRPr="00414700" w:rsidRDefault="000F50EA" w:rsidP="00414700">
      <w:pPr>
        <w:tabs>
          <w:tab w:val="left" w:pos="1418"/>
        </w:tabs>
        <w:spacing w:after="0" w:line="240" w:lineRule="auto"/>
        <w:jc w:val="center"/>
        <w:rPr>
          <w:rFonts w:ascii="Garamond" w:hAnsi="Garamond" w:cs="Arial"/>
          <w:b/>
          <w:bCs/>
          <w:i/>
          <w:iCs/>
          <w:sz w:val="20"/>
          <w:szCs w:val="20"/>
          <w:lang w:val="sq-AL"/>
        </w:rPr>
      </w:pPr>
      <w:bookmarkStart w:id="18" w:name="_Toc103697538"/>
      <w:r w:rsidRPr="00414700">
        <w:rPr>
          <w:rFonts w:ascii="Garamond" w:hAnsi="Garamond" w:cs="Arial"/>
          <w:b/>
          <w:bCs/>
          <w:i/>
          <w:iCs/>
          <w:sz w:val="20"/>
          <w:szCs w:val="20"/>
          <w:lang w:val="sq-AL"/>
        </w:rPr>
        <w:t>Figura</w:t>
      </w:r>
      <w:r w:rsidR="00414700" w:rsidRPr="00414700">
        <w:rPr>
          <w:rFonts w:ascii="Garamond" w:hAnsi="Garamond" w:cs="Arial"/>
          <w:b/>
          <w:bCs/>
          <w:i/>
          <w:iCs/>
          <w:sz w:val="20"/>
          <w:szCs w:val="20"/>
          <w:lang w:val="sq-AL"/>
        </w:rPr>
        <w:t xml:space="preserve"> 3</w:t>
      </w:r>
      <w:r w:rsidR="003B5F32" w:rsidRPr="00414700">
        <w:rPr>
          <w:rFonts w:ascii="Garamond" w:hAnsi="Garamond" w:cs="Arial"/>
          <w:b/>
          <w:bCs/>
          <w:i/>
          <w:iCs/>
          <w:sz w:val="20"/>
          <w:szCs w:val="20"/>
          <w:lang w:val="sq-AL"/>
        </w:rPr>
        <w:t>–</w:t>
      </w:r>
      <w:bookmarkEnd w:id="17"/>
      <w:r w:rsidR="003B5F32" w:rsidRPr="00414700">
        <w:rPr>
          <w:rFonts w:ascii="Garamond" w:hAnsi="Garamond" w:cs="Arial"/>
          <w:b/>
          <w:bCs/>
          <w:i/>
          <w:iCs/>
          <w:sz w:val="20"/>
          <w:szCs w:val="20"/>
          <w:lang w:val="sq-AL"/>
        </w:rPr>
        <w:t>2</w:t>
      </w:r>
      <w:r w:rsidR="00414700" w:rsidRPr="00414700">
        <w:rPr>
          <w:rFonts w:ascii="Garamond" w:hAnsi="Garamond" w:cs="Arial"/>
          <w:b/>
          <w:bCs/>
          <w:i/>
          <w:iCs/>
          <w:sz w:val="20"/>
          <w:szCs w:val="20"/>
          <w:lang w:val="sq-AL"/>
        </w:rPr>
        <w:t xml:space="preserve">: </w:t>
      </w:r>
      <w:r w:rsidRPr="00414700">
        <w:rPr>
          <w:rFonts w:ascii="Garamond" w:hAnsi="Garamond" w:cs="Arial"/>
          <w:i/>
          <w:iCs/>
          <w:sz w:val="20"/>
          <w:szCs w:val="20"/>
          <w:lang w:val="sq-AL"/>
        </w:rPr>
        <w:t>Ndryshimi i parashikuar i temperaturave mujore për Shqipërinë në vitin 2020</w:t>
      </w:r>
      <w:r w:rsidR="00414700" w:rsidRPr="00414700">
        <w:rPr>
          <w:rFonts w:ascii="Garamond" w:hAnsi="Garamond" w:cs="Arial"/>
          <w:i/>
          <w:iCs/>
          <w:sz w:val="20"/>
          <w:szCs w:val="20"/>
          <w:lang w:val="sq-AL"/>
        </w:rPr>
        <w:t>–</w:t>
      </w:r>
      <w:r w:rsidRPr="00414700">
        <w:rPr>
          <w:rFonts w:ascii="Garamond" w:hAnsi="Garamond" w:cs="Arial"/>
          <w:i/>
          <w:iCs/>
          <w:sz w:val="20"/>
          <w:szCs w:val="20"/>
          <w:lang w:val="sq-AL"/>
        </w:rPr>
        <w:t>2039</w:t>
      </w:r>
      <w:bookmarkEnd w:id="1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4643"/>
        <w:gridCol w:w="4112"/>
      </w:tblGrid>
      <w:tr w:rsidR="00004266" w:rsidRPr="0058349C" w14:paraId="0773AE15" w14:textId="77777777" w:rsidTr="009644E5">
        <w:tc>
          <w:tcPr>
            <w:tcW w:w="4643" w:type="dxa"/>
          </w:tcPr>
          <w:p w14:paraId="0773AE13" w14:textId="77777777" w:rsidR="00004266" w:rsidRPr="0058349C" w:rsidRDefault="009644E5" w:rsidP="00414700">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lang w:val="sq-AL"/>
              </w:rPr>
            </w:pPr>
            <w:r w:rsidRPr="0058349C">
              <w:rPr>
                <w:b/>
                <w:noProof/>
              </w:rPr>
              <w:drawing>
                <wp:inline distT="0" distB="0" distL="0" distR="0" wp14:anchorId="0773BAC8" wp14:editId="0773BAC9">
                  <wp:extent cx="2447925" cy="1543050"/>
                  <wp:effectExtent l="0" t="0" r="9525" b="0"/>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47925" cy="1543050"/>
                          </a:xfrm>
                          <a:prstGeom prst="rect">
                            <a:avLst/>
                          </a:prstGeom>
                          <a:noFill/>
                        </pic:spPr>
                      </pic:pic>
                    </a:graphicData>
                  </a:graphic>
                </wp:inline>
              </w:drawing>
            </w:r>
          </w:p>
        </w:tc>
        <w:tc>
          <w:tcPr>
            <w:tcW w:w="4112" w:type="dxa"/>
          </w:tcPr>
          <w:p w14:paraId="0773AE14" w14:textId="77777777" w:rsidR="00004266" w:rsidRPr="0058349C" w:rsidRDefault="009644E5" w:rsidP="00414700">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lang w:val="sq-AL"/>
              </w:rPr>
            </w:pPr>
            <w:r w:rsidRPr="0058349C">
              <w:rPr>
                <w:b/>
                <w:noProof/>
              </w:rPr>
              <w:drawing>
                <wp:inline distT="0" distB="0" distL="0" distR="0" wp14:anchorId="0773BACA" wp14:editId="0773BACB">
                  <wp:extent cx="2447925" cy="1533525"/>
                  <wp:effectExtent l="0" t="0" r="9525" b="9525"/>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47925" cy="1533525"/>
                          </a:xfrm>
                          <a:prstGeom prst="rect">
                            <a:avLst/>
                          </a:prstGeom>
                          <a:noFill/>
                        </pic:spPr>
                      </pic:pic>
                    </a:graphicData>
                  </a:graphic>
                </wp:inline>
              </w:drawing>
            </w:r>
          </w:p>
        </w:tc>
      </w:tr>
    </w:tbl>
    <w:p w14:paraId="0773AE17" w14:textId="77777777" w:rsidR="00D320D5" w:rsidRPr="0058349C" w:rsidRDefault="00D320D5" w:rsidP="00264AE4">
      <w:pPr>
        <w:pStyle w:val="TEKSTIIII"/>
        <w:ind w:firstLine="0"/>
        <w:jc w:val="center"/>
        <w:rPr>
          <w:lang w:val="sq-AL"/>
        </w:rPr>
      </w:pPr>
      <w:r w:rsidRPr="0058349C">
        <w:rPr>
          <w:lang w:val="sq-AL"/>
        </w:rPr>
        <w:t>Burimi: Portali i njohurive për ndryshimet klimatike</w:t>
      </w:r>
      <w:r w:rsidRPr="0058349C">
        <w:rPr>
          <w:rStyle w:val="FootnoteReference"/>
          <w:rFonts w:cs="Arial"/>
          <w:i/>
          <w:sz w:val="20"/>
          <w:szCs w:val="20"/>
          <w:lang w:val="sq-AL"/>
        </w:rPr>
        <w:footnoteReference w:id="13"/>
      </w:r>
      <w:r w:rsidRPr="0058349C">
        <w:rPr>
          <w:lang w:val="sq-AL"/>
        </w:rPr>
        <w:t>.</w:t>
      </w:r>
    </w:p>
    <w:p w14:paraId="0773AE18" w14:textId="77777777" w:rsidR="00D320D5" w:rsidRPr="0058349C" w:rsidRDefault="00D320D5" w:rsidP="006B6119">
      <w:pPr>
        <w:pStyle w:val="TEKSTIIII"/>
        <w:tabs>
          <w:tab w:val="left" w:pos="720"/>
          <w:tab w:val="left" w:pos="1440"/>
          <w:tab w:val="left" w:pos="2160"/>
          <w:tab w:val="left" w:pos="2880"/>
          <w:tab w:val="left" w:pos="3600"/>
          <w:tab w:val="left" w:pos="4320"/>
          <w:tab w:val="left" w:pos="5040"/>
          <w:tab w:val="left" w:pos="5760"/>
          <w:tab w:val="left" w:pos="6912"/>
        </w:tabs>
        <w:rPr>
          <w:b/>
          <w:lang w:val="sq-AL"/>
        </w:rPr>
      </w:pPr>
    </w:p>
    <w:p w14:paraId="0773AE19" w14:textId="10D9E336" w:rsidR="00DF7A00" w:rsidRPr="0058349C" w:rsidRDefault="00DF7A00" w:rsidP="00C332AD">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Bazuar n</w:t>
      </w:r>
      <w:r w:rsidR="00C332AD">
        <w:rPr>
          <w:rFonts w:ascii="Garamond" w:hAnsi="Garamond" w:cs="Arial"/>
          <w:sz w:val="24"/>
          <w:szCs w:val="24"/>
          <w:lang w:val="sq-AL"/>
        </w:rPr>
        <w:t>ë</w:t>
      </w:r>
      <w:r w:rsidRPr="0058349C">
        <w:rPr>
          <w:rFonts w:ascii="Garamond" w:hAnsi="Garamond" w:cs="Arial"/>
          <w:sz w:val="24"/>
          <w:szCs w:val="24"/>
          <w:lang w:val="sq-AL"/>
        </w:rPr>
        <w:t xml:space="preserve"> dokumentin kombëtar të përcaktuar 2021–2030 (NDC), miratuar me VKM</w:t>
      </w:r>
      <w:r w:rsidR="004A227F">
        <w:rPr>
          <w:rFonts w:ascii="Garamond" w:hAnsi="Garamond" w:cs="Arial"/>
          <w:sz w:val="24"/>
          <w:szCs w:val="24"/>
          <w:lang w:val="sq-AL"/>
        </w:rPr>
        <w:t>-n</w:t>
      </w:r>
      <w:r w:rsidRPr="0058349C">
        <w:rPr>
          <w:rFonts w:ascii="Garamond" w:hAnsi="Garamond" w:cs="Arial"/>
          <w:sz w:val="24"/>
          <w:szCs w:val="24"/>
          <w:lang w:val="sq-AL"/>
        </w:rPr>
        <w:t xml:space="preserve"> nr. 581</w:t>
      </w:r>
      <w:r w:rsidR="004A227F">
        <w:rPr>
          <w:rFonts w:ascii="Garamond" w:hAnsi="Garamond" w:cs="Arial"/>
          <w:sz w:val="24"/>
          <w:szCs w:val="24"/>
          <w:lang w:val="sq-AL"/>
        </w:rPr>
        <w:t>ë,</w:t>
      </w:r>
      <w:r w:rsidRPr="0058349C">
        <w:rPr>
          <w:rFonts w:ascii="Garamond" w:hAnsi="Garamond" w:cs="Arial"/>
          <w:sz w:val="24"/>
          <w:szCs w:val="24"/>
          <w:lang w:val="sq-AL"/>
        </w:rPr>
        <w:t xml:space="preserve"> datë 6.10.2021, projeksionet për Shqipërinë tregojnë se temperaturat </w:t>
      </w:r>
      <w:r w:rsidRPr="0058349C">
        <w:rPr>
          <w:rFonts w:ascii="Garamond" w:hAnsi="Garamond" w:cs="Arial"/>
          <w:b/>
          <w:sz w:val="24"/>
          <w:szCs w:val="24"/>
          <w:lang w:val="sq-AL"/>
        </w:rPr>
        <w:t>mesatare vj</w:t>
      </w:r>
      <w:r w:rsidR="004A227F">
        <w:rPr>
          <w:rFonts w:ascii="Garamond" w:hAnsi="Garamond" w:cs="Arial"/>
          <w:b/>
          <w:sz w:val="24"/>
          <w:szCs w:val="24"/>
          <w:lang w:val="sq-AL"/>
        </w:rPr>
        <w:t>etore do të rriten deri nga 1.3–</w:t>
      </w:r>
      <w:r w:rsidRPr="0058349C">
        <w:rPr>
          <w:rFonts w:ascii="Garamond" w:hAnsi="Garamond" w:cs="Arial"/>
          <w:b/>
          <w:sz w:val="24"/>
          <w:szCs w:val="24"/>
          <w:lang w:val="sq-AL"/>
        </w:rPr>
        <w:t xml:space="preserve">2.2°C deri në vitin 2050, </w:t>
      </w:r>
      <w:r w:rsidRPr="0058349C">
        <w:rPr>
          <w:rFonts w:ascii="Garamond" w:hAnsi="Garamond" w:cs="Arial"/>
          <w:bCs/>
          <w:sz w:val="24"/>
          <w:szCs w:val="24"/>
          <w:lang w:val="sq-AL"/>
        </w:rPr>
        <w:t>dhe me 1.2–4.4°C</w:t>
      </w:r>
      <w:r w:rsidR="00CF7694" w:rsidRPr="0058349C">
        <w:rPr>
          <w:rFonts w:ascii="Garamond" w:hAnsi="Garamond" w:cs="Arial"/>
          <w:b/>
          <w:sz w:val="24"/>
          <w:szCs w:val="24"/>
          <w:lang w:val="sq-AL"/>
        </w:rPr>
        <w:t xml:space="preserve"> </w:t>
      </w:r>
      <w:r w:rsidRPr="0058349C">
        <w:rPr>
          <w:rFonts w:ascii="Garamond" w:hAnsi="Garamond" w:cs="Arial"/>
          <w:sz w:val="24"/>
          <w:szCs w:val="24"/>
          <w:lang w:val="sq-AL"/>
        </w:rPr>
        <w:t>deri në vitin 2100. Rritja e temperaturave në verë mund të jetë deri në 5.3°C deri në vitin 2100. Reshjet vjetore parashikohet të ulen me 8.5% deri në vitin 2050 dhe me 18.1% në vitin 2100.</w:t>
      </w:r>
    </w:p>
    <w:p w14:paraId="0773AE1A" w14:textId="5D43F308" w:rsidR="00DF7A00" w:rsidRPr="0058349C" w:rsidRDefault="00DF7A00" w:rsidP="004A227F">
      <w:pPr>
        <w:spacing w:after="0" w:line="240" w:lineRule="auto"/>
        <w:ind w:firstLine="284"/>
        <w:jc w:val="both"/>
        <w:rPr>
          <w:rFonts w:ascii="Garamond" w:hAnsi="Garamond" w:cs="Arial"/>
          <w:b/>
          <w:bCs/>
          <w:sz w:val="24"/>
          <w:szCs w:val="24"/>
          <w:lang w:val="sq-AL"/>
        </w:rPr>
      </w:pPr>
      <w:r w:rsidRPr="0058349C">
        <w:rPr>
          <w:rFonts w:ascii="Garamond" w:hAnsi="Garamond" w:cs="Arial"/>
          <w:sz w:val="24"/>
          <w:szCs w:val="24"/>
          <w:lang w:val="sq-AL"/>
        </w:rPr>
        <w:t xml:space="preserve">Sipas organizatës që mbikëqyr të dhënat mbi klimën </w:t>
      </w:r>
      <w:r w:rsidRPr="004A227F">
        <w:rPr>
          <w:rFonts w:ascii="Garamond" w:hAnsi="Garamond" w:cs="Arial"/>
          <w:i/>
          <w:iCs/>
          <w:sz w:val="24"/>
          <w:szCs w:val="24"/>
          <w:lang w:val="sq-AL"/>
        </w:rPr>
        <w:t xml:space="preserve">(Climate </w:t>
      </w:r>
      <w:r w:rsidR="004A227F" w:rsidRPr="004A227F">
        <w:rPr>
          <w:rFonts w:ascii="Garamond" w:hAnsi="Garamond" w:cs="Arial"/>
          <w:i/>
          <w:iCs/>
          <w:sz w:val="24"/>
          <w:szCs w:val="24"/>
          <w:lang w:val="sq-AL"/>
        </w:rPr>
        <w:t>W</w:t>
      </w:r>
      <w:r w:rsidRPr="004A227F">
        <w:rPr>
          <w:rFonts w:ascii="Garamond" w:hAnsi="Garamond" w:cs="Arial"/>
          <w:i/>
          <w:iCs/>
          <w:sz w:val="24"/>
          <w:szCs w:val="24"/>
          <w:lang w:val="sq-AL"/>
        </w:rPr>
        <w:t>atchData)</w:t>
      </w:r>
      <w:r w:rsidRPr="0058349C">
        <w:rPr>
          <w:rFonts w:ascii="Garamond" w:hAnsi="Garamond" w:cs="Arial"/>
          <w:sz w:val="24"/>
          <w:szCs w:val="24"/>
          <w:lang w:val="sq-AL"/>
        </w:rPr>
        <w:t xml:space="preserve"> (</w:t>
      </w:r>
      <w:r w:rsidR="004A227F" w:rsidRPr="0058349C">
        <w:rPr>
          <w:rFonts w:ascii="Garamond" w:hAnsi="Garamond" w:cs="Arial"/>
          <w:sz w:val="24"/>
          <w:szCs w:val="24"/>
          <w:lang w:val="sq-AL"/>
        </w:rPr>
        <w:t xml:space="preserve">tabela </w:t>
      </w:r>
      <w:r w:rsidRPr="0058349C">
        <w:rPr>
          <w:rFonts w:ascii="Garamond" w:hAnsi="Garamond" w:cs="Arial"/>
          <w:sz w:val="24"/>
          <w:szCs w:val="24"/>
          <w:lang w:val="sq-AL"/>
        </w:rPr>
        <w:t>3-8: Emetimet e GS n</w:t>
      </w:r>
      <w:r w:rsidR="003B5F32" w:rsidRPr="0058349C">
        <w:rPr>
          <w:rFonts w:ascii="Garamond" w:hAnsi="Garamond" w:cs="Arial"/>
          <w:sz w:val="24"/>
          <w:szCs w:val="24"/>
          <w:lang w:val="sq-AL"/>
        </w:rPr>
        <w:t>ga bujqësia në periudhën 2014–</w:t>
      </w:r>
      <w:r w:rsidRPr="0058349C">
        <w:rPr>
          <w:rFonts w:ascii="Garamond" w:hAnsi="Garamond" w:cs="Arial"/>
          <w:sz w:val="24"/>
          <w:szCs w:val="24"/>
          <w:lang w:val="sq-AL"/>
        </w:rPr>
        <w:t>2018 (pa konsideruar emetimet nga përdorimi i tokës dhe ndryshimi i përdorimit të tokës) tendenca e Emetimeve të Gazrave Se</w:t>
      </w:r>
      <w:r w:rsidR="004A227F">
        <w:rPr>
          <w:rFonts w:ascii="Garamond" w:hAnsi="Garamond" w:cs="Arial"/>
          <w:sz w:val="24"/>
          <w:szCs w:val="24"/>
          <w:lang w:val="sq-AL"/>
        </w:rPr>
        <w:t>r</w:t>
      </w:r>
      <w:r w:rsidRPr="0058349C">
        <w:rPr>
          <w:rFonts w:ascii="Garamond" w:hAnsi="Garamond" w:cs="Arial"/>
          <w:sz w:val="24"/>
          <w:szCs w:val="24"/>
          <w:lang w:val="sq-AL"/>
        </w:rPr>
        <w:t xml:space="preserve">rë (GS) nga sektori i bujqësisë shqiptare është në rënie. Në vitin 2018, </w:t>
      </w:r>
      <w:r w:rsidRPr="0058349C">
        <w:rPr>
          <w:rFonts w:ascii="Garamond" w:hAnsi="Garamond" w:cs="Arial"/>
          <w:b/>
          <w:sz w:val="24"/>
          <w:szCs w:val="24"/>
          <w:lang w:val="sq-AL"/>
        </w:rPr>
        <w:t>sektori i bujqësisë kontribuoi me 2,97 MtCO</w:t>
      </w:r>
      <w:r w:rsidRPr="0058349C">
        <w:rPr>
          <w:rFonts w:ascii="Garamond" w:hAnsi="Garamond" w:cs="Arial"/>
          <w:b/>
          <w:sz w:val="24"/>
          <w:szCs w:val="24"/>
          <w:vertAlign w:val="subscript"/>
          <w:lang w:val="sq-AL"/>
        </w:rPr>
        <w:t xml:space="preserve">2 </w:t>
      </w:r>
      <w:r w:rsidRPr="0058349C">
        <w:rPr>
          <w:rFonts w:ascii="Garamond" w:hAnsi="Garamond" w:cs="Arial"/>
          <w:b/>
          <w:sz w:val="24"/>
          <w:szCs w:val="24"/>
          <w:lang w:val="sq-AL"/>
        </w:rPr>
        <w:t>emetime GS,</w:t>
      </w:r>
      <w:r w:rsidRPr="0058349C">
        <w:rPr>
          <w:rFonts w:ascii="Garamond" w:hAnsi="Garamond" w:cs="Arial"/>
          <w:sz w:val="24"/>
          <w:szCs w:val="24"/>
          <w:lang w:val="sq-AL"/>
        </w:rPr>
        <w:t xml:space="preserve"> të cilat përfaqësonin </w:t>
      </w:r>
      <w:r w:rsidRPr="0058349C">
        <w:rPr>
          <w:rFonts w:ascii="Garamond" w:hAnsi="Garamond" w:cs="Arial"/>
          <w:b/>
          <w:sz w:val="24"/>
          <w:szCs w:val="24"/>
          <w:lang w:val="sq-AL"/>
        </w:rPr>
        <w:t>29,49% të totalit të emetimeve të vendit</w:t>
      </w:r>
      <w:r w:rsidRPr="0058349C">
        <w:rPr>
          <w:rFonts w:ascii="Garamond" w:hAnsi="Garamond" w:cs="Arial"/>
          <w:b/>
          <w:bCs/>
          <w:sz w:val="24"/>
          <w:szCs w:val="24"/>
          <w:lang w:val="sq-AL"/>
        </w:rPr>
        <w:t>.</w:t>
      </w:r>
      <w:r w:rsidRPr="0058349C">
        <w:rPr>
          <w:rStyle w:val="FootnoteReference"/>
          <w:rFonts w:ascii="Garamond" w:hAnsi="Garamond" w:cs="Arial"/>
          <w:b/>
          <w:bCs/>
          <w:sz w:val="24"/>
          <w:szCs w:val="24"/>
          <w:lang w:val="sq-AL"/>
        </w:rPr>
        <w:footnoteReference w:id="14"/>
      </w:r>
    </w:p>
    <w:p w14:paraId="0773AE1B" w14:textId="77777777" w:rsidR="00DF7A00" w:rsidRPr="0058349C" w:rsidRDefault="00DF7A00" w:rsidP="00DF7A00">
      <w:pPr>
        <w:tabs>
          <w:tab w:val="left" w:pos="1418"/>
        </w:tabs>
        <w:spacing w:after="0" w:line="240" w:lineRule="auto"/>
        <w:ind w:firstLine="284"/>
        <w:jc w:val="both"/>
        <w:rPr>
          <w:rFonts w:ascii="Garamond" w:hAnsi="Garamond" w:cs="Arial"/>
          <w:b/>
          <w:bCs/>
          <w:sz w:val="24"/>
          <w:szCs w:val="24"/>
          <w:lang w:val="sq-AL"/>
        </w:rPr>
      </w:pPr>
      <w:bookmarkStart w:id="19" w:name="_Ref88980543"/>
      <w:bookmarkStart w:id="20" w:name="_Ref88758935"/>
    </w:p>
    <w:p w14:paraId="0773AE1C" w14:textId="187A79B4" w:rsidR="00DF7A00" w:rsidRPr="004A227F" w:rsidRDefault="00DF7A00" w:rsidP="004A227F">
      <w:pPr>
        <w:pStyle w:val="Caption"/>
        <w:spacing w:after="0"/>
        <w:ind w:left="0" w:firstLine="0"/>
        <w:jc w:val="center"/>
        <w:rPr>
          <w:rFonts w:ascii="Garamond" w:hAnsi="Garamond"/>
          <w:b w:val="0"/>
          <w:bCs w:val="0"/>
          <w:i/>
          <w:iCs/>
          <w:color w:val="auto"/>
          <w:sz w:val="20"/>
          <w:szCs w:val="20"/>
        </w:rPr>
      </w:pPr>
      <w:bookmarkStart w:id="21" w:name="_Toc103777363"/>
      <w:r w:rsidRPr="004A227F">
        <w:rPr>
          <w:rFonts w:ascii="Garamond" w:hAnsi="Garamond"/>
          <w:i/>
          <w:iCs/>
          <w:color w:val="auto"/>
          <w:sz w:val="20"/>
          <w:szCs w:val="20"/>
        </w:rPr>
        <w:t>Tabela 3</w:t>
      </w:r>
      <w:r w:rsidR="00485DE0" w:rsidRPr="004A227F">
        <w:rPr>
          <w:rFonts w:ascii="Garamond" w:hAnsi="Garamond"/>
          <w:i/>
          <w:iCs/>
          <w:color w:val="auto"/>
          <w:sz w:val="20"/>
          <w:szCs w:val="20"/>
        </w:rPr>
        <w:t>–</w:t>
      </w:r>
      <w:bookmarkEnd w:id="19"/>
      <w:r w:rsidR="00485DE0" w:rsidRPr="004A227F">
        <w:rPr>
          <w:rFonts w:ascii="Garamond" w:hAnsi="Garamond"/>
          <w:i/>
          <w:iCs/>
          <w:color w:val="auto"/>
          <w:sz w:val="20"/>
          <w:szCs w:val="20"/>
        </w:rPr>
        <w:t>6</w:t>
      </w:r>
      <w:r w:rsidR="00485DE0" w:rsidRPr="004A227F">
        <w:rPr>
          <w:rFonts w:ascii="Garamond" w:hAnsi="Garamond"/>
          <w:b w:val="0"/>
          <w:i/>
          <w:iCs/>
          <w:color w:val="auto"/>
          <w:sz w:val="20"/>
          <w:szCs w:val="20"/>
        </w:rPr>
        <w:t xml:space="preserve">: </w:t>
      </w:r>
      <w:r w:rsidRPr="004A227F">
        <w:rPr>
          <w:rFonts w:ascii="Garamond" w:hAnsi="Garamond"/>
          <w:b w:val="0"/>
          <w:bCs w:val="0"/>
          <w:i/>
          <w:iCs/>
          <w:color w:val="auto"/>
          <w:sz w:val="20"/>
          <w:szCs w:val="20"/>
        </w:rPr>
        <w:t>Em</w:t>
      </w:r>
      <w:r w:rsidR="00485DE0" w:rsidRPr="004A227F">
        <w:rPr>
          <w:rFonts w:ascii="Garamond" w:hAnsi="Garamond"/>
          <w:b w:val="0"/>
          <w:bCs w:val="0"/>
          <w:i/>
          <w:iCs/>
          <w:color w:val="auto"/>
          <w:sz w:val="20"/>
          <w:szCs w:val="20"/>
        </w:rPr>
        <w:t>etimet e GS nga bujqësia 2014–</w:t>
      </w:r>
      <w:r w:rsidRPr="004A227F">
        <w:rPr>
          <w:rFonts w:ascii="Garamond" w:hAnsi="Garamond"/>
          <w:b w:val="0"/>
          <w:bCs w:val="0"/>
          <w:i/>
          <w:iCs/>
          <w:color w:val="auto"/>
          <w:sz w:val="20"/>
          <w:szCs w:val="20"/>
        </w:rPr>
        <w:t>2018 (pa emetimet nga përdorimi i tokës dhe ndryshimi i përdorimit të tokës)</w:t>
      </w:r>
      <w:bookmarkEnd w:id="20"/>
      <w:bookmarkEnd w:id="21"/>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5"/>
        <w:gridCol w:w="1304"/>
        <w:gridCol w:w="1304"/>
        <w:gridCol w:w="1304"/>
        <w:gridCol w:w="1304"/>
        <w:gridCol w:w="1305"/>
      </w:tblGrid>
      <w:tr w:rsidR="00DF7A00" w:rsidRPr="004A227F" w14:paraId="0773AE23" w14:textId="77777777" w:rsidTr="004A227F">
        <w:tc>
          <w:tcPr>
            <w:tcW w:w="2405" w:type="dxa"/>
            <w:shd w:val="clear" w:color="auto" w:fill="FFF2CC"/>
            <w:vAlign w:val="center"/>
          </w:tcPr>
          <w:p w14:paraId="0773AE1D" w14:textId="75FE6BA6" w:rsidR="00DF7A00" w:rsidRPr="004A227F" w:rsidRDefault="00DF7A00" w:rsidP="004A227F">
            <w:pPr>
              <w:spacing w:after="0" w:line="240" w:lineRule="auto"/>
              <w:jc w:val="center"/>
              <w:rPr>
                <w:rFonts w:ascii="Garamond" w:hAnsi="Garamond" w:cs="Arial"/>
                <w:b/>
                <w:i/>
                <w:iCs/>
                <w:sz w:val="20"/>
                <w:szCs w:val="24"/>
                <w:lang w:val="sq-AL"/>
              </w:rPr>
            </w:pPr>
            <w:r w:rsidRPr="004A227F">
              <w:rPr>
                <w:rFonts w:ascii="Garamond" w:hAnsi="Garamond" w:cs="Arial"/>
                <w:b/>
                <w:i/>
                <w:iCs/>
                <w:sz w:val="20"/>
                <w:szCs w:val="24"/>
                <w:lang w:val="sq-AL"/>
              </w:rPr>
              <w:t>Viti</w:t>
            </w:r>
          </w:p>
        </w:tc>
        <w:tc>
          <w:tcPr>
            <w:tcW w:w="1304" w:type="dxa"/>
            <w:shd w:val="clear" w:color="auto" w:fill="FFF2CC"/>
            <w:vAlign w:val="center"/>
          </w:tcPr>
          <w:p w14:paraId="0773AE1E" w14:textId="77777777" w:rsidR="00DF7A00" w:rsidRPr="004A227F" w:rsidRDefault="00DF7A00" w:rsidP="004A227F">
            <w:pPr>
              <w:spacing w:after="0" w:line="240" w:lineRule="auto"/>
              <w:jc w:val="center"/>
              <w:rPr>
                <w:rFonts w:ascii="Garamond" w:hAnsi="Garamond" w:cs="Arial"/>
                <w:b/>
                <w:i/>
                <w:iCs/>
                <w:sz w:val="20"/>
                <w:szCs w:val="24"/>
                <w:lang w:val="sq-AL"/>
              </w:rPr>
            </w:pPr>
            <w:r w:rsidRPr="004A227F">
              <w:rPr>
                <w:rFonts w:ascii="Garamond" w:hAnsi="Garamond" w:cs="Arial"/>
                <w:b/>
                <w:i/>
                <w:iCs/>
                <w:sz w:val="20"/>
                <w:szCs w:val="24"/>
                <w:lang w:val="sq-AL"/>
              </w:rPr>
              <w:t>2014</w:t>
            </w:r>
          </w:p>
        </w:tc>
        <w:tc>
          <w:tcPr>
            <w:tcW w:w="1304" w:type="dxa"/>
            <w:shd w:val="clear" w:color="auto" w:fill="FFF2CC"/>
            <w:vAlign w:val="center"/>
          </w:tcPr>
          <w:p w14:paraId="0773AE1F" w14:textId="77777777" w:rsidR="00DF7A00" w:rsidRPr="004A227F" w:rsidRDefault="00DF7A00" w:rsidP="004A227F">
            <w:pPr>
              <w:spacing w:after="0" w:line="240" w:lineRule="auto"/>
              <w:jc w:val="center"/>
              <w:rPr>
                <w:rFonts w:ascii="Garamond" w:hAnsi="Garamond" w:cs="Arial"/>
                <w:b/>
                <w:i/>
                <w:iCs/>
                <w:sz w:val="20"/>
                <w:szCs w:val="24"/>
                <w:lang w:val="sq-AL"/>
              </w:rPr>
            </w:pPr>
            <w:r w:rsidRPr="004A227F">
              <w:rPr>
                <w:rFonts w:ascii="Garamond" w:hAnsi="Garamond" w:cs="Arial"/>
                <w:b/>
                <w:i/>
                <w:iCs/>
                <w:sz w:val="20"/>
                <w:szCs w:val="24"/>
                <w:lang w:val="sq-AL"/>
              </w:rPr>
              <w:t>2015</w:t>
            </w:r>
          </w:p>
        </w:tc>
        <w:tc>
          <w:tcPr>
            <w:tcW w:w="1304" w:type="dxa"/>
            <w:shd w:val="clear" w:color="auto" w:fill="FFF2CC"/>
            <w:vAlign w:val="center"/>
          </w:tcPr>
          <w:p w14:paraId="0773AE20" w14:textId="77777777" w:rsidR="00DF7A00" w:rsidRPr="004A227F" w:rsidRDefault="00DF7A00" w:rsidP="004A227F">
            <w:pPr>
              <w:spacing w:after="0" w:line="240" w:lineRule="auto"/>
              <w:jc w:val="center"/>
              <w:rPr>
                <w:rFonts w:ascii="Garamond" w:hAnsi="Garamond" w:cs="Arial"/>
                <w:b/>
                <w:i/>
                <w:iCs/>
                <w:sz w:val="20"/>
                <w:szCs w:val="24"/>
                <w:lang w:val="sq-AL"/>
              </w:rPr>
            </w:pPr>
            <w:r w:rsidRPr="004A227F">
              <w:rPr>
                <w:rFonts w:ascii="Garamond" w:hAnsi="Garamond" w:cs="Arial"/>
                <w:b/>
                <w:i/>
                <w:iCs/>
                <w:sz w:val="20"/>
                <w:szCs w:val="24"/>
                <w:lang w:val="sq-AL"/>
              </w:rPr>
              <w:t>2016</w:t>
            </w:r>
          </w:p>
        </w:tc>
        <w:tc>
          <w:tcPr>
            <w:tcW w:w="1304" w:type="dxa"/>
            <w:shd w:val="clear" w:color="auto" w:fill="FFF2CC"/>
            <w:vAlign w:val="center"/>
          </w:tcPr>
          <w:p w14:paraId="0773AE21" w14:textId="77777777" w:rsidR="00DF7A00" w:rsidRPr="004A227F" w:rsidRDefault="00DF7A00" w:rsidP="004A227F">
            <w:pPr>
              <w:spacing w:after="0" w:line="240" w:lineRule="auto"/>
              <w:jc w:val="center"/>
              <w:rPr>
                <w:rFonts w:ascii="Garamond" w:hAnsi="Garamond" w:cs="Arial"/>
                <w:b/>
                <w:i/>
                <w:iCs/>
                <w:sz w:val="20"/>
                <w:szCs w:val="24"/>
                <w:lang w:val="sq-AL"/>
              </w:rPr>
            </w:pPr>
            <w:r w:rsidRPr="004A227F">
              <w:rPr>
                <w:rFonts w:ascii="Garamond" w:hAnsi="Garamond" w:cs="Arial"/>
                <w:b/>
                <w:i/>
                <w:iCs/>
                <w:sz w:val="20"/>
                <w:szCs w:val="24"/>
                <w:lang w:val="sq-AL"/>
              </w:rPr>
              <w:t>2017</w:t>
            </w:r>
          </w:p>
        </w:tc>
        <w:tc>
          <w:tcPr>
            <w:tcW w:w="1305" w:type="dxa"/>
            <w:shd w:val="clear" w:color="auto" w:fill="FFF2CC"/>
            <w:vAlign w:val="center"/>
          </w:tcPr>
          <w:p w14:paraId="0773AE22" w14:textId="77777777" w:rsidR="00DF7A00" w:rsidRPr="004A227F" w:rsidRDefault="00DF7A00" w:rsidP="004A227F">
            <w:pPr>
              <w:spacing w:after="0" w:line="240" w:lineRule="auto"/>
              <w:jc w:val="center"/>
              <w:rPr>
                <w:rFonts w:ascii="Garamond" w:hAnsi="Garamond" w:cs="Arial"/>
                <w:b/>
                <w:i/>
                <w:iCs/>
                <w:sz w:val="20"/>
                <w:szCs w:val="24"/>
                <w:lang w:val="sq-AL"/>
              </w:rPr>
            </w:pPr>
            <w:r w:rsidRPr="004A227F">
              <w:rPr>
                <w:rFonts w:ascii="Garamond" w:hAnsi="Garamond" w:cs="Arial"/>
                <w:b/>
                <w:i/>
                <w:iCs/>
                <w:sz w:val="20"/>
                <w:szCs w:val="24"/>
                <w:lang w:val="sq-AL"/>
              </w:rPr>
              <w:t>2018</w:t>
            </w:r>
          </w:p>
        </w:tc>
      </w:tr>
      <w:tr w:rsidR="00DF7A00" w:rsidRPr="0058349C" w14:paraId="0773AE2A" w14:textId="77777777" w:rsidTr="00862546">
        <w:trPr>
          <w:trHeight w:val="395"/>
        </w:trPr>
        <w:tc>
          <w:tcPr>
            <w:tcW w:w="2405" w:type="dxa"/>
            <w:shd w:val="clear" w:color="auto" w:fill="auto"/>
            <w:vAlign w:val="center"/>
          </w:tcPr>
          <w:p w14:paraId="0773AE24" w14:textId="77777777" w:rsidR="00DF7A00" w:rsidRPr="0058349C" w:rsidRDefault="00DF7A00" w:rsidP="00DF7A00">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Të gjitha GS-të me burime bujqësore (MtCO</w:t>
            </w:r>
            <w:r w:rsidRPr="0058349C">
              <w:rPr>
                <w:rFonts w:ascii="Garamond" w:hAnsi="Garamond" w:cs="Arial"/>
                <w:b/>
                <w:sz w:val="20"/>
                <w:szCs w:val="24"/>
                <w:vertAlign w:val="subscript"/>
                <w:lang w:val="sq-AL"/>
              </w:rPr>
              <w:t>2</w:t>
            </w:r>
            <w:r w:rsidRPr="0058349C">
              <w:rPr>
                <w:rFonts w:ascii="Garamond" w:hAnsi="Garamond" w:cs="Arial"/>
                <w:b/>
                <w:sz w:val="20"/>
                <w:szCs w:val="24"/>
                <w:lang w:val="sq-AL"/>
              </w:rPr>
              <w:t>e)</w:t>
            </w:r>
          </w:p>
        </w:tc>
        <w:tc>
          <w:tcPr>
            <w:tcW w:w="1304" w:type="dxa"/>
            <w:shd w:val="clear" w:color="auto" w:fill="auto"/>
            <w:vAlign w:val="center"/>
          </w:tcPr>
          <w:p w14:paraId="0773AE25" w14:textId="77777777" w:rsidR="00DF7A00" w:rsidRPr="0058349C" w:rsidRDefault="00DF7A00" w:rsidP="00485DE0">
            <w:pPr>
              <w:spacing w:after="0" w:line="240" w:lineRule="auto"/>
              <w:jc w:val="right"/>
              <w:rPr>
                <w:rFonts w:ascii="Garamond" w:hAnsi="Garamond" w:cs="Arial"/>
                <w:sz w:val="20"/>
                <w:szCs w:val="24"/>
                <w:lang w:val="sq-AL"/>
              </w:rPr>
            </w:pPr>
            <w:r w:rsidRPr="0058349C">
              <w:rPr>
                <w:rFonts w:ascii="Garamond" w:hAnsi="Garamond" w:cs="Arial"/>
                <w:sz w:val="20"/>
                <w:szCs w:val="24"/>
                <w:lang w:val="sq-AL"/>
              </w:rPr>
              <w:t>3.13</w:t>
            </w:r>
          </w:p>
        </w:tc>
        <w:tc>
          <w:tcPr>
            <w:tcW w:w="1304" w:type="dxa"/>
            <w:shd w:val="clear" w:color="auto" w:fill="auto"/>
            <w:vAlign w:val="center"/>
          </w:tcPr>
          <w:p w14:paraId="0773AE26" w14:textId="77777777" w:rsidR="00DF7A00" w:rsidRPr="0058349C" w:rsidRDefault="00DF7A00" w:rsidP="00485DE0">
            <w:pPr>
              <w:spacing w:after="0" w:line="240" w:lineRule="auto"/>
              <w:jc w:val="right"/>
              <w:rPr>
                <w:rFonts w:ascii="Garamond" w:hAnsi="Garamond" w:cs="Arial"/>
                <w:sz w:val="20"/>
                <w:szCs w:val="24"/>
                <w:lang w:val="sq-AL"/>
              </w:rPr>
            </w:pPr>
            <w:r w:rsidRPr="0058349C">
              <w:rPr>
                <w:rFonts w:ascii="Garamond" w:hAnsi="Garamond" w:cs="Arial"/>
                <w:sz w:val="20"/>
                <w:szCs w:val="24"/>
                <w:lang w:val="sq-AL"/>
              </w:rPr>
              <w:t>3.19</w:t>
            </w:r>
          </w:p>
        </w:tc>
        <w:tc>
          <w:tcPr>
            <w:tcW w:w="1304" w:type="dxa"/>
            <w:shd w:val="clear" w:color="auto" w:fill="auto"/>
            <w:vAlign w:val="center"/>
          </w:tcPr>
          <w:p w14:paraId="0773AE27" w14:textId="77777777" w:rsidR="00DF7A00" w:rsidRPr="0058349C" w:rsidRDefault="00DF7A00" w:rsidP="00485DE0">
            <w:pPr>
              <w:spacing w:after="0" w:line="240" w:lineRule="auto"/>
              <w:jc w:val="right"/>
              <w:rPr>
                <w:rFonts w:ascii="Garamond" w:hAnsi="Garamond" w:cs="Arial"/>
                <w:sz w:val="20"/>
                <w:szCs w:val="24"/>
                <w:lang w:val="sq-AL"/>
              </w:rPr>
            </w:pPr>
            <w:r w:rsidRPr="0058349C">
              <w:rPr>
                <w:rFonts w:ascii="Garamond" w:hAnsi="Garamond" w:cs="Arial"/>
                <w:sz w:val="20"/>
                <w:szCs w:val="24"/>
                <w:lang w:val="sq-AL"/>
              </w:rPr>
              <w:t>3.21</w:t>
            </w:r>
          </w:p>
        </w:tc>
        <w:tc>
          <w:tcPr>
            <w:tcW w:w="1304" w:type="dxa"/>
            <w:shd w:val="clear" w:color="auto" w:fill="auto"/>
            <w:vAlign w:val="center"/>
          </w:tcPr>
          <w:p w14:paraId="0773AE28" w14:textId="77777777" w:rsidR="00DF7A00" w:rsidRPr="0058349C" w:rsidRDefault="00DF7A00" w:rsidP="00485DE0">
            <w:pPr>
              <w:spacing w:after="0" w:line="240" w:lineRule="auto"/>
              <w:jc w:val="right"/>
              <w:rPr>
                <w:rFonts w:ascii="Garamond" w:hAnsi="Garamond" w:cs="Arial"/>
                <w:sz w:val="20"/>
                <w:szCs w:val="24"/>
                <w:lang w:val="sq-AL"/>
              </w:rPr>
            </w:pPr>
            <w:r w:rsidRPr="0058349C">
              <w:rPr>
                <w:rFonts w:ascii="Garamond" w:hAnsi="Garamond" w:cs="Arial"/>
                <w:sz w:val="20"/>
                <w:szCs w:val="24"/>
                <w:lang w:val="sq-AL"/>
              </w:rPr>
              <w:t>3.13</w:t>
            </w:r>
          </w:p>
        </w:tc>
        <w:tc>
          <w:tcPr>
            <w:tcW w:w="1305" w:type="dxa"/>
            <w:shd w:val="clear" w:color="auto" w:fill="auto"/>
            <w:vAlign w:val="center"/>
          </w:tcPr>
          <w:p w14:paraId="0773AE29" w14:textId="77777777" w:rsidR="00DF7A00" w:rsidRPr="0058349C" w:rsidRDefault="00DF7A00" w:rsidP="00485DE0">
            <w:pPr>
              <w:spacing w:after="0" w:line="240" w:lineRule="auto"/>
              <w:jc w:val="right"/>
              <w:rPr>
                <w:rFonts w:ascii="Garamond" w:hAnsi="Garamond" w:cs="Arial"/>
                <w:sz w:val="20"/>
                <w:szCs w:val="24"/>
                <w:lang w:val="sq-AL"/>
              </w:rPr>
            </w:pPr>
            <w:r w:rsidRPr="0058349C">
              <w:rPr>
                <w:rFonts w:ascii="Garamond" w:hAnsi="Garamond" w:cs="Arial"/>
                <w:sz w:val="20"/>
                <w:szCs w:val="24"/>
                <w:lang w:val="sq-AL"/>
              </w:rPr>
              <w:t>2.97</w:t>
            </w:r>
          </w:p>
        </w:tc>
      </w:tr>
    </w:tbl>
    <w:p w14:paraId="0773AE2B" w14:textId="77777777" w:rsidR="00DF7A00" w:rsidRPr="0058349C" w:rsidRDefault="00F26C44" w:rsidP="00264AE4">
      <w:pPr>
        <w:spacing w:after="0" w:line="240" w:lineRule="auto"/>
        <w:jc w:val="center"/>
        <w:rPr>
          <w:rFonts w:ascii="Garamond" w:hAnsi="Garamond" w:cs="Arial"/>
          <w:sz w:val="24"/>
          <w:szCs w:val="24"/>
          <w:lang w:val="sq-AL"/>
        </w:rPr>
      </w:pPr>
      <w:r w:rsidRPr="0058349C">
        <w:rPr>
          <w:rFonts w:ascii="Garamond" w:hAnsi="Garamond" w:cs="Arial"/>
          <w:sz w:val="24"/>
          <w:szCs w:val="24"/>
          <w:lang w:val="sq-AL"/>
        </w:rPr>
        <w:t xml:space="preserve">Burimi: </w:t>
      </w:r>
      <w:r w:rsidRPr="004A227F">
        <w:rPr>
          <w:rFonts w:ascii="Garamond" w:hAnsi="Garamond" w:cs="Arial"/>
          <w:i/>
          <w:iCs/>
          <w:sz w:val="24"/>
          <w:szCs w:val="24"/>
          <w:lang w:val="sq-AL"/>
        </w:rPr>
        <w:t>Climate W</w:t>
      </w:r>
      <w:r w:rsidR="00DF7A00" w:rsidRPr="004A227F">
        <w:rPr>
          <w:rFonts w:ascii="Garamond" w:hAnsi="Garamond" w:cs="Arial"/>
          <w:i/>
          <w:iCs/>
          <w:sz w:val="24"/>
          <w:szCs w:val="24"/>
          <w:lang w:val="sq-AL"/>
        </w:rPr>
        <w:t xml:space="preserve">atch Data </w:t>
      </w:r>
      <w:r w:rsidR="00DF7A00" w:rsidRPr="0058349C">
        <w:rPr>
          <w:rStyle w:val="FootnoteReference"/>
          <w:rFonts w:ascii="Garamond" w:hAnsi="Garamond" w:cs="Arial"/>
          <w:sz w:val="24"/>
          <w:szCs w:val="24"/>
          <w:lang w:val="sq-AL"/>
        </w:rPr>
        <w:footnoteReference w:id="15"/>
      </w:r>
    </w:p>
    <w:p w14:paraId="0773AE2C" w14:textId="77777777" w:rsidR="00DF7A00" w:rsidRPr="0058349C" w:rsidRDefault="00DF7A00" w:rsidP="00DF7A00">
      <w:pPr>
        <w:spacing w:after="0" w:line="240" w:lineRule="auto"/>
        <w:ind w:firstLine="284"/>
        <w:jc w:val="both"/>
        <w:rPr>
          <w:rFonts w:ascii="Garamond" w:hAnsi="Garamond" w:cs="Arial"/>
          <w:sz w:val="24"/>
          <w:szCs w:val="24"/>
          <w:lang w:val="sq-AL"/>
        </w:rPr>
      </w:pPr>
    </w:p>
    <w:p w14:paraId="0773AE2D" w14:textId="086F6717" w:rsidR="00DF7A00" w:rsidRPr="0058349C" w:rsidRDefault="00DF7A00" w:rsidP="00DF7A00">
      <w:pPr>
        <w:spacing w:after="0" w:line="240" w:lineRule="auto"/>
        <w:ind w:firstLine="284"/>
        <w:jc w:val="both"/>
        <w:rPr>
          <w:rFonts w:ascii="Garamond" w:hAnsi="Garamond" w:cs="Arial"/>
          <w:b/>
          <w:sz w:val="24"/>
          <w:szCs w:val="24"/>
          <w:lang w:val="sq-AL"/>
        </w:rPr>
      </w:pPr>
      <w:r w:rsidRPr="0058349C">
        <w:rPr>
          <w:rFonts w:ascii="Garamond" w:hAnsi="Garamond" w:cs="Arial"/>
          <w:sz w:val="24"/>
          <w:szCs w:val="24"/>
          <w:lang w:val="sq-AL"/>
        </w:rPr>
        <w:t>Shqipëria emeton 2.52 ton</w:t>
      </w:r>
      <w:r w:rsidR="004A227F">
        <w:rPr>
          <w:rFonts w:ascii="Garamond" w:hAnsi="Garamond" w:cs="Arial"/>
          <w:sz w:val="24"/>
          <w:szCs w:val="24"/>
          <w:lang w:val="sq-AL"/>
        </w:rPr>
        <w:t>ë</w:t>
      </w:r>
      <w:r w:rsidRPr="0058349C">
        <w:rPr>
          <w:rFonts w:ascii="Garamond" w:hAnsi="Garamond" w:cs="Arial"/>
          <w:sz w:val="24"/>
          <w:szCs w:val="24"/>
          <w:lang w:val="sq-AL"/>
        </w:rPr>
        <w:t xml:space="preserve"> t</w:t>
      </w:r>
      <w:r w:rsidRPr="0058349C">
        <w:rPr>
          <w:rFonts w:ascii="Garamond" w:eastAsia="Arial" w:hAnsi="Garamond" w:cs="Arial"/>
          <w:sz w:val="24"/>
          <w:szCs w:val="24"/>
          <w:lang w:val="sq-AL"/>
        </w:rPr>
        <w:t xml:space="preserve">ë </w:t>
      </w:r>
      <w:r w:rsidRPr="0058349C">
        <w:rPr>
          <w:rFonts w:ascii="Garamond" w:hAnsi="Garamond" w:cs="Arial"/>
          <w:sz w:val="24"/>
          <w:szCs w:val="24"/>
          <w:lang w:val="sq-AL"/>
        </w:rPr>
        <w:t>ekuivalentura t</w:t>
      </w:r>
      <w:r w:rsidRPr="0058349C">
        <w:rPr>
          <w:rFonts w:ascii="Garamond" w:eastAsia="Arial" w:hAnsi="Garamond" w:cs="Arial"/>
          <w:sz w:val="24"/>
          <w:szCs w:val="24"/>
          <w:lang w:val="sq-AL"/>
        </w:rPr>
        <w:t>ë</w:t>
      </w:r>
      <w:r w:rsidRPr="0058349C">
        <w:rPr>
          <w:rFonts w:ascii="Garamond" w:hAnsi="Garamond" w:cs="Arial"/>
          <w:sz w:val="24"/>
          <w:szCs w:val="24"/>
          <w:lang w:val="sq-AL"/>
        </w:rPr>
        <w:t xml:space="preserve"> GS</w:t>
      </w:r>
      <w:r w:rsidR="004A227F">
        <w:rPr>
          <w:rFonts w:ascii="Garamond" w:hAnsi="Garamond" w:cs="Arial"/>
          <w:sz w:val="24"/>
          <w:szCs w:val="24"/>
          <w:lang w:val="sq-AL"/>
        </w:rPr>
        <w:t>-së</w:t>
      </w:r>
      <w:r w:rsidRPr="0058349C">
        <w:rPr>
          <w:rFonts w:ascii="Garamond" w:hAnsi="Garamond" w:cs="Arial"/>
          <w:sz w:val="24"/>
          <w:szCs w:val="24"/>
          <w:lang w:val="sq-AL"/>
        </w:rPr>
        <w:t xml:space="preserve"> për 1000 ha, shif</w:t>
      </w:r>
      <w:r w:rsidRPr="0058349C">
        <w:rPr>
          <w:rFonts w:ascii="Garamond" w:eastAsia="Arial" w:hAnsi="Garamond" w:cs="Arial"/>
          <w:sz w:val="24"/>
          <w:szCs w:val="24"/>
          <w:lang w:val="sq-AL"/>
        </w:rPr>
        <w:t xml:space="preserve">ër kjo </w:t>
      </w:r>
      <w:r w:rsidRPr="0058349C">
        <w:rPr>
          <w:rFonts w:ascii="Garamond" w:hAnsi="Garamond" w:cs="Arial"/>
          <w:sz w:val="24"/>
          <w:szCs w:val="24"/>
          <w:lang w:val="sq-AL"/>
        </w:rPr>
        <w:t>më e ulët se niveli i BE-së (2.83 GS ton</w:t>
      </w:r>
      <w:r w:rsidR="004A227F">
        <w:rPr>
          <w:rFonts w:ascii="Garamond" w:hAnsi="Garamond" w:cs="Arial"/>
          <w:sz w:val="24"/>
          <w:szCs w:val="24"/>
          <w:lang w:val="sq-AL"/>
        </w:rPr>
        <w:t>ë ekuivalent</w:t>
      </w:r>
      <w:r w:rsidRPr="0058349C">
        <w:rPr>
          <w:rFonts w:ascii="Garamond" w:hAnsi="Garamond" w:cs="Arial"/>
          <w:sz w:val="24"/>
          <w:szCs w:val="24"/>
          <w:lang w:val="sq-AL"/>
        </w:rPr>
        <w:t>/1000 ha). Sasia m</w:t>
      </w:r>
      <w:r w:rsidRPr="0058349C">
        <w:rPr>
          <w:rFonts w:ascii="Garamond" w:eastAsia="Arial" w:hAnsi="Garamond" w:cs="Arial"/>
          <w:sz w:val="24"/>
          <w:szCs w:val="24"/>
          <w:lang w:val="sq-AL"/>
        </w:rPr>
        <w:t>ë e madhe</w:t>
      </w:r>
      <w:r w:rsidRPr="0058349C">
        <w:rPr>
          <w:rFonts w:ascii="Garamond" w:hAnsi="Garamond" w:cs="Arial"/>
          <w:sz w:val="24"/>
          <w:szCs w:val="24"/>
          <w:lang w:val="sq-AL"/>
        </w:rPr>
        <w:t xml:space="preserve"> e emetimit rezulton nga fermentimi i ushqimeve në traktin tretës t</w:t>
      </w:r>
      <w:r w:rsidRPr="0058349C">
        <w:rPr>
          <w:rFonts w:ascii="Garamond" w:eastAsia="Arial" w:hAnsi="Garamond" w:cs="Arial"/>
          <w:sz w:val="24"/>
          <w:szCs w:val="24"/>
          <w:lang w:val="sq-AL"/>
        </w:rPr>
        <w:t>ë kafshëve ripërtypëse</w:t>
      </w:r>
      <w:r w:rsidRPr="0058349C">
        <w:rPr>
          <w:rStyle w:val="FootnoteReference"/>
          <w:rFonts w:ascii="Garamond" w:hAnsi="Garamond" w:cs="Arial"/>
          <w:sz w:val="24"/>
          <w:szCs w:val="24"/>
          <w:lang w:val="sq-AL"/>
        </w:rPr>
        <w:footnoteReference w:id="16"/>
      </w:r>
      <w:r w:rsidR="004A227F">
        <w:rPr>
          <w:rFonts w:ascii="Garamond" w:eastAsia="Arial" w:hAnsi="Garamond" w:cs="Arial"/>
          <w:sz w:val="24"/>
          <w:szCs w:val="24"/>
          <w:lang w:val="sq-AL"/>
        </w:rPr>
        <w:t xml:space="preserve"> dhe nga mos</w:t>
      </w:r>
      <w:r w:rsidRPr="0058349C">
        <w:rPr>
          <w:rFonts w:ascii="Garamond" w:eastAsia="Arial" w:hAnsi="Garamond" w:cs="Arial"/>
          <w:sz w:val="24"/>
          <w:szCs w:val="24"/>
          <w:lang w:val="sq-AL"/>
        </w:rPr>
        <w:t xml:space="preserve">përpunimi i rregullt i </w:t>
      </w:r>
      <w:r w:rsidRPr="004A227F">
        <w:rPr>
          <w:rFonts w:ascii="Garamond" w:eastAsia="Arial" w:hAnsi="Garamond" w:cs="Arial"/>
          <w:b/>
          <w:bCs/>
          <w:sz w:val="24"/>
          <w:szCs w:val="24"/>
          <w:lang w:val="sq-AL"/>
        </w:rPr>
        <w:t>jasht</w:t>
      </w:r>
      <w:r w:rsidRPr="004A227F">
        <w:rPr>
          <w:rFonts w:ascii="Garamond" w:hAnsi="Garamond" w:cs="Arial"/>
          <w:b/>
          <w:bCs/>
          <w:sz w:val="24"/>
          <w:szCs w:val="24"/>
          <w:lang w:val="sq-AL"/>
        </w:rPr>
        <w:t>ëqitj</w:t>
      </w:r>
      <w:r w:rsidRPr="0058349C">
        <w:rPr>
          <w:rFonts w:ascii="Garamond" w:hAnsi="Garamond" w:cs="Arial"/>
          <w:b/>
          <w:sz w:val="24"/>
          <w:szCs w:val="24"/>
          <w:lang w:val="sq-AL"/>
        </w:rPr>
        <w:t xml:space="preserve">eve (mbetjeve) të tyre. </w:t>
      </w:r>
    </w:p>
    <w:p w14:paraId="0773AE2E" w14:textId="5B359C40" w:rsidR="00DF7A00" w:rsidRPr="0058349C" w:rsidRDefault="00DF7A00" w:rsidP="004A227F">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Potenciali për energji</w:t>
      </w:r>
      <w:r w:rsidRPr="0058349C">
        <w:rPr>
          <w:rFonts w:ascii="Garamond" w:hAnsi="Garamond" w:cs="Arial"/>
          <w:sz w:val="24"/>
          <w:szCs w:val="24"/>
          <w:lang w:val="sq-AL"/>
        </w:rPr>
        <w:t xml:space="preserve"> nga mbetjet e kafshëve, si dhe nga mbetjet bujqësore llogaritet në rreth 70 ton</w:t>
      </w:r>
      <w:r w:rsidR="004A227F">
        <w:rPr>
          <w:rFonts w:ascii="Garamond" w:hAnsi="Garamond" w:cs="Arial"/>
          <w:sz w:val="24"/>
          <w:szCs w:val="24"/>
          <w:lang w:val="sq-AL"/>
        </w:rPr>
        <w:t>ë</w:t>
      </w:r>
      <w:r w:rsidRPr="0058349C">
        <w:rPr>
          <w:rFonts w:ascii="Garamond" w:hAnsi="Garamond" w:cs="Arial"/>
          <w:sz w:val="24"/>
          <w:szCs w:val="24"/>
          <w:lang w:val="sq-AL"/>
        </w:rPr>
        <w:t xml:space="preserve"> naftë ekuivalent</w:t>
      </w:r>
      <w:r w:rsidRPr="0058349C">
        <w:rPr>
          <w:rStyle w:val="FootnoteReference"/>
          <w:rFonts w:ascii="Garamond" w:hAnsi="Garamond" w:cs="Arial"/>
          <w:sz w:val="24"/>
          <w:szCs w:val="24"/>
          <w:lang w:val="sq-AL"/>
        </w:rPr>
        <w:footnoteReference w:id="17"/>
      </w:r>
      <w:r w:rsidRPr="0058349C">
        <w:rPr>
          <w:rFonts w:ascii="Garamond" w:hAnsi="Garamond" w:cs="Arial"/>
          <w:sz w:val="24"/>
          <w:szCs w:val="24"/>
          <w:lang w:val="sq-AL"/>
        </w:rPr>
        <w:t>.</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Megjithatë, përdorimi i biogazit (nga plehu) nuk është zhvilluar, pasi menaxhimi i plehut organik mungon pothuajse plotësisht (fabrikat e biogazit kërkojnë sasi të mëdha plehu organik të freskët, për të përfituar sa m</w:t>
      </w:r>
      <w:r w:rsidR="004A227F">
        <w:rPr>
          <w:rFonts w:ascii="Garamond" w:hAnsi="Garamond" w:cs="Arial"/>
          <w:sz w:val="24"/>
          <w:szCs w:val="24"/>
          <w:lang w:val="sq-AL"/>
        </w:rPr>
        <w:t>ë</w:t>
      </w:r>
      <w:r w:rsidRPr="0058349C">
        <w:rPr>
          <w:rFonts w:ascii="Garamond" w:hAnsi="Garamond" w:cs="Arial"/>
          <w:sz w:val="24"/>
          <w:szCs w:val="24"/>
          <w:lang w:val="sq-AL"/>
        </w:rPr>
        <w:t xml:space="preserve"> shumë nga emetimet e CH</w:t>
      </w:r>
      <w:r w:rsidRPr="0058349C">
        <w:rPr>
          <w:rFonts w:ascii="Garamond" w:hAnsi="Garamond" w:cs="Arial"/>
          <w:sz w:val="24"/>
          <w:szCs w:val="24"/>
          <w:vertAlign w:val="subscript"/>
          <w:lang w:val="sq-AL"/>
        </w:rPr>
        <w:t>4</w:t>
      </w:r>
      <w:r w:rsidRPr="0058349C">
        <w:rPr>
          <w:rFonts w:ascii="Garamond" w:hAnsi="Garamond" w:cs="Arial"/>
          <w:sz w:val="24"/>
          <w:szCs w:val="24"/>
          <w:lang w:val="sq-AL"/>
        </w:rPr>
        <w:t xml:space="preserve"> përgjatë procesit të mineralizimit, duke nënkuptuar flukse të qëndrueshme të grumbullimit të plehut organik dhe transportit). Ekziston një potencial i konsiderueshëm i biomasës nga mbetjet bujqësore, i cili vlerësohet rreth 2300 G</w:t>
      </w:r>
      <w:r w:rsidR="00485DE0" w:rsidRPr="0058349C">
        <w:rPr>
          <w:rFonts w:ascii="Garamond" w:hAnsi="Garamond" w:cs="Arial"/>
          <w:sz w:val="24"/>
          <w:szCs w:val="24"/>
          <w:lang w:val="sq-AL"/>
        </w:rPr>
        <w:t>W</w:t>
      </w:r>
      <w:r w:rsidRPr="0058349C">
        <w:rPr>
          <w:rFonts w:ascii="Garamond" w:hAnsi="Garamond" w:cs="Arial"/>
          <w:sz w:val="24"/>
          <w:szCs w:val="24"/>
          <w:lang w:val="sq-AL"/>
        </w:rPr>
        <w:t>h/vit.</w:t>
      </w:r>
      <w:r w:rsidRPr="0058349C">
        <w:rPr>
          <w:rStyle w:val="FootnoteReference"/>
          <w:rFonts w:ascii="Garamond" w:hAnsi="Garamond" w:cs="Arial"/>
          <w:sz w:val="24"/>
          <w:szCs w:val="24"/>
          <w:lang w:val="sq-AL"/>
        </w:rPr>
        <w:footnoteReference w:id="18"/>
      </w:r>
    </w:p>
    <w:p w14:paraId="0773AE2F" w14:textId="032A8099" w:rsidR="00DF7A00" w:rsidRPr="0058349C" w:rsidRDefault="00C438F8" w:rsidP="00DF7A00">
      <w:pPr>
        <w:keepNext/>
        <w:keepLines/>
        <w:spacing w:after="0" w:line="240" w:lineRule="auto"/>
        <w:ind w:firstLine="284"/>
        <w:jc w:val="both"/>
        <w:rPr>
          <w:rFonts w:ascii="Garamond" w:eastAsia="Roboto" w:hAnsi="Garamond" w:cs="Arial"/>
          <w:b/>
          <w:sz w:val="24"/>
          <w:szCs w:val="24"/>
          <w:lang w:val="sq-AL"/>
        </w:rPr>
      </w:pPr>
      <w:r>
        <w:rPr>
          <w:rFonts w:ascii="Garamond" w:hAnsi="Garamond" w:cs="Arial"/>
          <w:b/>
          <w:sz w:val="24"/>
          <w:szCs w:val="24"/>
          <w:lang w:val="sq-AL"/>
        </w:rPr>
        <w:lastRenderedPageBreak/>
        <w:t>Pyjet si kontribu</w:t>
      </w:r>
      <w:r w:rsidR="00DF7A00" w:rsidRPr="0058349C">
        <w:rPr>
          <w:rFonts w:ascii="Garamond" w:hAnsi="Garamond" w:cs="Arial"/>
          <w:b/>
          <w:sz w:val="24"/>
          <w:szCs w:val="24"/>
          <w:lang w:val="sq-AL"/>
        </w:rPr>
        <w:t>es në zbutjen e ndryshimeve klimatike</w:t>
      </w:r>
    </w:p>
    <w:p w14:paraId="0773AE30" w14:textId="410AC8E7"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hAnsi="Garamond" w:cs="Arial"/>
          <w:sz w:val="24"/>
          <w:szCs w:val="24"/>
          <w:lang w:val="sq-AL"/>
        </w:rPr>
        <w:t xml:space="preserve">Pyjet </w:t>
      </w:r>
      <w:r w:rsidRPr="0058349C">
        <w:rPr>
          <w:rFonts w:ascii="Garamond" w:hAnsi="Garamond" w:cs="Arial"/>
          <w:b/>
          <w:sz w:val="24"/>
          <w:szCs w:val="24"/>
          <w:lang w:val="sq-AL"/>
        </w:rPr>
        <w:t>janë një aset me efekt të lartë stabilizues për klimën dhe efektet e saj</w:t>
      </w:r>
      <w:r w:rsidRPr="0058349C">
        <w:rPr>
          <w:rFonts w:ascii="Garamond" w:hAnsi="Garamond" w:cs="Arial"/>
          <w:sz w:val="24"/>
          <w:szCs w:val="24"/>
          <w:lang w:val="sq-AL"/>
        </w:rPr>
        <w:t>. Roli që burimet pyjore mund të luajnë në zbutjen e ndryshimeve klimatike dhe kontributi në realizimin e objektivave t</w:t>
      </w:r>
      <w:r w:rsidRPr="003C30BB">
        <w:rPr>
          <w:rFonts w:ascii="Garamond" w:hAnsi="Garamond" w:cs="Arial"/>
          <w:bCs/>
          <w:sz w:val="24"/>
          <w:szCs w:val="24"/>
          <w:lang w:val="sq-AL"/>
        </w:rPr>
        <w:t>ë</w:t>
      </w:r>
      <w:r w:rsidRPr="0058349C">
        <w:rPr>
          <w:rFonts w:ascii="Garamond" w:hAnsi="Garamond" w:cs="Arial"/>
          <w:b/>
          <w:sz w:val="24"/>
          <w:szCs w:val="24"/>
          <w:lang w:val="sq-AL"/>
        </w:rPr>
        <w:t xml:space="preserve"> </w:t>
      </w:r>
      <w:r w:rsidRPr="0058349C">
        <w:rPr>
          <w:rFonts w:ascii="Garamond" w:hAnsi="Garamond" w:cs="Arial"/>
          <w:sz w:val="24"/>
          <w:szCs w:val="24"/>
          <w:lang w:val="sq-AL"/>
        </w:rPr>
        <w:t xml:space="preserve">Marrëveshjes së Gjelbër varet nga mënyra se si pyjet menaxhohen. Ato rregullojnë ekosistemet, mbrojnë biodiversitetin, luajnë një rol integral në ciklin e karbonit, mbështesin </w:t>
      </w:r>
      <w:r w:rsidRPr="003C30BB">
        <w:rPr>
          <w:rFonts w:ascii="Garamond" w:hAnsi="Garamond" w:cs="Arial"/>
          <w:b/>
          <w:bCs/>
          <w:sz w:val="24"/>
          <w:szCs w:val="24"/>
          <w:lang w:val="sq-AL"/>
        </w:rPr>
        <w:t>t</w:t>
      </w:r>
      <w:r w:rsidRPr="0058349C">
        <w:rPr>
          <w:rFonts w:ascii="Garamond" w:hAnsi="Garamond" w:cs="Arial"/>
          <w:b/>
          <w:sz w:val="24"/>
          <w:szCs w:val="24"/>
          <w:lang w:val="sq-AL"/>
        </w:rPr>
        <w:t>ë ardhurat e banorëve ruralë</w:t>
      </w:r>
      <w:r w:rsidR="003C30BB">
        <w:rPr>
          <w:rFonts w:ascii="Garamond" w:hAnsi="Garamond" w:cs="Arial"/>
          <w:b/>
          <w:sz w:val="24"/>
          <w:szCs w:val="24"/>
          <w:lang w:val="sq-AL"/>
        </w:rPr>
        <w:t>,</w:t>
      </w:r>
      <w:r w:rsidRPr="0058349C">
        <w:rPr>
          <w:rFonts w:ascii="Garamond" w:hAnsi="Garamond" w:cs="Arial"/>
          <w:sz w:val="24"/>
          <w:szCs w:val="24"/>
          <w:lang w:val="sq-AL"/>
        </w:rPr>
        <w:t xml:space="preserve"> duke ofruar mallra dhe shërbime, që mund të nxisin rritjen ekonomike t</w:t>
      </w:r>
      <w:r w:rsidRPr="003C30BB">
        <w:rPr>
          <w:rFonts w:ascii="Garamond" w:hAnsi="Garamond" w:cs="Arial"/>
          <w:bCs/>
          <w:sz w:val="24"/>
          <w:szCs w:val="24"/>
          <w:lang w:val="sq-AL"/>
        </w:rPr>
        <w:t>ë</w:t>
      </w:r>
      <w:r w:rsidRPr="0058349C">
        <w:rPr>
          <w:rFonts w:ascii="Garamond" w:hAnsi="Garamond" w:cs="Arial"/>
          <w:sz w:val="24"/>
          <w:szCs w:val="24"/>
          <w:lang w:val="sq-AL"/>
        </w:rPr>
        <w:t xml:space="preserve"> qëndrueshme. </w:t>
      </w:r>
    </w:p>
    <w:p w14:paraId="0773AE31" w14:textId="55CA1065"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Në Shqipëri</w:t>
      </w:r>
      <w:r w:rsidR="003C30BB">
        <w:rPr>
          <w:rFonts w:ascii="Garamond" w:eastAsia="Arial" w:hAnsi="Garamond" w:cs="Arial"/>
          <w:sz w:val="24"/>
          <w:szCs w:val="24"/>
          <w:lang w:val="sq-AL"/>
        </w:rPr>
        <w:t>,</w:t>
      </w:r>
      <w:r w:rsidRPr="0058349C">
        <w:rPr>
          <w:rFonts w:ascii="Garamond" w:eastAsia="Arial" w:hAnsi="Garamond" w:cs="Arial"/>
          <w:sz w:val="24"/>
          <w:szCs w:val="24"/>
          <w:lang w:val="sq-AL"/>
        </w:rPr>
        <w:t xml:space="preserve"> pyjet </w:t>
      </w:r>
      <w:r w:rsidRPr="0058349C">
        <w:rPr>
          <w:rFonts w:ascii="Garamond" w:eastAsia="Arial" w:hAnsi="Garamond" w:cs="Arial"/>
          <w:b/>
          <w:sz w:val="24"/>
          <w:szCs w:val="24"/>
          <w:lang w:val="sq-AL"/>
        </w:rPr>
        <w:t>përfaqësojnë një nga burimet m</w:t>
      </w:r>
      <w:r w:rsidRPr="0058349C">
        <w:rPr>
          <w:rFonts w:ascii="Garamond" w:hAnsi="Garamond" w:cs="Arial"/>
          <w:sz w:val="24"/>
          <w:szCs w:val="24"/>
          <w:lang w:val="sq-AL"/>
        </w:rPr>
        <w:t xml:space="preserve">ë </w:t>
      </w:r>
      <w:r w:rsidRPr="0058349C">
        <w:rPr>
          <w:rFonts w:ascii="Garamond" w:eastAsia="Arial" w:hAnsi="Garamond" w:cs="Arial"/>
          <w:b/>
          <w:sz w:val="24"/>
          <w:szCs w:val="24"/>
          <w:lang w:val="sq-AL"/>
        </w:rPr>
        <w:t xml:space="preserve">kryesore natyrore </w:t>
      </w:r>
      <w:r w:rsidRPr="0058349C">
        <w:rPr>
          <w:rFonts w:ascii="Garamond" w:eastAsia="Arial" w:hAnsi="Garamond" w:cs="Arial"/>
          <w:sz w:val="24"/>
          <w:szCs w:val="24"/>
          <w:lang w:val="sq-AL"/>
        </w:rPr>
        <w:t>të vendit. Sipas Inventarit Kombëtar të Pyjeve (2020), 41,6% e sipërfaqes totale (2,87 milionë ha) është e mbuluar nga pyje, ndërkohë që</w:t>
      </w:r>
      <w:r w:rsidRPr="0058349C">
        <w:rPr>
          <w:rFonts w:ascii="Garamond" w:hAnsi="Garamond" w:cs="Arial"/>
          <w:b/>
          <w:sz w:val="24"/>
          <w:szCs w:val="24"/>
          <w:lang w:val="sq-AL"/>
        </w:rPr>
        <w:t xml:space="preserve"> </w:t>
      </w:r>
      <w:r w:rsidRPr="0058349C">
        <w:rPr>
          <w:rFonts w:ascii="Garamond" w:eastAsia="Arial" w:hAnsi="Garamond" w:cs="Arial"/>
          <w:sz w:val="24"/>
          <w:szCs w:val="24"/>
          <w:lang w:val="sq-AL"/>
        </w:rPr>
        <w:t>17,6% janë livadhe dhe kullota dhe 24% tokë</w:t>
      </w:r>
      <w:r w:rsidR="00CF7694" w:rsidRPr="0058349C">
        <w:rPr>
          <w:rFonts w:ascii="Garamond" w:eastAsia="Arial" w:hAnsi="Garamond" w:cs="Arial"/>
          <w:sz w:val="24"/>
          <w:szCs w:val="24"/>
          <w:lang w:val="sq-AL"/>
        </w:rPr>
        <w:t xml:space="preserve"> </w:t>
      </w:r>
      <w:r w:rsidRPr="0058349C">
        <w:rPr>
          <w:rFonts w:ascii="Garamond" w:eastAsia="Arial" w:hAnsi="Garamond" w:cs="Arial"/>
          <w:sz w:val="24"/>
          <w:szCs w:val="24"/>
          <w:lang w:val="sq-AL"/>
        </w:rPr>
        <w:t>bujqësore. Në 20 vitet e fundit, rreth 100,000 ha pyll janë shkatërruar me pasoja të dukshme në rritjen e erozionit dhe rrëshqitjeve të dheut, humbja e habitatit për jetën e egër (shpendët dhe biodiversiteti). Pyjet e mbrojtura përfaqësojnë 20% të sipërfaqes pyjore dhe shërbejnë kryesisht për mbrojtjen e tokës, ujërave, biodiversitetit dhe peizazhit; duke përfshirë parqet kombëtare, parqet natyrore dhe rezervat e natyrës, pyjet e destinuara për aktivitete të kohës së lirë, sporte, rekreacion, mësimdhënie ose kërkime shkencore.</w:t>
      </w:r>
    </w:p>
    <w:p w14:paraId="0773AE32" w14:textId="58C99DD8"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Reforma </w:t>
      </w:r>
      <w:r w:rsidRPr="0058349C">
        <w:rPr>
          <w:rFonts w:ascii="Garamond" w:eastAsia="Arial" w:hAnsi="Garamond" w:cs="Arial"/>
          <w:strike/>
          <w:sz w:val="24"/>
          <w:szCs w:val="24"/>
          <w:lang w:val="sq-AL"/>
        </w:rPr>
        <w:t>e</w:t>
      </w:r>
      <w:r w:rsidRPr="0058349C">
        <w:rPr>
          <w:rFonts w:ascii="Garamond" w:eastAsia="Arial" w:hAnsi="Garamond" w:cs="Arial"/>
          <w:sz w:val="24"/>
          <w:szCs w:val="24"/>
          <w:lang w:val="sq-AL"/>
        </w:rPr>
        <w:t xml:space="preserve"> në sektorin pyjor, e vitit 2016, </w:t>
      </w:r>
      <w:r w:rsidRPr="0058349C">
        <w:rPr>
          <w:rFonts w:ascii="Garamond" w:eastAsia="Arial" w:hAnsi="Garamond" w:cs="Arial"/>
          <w:b/>
          <w:sz w:val="24"/>
          <w:szCs w:val="24"/>
          <w:lang w:val="sq-AL"/>
        </w:rPr>
        <w:t xml:space="preserve">i përcakton bashkitë si pronarë të pyjeve dhe </w:t>
      </w:r>
      <w:r w:rsidR="00EE15A0">
        <w:rPr>
          <w:rFonts w:ascii="Garamond" w:eastAsia="Arial" w:hAnsi="Garamond" w:cs="Arial"/>
          <w:b/>
          <w:sz w:val="24"/>
          <w:szCs w:val="24"/>
          <w:lang w:val="sq-AL"/>
        </w:rPr>
        <w:t xml:space="preserve">i </w:t>
      </w:r>
      <w:r w:rsidRPr="0058349C">
        <w:rPr>
          <w:rFonts w:ascii="Garamond" w:eastAsia="Arial" w:hAnsi="Garamond" w:cs="Arial"/>
          <w:b/>
          <w:sz w:val="24"/>
          <w:szCs w:val="24"/>
          <w:lang w:val="sq-AL"/>
        </w:rPr>
        <w:t>kullotave që ndodhen brenda territoreve administrative të tyre.</w:t>
      </w:r>
      <w:r w:rsidRPr="0058349C">
        <w:rPr>
          <w:rFonts w:ascii="Garamond" w:eastAsia="Arial" w:hAnsi="Garamond" w:cs="Arial"/>
          <w:sz w:val="24"/>
          <w:szCs w:val="24"/>
          <w:lang w:val="sq-AL"/>
        </w:rPr>
        <w:t xml:space="preserve"> Aktualisht, 81% e sipërfaqes totale pyjore është në pronësi të bashkive, 16% në pronësi të shtetit dhe 3% është në pronësi private, kryesisht nga individë. </w:t>
      </w:r>
    </w:p>
    <w:p w14:paraId="0773AE33" w14:textId="3379CB13" w:rsidR="00DF7A00" w:rsidRPr="0058349C" w:rsidRDefault="00DF7A00" w:rsidP="00DF7A00">
      <w:pPr>
        <w:spacing w:after="0" w:line="240" w:lineRule="auto"/>
        <w:ind w:firstLine="284"/>
        <w:jc w:val="both"/>
        <w:rPr>
          <w:rFonts w:ascii="Garamond" w:eastAsia="Arial" w:hAnsi="Garamond" w:cs="Arial"/>
          <w:bCs/>
          <w:sz w:val="24"/>
          <w:szCs w:val="24"/>
          <w:lang w:val="sq-AL"/>
        </w:rPr>
      </w:pPr>
      <w:r w:rsidRPr="0058349C">
        <w:rPr>
          <w:rFonts w:ascii="Garamond" w:hAnsi="Garamond" w:cs="Arial"/>
          <w:b/>
          <w:bCs/>
          <w:sz w:val="24"/>
          <w:szCs w:val="24"/>
          <w:lang w:val="sq-AL"/>
        </w:rPr>
        <w:t>Pyjet n</w:t>
      </w:r>
      <w:r w:rsidRPr="00EE15A0">
        <w:rPr>
          <w:rFonts w:ascii="Garamond" w:eastAsia="Arial" w:hAnsi="Garamond" w:cs="Arial"/>
          <w:b/>
          <w:bCs/>
          <w:sz w:val="24"/>
          <w:szCs w:val="24"/>
          <w:lang w:val="sq-AL"/>
        </w:rPr>
        <w:t>ë</w:t>
      </w:r>
      <w:r w:rsidRPr="0058349C">
        <w:rPr>
          <w:rFonts w:ascii="Garamond" w:hAnsi="Garamond" w:cs="Arial"/>
          <w:b/>
          <w:bCs/>
          <w:sz w:val="24"/>
          <w:szCs w:val="24"/>
          <w:lang w:val="sq-AL"/>
        </w:rPr>
        <w:t xml:space="preserve"> Shqip</w:t>
      </w:r>
      <w:r w:rsidRPr="00EC5BE3">
        <w:rPr>
          <w:rFonts w:ascii="Garamond" w:eastAsia="Arial" w:hAnsi="Garamond" w:cs="Arial"/>
          <w:b/>
          <w:bCs/>
          <w:sz w:val="24"/>
          <w:szCs w:val="24"/>
          <w:lang w:val="sq-AL"/>
        </w:rPr>
        <w:t xml:space="preserve">ëri </w:t>
      </w:r>
      <w:r w:rsidRPr="0058349C">
        <w:rPr>
          <w:rFonts w:ascii="Garamond" w:hAnsi="Garamond" w:cs="Arial"/>
          <w:b/>
          <w:bCs/>
          <w:sz w:val="24"/>
          <w:szCs w:val="24"/>
          <w:lang w:val="sq-AL"/>
        </w:rPr>
        <w:t>përfaqësojn</w:t>
      </w:r>
      <w:r w:rsidRPr="0058349C">
        <w:rPr>
          <w:rFonts w:ascii="Garamond" w:eastAsia="Arial" w:hAnsi="Garamond" w:cs="Arial"/>
          <w:sz w:val="24"/>
          <w:szCs w:val="24"/>
          <w:lang w:val="sq-AL"/>
        </w:rPr>
        <w:t>ë</w:t>
      </w:r>
      <w:r w:rsidRPr="0058349C">
        <w:rPr>
          <w:rFonts w:ascii="Garamond" w:hAnsi="Garamond" w:cs="Arial"/>
          <w:b/>
          <w:bCs/>
          <w:sz w:val="24"/>
          <w:szCs w:val="24"/>
          <w:lang w:val="sq-AL"/>
        </w:rPr>
        <w:t xml:space="preserve"> një potencial të madh</w:t>
      </w:r>
      <w:r w:rsidRPr="0058349C">
        <w:rPr>
          <w:rFonts w:ascii="Garamond" w:eastAsia="Arial" w:hAnsi="Garamond" w:cs="Arial"/>
          <w:sz w:val="24"/>
          <w:szCs w:val="24"/>
          <w:lang w:val="sq-AL"/>
        </w:rPr>
        <w:t xml:space="preserve"> në</w:t>
      </w:r>
      <w:r w:rsidRPr="0058349C">
        <w:rPr>
          <w:rFonts w:ascii="Garamond" w:hAnsi="Garamond" w:cs="Arial"/>
          <w:b/>
          <w:bCs/>
          <w:sz w:val="24"/>
          <w:szCs w:val="24"/>
          <w:lang w:val="sq-AL"/>
        </w:rPr>
        <w:t xml:space="preserve"> sekuestrimin e karbonit. </w:t>
      </w:r>
      <w:r w:rsidRPr="0058349C">
        <w:rPr>
          <w:rFonts w:ascii="Garamond" w:hAnsi="Garamond" w:cs="Arial"/>
          <w:sz w:val="24"/>
          <w:szCs w:val="24"/>
          <w:lang w:val="sq-AL"/>
        </w:rPr>
        <w:t>Sipas Vlerësimit Global të Burimeve Pyjore të FAO-së, raporti për Shqipërinë 2015</w:t>
      </w:r>
      <w:r w:rsidRPr="0058349C">
        <w:rPr>
          <w:rStyle w:val="FootnoteReference"/>
          <w:rFonts w:ascii="Garamond" w:hAnsi="Garamond" w:cs="Arial"/>
          <w:sz w:val="24"/>
          <w:szCs w:val="24"/>
          <w:lang w:val="sq-AL"/>
        </w:rPr>
        <w:footnoteReference w:id="19"/>
      </w:r>
      <w:r w:rsidRPr="0058349C">
        <w:rPr>
          <w:rFonts w:ascii="Garamond" w:hAnsi="Garamond" w:cs="Arial"/>
          <w:sz w:val="24"/>
          <w:szCs w:val="24"/>
          <w:lang w:val="sq-AL"/>
        </w:rPr>
        <w:t xml:space="preserve"> (k</w:t>
      </w:r>
      <w:r w:rsidRPr="0058349C">
        <w:rPr>
          <w:rFonts w:ascii="Garamond" w:eastAsia="Arial" w:hAnsi="Garamond" w:cs="Arial"/>
          <w:sz w:val="24"/>
          <w:szCs w:val="24"/>
          <w:lang w:val="sq-AL"/>
        </w:rPr>
        <w:t>ëto janë të</w:t>
      </w:r>
      <w:r w:rsidRPr="0058349C">
        <w:rPr>
          <w:rFonts w:ascii="Garamond" w:hAnsi="Garamond" w:cs="Arial"/>
          <w:sz w:val="24"/>
          <w:szCs w:val="24"/>
          <w:lang w:val="sq-AL"/>
        </w:rPr>
        <w:t xml:space="preserve"> dhënat më të fundit të disponueshme), </w:t>
      </w:r>
      <w:r w:rsidRPr="0058349C">
        <w:rPr>
          <w:rFonts w:ascii="Garamond" w:hAnsi="Garamond" w:cs="Arial"/>
          <w:b/>
          <w:sz w:val="24"/>
          <w:szCs w:val="24"/>
          <w:lang w:val="sq-AL"/>
        </w:rPr>
        <w:t>pyjet e Shqipërisë sekuestrojnë një total prej 142.2 milionë tonë karbon</w:t>
      </w:r>
      <w:r w:rsidRPr="0058349C">
        <w:rPr>
          <w:rFonts w:ascii="Garamond" w:hAnsi="Garamond" w:cs="Arial"/>
          <w:sz w:val="24"/>
          <w:szCs w:val="24"/>
          <w:lang w:val="sq-AL"/>
        </w:rPr>
        <w:t>, duke përfshirë 49.3 milionë tonë karbon në biomasë të gjallë dhe 67.3 milionë tonë karbon në toka, me shtresë aktive deri në 30 cm thellësi</w:t>
      </w:r>
      <w:r w:rsidR="00EC5BE3">
        <w:rPr>
          <w:rFonts w:ascii="Garamond" w:hAnsi="Garamond" w:cs="Arial"/>
          <w:sz w:val="24"/>
          <w:szCs w:val="24"/>
          <w:lang w:val="sq-AL"/>
        </w:rPr>
        <w:t>.</w:t>
      </w:r>
      <w:r w:rsidRPr="0058349C">
        <w:rPr>
          <w:rFonts w:ascii="Garamond" w:hAnsi="Garamond" w:cs="Arial"/>
          <w:bCs/>
          <w:sz w:val="24"/>
          <w:szCs w:val="24"/>
          <w:lang w:val="sq-AL"/>
        </w:rPr>
        <w:t xml:space="preserve"> Zvogëlimi i emetimit aktual kërkon veprim të rëndësishëm afatshkurtër. Kjo përfshin vazhdimin e mbrojtjes së përmirësuar dhe të detyrueshme të pyjeve, menaxhimin më të qëndrueshëm të pyjeve, ripyllëzim të qëndrueshëm, si dhe menaxhim të përmirësuar të tokës, duke përfshirë restaurimin e ligatinave, tokave torfike dhe tokës së degraduar. Rritja e sekuestrimit të karbonit nëpërmjet pyllëzimit dhe ripyllëzimit të tokës shumë të degraduar do të çojë</w:t>
      </w:r>
      <w:r w:rsidR="00EC5BE3">
        <w:rPr>
          <w:rFonts w:ascii="Garamond" w:hAnsi="Garamond" w:cs="Arial"/>
          <w:bCs/>
          <w:sz w:val="24"/>
          <w:szCs w:val="24"/>
          <w:lang w:val="sq-AL"/>
        </w:rPr>
        <w:t>,</w:t>
      </w:r>
      <w:r w:rsidRPr="0058349C">
        <w:rPr>
          <w:rFonts w:ascii="Garamond" w:hAnsi="Garamond" w:cs="Arial"/>
          <w:bCs/>
          <w:sz w:val="24"/>
          <w:szCs w:val="24"/>
          <w:lang w:val="sq-AL"/>
        </w:rPr>
        <w:t xml:space="preserve"> gjithashtu</w:t>
      </w:r>
      <w:r w:rsidR="00EC5BE3">
        <w:rPr>
          <w:rFonts w:ascii="Garamond" w:hAnsi="Garamond" w:cs="Arial"/>
          <w:bCs/>
          <w:sz w:val="24"/>
          <w:szCs w:val="24"/>
          <w:lang w:val="sq-AL"/>
        </w:rPr>
        <w:t>,</w:t>
      </w:r>
      <w:r w:rsidRPr="0058349C">
        <w:rPr>
          <w:rFonts w:ascii="Garamond" w:hAnsi="Garamond" w:cs="Arial"/>
          <w:bCs/>
          <w:sz w:val="24"/>
          <w:szCs w:val="24"/>
          <w:lang w:val="sq-AL"/>
        </w:rPr>
        <w:t xml:space="preserve"> në rritjen e burimeve të jetesës dhe të ardhurave në zonat e varfra rurale, zvogëlimin e degradimit të tokës, përmirësimin e cilësisë së ujit dhe</w:t>
      </w:r>
      <w:r w:rsidR="00EC5BE3">
        <w:rPr>
          <w:rFonts w:ascii="Garamond" w:hAnsi="Garamond" w:cs="Arial"/>
          <w:bCs/>
          <w:sz w:val="24"/>
          <w:szCs w:val="24"/>
          <w:lang w:val="sq-AL"/>
        </w:rPr>
        <w:t xml:space="preserve"> të</w:t>
      </w:r>
      <w:r w:rsidRPr="0058349C">
        <w:rPr>
          <w:rFonts w:ascii="Garamond" w:hAnsi="Garamond" w:cs="Arial"/>
          <w:bCs/>
          <w:sz w:val="24"/>
          <w:szCs w:val="24"/>
          <w:lang w:val="sq-AL"/>
        </w:rPr>
        <w:t xml:space="preserve"> ruajtjen e biodiversitetit</w:t>
      </w:r>
      <w:r w:rsidRPr="0058349C">
        <w:rPr>
          <w:rFonts w:ascii="Garamond" w:hAnsi="Garamond" w:cs="Arial"/>
          <w:sz w:val="24"/>
          <w:szCs w:val="24"/>
          <w:lang w:val="sq-AL"/>
        </w:rPr>
        <w:t xml:space="preserve">, uljen e </w:t>
      </w:r>
      <w:r w:rsidRPr="0058349C">
        <w:rPr>
          <w:rFonts w:ascii="Garamond" w:hAnsi="Garamond" w:cs="Arial"/>
          <w:b/>
          <w:bCs/>
          <w:sz w:val="24"/>
          <w:szCs w:val="24"/>
          <w:lang w:val="sq-AL"/>
        </w:rPr>
        <w:t>r</w:t>
      </w:r>
      <w:r w:rsidRPr="0058349C">
        <w:rPr>
          <w:rFonts w:ascii="Garamond" w:eastAsia="Arial" w:hAnsi="Garamond" w:cs="Arial"/>
          <w:b/>
          <w:bCs/>
          <w:sz w:val="24"/>
          <w:szCs w:val="24"/>
          <w:lang w:val="sq-AL"/>
        </w:rPr>
        <w:t>reziqeve nga zjarret në pyje q</w:t>
      </w:r>
      <w:r w:rsidRPr="00EC5BE3">
        <w:rPr>
          <w:rFonts w:ascii="Garamond" w:hAnsi="Garamond" w:cs="Arial"/>
          <w:b/>
          <w:sz w:val="24"/>
          <w:szCs w:val="24"/>
          <w:lang w:val="sq-AL"/>
        </w:rPr>
        <w:t>ë</w:t>
      </w:r>
      <w:r w:rsidRPr="0058349C">
        <w:rPr>
          <w:rFonts w:ascii="Garamond" w:hAnsi="Garamond" w:cs="Arial"/>
          <w:bCs/>
          <w:sz w:val="24"/>
          <w:szCs w:val="24"/>
          <w:lang w:val="sq-AL"/>
        </w:rPr>
        <w:t xml:space="preserve"> </w:t>
      </w:r>
      <w:r w:rsidRPr="0058349C">
        <w:rPr>
          <w:rFonts w:ascii="Garamond" w:eastAsia="Arial" w:hAnsi="Garamond" w:cs="Arial"/>
          <w:bCs/>
          <w:sz w:val="24"/>
          <w:szCs w:val="24"/>
          <w:lang w:val="sq-AL"/>
        </w:rPr>
        <w:t>rriten me ndryshimin e klimës.</w:t>
      </w:r>
      <w:r w:rsidRPr="0058349C">
        <w:rPr>
          <w:rFonts w:ascii="Garamond" w:eastAsia="Arial" w:hAnsi="Garamond" w:cs="Arial"/>
          <w:b/>
          <w:bCs/>
          <w:sz w:val="24"/>
          <w:szCs w:val="24"/>
          <w:lang w:val="sq-AL"/>
        </w:rPr>
        <w:t xml:space="preserve"> </w:t>
      </w:r>
      <w:r w:rsidRPr="0058349C">
        <w:rPr>
          <w:rFonts w:ascii="Garamond" w:hAnsi="Garamond"/>
          <w:sz w:val="24"/>
          <w:szCs w:val="24"/>
          <w:lang w:val="sq-AL"/>
        </w:rPr>
        <w:t>Masa për përmirësimin dhe shtimin e pyjeve do të jetë pjesë e skemave të financimit IPARD III, gjë e cila shihet si një mundësi për të rritur dhe përmirësuar rolin e pyjeve në sekuestrimin e karbonit.</w:t>
      </w:r>
    </w:p>
    <w:p w14:paraId="0773AE34" w14:textId="28F66FAF"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Në nëntor 2020, </w:t>
      </w:r>
      <w:r w:rsidRPr="0058349C">
        <w:rPr>
          <w:rFonts w:ascii="Garamond" w:hAnsi="Garamond" w:cs="Arial"/>
          <w:b/>
          <w:sz w:val="24"/>
          <w:szCs w:val="24"/>
          <w:lang w:val="sq-AL"/>
        </w:rPr>
        <w:t>Shqipëria nënshkroi Deklaratën e Sofjes për Agjendën e Gjelbër për Ballkanin Perëndimor</w:t>
      </w:r>
      <w:r w:rsidRPr="0058349C">
        <w:rPr>
          <w:rFonts w:ascii="Garamond" w:hAnsi="Garamond" w:cs="Arial"/>
          <w:sz w:val="24"/>
          <w:szCs w:val="24"/>
          <w:lang w:val="sq-AL"/>
        </w:rPr>
        <w:t xml:space="preserve"> (AGJBP), duke u përballur në këtë mënyrë me strategjinë e Marrëveshjes së Gjelbër Evropiane </w:t>
      </w:r>
      <w:r w:rsidRPr="0058349C">
        <w:rPr>
          <w:rFonts w:ascii="Garamond" w:hAnsi="Garamond" w:cs="Arial"/>
          <w:i/>
          <w:sz w:val="24"/>
          <w:szCs w:val="24"/>
          <w:lang w:val="sq-AL"/>
        </w:rPr>
        <w:t xml:space="preserve">drejt një ekonomie moderne, neutrale ndaj klimës, burimeve efikase dhe konkurruese. </w:t>
      </w:r>
      <w:r w:rsidRPr="0058349C">
        <w:rPr>
          <w:rFonts w:ascii="Garamond" w:hAnsi="Garamond" w:cs="Arial"/>
          <w:sz w:val="24"/>
          <w:szCs w:val="24"/>
          <w:lang w:val="sq-AL"/>
        </w:rPr>
        <w:t>Ndër veprimet e dakordësuara</w:t>
      </w:r>
      <w:r w:rsidRPr="0058349C">
        <w:rPr>
          <w:rFonts w:ascii="Garamond" w:hAnsi="Garamond" w:cs="Arial"/>
          <w:i/>
          <w:sz w:val="24"/>
          <w:szCs w:val="24"/>
          <w:lang w:val="sq-AL"/>
        </w:rPr>
        <w:t xml:space="preserve"> </w:t>
      </w:r>
      <w:r w:rsidRPr="0058349C">
        <w:rPr>
          <w:rFonts w:ascii="Garamond" w:hAnsi="Garamond" w:cs="Arial"/>
          <w:sz w:val="24"/>
          <w:szCs w:val="24"/>
          <w:lang w:val="sq-AL"/>
        </w:rPr>
        <w:t xml:space="preserve">në zbatim të </w:t>
      </w:r>
      <w:r w:rsidR="00664693" w:rsidRPr="0058349C">
        <w:rPr>
          <w:rFonts w:ascii="Garamond" w:hAnsi="Garamond" w:cs="Arial"/>
          <w:sz w:val="24"/>
          <w:szCs w:val="24"/>
          <w:lang w:val="sq-AL"/>
        </w:rPr>
        <w:t xml:space="preserve">ligjit </w:t>
      </w:r>
      <w:r w:rsidRPr="0058349C">
        <w:rPr>
          <w:rFonts w:ascii="Garamond" w:hAnsi="Garamond" w:cs="Arial"/>
          <w:sz w:val="24"/>
          <w:szCs w:val="24"/>
          <w:lang w:val="sq-AL"/>
        </w:rPr>
        <w:t>nr</w:t>
      </w:r>
      <w:r w:rsidR="00EC5BE3">
        <w:rPr>
          <w:rFonts w:ascii="Garamond" w:hAnsi="Garamond" w:cs="Arial"/>
          <w:sz w:val="24"/>
          <w:szCs w:val="24"/>
          <w:lang w:val="sq-AL"/>
        </w:rPr>
        <w:t>.</w:t>
      </w:r>
      <w:r w:rsidRPr="0058349C">
        <w:rPr>
          <w:rFonts w:ascii="Garamond" w:hAnsi="Garamond" w:cs="Arial"/>
          <w:sz w:val="24"/>
          <w:szCs w:val="24"/>
          <w:lang w:val="sq-AL"/>
        </w:rPr>
        <w:t xml:space="preserve"> 155/2020</w:t>
      </w:r>
      <w:r w:rsidR="00A20C91">
        <w:rPr>
          <w:rFonts w:ascii="Garamond" w:hAnsi="Garamond" w:cs="Arial"/>
          <w:sz w:val="24"/>
          <w:szCs w:val="24"/>
          <w:lang w:val="sq-AL"/>
        </w:rPr>
        <w:t>,</w:t>
      </w:r>
      <w:r w:rsidR="00D56192" w:rsidRPr="0058349C">
        <w:rPr>
          <w:rFonts w:ascii="Garamond" w:hAnsi="Garamond" w:cs="Arial"/>
          <w:sz w:val="24"/>
          <w:szCs w:val="24"/>
          <w:lang w:val="sq-AL"/>
        </w:rPr>
        <w:t xml:space="preserve"> </w:t>
      </w:r>
      <w:r w:rsidR="00664693" w:rsidRPr="0058349C">
        <w:rPr>
          <w:rFonts w:ascii="Garamond" w:hAnsi="Garamond" w:cs="Arial"/>
          <w:sz w:val="24"/>
          <w:szCs w:val="24"/>
          <w:lang w:val="sq-AL"/>
        </w:rPr>
        <w:t>“</w:t>
      </w:r>
      <w:r w:rsidR="00D56192" w:rsidRPr="0058349C">
        <w:rPr>
          <w:rFonts w:ascii="Garamond" w:hAnsi="Garamond" w:cs="Arial"/>
          <w:sz w:val="24"/>
          <w:szCs w:val="24"/>
          <w:lang w:val="sq-AL"/>
        </w:rPr>
        <w:t>Për</w:t>
      </w:r>
      <w:r w:rsidRPr="0058349C">
        <w:rPr>
          <w:rFonts w:ascii="Garamond" w:hAnsi="Garamond" w:cs="Arial"/>
          <w:sz w:val="24"/>
          <w:szCs w:val="24"/>
          <w:lang w:val="sq-AL"/>
        </w:rPr>
        <w:t xml:space="preserve"> ndryshimet klimatike</w:t>
      </w:r>
      <w:r w:rsidR="00664693" w:rsidRPr="0058349C">
        <w:rPr>
          <w:rFonts w:ascii="Garamond" w:hAnsi="Garamond" w:cs="Arial"/>
          <w:sz w:val="24"/>
          <w:szCs w:val="24"/>
          <w:lang w:val="sq-AL"/>
        </w:rPr>
        <w:t>”</w:t>
      </w:r>
      <w:r w:rsidRPr="0058349C">
        <w:rPr>
          <w:rFonts w:ascii="Garamond" w:hAnsi="Garamond" w:cs="Arial"/>
          <w:sz w:val="24"/>
          <w:szCs w:val="24"/>
          <w:lang w:val="sq-AL"/>
        </w:rPr>
        <w:t xml:space="preserve"> janë zbatimi i masave të parashikuara në Kontributin Kombëtar të Përcaktuar të Republikës së Shqipërisë 2021</w:t>
      </w:r>
      <w:r w:rsidR="00080DC4">
        <w:rPr>
          <w:rFonts w:ascii="Garamond" w:hAnsi="Garamond" w:cs="Arial"/>
          <w:sz w:val="24"/>
          <w:szCs w:val="24"/>
          <w:lang w:val="sq-AL"/>
        </w:rPr>
        <w:t>–</w:t>
      </w:r>
      <w:r w:rsidRPr="0058349C">
        <w:rPr>
          <w:rFonts w:ascii="Garamond" w:hAnsi="Garamond" w:cs="Arial"/>
          <w:sz w:val="24"/>
          <w:szCs w:val="24"/>
          <w:lang w:val="sq-AL"/>
        </w:rPr>
        <w:t>2030, e cila synon një zbutje prej -20,9% të emetimeve të gazeve me efekt serrë deri në vitin 2030, dhe Planit të Klimës dhe Energjisë për Shqipërinë me një vizion për arritjen e neutralitetit klimatik deri në vitin 20</w:t>
      </w:r>
      <w:bookmarkStart w:id="22" w:name="_Hlk106186773"/>
      <w:r w:rsidRPr="0058349C">
        <w:rPr>
          <w:rFonts w:ascii="Garamond" w:hAnsi="Garamond" w:cs="Arial"/>
          <w:sz w:val="24"/>
          <w:szCs w:val="24"/>
          <w:lang w:val="sq-AL"/>
        </w:rPr>
        <w:t xml:space="preserve">50, </w:t>
      </w:r>
      <w:r w:rsidRPr="0058349C">
        <w:rPr>
          <w:rFonts w:ascii="Garamond" w:hAnsi="Garamond" w:cs="Arial"/>
          <w:b/>
          <w:sz w:val="24"/>
          <w:szCs w:val="24"/>
          <w:lang w:val="sq-AL"/>
        </w:rPr>
        <w:t>përmes zhvillimit dhe zbatimit të masave të qarta të hartuara për të reduktuar emetimet e gazeve serrë, duke integruar veprimet klimatike në të gjitha politikat përkatëse sektoriale.</w:t>
      </w:r>
      <w:r w:rsidRPr="0058349C">
        <w:rPr>
          <w:rFonts w:ascii="Garamond" w:hAnsi="Garamond" w:cs="Arial"/>
          <w:sz w:val="24"/>
          <w:szCs w:val="24"/>
          <w:lang w:val="sq-AL"/>
        </w:rPr>
        <w:t xml:space="preserve"> </w:t>
      </w:r>
      <w:bookmarkEnd w:id="22"/>
      <w:r w:rsidRPr="0058349C">
        <w:rPr>
          <w:rFonts w:ascii="Garamond" w:hAnsi="Garamond" w:cs="Arial"/>
          <w:sz w:val="24"/>
          <w:szCs w:val="24"/>
          <w:lang w:val="sq-AL"/>
        </w:rPr>
        <w:t xml:space="preserve">Në këtë mënyrë, me nënshkrimin e AGJBP-së, Shqipëria shprehu interesin e saj për të ndjekur </w:t>
      </w:r>
      <w:r w:rsidR="00080DC4" w:rsidRPr="0058349C">
        <w:rPr>
          <w:rFonts w:ascii="Garamond" w:hAnsi="Garamond" w:cs="Arial"/>
          <w:sz w:val="24"/>
          <w:szCs w:val="24"/>
          <w:lang w:val="sq-AL"/>
        </w:rPr>
        <w:t xml:space="preserve">strategjinë </w:t>
      </w:r>
      <w:r w:rsidRPr="0058349C">
        <w:rPr>
          <w:rFonts w:ascii="Garamond" w:hAnsi="Garamond" w:cs="Arial"/>
          <w:sz w:val="24"/>
          <w:szCs w:val="24"/>
          <w:lang w:val="sq-AL"/>
        </w:rPr>
        <w:t xml:space="preserve">e BE-së nga </w:t>
      </w:r>
      <w:r w:rsidR="00664693" w:rsidRPr="0058349C">
        <w:rPr>
          <w:rFonts w:ascii="Garamond" w:hAnsi="Garamond" w:cs="Arial"/>
          <w:sz w:val="24"/>
          <w:szCs w:val="24"/>
          <w:lang w:val="sq-AL"/>
        </w:rPr>
        <w:t>“</w:t>
      </w:r>
      <w:r w:rsidRPr="0058349C">
        <w:rPr>
          <w:rFonts w:ascii="Garamond" w:hAnsi="Garamond" w:cs="Arial"/>
          <w:sz w:val="24"/>
          <w:szCs w:val="24"/>
          <w:lang w:val="sq-AL"/>
        </w:rPr>
        <w:t>ferma në tavolinë</w:t>
      </w:r>
      <w:r w:rsidR="00664693" w:rsidRPr="0058349C">
        <w:rPr>
          <w:rFonts w:ascii="Garamond" w:hAnsi="Garamond" w:cs="Arial"/>
          <w:sz w:val="24"/>
          <w:szCs w:val="24"/>
          <w:lang w:val="sq-AL"/>
        </w:rPr>
        <w:t>”</w:t>
      </w:r>
      <w:r w:rsidRPr="0058349C">
        <w:rPr>
          <w:rFonts w:ascii="Garamond" w:hAnsi="Garamond" w:cs="Arial"/>
          <w:sz w:val="24"/>
          <w:szCs w:val="24"/>
          <w:lang w:val="sq-AL"/>
        </w:rPr>
        <w:t xml:space="preserve">, duke siguruar në këtë mënyrë që bujqësia, peshkimi dhe akuakultura mund të kontribuojnë siç duhet në synimet e </w:t>
      </w:r>
      <w:r w:rsidR="00664693" w:rsidRPr="0058349C">
        <w:rPr>
          <w:rFonts w:ascii="Garamond" w:hAnsi="Garamond" w:cs="Arial"/>
          <w:i/>
          <w:sz w:val="24"/>
          <w:szCs w:val="24"/>
          <w:lang w:val="sq-AL"/>
        </w:rPr>
        <w:t xml:space="preserve">ligjit </w:t>
      </w:r>
      <w:r w:rsidRPr="0058349C">
        <w:rPr>
          <w:rFonts w:ascii="Garamond" w:hAnsi="Garamond" w:cs="Arial"/>
          <w:i/>
          <w:sz w:val="24"/>
          <w:szCs w:val="24"/>
          <w:lang w:val="sq-AL"/>
        </w:rPr>
        <w:t xml:space="preserve">të BE-së për </w:t>
      </w:r>
      <w:r w:rsidR="00080DC4" w:rsidRPr="0058349C">
        <w:rPr>
          <w:rFonts w:ascii="Garamond" w:hAnsi="Garamond" w:cs="Arial"/>
          <w:i/>
          <w:sz w:val="24"/>
          <w:szCs w:val="24"/>
          <w:lang w:val="sq-AL"/>
        </w:rPr>
        <w:t>klimën</w:t>
      </w:r>
      <w:r w:rsidRPr="0058349C">
        <w:rPr>
          <w:rFonts w:ascii="Garamond" w:hAnsi="Garamond" w:cs="Arial"/>
          <w:sz w:val="24"/>
          <w:szCs w:val="24"/>
          <w:lang w:val="sq-AL"/>
        </w:rPr>
        <w:t xml:space="preserve">, me një këndvështrim të veçantë në përdorimin e pesticideve dhe </w:t>
      </w:r>
      <w:r w:rsidRPr="0058349C">
        <w:rPr>
          <w:rFonts w:ascii="Garamond" w:hAnsi="Garamond" w:cs="Arial"/>
          <w:sz w:val="24"/>
          <w:szCs w:val="24"/>
          <w:lang w:val="sq-AL"/>
        </w:rPr>
        <w:lastRenderedPageBreak/>
        <w:t>antimikrobikëve, zvogëlimin e plehërimit të tepërt, rritjen e bujqësisë organike, përmirësimin e mirëqenies së kafshëve dhe mbrojtjen e biodiversitetit.</w:t>
      </w:r>
    </w:p>
    <w:p w14:paraId="0773AE35" w14:textId="03912F55" w:rsidR="00DF7A00" w:rsidRPr="0058349C" w:rsidRDefault="00DF7A00" w:rsidP="00DF7A00">
      <w:pPr>
        <w:spacing w:after="0" w:line="240" w:lineRule="auto"/>
        <w:ind w:firstLine="284"/>
        <w:jc w:val="both"/>
        <w:rPr>
          <w:rFonts w:ascii="Garamond" w:hAnsi="Garamond" w:cs="Arial"/>
          <w:b/>
          <w:bCs/>
          <w:sz w:val="24"/>
          <w:szCs w:val="24"/>
          <w:lang w:val="sq-AL"/>
        </w:rPr>
      </w:pPr>
      <w:r w:rsidRPr="0058349C">
        <w:rPr>
          <w:rFonts w:ascii="Garamond" w:hAnsi="Garamond" w:cs="Arial"/>
          <w:b/>
          <w:bCs/>
          <w:sz w:val="24"/>
          <w:szCs w:val="24"/>
          <w:lang w:val="sq-AL"/>
        </w:rPr>
        <w:t>Bujqësia është veçanërisht e ekspozuar ndaj ndryshimeve klimatike.</w:t>
      </w:r>
      <w:r w:rsidRPr="0058349C">
        <w:rPr>
          <w:rFonts w:ascii="Garamond" w:hAnsi="Garamond" w:cs="Arial"/>
          <w:sz w:val="24"/>
          <w:szCs w:val="24"/>
          <w:lang w:val="sq-AL"/>
        </w:rPr>
        <w:t xml:space="preserve"> Zvogëlimi i reshjeve dhe rritja e temperaturave do të ndikojnë</w:t>
      </w:r>
      <w:r w:rsidR="005D50D7">
        <w:rPr>
          <w:rFonts w:ascii="Garamond" w:hAnsi="Garamond" w:cs="Arial"/>
          <w:sz w:val="24"/>
          <w:szCs w:val="24"/>
          <w:lang w:val="sq-AL"/>
        </w:rPr>
        <w:t>,</w:t>
      </w:r>
      <w:r w:rsidRPr="0058349C">
        <w:rPr>
          <w:rFonts w:ascii="Garamond" w:hAnsi="Garamond" w:cs="Arial"/>
          <w:sz w:val="24"/>
          <w:szCs w:val="24"/>
          <w:lang w:val="sq-AL"/>
        </w:rPr>
        <w:t xml:space="preserve"> si në sasinë ashtu edhe në cilësinë e ujërave të ëmbla. Kjo do të ndikojë në produktivitetin bujqësor dhe sigurimin e ushqimit të vendit, si dhe në jetesën rurale. Pavarësisht se niveli i reshjeve do të ulet në përgjithësi, shirat priten të jenë më intensive </w:t>
      </w:r>
      <w:r w:rsidRPr="0058349C">
        <w:rPr>
          <w:rFonts w:ascii="Garamond" w:hAnsi="Garamond" w:cs="Arial"/>
          <w:b/>
          <w:sz w:val="24"/>
          <w:szCs w:val="24"/>
          <w:lang w:val="sq-AL"/>
        </w:rPr>
        <w:t>– duke e bërë bujqësinë më të varur nga sistemet e ujitjes dhe kullimit</w:t>
      </w:r>
      <w:r w:rsidRPr="0058349C">
        <w:rPr>
          <w:rFonts w:ascii="Garamond" w:hAnsi="Garamond" w:cs="Arial"/>
          <w:sz w:val="24"/>
          <w:szCs w:val="24"/>
          <w:lang w:val="sq-AL"/>
        </w:rPr>
        <w:t xml:space="preserve">. </w:t>
      </w:r>
    </w:p>
    <w:p w14:paraId="0773AE36"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lang w:val="sq-AL"/>
        </w:rPr>
        <w:t>Bujqësia shqiptare po integron praktikat më të mira për ndryshimet klimatike.</w:t>
      </w:r>
      <w:r w:rsidRPr="0058349C">
        <w:rPr>
          <w:rFonts w:ascii="Garamond" w:hAnsi="Garamond" w:cs="Arial"/>
          <w:sz w:val="24"/>
          <w:szCs w:val="24"/>
          <w:lang w:val="sq-AL"/>
        </w:rPr>
        <w:t xml:space="preserve"> Megjithatë, racat lokale të bagëtive të imta, që përbëjnë mbi 90% të dhive dhe 33% të deleve</w:t>
      </w:r>
      <w:r w:rsidRPr="005D50D7">
        <w:rPr>
          <w:rFonts w:ascii="Garamond" w:hAnsi="Garamond"/>
          <w:sz w:val="24"/>
          <w:szCs w:val="24"/>
          <w:vertAlign w:val="superscript"/>
        </w:rPr>
        <w:footnoteReference w:id="20"/>
      </w:r>
      <w:r w:rsidRPr="0058349C">
        <w:rPr>
          <w:rFonts w:ascii="Garamond" w:hAnsi="Garamond" w:cs="Arial"/>
          <w:sz w:val="24"/>
          <w:szCs w:val="24"/>
          <w:lang w:val="sq-AL"/>
        </w:rPr>
        <w:t>, janë përshtatur mirë dhe menaxhimi ekstensiv i tyre është një shprehje e përshtatjes/qëndrueshmërisë edhe ndaj ndryshimeve klimatike.</w:t>
      </w:r>
    </w:p>
    <w:p w14:paraId="0773AE37" w14:textId="52BD0AFD" w:rsidR="00DF7A00" w:rsidRPr="0058349C" w:rsidRDefault="00DF7A00" w:rsidP="00DF7A00">
      <w:pPr>
        <w:spacing w:after="0" w:line="240" w:lineRule="auto"/>
        <w:ind w:firstLine="284"/>
        <w:jc w:val="both"/>
        <w:rPr>
          <w:rFonts w:ascii="Garamond" w:hAnsi="Garamond" w:cs="Arial"/>
          <w:b/>
          <w:bCs/>
          <w:sz w:val="24"/>
          <w:szCs w:val="24"/>
          <w:lang w:val="sq-AL"/>
        </w:rPr>
      </w:pPr>
      <w:r w:rsidRPr="0058349C">
        <w:rPr>
          <w:rFonts w:ascii="Garamond" w:hAnsi="Garamond" w:cs="Arial"/>
          <w:b/>
          <w:bCs/>
          <w:sz w:val="24"/>
          <w:szCs w:val="24"/>
          <w:lang w:val="sq-AL"/>
        </w:rPr>
        <w:t xml:space="preserve">Pagesat direkte nuk janë të lidhura me asnjë kusht mjedisor. </w:t>
      </w:r>
      <w:r w:rsidRPr="0058349C">
        <w:rPr>
          <w:rFonts w:ascii="Garamond" w:hAnsi="Garamond" w:cs="Arial"/>
          <w:bCs/>
          <w:sz w:val="24"/>
          <w:szCs w:val="24"/>
          <w:lang w:val="sq-AL"/>
        </w:rPr>
        <w:t>Ndërsa,</w:t>
      </w:r>
      <w:r w:rsidRPr="0058349C">
        <w:rPr>
          <w:rFonts w:ascii="Garamond" w:hAnsi="Garamond" w:cs="Arial"/>
          <w:b/>
          <w:bCs/>
          <w:sz w:val="24"/>
          <w:szCs w:val="24"/>
          <w:lang w:val="sq-AL"/>
        </w:rPr>
        <w:t xml:space="preserve"> </w:t>
      </w:r>
      <w:r w:rsidRPr="0058349C">
        <w:rPr>
          <w:rFonts w:ascii="Garamond" w:hAnsi="Garamond" w:cs="Arial"/>
          <w:bCs/>
          <w:sz w:val="24"/>
          <w:szCs w:val="24"/>
          <w:lang w:val="sq-AL"/>
        </w:rPr>
        <w:t>IPARD III përfshin për herë të parë skemat për agromjedisin</w:t>
      </w:r>
      <w:r w:rsidR="00DF744C">
        <w:rPr>
          <w:rFonts w:ascii="Garamond" w:hAnsi="Garamond" w:cs="Arial"/>
          <w:bCs/>
          <w:sz w:val="24"/>
          <w:szCs w:val="24"/>
          <w:lang w:val="sq-AL"/>
        </w:rPr>
        <w:t xml:space="preserve"> – </w:t>
      </w:r>
      <w:r w:rsidRPr="0058349C">
        <w:rPr>
          <w:rFonts w:ascii="Garamond" w:hAnsi="Garamond" w:cs="Arial"/>
          <w:bCs/>
          <w:sz w:val="24"/>
          <w:szCs w:val="24"/>
          <w:lang w:val="sq-AL"/>
        </w:rPr>
        <w:t>prodhimin organik dhe masën për pyllëzim</w:t>
      </w:r>
      <w:r w:rsidRPr="0058349C">
        <w:rPr>
          <w:rFonts w:ascii="Garamond" w:hAnsi="Garamond" w:cs="Arial"/>
          <w:sz w:val="24"/>
          <w:szCs w:val="24"/>
          <w:lang w:val="sq-AL"/>
        </w:rPr>
        <w:t>.</w:t>
      </w:r>
    </w:p>
    <w:p w14:paraId="0773AE38" w14:textId="1E5CA860"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lang w:val="sq-AL"/>
        </w:rPr>
        <w:t xml:space="preserve">Zbutja e efektit të ndryshimeve klimatike aktualisht është një çështje me interes të kufizuar për fermerët, </w:t>
      </w:r>
      <w:r w:rsidRPr="0058349C">
        <w:rPr>
          <w:rFonts w:ascii="Garamond" w:hAnsi="Garamond" w:cs="Arial"/>
          <w:bCs/>
          <w:sz w:val="24"/>
          <w:szCs w:val="24"/>
          <w:lang w:val="sq-AL"/>
        </w:rPr>
        <w:t>për</w:t>
      </w:r>
      <w:r w:rsidR="00DF744C">
        <w:rPr>
          <w:rFonts w:ascii="Garamond" w:hAnsi="Garamond" w:cs="Arial"/>
          <w:bCs/>
          <w:sz w:val="24"/>
          <w:szCs w:val="24"/>
          <w:lang w:val="sq-AL"/>
        </w:rPr>
        <w:t xml:space="preserve"> </w:t>
      </w:r>
      <w:r w:rsidRPr="0058349C">
        <w:rPr>
          <w:rFonts w:ascii="Garamond" w:hAnsi="Garamond" w:cs="Arial"/>
          <w:bCs/>
          <w:sz w:val="24"/>
          <w:szCs w:val="24"/>
          <w:lang w:val="sq-AL"/>
        </w:rPr>
        <w:t>sa kohë</w:t>
      </w:r>
      <w:r w:rsidRPr="0058349C">
        <w:rPr>
          <w:rFonts w:ascii="Garamond" w:hAnsi="Garamond" w:cs="Arial"/>
          <w:b/>
          <w:bCs/>
          <w:sz w:val="24"/>
          <w:szCs w:val="24"/>
          <w:lang w:val="sq-AL"/>
        </w:rPr>
        <w:t xml:space="preserve"> </w:t>
      </w:r>
      <w:r w:rsidRPr="0058349C">
        <w:rPr>
          <w:rFonts w:ascii="Garamond" w:hAnsi="Garamond" w:cs="Arial"/>
          <w:bCs/>
          <w:sz w:val="24"/>
          <w:szCs w:val="24"/>
          <w:lang w:val="sq-AL"/>
        </w:rPr>
        <w:t>marrin prodhime të larta në kushtet e pengesave në zinxhirët e vlerës dhe konkurrencës në treg, të cilat janë ende çështje kritike për fermerin shqiptar. Përshtatja ndaj ndryshimeve klimatike është</w:t>
      </w:r>
      <w:r w:rsidR="00221E2F">
        <w:rPr>
          <w:rFonts w:ascii="Garamond" w:hAnsi="Garamond" w:cs="Arial"/>
          <w:bCs/>
          <w:sz w:val="24"/>
          <w:szCs w:val="24"/>
          <w:lang w:val="sq-AL"/>
        </w:rPr>
        <w:t>,</w:t>
      </w:r>
      <w:r w:rsidRPr="0058349C">
        <w:rPr>
          <w:rFonts w:ascii="Garamond" w:hAnsi="Garamond" w:cs="Arial"/>
          <w:bCs/>
          <w:sz w:val="24"/>
          <w:szCs w:val="24"/>
          <w:lang w:val="sq-AL"/>
        </w:rPr>
        <w:t xml:space="preserve"> gjithashtu</w:t>
      </w:r>
      <w:r w:rsidR="00221E2F">
        <w:rPr>
          <w:rFonts w:ascii="Garamond" w:hAnsi="Garamond" w:cs="Arial"/>
          <w:bCs/>
          <w:sz w:val="24"/>
          <w:szCs w:val="24"/>
          <w:lang w:val="sq-AL"/>
        </w:rPr>
        <w:t>,</w:t>
      </w:r>
      <w:r w:rsidRPr="0058349C">
        <w:rPr>
          <w:rFonts w:ascii="Garamond" w:hAnsi="Garamond" w:cs="Arial"/>
          <w:bCs/>
          <w:sz w:val="24"/>
          <w:szCs w:val="24"/>
          <w:lang w:val="sq-AL"/>
        </w:rPr>
        <w:t xml:space="preserve"> në një nivel të pamjaftueshëm ndërgjegjësimi, pavarësisht se është i lidhur drejtpërdrejt me prodhimin në fermë (p.sh. shfrytëzimi sa më i mirë i sezonit të zgjatur të kultivimit për rreth 15 ditë shtesë</w:t>
      </w:r>
      <w:r w:rsidRPr="0058349C">
        <w:rPr>
          <w:rStyle w:val="FootnoteReference"/>
          <w:rFonts w:ascii="Garamond" w:hAnsi="Garamond" w:cs="Arial"/>
          <w:bCs/>
          <w:sz w:val="24"/>
          <w:szCs w:val="24"/>
          <w:lang w:val="sq-AL"/>
        </w:rPr>
        <w:footnoteReference w:id="21"/>
      </w:r>
      <w:r w:rsidRPr="0058349C">
        <w:rPr>
          <w:rFonts w:ascii="Garamond" w:hAnsi="Garamond" w:cs="Arial"/>
          <w:bCs/>
          <w:sz w:val="24"/>
          <w:szCs w:val="24"/>
          <w:lang w:val="sq-AL"/>
        </w:rPr>
        <w:t>, aplikimi i praktikave për ruajtjen më të mirë të ujit në tokë – çka përmirëson</w:t>
      </w:r>
      <w:r w:rsidR="00CF7694" w:rsidRPr="0058349C">
        <w:rPr>
          <w:rFonts w:ascii="Garamond" w:hAnsi="Garamond" w:cs="Arial"/>
          <w:bCs/>
          <w:sz w:val="24"/>
          <w:szCs w:val="24"/>
          <w:lang w:val="sq-AL"/>
        </w:rPr>
        <w:t xml:space="preserve"> </w:t>
      </w:r>
      <w:r w:rsidRPr="0058349C">
        <w:rPr>
          <w:rFonts w:ascii="Garamond" w:hAnsi="Garamond" w:cs="Arial"/>
          <w:bCs/>
          <w:sz w:val="24"/>
          <w:szCs w:val="24"/>
          <w:lang w:val="sq-AL"/>
        </w:rPr>
        <w:t>qëndrueshmërinë e fermës etj.</w:t>
      </w:r>
      <w:r w:rsidRPr="0058349C">
        <w:rPr>
          <w:rFonts w:ascii="Garamond" w:hAnsi="Garamond" w:cs="Arial"/>
          <w:sz w:val="24"/>
          <w:szCs w:val="24"/>
          <w:lang w:val="sq-AL"/>
        </w:rPr>
        <w:t>).</w:t>
      </w:r>
    </w:p>
    <w:p w14:paraId="0773AE39" w14:textId="48BEC6E2" w:rsidR="00DF7A00" w:rsidRPr="00221E2F" w:rsidRDefault="00DF7A00" w:rsidP="00221E2F">
      <w:pPr>
        <w:pStyle w:val="TEKSTIIII"/>
        <w:rPr>
          <w:bCs/>
          <w:lang w:val="sq-AL"/>
        </w:rPr>
      </w:pPr>
      <w:bookmarkStart w:id="23" w:name="_Toc103838823"/>
      <w:r w:rsidRPr="0058349C">
        <w:rPr>
          <w:b/>
          <w:lang w:val="sq-AL"/>
        </w:rPr>
        <w:t>3.2.2.2 Politika 1</w:t>
      </w:r>
      <w:r w:rsidR="00221E2F">
        <w:rPr>
          <w:b/>
          <w:lang w:val="sq-AL"/>
        </w:rPr>
        <w:t>.</w:t>
      </w:r>
      <w:r w:rsidRPr="0058349C">
        <w:rPr>
          <w:b/>
          <w:lang w:val="sq-AL"/>
        </w:rPr>
        <w:t xml:space="preserve"> </w:t>
      </w:r>
      <w:r w:rsidR="00221E2F" w:rsidRPr="00221E2F">
        <w:rPr>
          <w:rStyle w:val="Heading3Char"/>
          <w:rFonts w:ascii="Garamond" w:hAnsi="Garamond"/>
          <w:bCs w:val="0"/>
          <w:color w:val="auto"/>
        </w:rPr>
        <w:t xml:space="preserve">Objektivi </w:t>
      </w:r>
      <w:r w:rsidR="00664693" w:rsidRPr="00221E2F">
        <w:rPr>
          <w:rStyle w:val="Heading3Char"/>
          <w:rFonts w:ascii="Garamond" w:hAnsi="Garamond"/>
          <w:bCs w:val="0"/>
          <w:color w:val="auto"/>
        </w:rPr>
        <w:t xml:space="preserve">specifik </w:t>
      </w:r>
      <w:r w:rsidRPr="00221E2F">
        <w:rPr>
          <w:rStyle w:val="Heading3Char"/>
          <w:rFonts w:ascii="Garamond" w:hAnsi="Garamond"/>
          <w:bCs w:val="0"/>
          <w:color w:val="auto"/>
        </w:rPr>
        <w:t>5: Nxitja e menaxhimit të qëndrueshëm dhe të efektshëm të burimeve natyrore</w:t>
      </w:r>
      <w:bookmarkEnd w:id="23"/>
    </w:p>
    <w:p w14:paraId="0773AE3A" w14:textId="762B382E"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Erozioni mbetet një sfidë për t</w:t>
      </w:r>
      <w:r w:rsidR="00CA7C34">
        <w:rPr>
          <w:rFonts w:ascii="Garamond" w:hAnsi="Garamond" w:cs="Arial"/>
          <w:sz w:val="24"/>
          <w:szCs w:val="24"/>
          <w:lang w:val="sq-AL"/>
        </w:rPr>
        <w:t>’</w:t>
      </w:r>
      <w:r w:rsidRPr="0058349C">
        <w:rPr>
          <w:rFonts w:ascii="Garamond" w:hAnsi="Garamond" w:cs="Arial"/>
          <w:sz w:val="24"/>
          <w:szCs w:val="24"/>
          <w:lang w:val="sq-AL"/>
        </w:rPr>
        <w:t xml:space="preserve">u përballur, nisur edhe nga vështirësitë e terrenit të cilat e favorizojnë fenomenin. </w:t>
      </w:r>
      <w:r w:rsidRPr="0058349C">
        <w:rPr>
          <w:rFonts w:ascii="Garamond" w:hAnsi="Garamond" w:cs="Arial"/>
          <w:bCs/>
          <w:sz w:val="24"/>
          <w:szCs w:val="24"/>
          <w:lang w:val="sq-AL"/>
        </w:rPr>
        <w:t>Shpatet e zhveshura janë veçanërisht të ekspozuara. Ujitja</w:t>
      </w:r>
      <w:r w:rsidR="00CA7C34">
        <w:rPr>
          <w:rFonts w:ascii="Garamond" w:hAnsi="Garamond" w:cs="Arial"/>
          <w:bCs/>
          <w:sz w:val="24"/>
          <w:szCs w:val="24"/>
          <w:lang w:val="sq-AL"/>
        </w:rPr>
        <w:t>,</w:t>
      </w:r>
      <w:r w:rsidRPr="0058349C">
        <w:rPr>
          <w:rFonts w:ascii="Garamond" w:hAnsi="Garamond" w:cs="Arial"/>
          <w:bCs/>
          <w:sz w:val="24"/>
          <w:szCs w:val="24"/>
          <w:lang w:val="sq-AL"/>
        </w:rPr>
        <w:t xml:space="preserve"> gjithashtu</w:t>
      </w:r>
      <w:r w:rsidR="00CA7C34">
        <w:rPr>
          <w:rFonts w:ascii="Garamond" w:hAnsi="Garamond" w:cs="Arial"/>
          <w:bCs/>
          <w:sz w:val="24"/>
          <w:szCs w:val="24"/>
          <w:lang w:val="sq-AL"/>
        </w:rPr>
        <w:t>,</w:t>
      </w:r>
      <w:r w:rsidRPr="0058349C">
        <w:rPr>
          <w:rFonts w:ascii="Garamond" w:hAnsi="Garamond" w:cs="Arial"/>
          <w:bCs/>
          <w:sz w:val="24"/>
          <w:szCs w:val="24"/>
          <w:lang w:val="sq-AL"/>
        </w:rPr>
        <w:t xml:space="preserve"> përshpejton erozionin, nëse uji përdoret në mënyrë joefikase. Përdorimi i ujit nëntokësor ka sjellë në disa raste kripëzimin të sipërfaqeve tokës</w:t>
      </w:r>
      <w:r w:rsidRPr="0058349C">
        <w:rPr>
          <w:rFonts w:ascii="Garamond" w:hAnsi="Garamond" w:cs="Arial"/>
          <w:sz w:val="24"/>
          <w:szCs w:val="24"/>
          <w:lang w:val="sq-AL"/>
        </w:rPr>
        <w:t>.</w:t>
      </w:r>
    </w:p>
    <w:p w14:paraId="0773AE3B" w14:textId="731740E2" w:rsidR="00DF7A00" w:rsidRPr="0058349C" w:rsidRDefault="00DF7A00" w:rsidP="00DF7A00">
      <w:pPr>
        <w:spacing w:after="0" w:line="240" w:lineRule="auto"/>
        <w:ind w:firstLine="284"/>
        <w:jc w:val="both"/>
        <w:rPr>
          <w:rFonts w:ascii="Garamond" w:hAnsi="Garamond" w:cs="Arial"/>
          <w:strike/>
          <w:sz w:val="24"/>
          <w:szCs w:val="24"/>
          <w:lang w:val="sq-AL"/>
        </w:rPr>
      </w:pPr>
      <w:r w:rsidRPr="0058349C">
        <w:rPr>
          <w:rFonts w:ascii="Garamond" w:hAnsi="Garamond" w:cs="Arial"/>
          <w:b/>
          <w:bCs/>
          <w:sz w:val="24"/>
          <w:szCs w:val="24"/>
          <w:lang w:val="sq-AL"/>
        </w:rPr>
        <w:t xml:space="preserve">Djegia e kashtës në ara </w:t>
      </w:r>
      <w:r w:rsidRPr="0058349C">
        <w:rPr>
          <w:rFonts w:ascii="Garamond" w:hAnsi="Garamond" w:cs="Arial"/>
          <w:bCs/>
          <w:sz w:val="24"/>
          <w:szCs w:val="24"/>
          <w:lang w:val="sq-AL"/>
        </w:rPr>
        <w:t>e varfëron lëndën organike të tokës së punueshme dhe, përveç kësaj, nga zjarret rrezikohen pyjet, drurët frutorë</w:t>
      </w:r>
      <w:r w:rsidR="00CF7694" w:rsidRPr="0058349C">
        <w:rPr>
          <w:rFonts w:ascii="Garamond" w:hAnsi="Garamond" w:cs="Arial"/>
          <w:bCs/>
          <w:sz w:val="24"/>
          <w:szCs w:val="24"/>
          <w:lang w:val="sq-AL"/>
        </w:rPr>
        <w:t xml:space="preserve"> </w:t>
      </w:r>
      <w:r w:rsidRPr="0058349C">
        <w:rPr>
          <w:rFonts w:ascii="Garamond" w:hAnsi="Garamond" w:cs="Arial"/>
          <w:bCs/>
          <w:sz w:val="24"/>
          <w:szCs w:val="24"/>
          <w:lang w:val="sq-AL"/>
        </w:rPr>
        <w:t>dhe objekte të tjera publike dhe private</w:t>
      </w:r>
      <w:r w:rsidR="00CA7C34">
        <w:rPr>
          <w:rFonts w:ascii="Garamond" w:hAnsi="Garamond" w:cs="Arial"/>
          <w:bCs/>
          <w:sz w:val="24"/>
          <w:szCs w:val="24"/>
          <w:lang w:val="sq-AL"/>
        </w:rPr>
        <w:t>.</w:t>
      </w:r>
      <w:r w:rsidRPr="00CA7C34">
        <w:rPr>
          <w:rStyle w:val="FootnoteReference"/>
          <w:rFonts w:ascii="Garamond" w:hAnsi="Garamond" w:cs="Arial"/>
          <w:sz w:val="24"/>
          <w:szCs w:val="24"/>
          <w:lang w:val="sq-AL"/>
        </w:rPr>
        <w:footnoteReference w:id="22"/>
      </w:r>
    </w:p>
    <w:p w14:paraId="0773AE3C" w14:textId="244D2F6A"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Për sa i përket </w:t>
      </w:r>
      <w:r w:rsidRPr="00CA7C34">
        <w:rPr>
          <w:rFonts w:ascii="Garamond" w:hAnsi="Garamond" w:cs="Arial"/>
          <w:b/>
          <w:sz w:val="24"/>
          <w:szCs w:val="24"/>
          <w:lang w:val="sq-AL"/>
        </w:rPr>
        <w:t>disponueshmërisë së</w:t>
      </w:r>
      <w:r w:rsidRPr="0058349C">
        <w:rPr>
          <w:rFonts w:ascii="Garamond" w:hAnsi="Garamond" w:cs="Arial"/>
          <w:b/>
          <w:sz w:val="24"/>
          <w:szCs w:val="24"/>
          <w:lang w:val="sq-AL"/>
        </w:rPr>
        <w:t xml:space="preserve"> ujërave,</w:t>
      </w:r>
      <w:r w:rsidRPr="0058349C">
        <w:rPr>
          <w:rFonts w:ascii="Garamond" w:hAnsi="Garamond" w:cs="Arial"/>
          <w:sz w:val="24"/>
          <w:szCs w:val="24"/>
          <w:lang w:val="sq-AL"/>
        </w:rPr>
        <w:t xml:space="preserve"> Shqipëria konsiderohet relativisht e pasur me burime të ujërave të ëmbla me 7 lumenjtë kryesorë që rrjedhin në drejtim të lindjes. Vëllimi i përgjithshëm i prurjes së lumenjve është 39 miliard</w:t>
      </w:r>
      <w:r w:rsidR="0035424D">
        <w:rPr>
          <w:rFonts w:ascii="Garamond" w:hAnsi="Garamond" w:cs="Arial"/>
          <w:sz w:val="24"/>
          <w:szCs w:val="24"/>
          <w:lang w:val="sq-AL"/>
        </w:rPr>
        <w:t>ë</w:t>
      </w:r>
      <w:r w:rsidRPr="0058349C">
        <w:rPr>
          <w:rFonts w:ascii="Garamond" w:hAnsi="Garamond" w:cs="Arial"/>
          <w:sz w:val="24"/>
          <w:szCs w:val="24"/>
          <w:lang w:val="sq-AL"/>
        </w:rPr>
        <w:t xml:space="preserve"> m</w:t>
      </w:r>
      <w:r w:rsidRPr="0035424D">
        <w:rPr>
          <w:rFonts w:ascii="Garamond" w:hAnsi="Garamond" w:cs="Arial"/>
          <w:sz w:val="24"/>
          <w:szCs w:val="24"/>
          <w:vertAlign w:val="superscript"/>
          <w:lang w:val="sq-AL"/>
        </w:rPr>
        <w:t>3</w:t>
      </w:r>
      <w:r w:rsidRPr="0058349C">
        <w:rPr>
          <w:rFonts w:ascii="Garamond" w:hAnsi="Garamond" w:cs="Arial"/>
          <w:sz w:val="24"/>
          <w:szCs w:val="24"/>
          <w:lang w:val="sq-AL"/>
        </w:rPr>
        <w:t>/vit. Megjithatë, ekziston një mospërputhje e fortë ndërmjet periudhës së lagësht (tet</w:t>
      </w:r>
      <w:r w:rsidR="0035424D">
        <w:rPr>
          <w:rFonts w:ascii="Garamond" w:hAnsi="Garamond" w:cs="Arial"/>
          <w:sz w:val="24"/>
          <w:szCs w:val="24"/>
          <w:lang w:val="sq-AL"/>
        </w:rPr>
        <w:t>or–</w:t>
      </w:r>
      <w:r w:rsidRPr="0058349C">
        <w:rPr>
          <w:rFonts w:ascii="Garamond" w:hAnsi="Garamond" w:cs="Arial"/>
          <w:sz w:val="24"/>
          <w:szCs w:val="24"/>
          <w:lang w:val="sq-AL"/>
        </w:rPr>
        <w:t>maj, me 86% të prurjes vjetore të ujit)</w:t>
      </w:r>
      <w:r w:rsidRPr="0058349C">
        <w:rPr>
          <w:rStyle w:val="FootnoteReference"/>
          <w:rFonts w:ascii="Garamond" w:hAnsi="Garamond" w:cs="Arial"/>
          <w:sz w:val="24"/>
          <w:szCs w:val="24"/>
          <w:lang w:val="sq-AL"/>
        </w:rPr>
        <w:footnoteReference w:id="23"/>
      </w:r>
      <w:r w:rsidRPr="0058349C">
        <w:rPr>
          <w:rFonts w:ascii="Garamond" w:hAnsi="Garamond" w:cs="Arial"/>
          <w:sz w:val="24"/>
          <w:szCs w:val="24"/>
          <w:lang w:val="sq-AL"/>
        </w:rPr>
        <w:t xml:space="preserve"> në krahasim me periudhën e thatë, duke e bërë bujqësinë të ndjeshme ndaj mungesës së ujit gjatë sezonit të rritjes.</w:t>
      </w:r>
    </w:p>
    <w:p w14:paraId="0773AE3D" w14:textId="5589AB84"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Bujqësia është përdoruesi më i madh i ujit të ëmbël</w:t>
      </w:r>
      <w:r w:rsidRPr="0058349C">
        <w:rPr>
          <w:rFonts w:ascii="Garamond" w:hAnsi="Garamond" w:cs="Arial"/>
          <w:sz w:val="24"/>
          <w:szCs w:val="24"/>
          <w:lang w:val="sq-AL"/>
        </w:rPr>
        <w:t>, duke zënë 40 deri në 60% të totalit</w:t>
      </w:r>
      <w:r w:rsidRPr="0058349C">
        <w:rPr>
          <w:rStyle w:val="FootnoteReference"/>
          <w:rFonts w:ascii="Garamond" w:hAnsi="Garamond" w:cs="Arial"/>
          <w:sz w:val="24"/>
          <w:szCs w:val="24"/>
          <w:lang w:val="sq-AL"/>
        </w:rPr>
        <w:footnoteReference w:id="24"/>
      </w:r>
      <w:r w:rsidRPr="0058349C">
        <w:rPr>
          <w:rFonts w:ascii="Garamond" w:hAnsi="Garamond" w:cs="Arial"/>
          <w:sz w:val="24"/>
          <w:szCs w:val="24"/>
          <w:lang w:val="sq-AL"/>
        </w:rPr>
        <w:t>, në varësi të variacionit vjetor të reshjeve dhe strukturës së kulturave bujqësore. Në total, janë</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670 RUB, me një sipërfaqe totale të pasqyrës ujore prej rreth 6758 ha.</w:t>
      </w:r>
    </w:p>
    <w:p w14:paraId="0773AE3E" w14:textId="5A14693F" w:rsidR="00DF7A00" w:rsidRPr="0058349C" w:rsidRDefault="00DF7A00" w:rsidP="00183D84">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Direktiva e Nitrateve nuk është transpozuar ende, kështu që ende nuk është detyrim që të zbatohen kushtet mjedisore për menaxhimin e plehut organik në ferma në kuadër të skemave të IPARD. Akoma nuk është i detyrueshëm Kodi i Praktikave të Mira Bujqësore për shmangien e ndotjes me nitrate të shkaktuar nga bujqësia. Po kështu, duhet të përmbushen detyrimet </w:t>
      </w:r>
      <w:r w:rsidRPr="0058349C">
        <w:rPr>
          <w:rFonts w:ascii="Garamond" w:hAnsi="Garamond" w:cs="Arial"/>
          <w:sz w:val="24"/>
          <w:szCs w:val="24"/>
          <w:lang w:val="sq-AL"/>
        </w:rPr>
        <w:lastRenderedPageBreak/>
        <w:t xml:space="preserve">ndërkombëtare </w:t>
      </w:r>
      <w:r w:rsidRPr="0058349C">
        <w:rPr>
          <w:rFonts w:ascii="Garamond" w:hAnsi="Garamond"/>
          <w:sz w:val="24"/>
          <w:szCs w:val="24"/>
          <w:lang w:val="sq-AL"/>
        </w:rPr>
        <w:t>lidhur me nivele</w:t>
      </w:r>
      <w:r w:rsidR="00FA7364">
        <w:rPr>
          <w:rFonts w:ascii="Garamond" w:hAnsi="Garamond"/>
          <w:sz w:val="24"/>
          <w:szCs w:val="24"/>
          <w:lang w:val="sq-AL"/>
        </w:rPr>
        <w:t>t e shkarkimeve nga aktivitete</w:t>
      </w:r>
      <w:r w:rsidRPr="0058349C">
        <w:rPr>
          <w:rFonts w:ascii="Garamond" w:hAnsi="Garamond"/>
          <w:sz w:val="24"/>
          <w:szCs w:val="24"/>
          <w:lang w:val="sq-AL"/>
        </w:rPr>
        <w:t xml:space="preserve">t ekonomike të sektorit, </w:t>
      </w:r>
      <w:r w:rsidRPr="0058349C">
        <w:rPr>
          <w:rFonts w:ascii="Garamond" w:hAnsi="Garamond" w:cs="Arial"/>
          <w:sz w:val="24"/>
          <w:szCs w:val="24"/>
          <w:lang w:val="sq-AL"/>
        </w:rPr>
        <w:t xml:space="preserve">që </w:t>
      </w:r>
      <w:r w:rsidRPr="0058349C">
        <w:rPr>
          <w:rFonts w:ascii="Garamond" w:hAnsi="Garamond"/>
          <w:sz w:val="24"/>
          <w:szCs w:val="24"/>
          <w:lang w:val="sq-AL"/>
        </w:rPr>
        <w:t xml:space="preserve">i lindin vendit tonë në zbatim të </w:t>
      </w:r>
      <w:r w:rsidR="00EC3A15" w:rsidRPr="0058349C">
        <w:rPr>
          <w:rFonts w:ascii="Garamond" w:hAnsi="Garamond"/>
          <w:sz w:val="24"/>
          <w:szCs w:val="24"/>
          <w:lang w:val="sq-AL"/>
        </w:rPr>
        <w:t>Konventës</w:t>
      </w:r>
      <w:r w:rsidRPr="0058349C">
        <w:rPr>
          <w:rFonts w:ascii="Garamond" w:hAnsi="Garamond"/>
          <w:sz w:val="24"/>
          <w:szCs w:val="24"/>
          <w:lang w:val="sq-AL"/>
        </w:rPr>
        <w:t xml:space="preserve"> së Ajrit (CLRTAP), aderuar me </w:t>
      </w:r>
      <w:r w:rsidR="00EC3A15" w:rsidRPr="0058349C">
        <w:rPr>
          <w:rFonts w:ascii="Garamond" w:hAnsi="Garamond"/>
          <w:sz w:val="24"/>
          <w:szCs w:val="24"/>
          <w:lang w:val="sq-AL"/>
        </w:rPr>
        <w:t xml:space="preserve">ligjin </w:t>
      </w:r>
      <w:r w:rsidRPr="0058349C">
        <w:rPr>
          <w:rFonts w:ascii="Garamond" w:hAnsi="Garamond"/>
          <w:sz w:val="24"/>
          <w:szCs w:val="24"/>
          <w:lang w:val="sq-AL"/>
        </w:rPr>
        <w:t>nr. 9425,</w:t>
      </w:r>
      <w:r w:rsidR="00EC3A15">
        <w:rPr>
          <w:rFonts w:ascii="Garamond" w:hAnsi="Garamond"/>
          <w:sz w:val="24"/>
          <w:szCs w:val="24"/>
          <w:lang w:val="sq-AL"/>
        </w:rPr>
        <w:t xml:space="preserve"> </w:t>
      </w:r>
      <w:r w:rsidRPr="0058349C">
        <w:rPr>
          <w:rFonts w:ascii="Garamond" w:hAnsi="Garamond"/>
          <w:sz w:val="24"/>
          <w:szCs w:val="24"/>
          <w:lang w:val="sq-AL"/>
        </w:rPr>
        <w:t>datë 6.10.2005</w:t>
      </w:r>
      <w:r w:rsidR="00A20C91">
        <w:rPr>
          <w:rFonts w:ascii="Garamond" w:hAnsi="Garamond"/>
          <w:sz w:val="24"/>
          <w:szCs w:val="24"/>
          <w:lang w:val="sq-AL"/>
        </w:rPr>
        <w:t>,</w:t>
      </w:r>
      <w:r w:rsidR="00D56192" w:rsidRPr="0058349C">
        <w:rPr>
          <w:rFonts w:ascii="Garamond" w:hAnsi="Garamond"/>
          <w:sz w:val="24"/>
          <w:szCs w:val="24"/>
          <w:lang w:val="sq-AL"/>
        </w:rPr>
        <w:t xml:space="preserve"> </w:t>
      </w:r>
      <w:r w:rsidR="00664693" w:rsidRPr="0058349C">
        <w:rPr>
          <w:rFonts w:ascii="Garamond" w:hAnsi="Garamond"/>
          <w:sz w:val="24"/>
          <w:szCs w:val="24"/>
          <w:lang w:val="sq-AL"/>
        </w:rPr>
        <w:t>“</w:t>
      </w:r>
      <w:r w:rsidR="00D56192" w:rsidRPr="0058349C">
        <w:rPr>
          <w:rFonts w:ascii="Garamond" w:hAnsi="Garamond"/>
          <w:sz w:val="24"/>
          <w:szCs w:val="24"/>
          <w:lang w:val="sq-AL"/>
        </w:rPr>
        <w:t>Për</w:t>
      </w:r>
      <w:r w:rsidRPr="0058349C">
        <w:rPr>
          <w:rFonts w:ascii="Garamond" w:hAnsi="Garamond"/>
          <w:sz w:val="24"/>
          <w:szCs w:val="24"/>
          <w:lang w:val="sq-AL"/>
        </w:rPr>
        <w:t xml:space="preserve"> aderimin e Republikës së Shqipërisë në Konventën e </w:t>
      </w:r>
      <w:r w:rsidR="00EC3A15" w:rsidRPr="0058349C">
        <w:rPr>
          <w:rFonts w:ascii="Garamond" w:hAnsi="Garamond"/>
          <w:sz w:val="24"/>
          <w:szCs w:val="24"/>
          <w:lang w:val="sq-AL"/>
        </w:rPr>
        <w:t xml:space="preserve">vitit </w:t>
      </w:r>
      <w:r w:rsidRPr="0058349C">
        <w:rPr>
          <w:rFonts w:ascii="Garamond" w:hAnsi="Garamond"/>
          <w:sz w:val="24"/>
          <w:szCs w:val="24"/>
          <w:lang w:val="sq-AL"/>
        </w:rPr>
        <w:t>1979</w:t>
      </w:r>
      <w:r w:rsidR="00EC3A15">
        <w:rPr>
          <w:rFonts w:ascii="Garamond" w:hAnsi="Garamond"/>
          <w:sz w:val="24"/>
          <w:szCs w:val="24"/>
          <w:lang w:val="sq-AL"/>
        </w:rPr>
        <w:t>,  ‘</w:t>
      </w:r>
      <w:r w:rsidRPr="0058349C">
        <w:rPr>
          <w:rFonts w:ascii="Garamond" w:hAnsi="Garamond"/>
          <w:sz w:val="24"/>
          <w:szCs w:val="24"/>
          <w:lang w:val="sq-AL"/>
        </w:rPr>
        <w:t xml:space="preserve">Për </w:t>
      </w:r>
      <w:r w:rsidR="00EC3A15" w:rsidRPr="0058349C">
        <w:rPr>
          <w:rFonts w:ascii="Garamond" w:hAnsi="Garamond"/>
          <w:sz w:val="24"/>
          <w:szCs w:val="24"/>
          <w:lang w:val="sq-AL"/>
        </w:rPr>
        <w:t>ndotjen ndërkufitare të ajrit në distancë të madhe</w:t>
      </w:r>
      <w:r w:rsidR="00EC3A15">
        <w:rPr>
          <w:rFonts w:ascii="Garamond" w:hAnsi="Garamond"/>
          <w:sz w:val="24"/>
          <w:szCs w:val="24"/>
          <w:lang w:val="sq-AL"/>
        </w:rPr>
        <w:t>’</w:t>
      </w:r>
      <w:r w:rsidR="00664693" w:rsidRPr="0058349C">
        <w:rPr>
          <w:rFonts w:ascii="Garamond" w:hAnsi="Garamond"/>
          <w:sz w:val="24"/>
          <w:szCs w:val="24"/>
          <w:lang w:val="sq-AL"/>
        </w:rPr>
        <w:t>”</w:t>
      </w:r>
      <w:r w:rsidRPr="0058349C">
        <w:rPr>
          <w:rFonts w:ascii="Garamond" w:hAnsi="Garamond"/>
          <w:sz w:val="24"/>
          <w:szCs w:val="24"/>
          <w:lang w:val="sq-AL"/>
        </w:rPr>
        <w:t xml:space="preserve"> dhe </w:t>
      </w:r>
      <w:r w:rsidR="00EC3A15" w:rsidRPr="0058349C">
        <w:rPr>
          <w:rFonts w:ascii="Garamond" w:hAnsi="Garamond"/>
          <w:sz w:val="24"/>
          <w:szCs w:val="24"/>
          <w:lang w:val="sq-AL"/>
        </w:rPr>
        <w:t xml:space="preserve">protokolleve </w:t>
      </w:r>
      <w:r w:rsidRPr="0058349C">
        <w:rPr>
          <w:rFonts w:ascii="Garamond" w:hAnsi="Garamond"/>
          <w:sz w:val="24"/>
          <w:szCs w:val="24"/>
          <w:lang w:val="sq-AL"/>
        </w:rPr>
        <w:t>t</w:t>
      </w:r>
      <w:r w:rsidR="00183D84">
        <w:rPr>
          <w:rFonts w:ascii="Garamond" w:hAnsi="Garamond"/>
          <w:sz w:val="24"/>
          <w:szCs w:val="24"/>
          <w:lang w:val="sq-AL"/>
        </w:rPr>
        <w:t>ë</w:t>
      </w:r>
      <w:r w:rsidRPr="0058349C">
        <w:rPr>
          <w:rFonts w:ascii="Garamond" w:hAnsi="Garamond"/>
          <w:sz w:val="24"/>
          <w:szCs w:val="24"/>
          <w:lang w:val="sq-AL"/>
        </w:rPr>
        <w:t xml:space="preserve"> saj. </w:t>
      </w:r>
    </w:p>
    <w:p w14:paraId="0773AE3F" w14:textId="1B0F514C" w:rsidR="00DF7A00" w:rsidRPr="0058349C" w:rsidRDefault="00DF7A00" w:rsidP="00950707">
      <w:pPr>
        <w:spacing w:after="0" w:line="240" w:lineRule="auto"/>
        <w:ind w:firstLine="284"/>
        <w:jc w:val="both"/>
        <w:rPr>
          <w:rFonts w:ascii="Garamond" w:hAnsi="Garamond" w:cs="Arial"/>
          <w:sz w:val="24"/>
          <w:szCs w:val="24"/>
          <w:lang w:val="sq-AL"/>
        </w:rPr>
      </w:pPr>
      <w:r w:rsidRPr="0058349C">
        <w:rPr>
          <w:rFonts w:ascii="Garamond" w:hAnsi="Garamond" w:cs="Arial"/>
          <w:bCs/>
          <w:sz w:val="24"/>
          <w:szCs w:val="24"/>
          <w:lang w:val="sq-AL"/>
        </w:rPr>
        <w:t>Ndikimi i bujqësisë në ndotjen e ujërave nëntokësore ndodh për shkak të ruajtjes dhe përdorimit jo të duhur të</w:t>
      </w:r>
      <w:r w:rsidRPr="0058349C">
        <w:rPr>
          <w:rFonts w:ascii="Garamond" w:hAnsi="Garamond" w:cs="Arial"/>
          <w:b/>
          <w:bCs/>
          <w:sz w:val="24"/>
          <w:szCs w:val="24"/>
          <w:lang w:val="sq-AL"/>
        </w:rPr>
        <w:t xml:space="preserve"> pesticideve, </w:t>
      </w:r>
      <w:r w:rsidRPr="0058349C">
        <w:rPr>
          <w:rFonts w:ascii="Garamond" w:hAnsi="Garamond" w:cs="Arial"/>
          <w:bCs/>
          <w:sz w:val="24"/>
          <w:szCs w:val="24"/>
          <w:lang w:val="sq-AL"/>
        </w:rPr>
        <w:t>gj</w:t>
      </w:r>
      <w:r w:rsidRPr="0058349C">
        <w:rPr>
          <w:rFonts w:ascii="Garamond" w:hAnsi="Garamond"/>
          <w:sz w:val="24"/>
          <w:szCs w:val="24"/>
          <w:lang w:val="sq-AL"/>
        </w:rPr>
        <w:t xml:space="preserve">ë që </w:t>
      </w:r>
      <w:r w:rsidRPr="0058349C">
        <w:rPr>
          <w:rFonts w:ascii="Garamond" w:hAnsi="Garamond" w:cs="Arial"/>
          <w:bCs/>
          <w:sz w:val="24"/>
          <w:szCs w:val="24"/>
          <w:lang w:val="sq-AL"/>
        </w:rPr>
        <w:t>duhet</w:t>
      </w:r>
      <w:r w:rsidR="00950707">
        <w:rPr>
          <w:rFonts w:ascii="Garamond" w:hAnsi="Garamond" w:cs="Arial"/>
          <w:bCs/>
          <w:sz w:val="24"/>
          <w:szCs w:val="24"/>
          <w:lang w:val="sq-AL"/>
        </w:rPr>
        <w:t>,</w:t>
      </w:r>
      <w:r w:rsidRPr="0058349C">
        <w:rPr>
          <w:rFonts w:ascii="Garamond" w:hAnsi="Garamond" w:cs="Arial"/>
          <w:bCs/>
          <w:sz w:val="24"/>
          <w:szCs w:val="24"/>
          <w:lang w:val="sq-AL"/>
        </w:rPr>
        <w:t xml:space="preserve"> gjithashtu</w:t>
      </w:r>
      <w:r w:rsidR="00950707">
        <w:rPr>
          <w:rFonts w:ascii="Garamond" w:hAnsi="Garamond" w:cs="Arial"/>
          <w:bCs/>
          <w:sz w:val="24"/>
          <w:szCs w:val="24"/>
          <w:lang w:val="sq-AL"/>
        </w:rPr>
        <w:t>,</w:t>
      </w:r>
      <w:r w:rsidRPr="0058349C">
        <w:rPr>
          <w:rFonts w:ascii="Garamond" w:hAnsi="Garamond" w:cs="Arial"/>
          <w:bCs/>
          <w:sz w:val="24"/>
          <w:szCs w:val="24"/>
          <w:lang w:val="sq-AL"/>
        </w:rPr>
        <w:t xml:space="preserve"> të p</w:t>
      </w:r>
      <w:r w:rsidRPr="0058349C">
        <w:rPr>
          <w:rFonts w:ascii="Garamond" w:hAnsi="Garamond"/>
          <w:sz w:val="24"/>
          <w:szCs w:val="24"/>
          <w:lang w:val="sq-AL"/>
        </w:rPr>
        <w:t>ërmirësohet</w:t>
      </w:r>
      <w:r w:rsidRPr="0058349C">
        <w:rPr>
          <w:rFonts w:ascii="Garamond" w:hAnsi="Garamond" w:cs="Arial"/>
          <w:sz w:val="24"/>
          <w:szCs w:val="24"/>
          <w:lang w:val="sq-AL"/>
        </w:rPr>
        <w:t>, por edhe t</w:t>
      </w:r>
      <w:r w:rsidRPr="0058349C">
        <w:rPr>
          <w:rFonts w:ascii="Garamond" w:hAnsi="Garamond"/>
          <w:sz w:val="24"/>
          <w:szCs w:val="24"/>
          <w:lang w:val="sq-AL"/>
        </w:rPr>
        <w:t xml:space="preserve">ë </w:t>
      </w:r>
      <w:r w:rsidRPr="0058349C">
        <w:rPr>
          <w:rFonts w:ascii="Garamond" w:hAnsi="Garamond" w:cs="Arial"/>
          <w:sz w:val="24"/>
          <w:szCs w:val="24"/>
          <w:lang w:val="sq-AL"/>
        </w:rPr>
        <w:t>shfryt</w:t>
      </w:r>
      <w:r w:rsidRPr="0058349C">
        <w:rPr>
          <w:rFonts w:ascii="Garamond" w:hAnsi="Garamond" w:cs="Arial"/>
          <w:bCs/>
          <w:sz w:val="24"/>
          <w:szCs w:val="24"/>
          <w:lang w:val="sq-AL"/>
        </w:rPr>
        <w:t>ëzimit m</w:t>
      </w:r>
      <w:r w:rsidRPr="0058349C">
        <w:rPr>
          <w:rFonts w:ascii="Garamond" w:hAnsi="Garamond"/>
          <w:sz w:val="24"/>
          <w:szCs w:val="24"/>
          <w:lang w:val="sq-AL"/>
        </w:rPr>
        <w:t>ë</w:t>
      </w:r>
      <w:r w:rsidRPr="0058349C">
        <w:rPr>
          <w:rFonts w:ascii="Garamond" w:hAnsi="Garamond" w:cs="Arial"/>
          <w:bCs/>
          <w:sz w:val="24"/>
          <w:szCs w:val="24"/>
          <w:lang w:val="sq-AL"/>
        </w:rPr>
        <w:t xml:space="preserve"> intensiv të</w:t>
      </w:r>
      <w:r w:rsidRPr="0058349C">
        <w:rPr>
          <w:rFonts w:ascii="Garamond" w:hAnsi="Garamond" w:cs="Arial"/>
          <w:sz w:val="24"/>
          <w:szCs w:val="24"/>
          <w:lang w:val="sq-AL"/>
        </w:rPr>
        <w:t xml:space="preserve"> </w:t>
      </w:r>
      <w:r w:rsidR="00950707">
        <w:rPr>
          <w:rFonts w:ascii="Garamond" w:hAnsi="Garamond" w:cs="Arial"/>
          <w:b/>
          <w:sz w:val="24"/>
          <w:szCs w:val="24"/>
          <w:lang w:val="sq-AL"/>
        </w:rPr>
        <w:t>racave shumë</w:t>
      </w:r>
      <w:r w:rsidRPr="0058349C">
        <w:rPr>
          <w:rFonts w:ascii="Garamond" w:hAnsi="Garamond" w:cs="Arial"/>
          <w:b/>
          <w:sz w:val="24"/>
          <w:szCs w:val="24"/>
          <w:lang w:val="sq-AL"/>
        </w:rPr>
        <w:t xml:space="preserve">produktive të gjedheve </w:t>
      </w:r>
      <w:r w:rsidRPr="00950707">
        <w:rPr>
          <w:rFonts w:ascii="Garamond" w:hAnsi="Garamond" w:cs="Arial"/>
          <w:bCs/>
          <w:sz w:val="24"/>
          <w:szCs w:val="24"/>
          <w:lang w:val="sq-AL"/>
        </w:rPr>
        <w:t>t</w:t>
      </w:r>
      <w:r w:rsidRPr="0058349C">
        <w:rPr>
          <w:rFonts w:ascii="Garamond" w:hAnsi="Garamond" w:cs="Arial"/>
          <w:bCs/>
          <w:sz w:val="24"/>
          <w:szCs w:val="24"/>
          <w:lang w:val="sq-AL"/>
        </w:rPr>
        <w:t xml:space="preserve">ë cilat </w:t>
      </w:r>
      <w:r w:rsidRPr="0058349C">
        <w:rPr>
          <w:rFonts w:ascii="Garamond" w:hAnsi="Garamond" w:cs="Arial"/>
          <w:b/>
          <w:sz w:val="24"/>
          <w:szCs w:val="24"/>
          <w:lang w:val="sq-AL"/>
        </w:rPr>
        <w:t xml:space="preserve">zënë një pjesë të madhe të fermave të blegtorisë. </w:t>
      </w:r>
      <w:r w:rsidRPr="0058349C">
        <w:rPr>
          <w:rFonts w:ascii="Garamond" w:hAnsi="Garamond" w:cs="Arial"/>
          <w:sz w:val="24"/>
          <w:szCs w:val="24"/>
          <w:lang w:val="sq-AL"/>
        </w:rPr>
        <w:t>Rritja e prodhimtari</w:t>
      </w:r>
      <w:r w:rsidRPr="0058349C">
        <w:rPr>
          <w:rFonts w:ascii="Garamond" w:hAnsi="Garamond" w:cs="Arial"/>
          <w:bCs/>
          <w:sz w:val="24"/>
          <w:szCs w:val="24"/>
          <w:lang w:val="sq-AL"/>
        </w:rPr>
        <w:t>së shoqërohet me rritjen e sasive të ushqimit dhe mbetjeve</w:t>
      </w:r>
      <w:r w:rsidRPr="0058349C">
        <w:rPr>
          <w:rFonts w:ascii="Garamond" w:hAnsi="Garamond" w:cs="Arial"/>
          <w:sz w:val="24"/>
          <w:szCs w:val="24"/>
          <w:lang w:val="sq-AL"/>
        </w:rPr>
        <w:t>, e si rrjedhoj</w:t>
      </w:r>
      <w:r w:rsidRPr="0058349C">
        <w:rPr>
          <w:rFonts w:ascii="Garamond" w:hAnsi="Garamond" w:cs="Arial"/>
          <w:bCs/>
          <w:sz w:val="24"/>
          <w:szCs w:val="24"/>
          <w:lang w:val="sq-AL"/>
        </w:rPr>
        <w:t>ë</w:t>
      </w:r>
      <w:r w:rsidRPr="0058349C">
        <w:rPr>
          <w:rFonts w:ascii="Garamond" w:hAnsi="Garamond" w:cs="Arial"/>
          <w:sz w:val="24"/>
          <w:szCs w:val="24"/>
          <w:lang w:val="sq-AL"/>
        </w:rPr>
        <w:t xml:space="preserve"> sasia e plehut organik dhe përmbajtja e tij me azot, si dhe përdorimi i barnave veterinare </w:t>
      </w:r>
      <w:r w:rsidRPr="0058349C">
        <w:rPr>
          <w:rFonts w:ascii="Garamond" w:hAnsi="Garamond"/>
          <w:sz w:val="24"/>
          <w:szCs w:val="24"/>
          <w:lang w:val="sq-AL"/>
        </w:rPr>
        <w:t xml:space="preserve">është e mundshme </w:t>
      </w:r>
      <w:r w:rsidRPr="0058349C">
        <w:rPr>
          <w:rFonts w:ascii="Garamond" w:hAnsi="Garamond" w:cs="Arial"/>
          <w:sz w:val="24"/>
          <w:szCs w:val="24"/>
          <w:lang w:val="sq-AL"/>
        </w:rPr>
        <w:t>që të rritet dhe del e nevojshme mir</w:t>
      </w:r>
      <w:r w:rsidRPr="0058349C">
        <w:rPr>
          <w:rFonts w:ascii="Garamond" w:hAnsi="Garamond"/>
          <w:sz w:val="24"/>
          <w:szCs w:val="24"/>
          <w:lang w:val="sq-AL"/>
        </w:rPr>
        <w:t>administrimi dhe mir</w:t>
      </w:r>
      <w:r w:rsidR="00950707">
        <w:rPr>
          <w:rFonts w:ascii="Garamond" w:hAnsi="Garamond"/>
          <w:sz w:val="24"/>
          <w:szCs w:val="24"/>
          <w:lang w:val="sq-AL"/>
        </w:rPr>
        <w:t>ë</w:t>
      </w:r>
      <w:r w:rsidRPr="0058349C">
        <w:rPr>
          <w:rFonts w:ascii="Garamond" w:hAnsi="Garamond"/>
          <w:sz w:val="24"/>
          <w:szCs w:val="24"/>
          <w:lang w:val="sq-AL"/>
        </w:rPr>
        <w:t>menaxhimi i tyre</w:t>
      </w:r>
      <w:r w:rsidRPr="0058349C">
        <w:rPr>
          <w:rFonts w:ascii="Garamond" w:hAnsi="Garamond" w:cs="Arial"/>
          <w:sz w:val="24"/>
          <w:szCs w:val="24"/>
          <w:lang w:val="sq-AL"/>
        </w:rPr>
        <w:t>.</w:t>
      </w:r>
    </w:p>
    <w:p w14:paraId="0773AE40" w14:textId="56D28DBE" w:rsidR="00DF7A00" w:rsidRPr="00F16333" w:rsidRDefault="00DF7A00" w:rsidP="00664693">
      <w:pPr>
        <w:spacing w:after="0" w:line="240" w:lineRule="auto"/>
        <w:ind w:firstLine="284"/>
        <w:jc w:val="both"/>
        <w:rPr>
          <w:rFonts w:ascii="Garamond" w:hAnsi="Garamond" w:cs="Arial"/>
          <w:b/>
          <w:bCs/>
          <w:strike/>
          <w:sz w:val="24"/>
          <w:szCs w:val="24"/>
          <w:lang w:val="sq-AL"/>
        </w:rPr>
      </w:pPr>
      <w:r w:rsidRPr="0058349C">
        <w:rPr>
          <w:rFonts w:ascii="Garamond" w:hAnsi="Garamond" w:cs="Arial"/>
          <w:b/>
          <w:bCs/>
          <w:sz w:val="24"/>
          <w:szCs w:val="24"/>
          <w:lang w:val="sq-AL"/>
        </w:rPr>
        <w:t xml:space="preserve">Bujqësia organike </w:t>
      </w:r>
      <w:r w:rsidRPr="0058349C">
        <w:rPr>
          <w:rFonts w:ascii="Garamond" w:hAnsi="Garamond" w:cs="Arial"/>
          <w:bCs/>
          <w:sz w:val="24"/>
          <w:szCs w:val="24"/>
          <w:lang w:val="sq-AL"/>
        </w:rPr>
        <w:t xml:space="preserve">është pjesë e Strategjisë së BE-së </w:t>
      </w:r>
      <w:r w:rsidR="00664693" w:rsidRPr="0058349C">
        <w:rPr>
          <w:rFonts w:ascii="Garamond" w:hAnsi="Garamond" w:cs="Arial"/>
          <w:bCs/>
          <w:sz w:val="24"/>
          <w:szCs w:val="24"/>
          <w:lang w:val="sq-AL"/>
        </w:rPr>
        <w:t>“</w:t>
      </w:r>
      <w:r w:rsidRPr="0058349C">
        <w:rPr>
          <w:rFonts w:ascii="Garamond" w:hAnsi="Garamond" w:cs="Arial"/>
          <w:bCs/>
          <w:sz w:val="24"/>
          <w:szCs w:val="24"/>
          <w:lang w:val="sq-AL"/>
        </w:rPr>
        <w:t xml:space="preserve">Nga </w:t>
      </w:r>
      <w:r w:rsidR="00F16333" w:rsidRPr="0058349C">
        <w:rPr>
          <w:rFonts w:ascii="Garamond" w:hAnsi="Garamond" w:cs="Arial"/>
          <w:bCs/>
          <w:sz w:val="24"/>
          <w:szCs w:val="24"/>
          <w:lang w:val="sq-AL"/>
        </w:rPr>
        <w:t>ferma në tavolin</w:t>
      </w:r>
      <w:r w:rsidR="00F16333" w:rsidRPr="0058349C">
        <w:rPr>
          <w:rFonts w:ascii="Garamond" w:hAnsi="Garamond" w:cs="Arial"/>
          <w:sz w:val="24"/>
          <w:szCs w:val="24"/>
          <w:lang w:val="sq-AL"/>
        </w:rPr>
        <w:t>ë</w:t>
      </w:r>
      <w:r w:rsidR="00664693" w:rsidRPr="0058349C">
        <w:rPr>
          <w:rFonts w:ascii="Garamond" w:hAnsi="Garamond" w:cs="Arial"/>
          <w:sz w:val="24"/>
          <w:szCs w:val="24"/>
          <w:lang w:val="sq-AL"/>
        </w:rPr>
        <w:t>”</w:t>
      </w:r>
      <w:r w:rsidRPr="0058349C">
        <w:rPr>
          <w:rFonts w:ascii="Garamond" w:hAnsi="Garamond" w:cs="Arial"/>
          <w:bCs/>
          <w:sz w:val="24"/>
          <w:szCs w:val="24"/>
          <w:lang w:val="sq-AL"/>
        </w:rPr>
        <w:t xml:space="preserve"> dhe konsiderohet si një sistem i rëndësishëm e i qëndrueshëm bujqësor, me një objektiv që të paktën 25% e tokës bujqësore të BE-së të jetë nën bujqësi organike deri në vitin 2030. Shqipëria ka </w:t>
      </w:r>
      <w:r w:rsidRPr="0058349C">
        <w:rPr>
          <w:rFonts w:ascii="Garamond" w:hAnsi="Garamond" w:cs="Arial"/>
          <w:b/>
          <w:bCs/>
          <w:sz w:val="24"/>
          <w:szCs w:val="24"/>
          <w:lang w:val="sq-AL"/>
        </w:rPr>
        <w:t>896.9 ha tok</w:t>
      </w:r>
      <w:r w:rsidRPr="0058349C">
        <w:rPr>
          <w:rFonts w:ascii="Garamond" w:hAnsi="Garamond" w:cs="Arial"/>
          <w:sz w:val="24"/>
          <w:szCs w:val="24"/>
          <w:lang w:val="sq-AL"/>
        </w:rPr>
        <w:t xml:space="preserve">ë </w:t>
      </w:r>
      <w:r w:rsidRPr="0058349C">
        <w:rPr>
          <w:rFonts w:ascii="Garamond" w:hAnsi="Garamond" w:cs="Arial"/>
          <w:b/>
          <w:bCs/>
          <w:sz w:val="24"/>
          <w:szCs w:val="24"/>
          <w:lang w:val="sq-AL"/>
        </w:rPr>
        <w:t>bujqësi organike</w:t>
      </w:r>
      <w:r w:rsidRPr="0058349C">
        <w:rPr>
          <w:rFonts w:ascii="Garamond" w:hAnsi="Garamond" w:cs="Arial"/>
          <w:bCs/>
          <w:sz w:val="24"/>
          <w:szCs w:val="24"/>
          <w:lang w:val="sq-AL"/>
        </w:rPr>
        <w:t>, e cila është rreth 1.3% e sipërfaqes bujqësore.</w:t>
      </w:r>
      <w:r w:rsidRPr="0058349C">
        <w:rPr>
          <w:rStyle w:val="FootnoteReference"/>
          <w:rFonts w:ascii="Garamond" w:hAnsi="Garamond" w:cs="Arial"/>
          <w:bCs/>
          <w:sz w:val="24"/>
          <w:szCs w:val="24"/>
          <w:lang w:val="sq-AL"/>
        </w:rPr>
        <w:footnoteReference w:id="25"/>
      </w:r>
      <w:r w:rsidRPr="0058349C">
        <w:rPr>
          <w:rFonts w:ascii="Garamond" w:hAnsi="Garamond" w:cs="Arial"/>
          <w:bCs/>
          <w:sz w:val="24"/>
          <w:szCs w:val="24"/>
          <w:lang w:val="sq-AL"/>
        </w:rPr>
        <w:t xml:space="preserve"> Duke qenë se potenciali për eksport është i lartë dhe tregu i BE-së p</w:t>
      </w:r>
      <w:r w:rsidRPr="0058349C">
        <w:rPr>
          <w:rFonts w:ascii="Garamond" w:hAnsi="Garamond" w:cs="Arial"/>
          <w:sz w:val="24"/>
          <w:szCs w:val="24"/>
          <w:lang w:val="sq-AL"/>
        </w:rPr>
        <w:t xml:space="preserve">ër produkte organike </w:t>
      </w:r>
      <w:r w:rsidRPr="0058349C">
        <w:rPr>
          <w:rFonts w:ascii="Garamond" w:hAnsi="Garamond" w:cs="Arial"/>
          <w:bCs/>
          <w:sz w:val="24"/>
          <w:szCs w:val="24"/>
          <w:lang w:val="sq-AL"/>
        </w:rPr>
        <w:t>vazhdon të rritet, ndërkohë që edhe preferenca e konsumatorit vend</w:t>
      </w:r>
      <w:r w:rsidR="00664693" w:rsidRPr="0058349C">
        <w:rPr>
          <w:rFonts w:ascii="Garamond" w:hAnsi="Garamond" w:cs="Arial"/>
          <w:bCs/>
          <w:sz w:val="24"/>
          <w:szCs w:val="24"/>
          <w:lang w:val="sq-AL"/>
        </w:rPr>
        <w:t>ë</w:t>
      </w:r>
      <w:r w:rsidRPr="0058349C">
        <w:rPr>
          <w:rFonts w:ascii="Garamond" w:hAnsi="Garamond" w:cs="Arial"/>
          <w:bCs/>
          <w:sz w:val="24"/>
          <w:szCs w:val="24"/>
          <w:lang w:val="sq-AL"/>
        </w:rPr>
        <w:t>s shfaq</w:t>
      </w:r>
      <w:r w:rsidR="00F16333">
        <w:rPr>
          <w:rFonts w:ascii="Garamond" w:hAnsi="Garamond" w:cs="Arial"/>
          <w:bCs/>
          <w:sz w:val="24"/>
          <w:szCs w:val="24"/>
          <w:lang w:val="sq-AL"/>
        </w:rPr>
        <w:t>,</w:t>
      </w:r>
      <w:r w:rsidRPr="0058349C">
        <w:rPr>
          <w:rFonts w:ascii="Garamond" w:hAnsi="Garamond" w:cs="Arial"/>
          <w:bCs/>
          <w:sz w:val="24"/>
          <w:szCs w:val="24"/>
          <w:lang w:val="sq-AL"/>
        </w:rPr>
        <w:t xml:space="preserve"> gjithashtu</w:t>
      </w:r>
      <w:r w:rsidR="00F16333">
        <w:rPr>
          <w:rFonts w:ascii="Garamond" w:hAnsi="Garamond" w:cs="Arial"/>
          <w:bCs/>
          <w:sz w:val="24"/>
          <w:szCs w:val="24"/>
          <w:lang w:val="sq-AL"/>
        </w:rPr>
        <w:t>,</w:t>
      </w:r>
      <w:r w:rsidRPr="0058349C">
        <w:rPr>
          <w:rFonts w:ascii="Garamond" w:hAnsi="Garamond" w:cs="Arial"/>
          <w:bCs/>
          <w:sz w:val="24"/>
          <w:szCs w:val="24"/>
          <w:lang w:val="sq-AL"/>
        </w:rPr>
        <w:t xml:space="preserve"> një tendencë pozitive</w:t>
      </w:r>
      <w:r w:rsidRPr="0058349C">
        <w:rPr>
          <w:rStyle w:val="FootnoteReference"/>
          <w:rFonts w:ascii="Garamond" w:hAnsi="Garamond" w:cs="Arial"/>
          <w:bCs/>
          <w:sz w:val="24"/>
          <w:szCs w:val="24"/>
          <w:lang w:val="sq-AL"/>
        </w:rPr>
        <w:footnoteReference w:id="26"/>
      </w:r>
      <w:r w:rsidRPr="0058349C">
        <w:rPr>
          <w:rFonts w:ascii="Garamond" w:hAnsi="Garamond" w:cs="Arial"/>
          <w:bCs/>
          <w:sz w:val="24"/>
          <w:szCs w:val="24"/>
          <w:lang w:val="sq-AL"/>
        </w:rPr>
        <w:t xml:space="preserve">. Pritet që sipërfaqja me bujqësi organike në Shqipëri </w:t>
      </w:r>
      <w:r w:rsidRPr="0058349C">
        <w:rPr>
          <w:rFonts w:ascii="Garamond" w:hAnsi="Garamond" w:cs="Arial"/>
          <w:b/>
          <w:bCs/>
          <w:sz w:val="24"/>
          <w:szCs w:val="24"/>
          <w:lang w:val="sq-AL"/>
        </w:rPr>
        <w:t xml:space="preserve">të rritet, kjo edhe si </w:t>
      </w:r>
      <w:r w:rsidRPr="00F16333">
        <w:rPr>
          <w:rFonts w:ascii="Garamond" w:hAnsi="Garamond" w:cs="Arial"/>
          <w:b/>
          <w:bCs/>
          <w:sz w:val="24"/>
          <w:szCs w:val="24"/>
          <w:lang w:val="sq-AL"/>
        </w:rPr>
        <w:t xml:space="preserve">pasojë e vazhdimit të mbështetjes nga skemat kombëtare për fermat organike, por edhe e fillimit të zbatimit të masës agromjedisore-organike të programit IPARD III. </w:t>
      </w:r>
    </w:p>
    <w:p w14:paraId="0773AE41" w14:textId="069F7F90"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Cs/>
          <w:sz w:val="24"/>
          <w:szCs w:val="24"/>
          <w:lang w:val="sq-AL"/>
        </w:rPr>
        <w:t>Masat dhe praktikat e burimeve natyrore të qëndrueshme dhe miqësore me klimën duhet të promovohen sistematikisht nga aktivitete të shtuara kërkimore, inovative dhe demonstrimi, që përfshijnë veprimet n</w:t>
      </w:r>
      <w:r w:rsidRPr="0058349C">
        <w:rPr>
          <w:rFonts w:ascii="Garamond" w:hAnsi="Garamond" w:cs="Arial"/>
          <w:sz w:val="24"/>
          <w:szCs w:val="24"/>
          <w:lang w:val="sq-AL"/>
        </w:rPr>
        <w:t>ë kuadër të</w:t>
      </w:r>
      <w:r w:rsidRPr="0058349C">
        <w:rPr>
          <w:rFonts w:ascii="Garamond" w:hAnsi="Garamond" w:cs="Arial"/>
          <w:bCs/>
          <w:sz w:val="24"/>
          <w:szCs w:val="24"/>
          <w:lang w:val="sq-AL"/>
        </w:rPr>
        <w:t xml:space="preserve"> SNJIB</w:t>
      </w:r>
      <w:r w:rsidR="004B7009">
        <w:rPr>
          <w:rFonts w:ascii="Garamond" w:hAnsi="Garamond" w:cs="Arial"/>
          <w:bCs/>
          <w:sz w:val="24"/>
          <w:szCs w:val="24"/>
          <w:lang w:val="sq-AL"/>
        </w:rPr>
        <w:t>-së</w:t>
      </w:r>
      <w:r w:rsidRPr="0058349C">
        <w:rPr>
          <w:rFonts w:ascii="Garamond" w:hAnsi="Garamond" w:cs="Arial"/>
          <w:sz w:val="24"/>
          <w:szCs w:val="24"/>
          <w:lang w:val="sq-AL"/>
        </w:rPr>
        <w:t>.</w:t>
      </w:r>
    </w:p>
    <w:p w14:paraId="0773AE42" w14:textId="132D4A83" w:rsidR="00DF7A00" w:rsidRPr="004B7009" w:rsidRDefault="00DF7A00" w:rsidP="004B7009">
      <w:pPr>
        <w:pStyle w:val="TEKSTIIII"/>
        <w:rPr>
          <w:bCs/>
          <w:lang w:val="sq-AL"/>
        </w:rPr>
      </w:pPr>
      <w:bookmarkStart w:id="24" w:name="_Toc103838824"/>
      <w:r w:rsidRPr="0058349C">
        <w:rPr>
          <w:b/>
          <w:lang w:val="sq-AL"/>
        </w:rPr>
        <w:t>3.2.2.3 Politika 1</w:t>
      </w:r>
      <w:r w:rsidR="004B7009">
        <w:rPr>
          <w:b/>
          <w:lang w:val="sq-AL"/>
        </w:rPr>
        <w:t xml:space="preserve">. </w:t>
      </w:r>
      <w:r w:rsidRPr="004B7009">
        <w:rPr>
          <w:rStyle w:val="Heading3Char"/>
          <w:rFonts w:ascii="Garamond" w:hAnsi="Garamond"/>
          <w:bCs w:val="0"/>
          <w:color w:val="auto"/>
        </w:rPr>
        <w:t>Objektivi specifik 6: Mbrojtja e biodiversitetit, rritja e shërbimeve të ekosistemit dhe ruajtja e habitateve dhe peizazhit</w:t>
      </w:r>
      <w:bookmarkEnd w:id="24"/>
    </w:p>
    <w:p w14:paraId="0773AE43" w14:textId="6801F2D8" w:rsidR="00DF7A00" w:rsidRPr="0058349C" w:rsidRDefault="00DF7A00" w:rsidP="00030A08">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lang w:val="sq-AL"/>
        </w:rPr>
        <w:t>Shqipëria ka një biodiversitet shumë të pasur dhe peizazhe të larmishme</w:t>
      </w:r>
      <w:r w:rsidRPr="0058349C">
        <w:rPr>
          <w:rFonts w:ascii="Garamond" w:hAnsi="Garamond" w:cs="Arial"/>
          <w:sz w:val="24"/>
          <w:szCs w:val="24"/>
          <w:lang w:val="sq-AL"/>
        </w:rPr>
        <w:t>. Pjesa lindore e Shqipërisë i përket rajonit biogjeografik alpin, ndërsa pjesa perëndimore i përket rajonit biogjeografik mesdhetar.</w:t>
      </w:r>
      <w:r w:rsidRPr="0058349C">
        <w:rPr>
          <w:rStyle w:val="FootnoteReference"/>
          <w:rFonts w:ascii="Garamond" w:hAnsi="Garamond" w:cs="Arial"/>
          <w:sz w:val="24"/>
          <w:szCs w:val="24"/>
          <w:lang w:val="sq-AL"/>
        </w:rPr>
        <w:footnoteReference w:id="27"/>
      </w:r>
      <w:r w:rsidRPr="0058349C">
        <w:rPr>
          <w:rFonts w:ascii="Garamond" w:hAnsi="Garamond" w:cs="Arial"/>
          <w:sz w:val="24"/>
          <w:szCs w:val="24"/>
          <w:lang w:val="sq-AL"/>
        </w:rPr>
        <w:t xml:space="preserve"> Diversiteti i lartë i ekosistemeve dhe habitateve të tij (ekosistemet detare dhe bregdetare, ligatinat, deltat e lumenjve, dunat e rërës, liqenet, lumenjtë, shkurret mesdhetare, gjethegjerët, halorët dhe pyjet e përziera, kullotat alpine dhe subalpine dhe livadhet, dhe ekosistemet malore), biodiversiteti i florës dhe </w:t>
      </w:r>
      <w:r w:rsidR="00030A08">
        <w:rPr>
          <w:rFonts w:ascii="Garamond" w:hAnsi="Garamond" w:cs="Arial"/>
          <w:sz w:val="24"/>
          <w:szCs w:val="24"/>
          <w:lang w:val="sq-AL"/>
        </w:rPr>
        <w:t xml:space="preserve">i </w:t>
      </w:r>
      <w:r w:rsidRPr="0058349C">
        <w:rPr>
          <w:rFonts w:ascii="Garamond" w:hAnsi="Garamond" w:cs="Arial"/>
          <w:sz w:val="24"/>
          <w:szCs w:val="24"/>
          <w:lang w:val="sq-AL"/>
        </w:rPr>
        <w:t>faunës janë tipare të jashtëzakonshme në Evropë. Shqipëria është e mbuluar në një pjesë të madhe të saj nga pyje dhe kullota. Kullotat dhe livadhet kanë një sipërfaqe prej 478 081 ha, ekuivalente me 27,5% të fondit pyjor dhe kullosor (INSTAT 2019).</w:t>
      </w:r>
    </w:p>
    <w:p w14:paraId="0773AE44" w14:textId="0BEFE4B6" w:rsidR="00DF7A00" w:rsidRPr="0058349C" w:rsidRDefault="00DF7A00" w:rsidP="00385CBD">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Në zonat livadhore, kryesisht përdoren vetëm plehra natyral</w:t>
      </w:r>
      <w:r w:rsidR="00385CBD">
        <w:rPr>
          <w:rFonts w:ascii="Garamond" w:hAnsi="Garamond" w:cs="Arial"/>
          <w:sz w:val="24"/>
          <w:szCs w:val="24"/>
          <w:lang w:val="sq-AL"/>
        </w:rPr>
        <w:t>e</w:t>
      </w:r>
      <w:r w:rsidRPr="0058349C">
        <w:rPr>
          <w:rFonts w:ascii="Garamond" w:hAnsi="Garamond" w:cs="Arial"/>
          <w:sz w:val="24"/>
          <w:szCs w:val="24"/>
          <w:lang w:val="sq-AL"/>
        </w:rPr>
        <w:t xml:space="preserve">, në kullota akoma kullotet në mënyrë ekstensive (dendësia e bagëtive e llogaritur në 1,36 </w:t>
      </w:r>
      <w:r w:rsidR="000002EF" w:rsidRPr="0058349C">
        <w:rPr>
          <w:rFonts w:ascii="Garamond" w:hAnsi="Garamond" w:cs="Arial"/>
          <w:sz w:val="24"/>
          <w:szCs w:val="24"/>
          <w:lang w:val="sq-AL"/>
        </w:rPr>
        <w:t>NJGJ</w:t>
      </w:r>
      <w:r w:rsidRPr="0058349C">
        <w:rPr>
          <w:rFonts w:ascii="Garamond" w:hAnsi="Garamond" w:cs="Arial"/>
          <w:sz w:val="24"/>
          <w:szCs w:val="24"/>
          <w:lang w:val="sq-AL"/>
        </w:rPr>
        <w:t>/ha) dhe datat e kositjes janë tradicionalisht jo në intervale të rregullta. Përveç tokave livadhore, ullishtat tradicionale me përdorim të ulët të plehrave kimik</w:t>
      </w:r>
      <w:r w:rsidR="000002EF">
        <w:rPr>
          <w:rFonts w:ascii="Garamond" w:hAnsi="Garamond" w:cs="Arial"/>
          <w:sz w:val="24"/>
          <w:szCs w:val="24"/>
          <w:lang w:val="sq-AL"/>
        </w:rPr>
        <w:t>e</w:t>
      </w:r>
      <w:r w:rsidRPr="0058349C">
        <w:rPr>
          <w:rFonts w:ascii="Garamond" w:hAnsi="Garamond" w:cs="Arial"/>
          <w:sz w:val="24"/>
          <w:szCs w:val="24"/>
          <w:lang w:val="sq-AL"/>
        </w:rPr>
        <w:t xml:space="preserve"> janë</w:t>
      </w:r>
      <w:r w:rsidR="000002EF">
        <w:rPr>
          <w:rFonts w:ascii="Garamond" w:hAnsi="Garamond" w:cs="Arial"/>
          <w:sz w:val="24"/>
          <w:szCs w:val="24"/>
          <w:lang w:val="sq-AL"/>
        </w:rPr>
        <w:t>,</w:t>
      </w:r>
      <w:r w:rsidRPr="0058349C">
        <w:rPr>
          <w:rFonts w:ascii="Garamond" w:hAnsi="Garamond" w:cs="Arial"/>
          <w:sz w:val="24"/>
          <w:szCs w:val="24"/>
          <w:lang w:val="sq-AL"/>
        </w:rPr>
        <w:t xml:space="preserve"> gjithashtu</w:t>
      </w:r>
      <w:r w:rsidR="000002EF">
        <w:rPr>
          <w:rFonts w:ascii="Garamond" w:hAnsi="Garamond" w:cs="Arial"/>
          <w:sz w:val="24"/>
          <w:szCs w:val="24"/>
          <w:lang w:val="sq-AL"/>
        </w:rPr>
        <w:t>,</w:t>
      </w:r>
      <w:r w:rsidRPr="0058349C">
        <w:rPr>
          <w:rFonts w:ascii="Garamond" w:hAnsi="Garamond" w:cs="Arial"/>
          <w:sz w:val="24"/>
          <w:szCs w:val="24"/>
          <w:lang w:val="sq-AL"/>
        </w:rPr>
        <w:t xml:space="preserve"> të rëndësishme për menaxhimin e peizazhit dhe </w:t>
      </w:r>
      <w:r w:rsidR="002139C2">
        <w:rPr>
          <w:rFonts w:ascii="Garamond" w:hAnsi="Garamond" w:cs="Arial"/>
          <w:sz w:val="24"/>
          <w:szCs w:val="24"/>
          <w:lang w:val="sq-AL"/>
        </w:rPr>
        <w:t xml:space="preserve">për </w:t>
      </w:r>
      <w:r w:rsidRPr="0058349C">
        <w:rPr>
          <w:rFonts w:ascii="Garamond" w:hAnsi="Garamond" w:cs="Arial"/>
          <w:sz w:val="24"/>
          <w:szCs w:val="24"/>
          <w:lang w:val="sq-AL"/>
        </w:rPr>
        <w:t>mbrojtjen e biodiversitetit.</w:t>
      </w:r>
    </w:p>
    <w:p w14:paraId="0773AE45" w14:textId="1F515F08" w:rsidR="00DF7A00" w:rsidRPr="0058349C" w:rsidRDefault="00DF7A00" w:rsidP="00DF7A00">
      <w:pPr>
        <w:spacing w:after="0" w:line="240" w:lineRule="auto"/>
        <w:ind w:firstLine="284"/>
        <w:jc w:val="both"/>
        <w:rPr>
          <w:rFonts w:ascii="Garamond" w:hAnsi="Garamond" w:cs="Arial"/>
          <w:b/>
          <w:sz w:val="24"/>
          <w:szCs w:val="24"/>
          <w:lang w:val="sq-AL"/>
        </w:rPr>
      </w:pPr>
      <w:r w:rsidRPr="0058349C">
        <w:rPr>
          <w:rFonts w:ascii="Garamond" w:hAnsi="Garamond" w:cs="Arial"/>
          <w:sz w:val="24"/>
          <w:szCs w:val="24"/>
          <w:lang w:val="sq-AL"/>
        </w:rPr>
        <w:t>Sfidat më të mëdha për ruajtjen e biodiversitetit</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në fushën e bujqësisë lidhen me dëmtimin e llojeve dhe</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fragmentimin e</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habitateve, si rrjedhojë e ndërtimit të rrugëve rurale, ndërtimin e hidrocentraleve të reja, veprimtarisë së peshkimit dhe rritjen ekonomike në përgjithësi</w:t>
      </w:r>
      <w:r w:rsidRPr="007351F1">
        <w:rPr>
          <w:rFonts w:ascii="Garamond" w:hAnsi="Garamond" w:cs="Arial"/>
          <w:bCs/>
          <w:sz w:val="24"/>
          <w:szCs w:val="24"/>
          <w:lang w:val="sq-AL"/>
        </w:rPr>
        <w:t>.</w:t>
      </w:r>
      <w:r w:rsidRPr="0058349C">
        <w:rPr>
          <w:rFonts w:ascii="Garamond" w:hAnsi="Garamond" w:cs="Arial"/>
          <w:b/>
          <w:sz w:val="24"/>
          <w:szCs w:val="24"/>
          <w:lang w:val="sq-AL"/>
        </w:rPr>
        <w:t xml:space="preserve"> </w:t>
      </w:r>
    </w:p>
    <w:p w14:paraId="0773AE46" w14:textId="51DE8A25" w:rsidR="00DF7A00" w:rsidRPr="0058349C" w:rsidRDefault="00DF7A00" w:rsidP="00DF7A00">
      <w:pPr>
        <w:spacing w:after="0" w:line="240" w:lineRule="auto"/>
        <w:ind w:firstLine="284"/>
        <w:jc w:val="both"/>
        <w:rPr>
          <w:rFonts w:ascii="Garamond" w:hAnsi="Garamond" w:cs="Arial"/>
          <w:b/>
          <w:sz w:val="24"/>
          <w:szCs w:val="24"/>
          <w:lang w:val="sq-AL"/>
        </w:rPr>
      </w:pPr>
      <w:r w:rsidRPr="0058349C">
        <w:rPr>
          <w:rFonts w:ascii="Garamond" w:hAnsi="Garamond"/>
          <w:sz w:val="24"/>
          <w:szCs w:val="24"/>
          <w:lang w:val="sq-AL"/>
        </w:rPr>
        <w:t xml:space="preserve">Si vend kandidat për në BE, Shqipëria po punon dhe është në një fazë të avancuar për përafrimin e legjislacionit të saj me direktivat e BE-së për shpendët dhe habitatet. </w:t>
      </w:r>
      <w:r w:rsidRPr="0058349C">
        <w:rPr>
          <w:rFonts w:ascii="Garamond" w:hAnsi="Garamond" w:cs="Arial"/>
          <w:sz w:val="24"/>
          <w:szCs w:val="24"/>
          <w:lang w:val="sq-AL"/>
        </w:rPr>
        <w:t>Strategjia e BE-</w:t>
      </w:r>
      <w:r w:rsidRPr="0058349C">
        <w:rPr>
          <w:rFonts w:ascii="Garamond" w:hAnsi="Garamond" w:cs="Arial"/>
          <w:sz w:val="24"/>
          <w:szCs w:val="24"/>
          <w:lang w:val="sq-AL"/>
        </w:rPr>
        <w:lastRenderedPageBreak/>
        <w:t>së për biodiversitetin përfshin angazhime dhe veprime shtesë që duhen përmbushur deri në vitin 2030. Kjo përfshin edhe krijimin e një rrjeti më të madh zonash të mbrojtura, çka përbën sfidë të madhe për strukturën institucionale dhe administrative</w:t>
      </w:r>
      <w:r w:rsidR="00F7485E">
        <w:rPr>
          <w:rFonts w:ascii="Garamond" w:hAnsi="Garamond" w:cs="Arial"/>
          <w:sz w:val="24"/>
          <w:szCs w:val="24"/>
          <w:lang w:val="sq-AL"/>
        </w:rPr>
        <w:t>,</w:t>
      </w:r>
      <w:r w:rsidRPr="0058349C">
        <w:rPr>
          <w:rFonts w:ascii="Garamond" w:hAnsi="Garamond" w:cs="Arial"/>
          <w:sz w:val="24"/>
          <w:szCs w:val="24"/>
          <w:lang w:val="sq-AL"/>
        </w:rPr>
        <w:t xml:space="preserve"> si dhe zbatimin e këtij legjislacioni. </w:t>
      </w:r>
      <w:r w:rsidRPr="0058349C">
        <w:rPr>
          <w:rFonts w:ascii="Garamond" w:hAnsi="Garamond" w:cs="Arial"/>
          <w:b/>
          <w:sz w:val="24"/>
          <w:szCs w:val="24"/>
          <w:lang w:val="sq-AL"/>
        </w:rPr>
        <w:t>Gjithashtu, Shqipëria angazhohet në kuadër të AGJBP-së për të rritur kapacitetin administrativ për zbatimin e angazhimeve mjedisore kombëtare dhe rajonale për të monitoruar, promovuar dhe zbatuar përputhshmërinë me prioritetet e BE-së për biodiversitetin.</w:t>
      </w:r>
    </w:p>
    <w:p w14:paraId="0773AE47" w14:textId="3005D0BA" w:rsidR="00DF7A00" w:rsidRPr="0058349C" w:rsidRDefault="00DF7A00" w:rsidP="00F7485E">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Zonat malore</w:t>
      </w:r>
      <w:r w:rsidRPr="0058349C">
        <w:rPr>
          <w:rFonts w:ascii="Garamond" w:hAnsi="Garamond" w:cs="Arial"/>
          <w:sz w:val="24"/>
          <w:szCs w:val="24"/>
          <w:lang w:val="sq-AL"/>
        </w:rPr>
        <w:t xml:space="preserve"> janë përcaktuar në vitin 2011 dhe lista është miratuar me </w:t>
      </w:r>
      <w:r w:rsidR="00F7485E" w:rsidRPr="0058349C">
        <w:rPr>
          <w:rFonts w:ascii="Garamond" w:hAnsi="Garamond" w:cs="Arial"/>
          <w:sz w:val="24"/>
          <w:szCs w:val="24"/>
          <w:lang w:val="sq-AL"/>
        </w:rPr>
        <w:t xml:space="preserve">udhëzimin nr. </w:t>
      </w:r>
      <w:r w:rsidRPr="0058349C">
        <w:rPr>
          <w:rFonts w:ascii="Garamond" w:hAnsi="Garamond" w:cs="Arial"/>
          <w:sz w:val="24"/>
          <w:szCs w:val="24"/>
          <w:lang w:val="sq-AL"/>
        </w:rPr>
        <w:t>3 të datës 10.02.2011</w:t>
      </w:r>
      <w:r w:rsidR="00F7485E">
        <w:rPr>
          <w:rFonts w:ascii="Garamond" w:hAnsi="Garamond" w:cs="Arial"/>
          <w:sz w:val="24"/>
          <w:szCs w:val="24"/>
          <w:lang w:val="sq-AL"/>
        </w:rPr>
        <w:t>,</w:t>
      </w:r>
      <w:r w:rsidRPr="0058349C">
        <w:rPr>
          <w:rFonts w:ascii="Garamond" w:hAnsi="Garamond" w:cs="Arial"/>
          <w:sz w:val="24"/>
          <w:szCs w:val="24"/>
          <w:lang w:val="sq-AL"/>
        </w:rPr>
        <w:t xml:space="preserve"> të MBZHR-së. Për shkak të abandonimit (moskultivimit) të tokave bujqësore në zonat malore, </w:t>
      </w:r>
      <w:r w:rsidR="00F7485E" w:rsidRPr="0058349C">
        <w:rPr>
          <w:rFonts w:ascii="Garamond" w:hAnsi="Garamond" w:cs="Arial"/>
          <w:sz w:val="24"/>
          <w:szCs w:val="24"/>
          <w:lang w:val="sq-AL"/>
        </w:rPr>
        <w:t xml:space="preserve">programi </w:t>
      </w:r>
      <w:r w:rsidRPr="0058349C">
        <w:rPr>
          <w:rFonts w:ascii="Garamond" w:hAnsi="Garamond" w:cs="Arial"/>
          <w:sz w:val="24"/>
          <w:szCs w:val="24"/>
          <w:lang w:val="sq-AL"/>
        </w:rPr>
        <w:t>IPARD III parashikon për këto zona pikë shtesë në sistemin e përzgjedhjes dhe një shkallë më të lartë të intensitetit të mbështetjes publike, që është një qasje konstruktive. Në rast se këto veprime mund të rezultojnë të jenë jo mjaftueshëm tërheqëse, do të merren parasysh ndërhyrje të tjera mbështetëse.</w:t>
      </w:r>
    </w:p>
    <w:p w14:paraId="0773AE48" w14:textId="3304625D"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Pyllëzimi është një masë shumë efektive për sekuestrimin e karbonit dhe </w:t>
      </w:r>
      <w:r w:rsidR="00402FB6">
        <w:rPr>
          <w:rFonts w:ascii="Garamond" w:hAnsi="Garamond" w:cs="Arial"/>
          <w:sz w:val="24"/>
          <w:szCs w:val="24"/>
          <w:lang w:val="sq-AL"/>
        </w:rPr>
        <w:t xml:space="preserve">për </w:t>
      </w:r>
      <w:r w:rsidRPr="0058349C">
        <w:rPr>
          <w:rFonts w:ascii="Garamond" w:hAnsi="Garamond" w:cs="Arial"/>
          <w:sz w:val="24"/>
          <w:szCs w:val="24"/>
          <w:lang w:val="sq-AL"/>
        </w:rPr>
        <w:t xml:space="preserve">kontrollin e erozionit të tokës, por </w:t>
      </w:r>
      <w:r w:rsidRPr="0058349C">
        <w:rPr>
          <w:rFonts w:ascii="Garamond" w:hAnsi="Garamond" w:cs="Arial"/>
          <w:b/>
          <w:sz w:val="24"/>
          <w:szCs w:val="24"/>
          <w:lang w:val="sq-AL"/>
        </w:rPr>
        <w:t>pyllëzimi i kullotave nuk duhet të lejohet</w:t>
      </w:r>
      <w:r w:rsidR="00402FB6">
        <w:rPr>
          <w:rFonts w:ascii="Garamond" w:hAnsi="Garamond" w:cs="Arial"/>
          <w:b/>
          <w:sz w:val="24"/>
          <w:szCs w:val="24"/>
          <w:lang w:val="sq-AL"/>
        </w:rPr>
        <w:t>,</w:t>
      </w:r>
      <w:r w:rsidRPr="0058349C">
        <w:rPr>
          <w:rFonts w:ascii="Garamond" w:hAnsi="Garamond" w:cs="Arial"/>
          <w:sz w:val="24"/>
          <w:szCs w:val="24"/>
          <w:lang w:val="sq-AL"/>
        </w:rPr>
        <w:t xml:space="preserve"> pasi mund të çojë në humbjen e biodiversitetit të vlefshëm të kullotave.</w:t>
      </w:r>
    </w:p>
    <w:p w14:paraId="0773AE49"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Duhet të shtohen veprimet për të mbyllur boshllëqet e treguesve bazë që mungojnë</w:t>
      </w:r>
      <w:r w:rsidRPr="0058349C">
        <w:rPr>
          <w:rFonts w:ascii="Garamond" w:hAnsi="Garamond" w:cs="Arial"/>
          <w:sz w:val="24"/>
          <w:szCs w:val="24"/>
          <w:lang w:val="sq-AL"/>
        </w:rPr>
        <w:t>, të tilla si sasia e produkteve kimike sintetike të përdorura (pesticidet, ilaçet veterinare dhe plehrat), indeksi i shpendëve të tokës bujqësore, zonat bujqësore me VLN, balanca bruto e lëndëve ushqyese dhe nitratet në ujërat nëntokësore dhe sipërfaqësore.</w:t>
      </w:r>
    </w:p>
    <w:p w14:paraId="0773AE4A" w14:textId="2905BDD6" w:rsidR="00DF7A00" w:rsidRPr="0058349C" w:rsidRDefault="00DF7A00" w:rsidP="00DF7A00">
      <w:pPr>
        <w:pStyle w:val="BodyText"/>
        <w:ind w:left="0" w:firstLine="284"/>
        <w:jc w:val="both"/>
        <w:rPr>
          <w:rFonts w:ascii="Garamond" w:hAnsi="Garamond"/>
          <w:b/>
          <w:sz w:val="24"/>
          <w:szCs w:val="24"/>
          <w:lang w:val="sq-AL"/>
        </w:rPr>
      </w:pPr>
      <w:r w:rsidRPr="0058349C">
        <w:rPr>
          <w:rFonts w:ascii="Garamond" w:hAnsi="Garamond"/>
          <w:b/>
          <w:sz w:val="24"/>
          <w:szCs w:val="24"/>
          <w:lang w:val="sq-AL"/>
        </w:rPr>
        <w:t xml:space="preserve">Politika 1 </w:t>
      </w:r>
      <w:r w:rsidR="00402FB6">
        <w:rPr>
          <w:rFonts w:ascii="Garamond" w:hAnsi="Garamond"/>
          <w:b/>
          <w:sz w:val="24"/>
          <w:szCs w:val="24"/>
          <w:lang w:val="sq-AL"/>
        </w:rPr>
        <w:t>–</w:t>
      </w:r>
      <w:r w:rsidRPr="0058349C">
        <w:rPr>
          <w:rFonts w:ascii="Garamond" w:hAnsi="Garamond"/>
          <w:b/>
          <w:sz w:val="24"/>
          <w:szCs w:val="24"/>
          <w:lang w:val="sq-AL"/>
        </w:rPr>
        <w:t xml:space="preserve"> Objektivi i </w:t>
      </w:r>
      <w:r w:rsidR="00402FB6" w:rsidRPr="0058349C">
        <w:rPr>
          <w:rFonts w:ascii="Garamond" w:hAnsi="Garamond"/>
          <w:b/>
          <w:sz w:val="24"/>
          <w:szCs w:val="24"/>
          <w:lang w:val="sq-AL"/>
        </w:rPr>
        <w:t xml:space="preserve">përgjithshëm </w:t>
      </w:r>
      <w:r w:rsidRPr="0058349C">
        <w:rPr>
          <w:rFonts w:ascii="Garamond" w:hAnsi="Garamond"/>
          <w:b/>
          <w:sz w:val="24"/>
          <w:szCs w:val="24"/>
          <w:lang w:val="sq-AL"/>
        </w:rPr>
        <w:t>2</w:t>
      </w:r>
    </w:p>
    <w:p w14:paraId="0773AE4B" w14:textId="55719A12" w:rsidR="00DF7A00" w:rsidRPr="00402FB6" w:rsidRDefault="00DF7A00" w:rsidP="00402FB6">
      <w:pPr>
        <w:pStyle w:val="Caption"/>
        <w:spacing w:after="0"/>
        <w:jc w:val="center"/>
        <w:rPr>
          <w:rFonts w:ascii="Garamond" w:hAnsi="Garamond"/>
          <w:b w:val="0"/>
          <w:bCs w:val="0"/>
          <w:i/>
          <w:iCs/>
          <w:color w:val="auto"/>
          <w:sz w:val="20"/>
          <w:szCs w:val="20"/>
        </w:rPr>
      </w:pPr>
      <w:bookmarkStart w:id="25" w:name="_Toc103777364"/>
      <w:r w:rsidRPr="00402FB6">
        <w:rPr>
          <w:rFonts w:ascii="Garamond" w:hAnsi="Garamond"/>
          <w:i/>
          <w:iCs/>
          <w:color w:val="auto"/>
          <w:sz w:val="20"/>
          <w:szCs w:val="20"/>
        </w:rPr>
        <w:t>Tabela 3</w:t>
      </w:r>
      <w:r w:rsidR="00664693" w:rsidRPr="00402FB6">
        <w:rPr>
          <w:rFonts w:ascii="Garamond" w:hAnsi="Garamond"/>
          <w:i/>
          <w:iCs/>
          <w:color w:val="auto"/>
          <w:sz w:val="20"/>
          <w:szCs w:val="20"/>
        </w:rPr>
        <w:t xml:space="preserve">–7: </w:t>
      </w:r>
      <w:r w:rsidRPr="00402FB6">
        <w:rPr>
          <w:rFonts w:ascii="Garamond" w:hAnsi="Garamond"/>
          <w:b w:val="0"/>
          <w:bCs w:val="0"/>
          <w:i/>
          <w:iCs/>
          <w:color w:val="auto"/>
          <w:sz w:val="20"/>
          <w:szCs w:val="20"/>
        </w:rPr>
        <w:t>Mundësi</w:t>
      </w:r>
      <w:r w:rsidR="00402FB6">
        <w:rPr>
          <w:rFonts w:ascii="Garamond" w:hAnsi="Garamond"/>
          <w:b w:val="0"/>
          <w:bCs w:val="0"/>
          <w:i/>
          <w:iCs/>
          <w:color w:val="auto"/>
          <w:sz w:val="20"/>
          <w:szCs w:val="20"/>
        </w:rPr>
        <w:t xml:space="preserve"> – K</w:t>
      </w:r>
      <w:r w:rsidRPr="00402FB6">
        <w:rPr>
          <w:rFonts w:ascii="Garamond" w:hAnsi="Garamond"/>
          <w:b w:val="0"/>
          <w:bCs w:val="0"/>
          <w:i/>
          <w:iCs/>
          <w:color w:val="auto"/>
          <w:sz w:val="20"/>
          <w:szCs w:val="20"/>
        </w:rPr>
        <w:t xml:space="preserve">ërcënime </w:t>
      </w:r>
      <w:r w:rsidR="00402FB6">
        <w:rPr>
          <w:rFonts w:ascii="Garamond" w:hAnsi="Garamond"/>
          <w:b w:val="0"/>
          <w:bCs w:val="0"/>
          <w:i/>
          <w:iCs/>
          <w:color w:val="auto"/>
          <w:sz w:val="20"/>
          <w:szCs w:val="20"/>
        </w:rPr>
        <w:t>–</w:t>
      </w:r>
      <w:r w:rsidRPr="00402FB6">
        <w:rPr>
          <w:rFonts w:ascii="Garamond" w:hAnsi="Garamond"/>
          <w:b w:val="0"/>
          <w:bCs w:val="0"/>
          <w:i/>
          <w:iCs/>
          <w:color w:val="auto"/>
          <w:sz w:val="20"/>
          <w:szCs w:val="20"/>
        </w:rPr>
        <w:t xml:space="preserve"> Objektivi i </w:t>
      </w:r>
      <w:r w:rsidR="00402FB6" w:rsidRPr="00402FB6">
        <w:rPr>
          <w:rFonts w:ascii="Garamond" w:hAnsi="Garamond"/>
          <w:b w:val="0"/>
          <w:bCs w:val="0"/>
          <w:i/>
          <w:iCs/>
          <w:color w:val="auto"/>
          <w:sz w:val="20"/>
          <w:szCs w:val="20"/>
        </w:rPr>
        <w:t xml:space="preserve">përgjithshëm </w:t>
      </w:r>
      <w:r w:rsidRPr="00402FB6">
        <w:rPr>
          <w:rFonts w:ascii="Garamond" w:hAnsi="Garamond"/>
          <w:b w:val="0"/>
          <w:bCs w:val="0"/>
          <w:i/>
          <w:iCs/>
          <w:color w:val="auto"/>
          <w:sz w:val="20"/>
          <w:szCs w:val="20"/>
        </w:rPr>
        <w:t>2</w:t>
      </w:r>
      <w:bookmarkEnd w:id="2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DF7A00" w:rsidRPr="0058349C" w14:paraId="0773AE4E" w14:textId="77777777" w:rsidTr="0067311E">
        <w:trPr>
          <w:jc w:val="center"/>
        </w:trPr>
        <w:tc>
          <w:tcPr>
            <w:tcW w:w="4508" w:type="dxa"/>
            <w:shd w:val="clear" w:color="auto" w:fill="E2EFD9"/>
          </w:tcPr>
          <w:p w14:paraId="0773AE4C" w14:textId="77777777" w:rsidR="00DF7A00" w:rsidRPr="0058349C" w:rsidRDefault="00DF7A00" w:rsidP="00DF7A00">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MUNDËSITË</w:t>
            </w:r>
          </w:p>
        </w:tc>
        <w:tc>
          <w:tcPr>
            <w:tcW w:w="4508" w:type="dxa"/>
            <w:shd w:val="clear" w:color="auto" w:fill="E2EFD9"/>
          </w:tcPr>
          <w:p w14:paraId="0773AE4D" w14:textId="77777777" w:rsidR="00DF7A00" w:rsidRPr="0058349C" w:rsidRDefault="00DF7A00" w:rsidP="00DF7A00">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KËRCËNIMET</w:t>
            </w:r>
          </w:p>
        </w:tc>
      </w:tr>
      <w:tr w:rsidR="00DF7A00" w:rsidRPr="0058349C" w14:paraId="0773AE57" w14:textId="77777777" w:rsidTr="0067311E">
        <w:trPr>
          <w:jc w:val="center"/>
        </w:trPr>
        <w:tc>
          <w:tcPr>
            <w:tcW w:w="4508" w:type="dxa"/>
            <w:shd w:val="clear" w:color="auto" w:fill="auto"/>
          </w:tcPr>
          <w:p w14:paraId="0773AE4F" w14:textId="6B411819" w:rsidR="00DF7A00" w:rsidRPr="0058349C" w:rsidRDefault="00DF7A00" w:rsidP="00DF7A00">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Një ligj i ri (i parashikuar) për lëndët djegëse mund të inkurajojë prodhimin e kulturave energjetike</w:t>
            </w:r>
            <w:r w:rsidR="00203AA4">
              <w:rPr>
                <w:rFonts w:ascii="Garamond" w:hAnsi="Garamond" w:cs="Arial"/>
                <w:bCs/>
                <w:sz w:val="20"/>
                <w:szCs w:val="24"/>
                <w:lang w:val="sq-AL"/>
              </w:rPr>
              <w:t>,</w:t>
            </w:r>
            <w:r w:rsidRPr="0058349C">
              <w:rPr>
                <w:rFonts w:ascii="Garamond" w:hAnsi="Garamond" w:cs="Arial"/>
                <w:bCs/>
                <w:sz w:val="20"/>
                <w:szCs w:val="24"/>
                <w:lang w:val="sq-AL"/>
              </w:rPr>
              <w:t xml:space="preserve"> në rast të vendosjes së niveleve minimale të biokarburanteve nga biomasa;</w:t>
            </w:r>
          </w:p>
          <w:p w14:paraId="0773AE50" w14:textId="078D5117" w:rsidR="00DF7A00" w:rsidRPr="0058349C" w:rsidRDefault="00DF7A00" w:rsidP="00203AA4">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Përpjekjet për vendosjen e objektivave (</w:t>
            </w:r>
            <w:r w:rsidR="00203AA4" w:rsidRPr="0058349C">
              <w:rPr>
                <w:rFonts w:ascii="Garamond" w:hAnsi="Garamond" w:cs="Arial"/>
                <w:bCs/>
                <w:sz w:val="20"/>
                <w:szCs w:val="24"/>
                <w:lang w:val="sq-AL"/>
              </w:rPr>
              <w:t>neutralitetin e degradimit</w:t>
            </w:r>
            <w:r w:rsidRPr="0058349C">
              <w:rPr>
                <w:rFonts w:ascii="Garamond" w:hAnsi="Garamond" w:cs="Arial"/>
                <w:bCs/>
                <w:sz w:val="20"/>
                <w:szCs w:val="24"/>
                <w:lang w:val="sq-AL"/>
              </w:rPr>
              <w:t xml:space="preserve"> të tokës</w:t>
            </w:r>
            <w:r w:rsidR="00203AA4">
              <w:rPr>
                <w:rFonts w:ascii="Garamond" w:hAnsi="Garamond" w:cs="Arial"/>
                <w:bCs/>
                <w:sz w:val="20"/>
                <w:szCs w:val="24"/>
                <w:lang w:val="sq-AL"/>
              </w:rPr>
              <w:t xml:space="preserve"> – </w:t>
            </w:r>
            <w:r w:rsidRPr="0058349C">
              <w:rPr>
                <w:rFonts w:ascii="Garamond" w:hAnsi="Garamond" w:cs="Arial"/>
                <w:bCs/>
                <w:sz w:val="20"/>
                <w:szCs w:val="24"/>
                <w:lang w:val="sq-AL"/>
              </w:rPr>
              <w:t>LDN)</w:t>
            </w:r>
            <w:r w:rsidR="00203AA4">
              <w:rPr>
                <w:rFonts w:ascii="Garamond" w:hAnsi="Garamond" w:cs="Arial"/>
                <w:bCs/>
                <w:sz w:val="20"/>
                <w:szCs w:val="24"/>
                <w:lang w:val="sq-AL"/>
              </w:rPr>
              <w:t>,</w:t>
            </w:r>
            <w:r w:rsidRPr="0058349C">
              <w:rPr>
                <w:rFonts w:ascii="Garamond" w:hAnsi="Garamond" w:cs="Arial"/>
                <w:bCs/>
                <w:sz w:val="20"/>
                <w:szCs w:val="24"/>
                <w:lang w:val="sq-AL"/>
              </w:rPr>
              <w:t xml:space="preserve"> në përputhje me udhëzuesit ndërkombëtar</w:t>
            </w:r>
            <w:r w:rsidR="00203AA4">
              <w:rPr>
                <w:rFonts w:ascii="Garamond" w:hAnsi="Garamond" w:cs="Arial"/>
                <w:bCs/>
                <w:sz w:val="20"/>
                <w:szCs w:val="24"/>
                <w:lang w:val="sq-AL"/>
              </w:rPr>
              <w:t>ë</w:t>
            </w:r>
            <w:r w:rsidRPr="0058349C">
              <w:rPr>
                <w:rFonts w:ascii="Garamond" w:hAnsi="Garamond" w:cs="Arial"/>
                <w:bCs/>
                <w:sz w:val="20"/>
                <w:szCs w:val="24"/>
                <w:lang w:val="sq-AL"/>
              </w:rPr>
              <w:t xml:space="preserve"> (p.sh., OZHQ-të dhe Konventat e Rios);</w:t>
            </w:r>
          </w:p>
          <w:p w14:paraId="0773AE51" w14:textId="7EFB1A91" w:rsidR="00DF7A00" w:rsidRPr="0058349C" w:rsidRDefault="00DF7A00" w:rsidP="00DF7A00">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Kërkesa e lartë pë</w:t>
            </w:r>
            <w:r w:rsidR="00203AA4">
              <w:rPr>
                <w:rFonts w:ascii="Garamond" w:hAnsi="Garamond" w:cs="Arial"/>
                <w:bCs/>
                <w:sz w:val="20"/>
                <w:szCs w:val="24"/>
                <w:lang w:val="sq-AL"/>
              </w:rPr>
              <w:t>r eksport për produkte organike.</w:t>
            </w:r>
          </w:p>
          <w:p w14:paraId="0773AE52" w14:textId="77777777" w:rsidR="00DF7A00" w:rsidRPr="0058349C" w:rsidRDefault="00DF7A00" w:rsidP="00DF7A00">
            <w:pPr>
              <w:spacing w:after="0" w:line="240" w:lineRule="auto"/>
              <w:jc w:val="both"/>
              <w:rPr>
                <w:rFonts w:ascii="Garamond" w:hAnsi="Garamond" w:cs="Arial"/>
                <w:b/>
                <w:bCs/>
                <w:sz w:val="20"/>
                <w:szCs w:val="24"/>
                <w:lang w:val="sq-AL"/>
              </w:rPr>
            </w:pPr>
          </w:p>
        </w:tc>
        <w:tc>
          <w:tcPr>
            <w:tcW w:w="4508" w:type="dxa"/>
            <w:shd w:val="clear" w:color="auto" w:fill="auto"/>
          </w:tcPr>
          <w:p w14:paraId="0773AE53" w14:textId="02372CBB" w:rsidR="00DF7A00" w:rsidRPr="0058349C" w:rsidRDefault="00DF7A00" w:rsidP="00DF7A00">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Rritja e emetimeve të GS-së dhe amoniakut</w:t>
            </w:r>
            <w:r w:rsidR="00203AA4">
              <w:rPr>
                <w:rFonts w:ascii="Garamond" w:hAnsi="Garamond" w:cs="Arial"/>
                <w:bCs/>
                <w:sz w:val="20"/>
                <w:szCs w:val="24"/>
                <w:lang w:val="sq-AL"/>
              </w:rPr>
              <w:t>,</w:t>
            </w:r>
            <w:r w:rsidRPr="0058349C">
              <w:rPr>
                <w:rFonts w:ascii="Garamond" w:hAnsi="Garamond" w:cs="Arial"/>
                <w:bCs/>
                <w:sz w:val="20"/>
                <w:szCs w:val="24"/>
                <w:lang w:val="sq-AL"/>
              </w:rPr>
              <w:t xml:space="preserve"> në rast të zhvillimit të sektorit të blegtorisë pa adoptuar praktika të mira mjedisore;</w:t>
            </w:r>
          </w:p>
          <w:p w14:paraId="0773AE54" w14:textId="77777777" w:rsidR="00DF7A00" w:rsidRPr="0058349C" w:rsidRDefault="00DF7A00" w:rsidP="00DF7A00">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Fenomeni i ndryshimit të klimës;</w:t>
            </w:r>
          </w:p>
          <w:p w14:paraId="0773AE55" w14:textId="19BBC5BF" w:rsidR="00DF7A00" w:rsidRPr="0058349C" w:rsidRDefault="00DF7A00" w:rsidP="00DF7A00">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Intensifikimi i bujqësisë në tokat e zonave të ulëta çon në humbje të biodiversitetit dhe ndotje të ujit</w:t>
            </w:r>
            <w:r w:rsidR="00203AA4">
              <w:rPr>
                <w:rFonts w:ascii="Garamond" w:hAnsi="Garamond" w:cs="Arial"/>
                <w:bCs/>
                <w:sz w:val="20"/>
                <w:szCs w:val="24"/>
                <w:lang w:val="sq-AL"/>
              </w:rPr>
              <w:t>,</w:t>
            </w:r>
            <w:r w:rsidRPr="0058349C">
              <w:rPr>
                <w:rFonts w:ascii="Garamond" w:hAnsi="Garamond" w:cs="Arial"/>
                <w:bCs/>
                <w:sz w:val="20"/>
                <w:szCs w:val="24"/>
                <w:lang w:val="sq-AL"/>
              </w:rPr>
              <w:t xml:space="preserve"> për shkak të përdorimit të pesticideve, plehrave dhe ilaçeve veterinare/antimikrobiale;</w:t>
            </w:r>
          </w:p>
          <w:p w14:paraId="0773AE56" w14:textId="539DF2A0" w:rsidR="00DF7A00" w:rsidRPr="0058349C" w:rsidRDefault="00DF7A00" w:rsidP="00DF7A00">
            <w:pPr>
              <w:spacing w:after="0" w:line="240" w:lineRule="auto"/>
              <w:jc w:val="both"/>
              <w:rPr>
                <w:rFonts w:ascii="Garamond" w:eastAsia="Arial" w:hAnsi="Garamond" w:cs="Arial"/>
                <w:bCs/>
                <w:sz w:val="20"/>
                <w:szCs w:val="24"/>
                <w:lang w:val="sq-AL"/>
              </w:rPr>
            </w:pPr>
            <w:r w:rsidRPr="0058349C">
              <w:rPr>
                <w:rFonts w:ascii="Garamond" w:hAnsi="Garamond" w:cs="Arial"/>
                <w:bCs/>
                <w:sz w:val="20"/>
                <w:szCs w:val="24"/>
                <w:lang w:val="sq-AL"/>
              </w:rPr>
              <w:t>Aktivitetet e zhvillimit të hidrocentraleve dhe minierave në ndryshimin e përdorimit të tokës në zonat pyjore;</w:t>
            </w:r>
            <w:r w:rsidR="00203AA4">
              <w:rPr>
                <w:rFonts w:ascii="Garamond" w:hAnsi="Garamond" w:cs="Arial"/>
                <w:bCs/>
                <w:sz w:val="20"/>
                <w:szCs w:val="24"/>
                <w:lang w:val="sq-AL"/>
              </w:rPr>
              <w:t>.</w:t>
            </w:r>
          </w:p>
        </w:tc>
      </w:tr>
    </w:tbl>
    <w:p w14:paraId="0773AE58" w14:textId="33411BD4" w:rsidR="00DF7A00" w:rsidRPr="0058349C" w:rsidRDefault="00DF7A00" w:rsidP="00DF7A00">
      <w:pPr>
        <w:pStyle w:val="Heading4"/>
        <w:spacing w:before="0" w:after="0" w:line="240" w:lineRule="auto"/>
        <w:ind w:left="0" w:firstLine="284"/>
        <w:jc w:val="both"/>
        <w:rPr>
          <w:rFonts w:ascii="Garamond" w:hAnsi="Garamond"/>
          <w:color w:val="auto"/>
          <w:sz w:val="24"/>
          <w:szCs w:val="24"/>
        </w:rPr>
      </w:pPr>
      <w:bookmarkStart w:id="26" w:name="_Ref88984279"/>
      <w:bookmarkStart w:id="27" w:name="_Toc103838825"/>
      <w:r w:rsidRPr="0058349C">
        <w:rPr>
          <w:rFonts w:ascii="Garamond" w:hAnsi="Garamond"/>
          <w:color w:val="auto"/>
          <w:sz w:val="24"/>
          <w:szCs w:val="24"/>
        </w:rPr>
        <w:t>Identifikimi i ndërhyrjeve sipas nevoj</w:t>
      </w:r>
      <w:bookmarkEnd w:id="26"/>
      <w:r w:rsidRPr="0058349C">
        <w:rPr>
          <w:rFonts w:ascii="Garamond" w:hAnsi="Garamond"/>
          <w:color w:val="auto"/>
          <w:sz w:val="24"/>
          <w:szCs w:val="24"/>
        </w:rPr>
        <w:t xml:space="preserve">ave në kuadër të </w:t>
      </w:r>
      <w:r w:rsidR="00D07324" w:rsidRPr="0058349C">
        <w:rPr>
          <w:rFonts w:ascii="Garamond" w:hAnsi="Garamond"/>
          <w:color w:val="auto"/>
          <w:sz w:val="24"/>
          <w:szCs w:val="24"/>
        </w:rPr>
        <w:t xml:space="preserve">politikës </w:t>
      </w:r>
      <w:r w:rsidRPr="0058349C">
        <w:rPr>
          <w:rFonts w:ascii="Garamond" w:hAnsi="Garamond"/>
          <w:color w:val="auto"/>
          <w:sz w:val="24"/>
          <w:szCs w:val="24"/>
        </w:rPr>
        <w:t xml:space="preserve">1, </w:t>
      </w:r>
      <w:r w:rsidR="00D07324" w:rsidRPr="0058349C">
        <w:rPr>
          <w:rFonts w:ascii="Garamond" w:hAnsi="Garamond"/>
          <w:color w:val="auto"/>
          <w:sz w:val="24"/>
          <w:szCs w:val="24"/>
        </w:rPr>
        <w:t xml:space="preserve">objektivit </w:t>
      </w:r>
      <w:r w:rsidRPr="0058349C">
        <w:rPr>
          <w:rFonts w:ascii="Garamond" w:hAnsi="Garamond"/>
          <w:color w:val="auto"/>
          <w:sz w:val="24"/>
          <w:szCs w:val="24"/>
        </w:rPr>
        <w:t>të përgjithshëm 2</w:t>
      </w:r>
      <w:bookmarkEnd w:id="27"/>
    </w:p>
    <w:p w14:paraId="0773AE59" w14:textId="77777777" w:rsidR="00DF7A00" w:rsidRPr="0058349C" w:rsidRDefault="00DF7A00" w:rsidP="00DF7A00">
      <w:pPr>
        <w:pStyle w:val="TEKSTIIII"/>
        <w:rPr>
          <w:b/>
          <w:lang w:val="sq-AL"/>
        </w:rPr>
      </w:pPr>
      <w:r w:rsidRPr="0058349C">
        <w:rPr>
          <w:b/>
          <w:lang w:val="sq-AL"/>
        </w:rPr>
        <w:t>2.1 Promovimi i veprimeve për zbutjen dhe përshtatjen ndaj ndryshimeve klimatike</w:t>
      </w:r>
    </w:p>
    <w:p w14:paraId="0773AE5A" w14:textId="01A77E41" w:rsidR="00DF7A00" w:rsidRPr="0058349C" w:rsidRDefault="00DF7A00" w:rsidP="00DE5C94">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Kontributi në zbutjen e efekteve t</w:t>
      </w:r>
      <w:r w:rsidRPr="0058349C">
        <w:rPr>
          <w:rFonts w:ascii="Garamond" w:hAnsi="Garamond" w:cs="Arial"/>
          <w:bCs/>
          <w:sz w:val="24"/>
          <w:szCs w:val="24"/>
          <w:lang w:val="sq-AL"/>
        </w:rPr>
        <w:t xml:space="preserve">ë </w:t>
      </w:r>
      <w:r w:rsidRPr="0058349C">
        <w:rPr>
          <w:rFonts w:ascii="Garamond" w:hAnsi="Garamond" w:cs="Arial"/>
          <w:sz w:val="24"/>
          <w:szCs w:val="24"/>
          <w:lang w:val="sq-AL"/>
        </w:rPr>
        <w:t>ndryshimeve klimatike nëpërmjet masave të sekuestrimit të karbonit mund të mbështetet nëpërmjet masave të pyllëzimit, ndërsa në të njëjtën kohë duke trajtuar edhe problemin e erozionit të tokës edhe nëpërmjet ruajtjes së shfrytëzimit</w:t>
      </w:r>
      <w:r w:rsidRPr="0058349C">
        <w:rPr>
          <w:rFonts w:ascii="Garamond" w:hAnsi="Garamond" w:cs="Arial"/>
          <w:b/>
          <w:sz w:val="24"/>
          <w:szCs w:val="24"/>
          <w:lang w:val="sq-AL"/>
        </w:rPr>
        <w:t xml:space="preserve"> </w:t>
      </w:r>
      <w:r w:rsidRPr="0058349C">
        <w:rPr>
          <w:rFonts w:ascii="Garamond" w:hAnsi="Garamond" w:cs="Arial"/>
          <w:sz w:val="24"/>
          <w:szCs w:val="24"/>
          <w:lang w:val="sq-AL"/>
        </w:rPr>
        <w:t>ekstensiv të kullotave, të mir</w:t>
      </w:r>
      <w:r w:rsidRPr="0058349C">
        <w:rPr>
          <w:rFonts w:ascii="Garamond" w:hAnsi="Garamond" w:cs="Arial"/>
          <w:bCs/>
          <w:sz w:val="24"/>
          <w:szCs w:val="24"/>
          <w:lang w:val="sq-AL"/>
        </w:rPr>
        <w:t>ë</w:t>
      </w:r>
      <w:r w:rsidRPr="0058349C">
        <w:rPr>
          <w:rFonts w:ascii="Garamond" w:hAnsi="Garamond" w:cs="Arial"/>
          <w:sz w:val="24"/>
          <w:szCs w:val="24"/>
          <w:lang w:val="sq-AL"/>
        </w:rPr>
        <w:t>njohura si një thithës i rëndësishëm karboni dhe për rolin në reduktimin e emetimeve të amoniakut. Sekuestrimi i karbonit në tokë mund të intensifikohet duke futur praktika bujqësore konservimi (pa plugim dhe punim të reduktuar të tokës) dhe mbulim të tokës me kultura mbuluese, me pemë, element</w:t>
      </w:r>
      <w:r w:rsidR="00DE5C94">
        <w:rPr>
          <w:rFonts w:ascii="Garamond" w:hAnsi="Garamond" w:cs="Arial"/>
          <w:sz w:val="24"/>
          <w:szCs w:val="24"/>
          <w:lang w:val="sq-AL"/>
        </w:rPr>
        <w:t>e</w:t>
      </w:r>
      <w:r w:rsidRPr="0058349C">
        <w:rPr>
          <w:rFonts w:ascii="Garamond" w:hAnsi="Garamond" w:cs="Arial"/>
          <w:sz w:val="24"/>
          <w:szCs w:val="24"/>
          <w:lang w:val="sq-AL"/>
        </w:rPr>
        <w:t xml:space="preserve"> peizazhi dhe duke ndaluar djegien e kashtës.</w:t>
      </w:r>
    </w:p>
    <w:p w14:paraId="0773AE5B" w14:textId="3FAAE592" w:rsidR="00DF7A00" w:rsidRPr="0058349C" w:rsidRDefault="00DF7A00" w:rsidP="003409EA">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Prodhimi i kulturave energjetike mund të jetë</w:t>
      </w:r>
      <w:r w:rsidR="003409EA">
        <w:rPr>
          <w:rFonts w:ascii="Garamond" w:hAnsi="Garamond" w:cs="Arial"/>
          <w:sz w:val="24"/>
          <w:szCs w:val="24"/>
          <w:lang w:val="sq-AL"/>
        </w:rPr>
        <w:t>,</w:t>
      </w:r>
      <w:r w:rsidRPr="0058349C">
        <w:rPr>
          <w:rFonts w:ascii="Garamond" w:hAnsi="Garamond" w:cs="Arial"/>
          <w:sz w:val="24"/>
          <w:szCs w:val="24"/>
          <w:lang w:val="sq-AL"/>
        </w:rPr>
        <w:t xml:space="preserve"> gjithashtu</w:t>
      </w:r>
      <w:r w:rsidR="003409EA">
        <w:rPr>
          <w:rFonts w:ascii="Garamond" w:hAnsi="Garamond" w:cs="Arial"/>
          <w:sz w:val="24"/>
          <w:szCs w:val="24"/>
          <w:lang w:val="sq-AL"/>
        </w:rPr>
        <w:t>,</w:t>
      </w:r>
      <w:r w:rsidRPr="0058349C">
        <w:rPr>
          <w:rFonts w:ascii="Garamond" w:hAnsi="Garamond" w:cs="Arial"/>
          <w:sz w:val="24"/>
          <w:szCs w:val="24"/>
          <w:lang w:val="sq-AL"/>
        </w:rPr>
        <w:t xml:space="preserve"> një opsio</w:t>
      </w:r>
      <w:r w:rsidR="00F26C44" w:rsidRPr="0058349C">
        <w:rPr>
          <w:rFonts w:ascii="Garamond" w:hAnsi="Garamond" w:cs="Arial"/>
          <w:sz w:val="24"/>
          <w:szCs w:val="24"/>
          <w:lang w:val="sq-AL"/>
        </w:rPr>
        <w:t>n, dhe nëse tregu do ta kërkojë</w:t>
      </w:r>
      <w:r w:rsidR="003409EA">
        <w:rPr>
          <w:rFonts w:ascii="Garamond" w:hAnsi="Garamond" w:cs="Arial"/>
          <w:sz w:val="24"/>
          <w:szCs w:val="24"/>
          <w:lang w:val="sq-AL"/>
        </w:rPr>
        <w:t xml:space="preserve">, </w:t>
      </w:r>
      <w:r w:rsidRPr="0058349C">
        <w:rPr>
          <w:rFonts w:ascii="Garamond" w:hAnsi="Garamond" w:cs="Arial"/>
          <w:sz w:val="24"/>
          <w:szCs w:val="24"/>
          <w:lang w:val="sq-AL"/>
        </w:rPr>
        <w:t>do të hartohet legjislacioni kombëtar për biokarburantet. Përdorimi i biomasës për prodhimin e energjisë do të varet</w:t>
      </w:r>
      <w:r w:rsidR="00DD4343">
        <w:rPr>
          <w:rFonts w:ascii="Garamond" w:hAnsi="Garamond" w:cs="Arial"/>
          <w:sz w:val="24"/>
          <w:szCs w:val="24"/>
          <w:lang w:val="sq-AL"/>
        </w:rPr>
        <w:t>,</w:t>
      </w:r>
      <w:r w:rsidRPr="0058349C">
        <w:rPr>
          <w:rFonts w:ascii="Garamond" w:hAnsi="Garamond" w:cs="Arial"/>
          <w:sz w:val="24"/>
          <w:szCs w:val="24"/>
          <w:lang w:val="sq-AL"/>
        </w:rPr>
        <w:t xml:space="preserve"> gjithashtu</w:t>
      </w:r>
      <w:r w:rsidR="00DD4343">
        <w:rPr>
          <w:rFonts w:ascii="Garamond" w:hAnsi="Garamond" w:cs="Arial"/>
          <w:sz w:val="24"/>
          <w:szCs w:val="24"/>
          <w:lang w:val="sq-AL"/>
        </w:rPr>
        <w:t>,</w:t>
      </w:r>
      <w:r w:rsidRPr="0058349C">
        <w:rPr>
          <w:rFonts w:ascii="Garamond" w:hAnsi="Garamond" w:cs="Arial"/>
          <w:sz w:val="24"/>
          <w:szCs w:val="24"/>
          <w:lang w:val="sq-AL"/>
        </w:rPr>
        <w:t xml:space="preserve"> shumë nga disponueshmëria e grandeve për investime të tilla.</w:t>
      </w:r>
    </w:p>
    <w:p w14:paraId="0773AE5C" w14:textId="5F635374"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Përshtatja ndaj ndryshimeve klimatike përfshin ruajtjen</w:t>
      </w:r>
      <w:r w:rsidRPr="0058349C">
        <w:rPr>
          <w:rFonts w:ascii="Garamond" w:hAnsi="Garamond" w:cs="Arial"/>
          <w:b/>
          <w:sz w:val="24"/>
          <w:szCs w:val="24"/>
          <w:lang w:val="sq-AL"/>
        </w:rPr>
        <w:t xml:space="preserve"> </w:t>
      </w:r>
      <w:r w:rsidRPr="0058349C">
        <w:rPr>
          <w:rFonts w:ascii="Garamond" w:hAnsi="Garamond" w:cs="Arial"/>
          <w:sz w:val="24"/>
          <w:szCs w:val="24"/>
          <w:lang w:val="sq-AL"/>
        </w:rPr>
        <w:t>e racave lokale dhe varieteteve të bimëve lokale për të siguruar një sistem bujqësor të qëndrueshëm ndaj presionit të faktorëve klimatik, si dhe promovimi</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i kulturave të përshtatura nëpërm</w:t>
      </w:r>
      <w:r w:rsidR="00F26C44" w:rsidRPr="0058349C">
        <w:rPr>
          <w:rFonts w:ascii="Garamond" w:hAnsi="Garamond" w:cs="Arial"/>
          <w:sz w:val="24"/>
          <w:szCs w:val="24"/>
          <w:lang w:val="sq-AL"/>
        </w:rPr>
        <w:t>jet mbështetjes ose instituteve</w:t>
      </w:r>
      <w:r w:rsidR="00797859">
        <w:rPr>
          <w:rFonts w:ascii="Garamond" w:hAnsi="Garamond" w:cs="Arial"/>
          <w:sz w:val="24"/>
          <w:szCs w:val="24"/>
          <w:lang w:val="sq-AL"/>
        </w:rPr>
        <w:t>/</w:t>
      </w:r>
      <w:r w:rsidRPr="0058349C">
        <w:rPr>
          <w:rFonts w:ascii="Garamond" w:hAnsi="Garamond" w:cs="Arial"/>
          <w:sz w:val="24"/>
          <w:szCs w:val="24"/>
          <w:lang w:val="sq-AL"/>
        </w:rPr>
        <w:t xml:space="preserve">qendrave kërkimore. Fermerët duhet të inkurajohen të diversifikojnë fermën, të </w:t>
      </w:r>
      <w:r w:rsidRPr="0058349C">
        <w:rPr>
          <w:rFonts w:ascii="Garamond" w:hAnsi="Garamond" w:cs="Arial"/>
          <w:sz w:val="24"/>
          <w:szCs w:val="24"/>
          <w:lang w:val="sq-AL"/>
        </w:rPr>
        <w:lastRenderedPageBreak/>
        <w:t>përdorin lloje dhe varietete të reja të pemëve frutore rezistente ndaj thatësirës, ngricave dhe insekteve dhe sëmundjeve të reja që po shfaqen. Mbrojtja nga breshri/rrjetat kundër breshrit janë një investim që duhet të merret parasysh në zonat me dominim të sipërfaqeve me pemishte dhe perime.</w:t>
      </w:r>
    </w:p>
    <w:p w14:paraId="0773AE5D" w14:textId="6D447695"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Mjete të tjera shumë të rëndësishme në përshtatjen ndaj ndryshimeve klimatike janë vazhdimi i rehabilitimit dhe </w:t>
      </w:r>
      <w:r w:rsidR="00DD4343">
        <w:rPr>
          <w:rFonts w:ascii="Garamond" w:hAnsi="Garamond" w:cs="Arial"/>
          <w:sz w:val="24"/>
          <w:szCs w:val="24"/>
          <w:lang w:val="sq-AL"/>
        </w:rPr>
        <w:t xml:space="preserve">i </w:t>
      </w:r>
      <w:r w:rsidRPr="0058349C">
        <w:rPr>
          <w:rFonts w:ascii="Garamond" w:hAnsi="Garamond" w:cs="Arial"/>
          <w:sz w:val="24"/>
          <w:szCs w:val="24"/>
          <w:lang w:val="sq-AL"/>
        </w:rPr>
        <w:t>modernizimit të sistemit të ujitjes dhe kullimit, menaxhimi i rrezikut nëpërmjet skemave të sigurimit dhe promovimi i praktikave më të mira, si përdorimi i kulturave mbuluese, pa plugim ose punim minimal, diversifikimi dhe qarkullimi i kul</w:t>
      </w:r>
      <w:r w:rsidR="00E70E63">
        <w:rPr>
          <w:rFonts w:ascii="Garamond" w:hAnsi="Garamond" w:cs="Arial"/>
          <w:sz w:val="24"/>
          <w:szCs w:val="24"/>
          <w:lang w:val="sq-AL"/>
        </w:rPr>
        <w:t>turave</w:t>
      </w:r>
      <w:r w:rsidRPr="0058349C">
        <w:rPr>
          <w:rFonts w:ascii="Garamond" w:hAnsi="Garamond" w:cs="Arial"/>
          <w:sz w:val="24"/>
          <w:szCs w:val="24"/>
          <w:lang w:val="sq-AL"/>
        </w:rPr>
        <w:t xml:space="preserve"> etj.</w:t>
      </w:r>
    </w:p>
    <w:p w14:paraId="0773AE5E" w14:textId="77777777" w:rsidR="00DF7A00" w:rsidRPr="0058349C" w:rsidRDefault="00DF7A00" w:rsidP="00DF7A00">
      <w:pPr>
        <w:pStyle w:val="TEKSTIIII"/>
        <w:rPr>
          <w:b/>
          <w:lang w:val="sq-AL"/>
        </w:rPr>
      </w:pPr>
      <w:r w:rsidRPr="0058349C">
        <w:rPr>
          <w:b/>
          <w:lang w:val="sq-AL"/>
        </w:rPr>
        <w:t>2.2 Ruajtja e biodiversitetit të lartë të lidhur me livadhet dhe kullotat e shfrytëzuara në mënyrë ekstensive dhe me ullishtat tradicionale</w:t>
      </w:r>
    </w:p>
    <w:p w14:paraId="0773AE5F"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Tradita e gjatë në menaxhimin e kullotave përmes </w:t>
      </w:r>
      <w:r w:rsidRPr="0058349C">
        <w:rPr>
          <w:rFonts w:ascii="Garamond" w:hAnsi="Garamond" w:cs="Arial"/>
          <w:b/>
          <w:sz w:val="24"/>
          <w:szCs w:val="24"/>
          <w:lang w:val="sq-AL"/>
        </w:rPr>
        <w:t>kullotjes ekstensive dhe pa përdorimin e inputeve kimike ka çuar në një biodiversitet të lartë të kullotave.</w:t>
      </w:r>
      <w:r w:rsidRPr="0058349C">
        <w:rPr>
          <w:rFonts w:ascii="Garamond" w:hAnsi="Garamond" w:cs="Arial"/>
          <w:sz w:val="24"/>
          <w:szCs w:val="24"/>
          <w:lang w:val="sq-AL"/>
        </w:rPr>
        <w:t xml:space="preserve"> Aktualisht, kullotja e deleve nuk është shumë tërheqëse për brezin e ri. Megjithatë, kullotat me biodiversitet të lartë rrezikojnë të dominohen nga speciet pushtuese dhe peizazhi mund të ndryshojë. Ullishtat tradicionale, pa ose me inpute të kufizuara kimike dhe të shoqëruara me livadhet konsiderohen me vlerë të lartë natyrore, por rrezikohen të zëvendësohen nga varietete më intensive të ullirit. </w:t>
      </w:r>
    </w:p>
    <w:p w14:paraId="0773AE60" w14:textId="77777777" w:rsidR="00DF7A00" w:rsidRPr="0058349C" w:rsidRDefault="00DF7A00" w:rsidP="00DF7A00">
      <w:pPr>
        <w:pStyle w:val="TEKSTIIII"/>
        <w:rPr>
          <w:b/>
          <w:lang w:val="sq-AL"/>
        </w:rPr>
      </w:pPr>
      <w:r w:rsidRPr="0058349C">
        <w:rPr>
          <w:b/>
          <w:lang w:val="sq-AL"/>
        </w:rPr>
        <w:t xml:space="preserve">2.3 Mirëmbajtja e burimeve gjenetike në bujqësi dhe blegtori </w:t>
      </w:r>
    </w:p>
    <w:p w14:paraId="0773AE61" w14:textId="16C5E54E" w:rsidR="00DF7A00" w:rsidRPr="0058349C" w:rsidRDefault="00DF7A00" w:rsidP="00237619">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Si</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shembull për të ilustruar rëndësinë e m</w:t>
      </w:r>
      <w:r w:rsidRPr="0058349C">
        <w:rPr>
          <w:rFonts w:ascii="Garamond" w:hAnsi="Garamond" w:cs="Arial"/>
          <w:bCs/>
          <w:sz w:val="24"/>
          <w:szCs w:val="24"/>
          <w:lang w:val="sq-AL"/>
        </w:rPr>
        <w:t>irëmbajtj</w:t>
      </w:r>
      <w:r w:rsidR="00A5485F">
        <w:rPr>
          <w:rFonts w:ascii="Garamond" w:hAnsi="Garamond" w:cs="Arial"/>
          <w:bCs/>
          <w:sz w:val="24"/>
          <w:szCs w:val="24"/>
          <w:lang w:val="sq-AL"/>
        </w:rPr>
        <w:t>es</w:t>
      </w:r>
      <w:r w:rsidRPr="0058349C">
        <w:rPr>
          <w:rFonts w:ascii="Garamond" w:hAnsi="Garamond" w:cs="Arial"/>
          <w:bCs/>
          <w:sz w:val="24"/>
          <w:szCs w:val="24"/>
          <w:lang w:val="sq-AL"/>
        </w:rPr>
        <w:t xml:space="preserve"> së burimeve gjenetike shërben rasti i racave </w:t>
      </w:r>
      <w:r w:rsidR="00BC084C">
        <w:rPr>
          <w:rFonts w:ascii="Garamond" w:hAnsi="Garamond" w:cs="Arial"/>
          <w:bCs/>
          <w:sz w:val="24"/>
          <w:szCs w:val="24"/>
          <w:lang w:val="sq-AL"/>
        </w:rPr>
        <w:t>vendës</w:t>
      </w:r>
      <w:r w:rsidR="00237619">
        <w:rPr>
          <w:rFonts w:ascii="Garamond" w:hAnsi="Garamond" w:cs="Arial"/>
          <w:bCs/>
          <w:sz w:val="24"/>
          <w:szCs w:val="24"/>
          <w:lang w:val="sq-AL"/>
        </w:rPr>
        <w:t>e</w:t>
      </w:r>
      <w:r w:rsidRPr="0058349C">
        <w:rPr>
          <w:rFonts w:ascii="Garamond" w:hAnsi="Garamond" w:cs="Arial"/>
          <w:bCs/>
          <w:sz w:val="24"/>
          <w:szCs w:val="24"/>
          <w:lang w:val="sq-AL"/>
        </w:rPr>
        <w:t xml:space="preserve"> të bagëtive të imta.</w:t>
      </w:r>
      <w:r w:rsidRPr="0058349C">
        <w:rPr>
          <w:rFonts w:ascii="Garamond" w:hAnsi="Garamond" w:cs="Arial"/>
          <w:b/>
          <w:bCs/>
          <w:sz w:val="24"/>
          <w:szCs w:val="24"/>
          <w:lang w:val="sq-AL"/>
        </w:rPr>
        <w:t xml:space="preserve"> </w:t>
      </w:r>
      <w:r w:rsidRPr="0058349C">
        <w:rPr>
          <w:rFonts w:ascii="Garamond" w:hAnsi="Garamond" w:cs="Arial"/>
          <w:sz w:val="24"/>
          <w:szCs w:val="24"/>
          <w:lang w:val="sq-AL"/>
        </w:rPr>
        <w:t>90% e popullatës</w:t>
      </w:r>
      <w:r w:rsidR="00CF7694" w:rsidRPr="0058349C">
        <w:rPr>
          <w:rFonts w:ascii="Garamond" w:hAnsi="Garamond" w:cs="Arial"/>
          <w:bCs/>
          <w:sz w:val="24"/>
          <w:szCs w:val="24"/>
          <w:lang w:val="sq-AL"/>
        </w:rPr>
        <w:t xml:space="preserve"> </w:t>
      </w:r>
      <w:r w:rsidRPr="0058349C">
        <w:rPr>
          <w:rFonts w:ascii="Garamond" w:hAnsi="Garamond" w:cs="Arial"/>
          <w:sz w:val="24"/>
          <w:szCs w:val="24"/>
          <w:lang w:val="sq-AL"/>
        </w:rPr>
        <w:t>së dhive dhe 40% e popullat</w:t>
      </w:r>
      <w:r w:rsidRPr="0058349C">
        <w:rPr>
          <w:rFonts w:ascii="Garamond" w:hAnsi="Garamond" w:cs="Arial"/>
          <w:bCs/>
          <w:sz w:val="24"/>
          <w:szCs w:val="24"/>
          <w:lang w:val="sq-AL"/>
        </w:rPr>
        <w:t>ës</w:t>
      </w:r>
      <w:r w:rsidRPr="0058349C">
        <w:rPr>
          <w:rFonts w:ascii="Garamond" w:hAnsi="Garamond" w:cs="Arial"/>
          <w:sz w:val="24"/>
          <w:szCs w:val="24"/>
          <w:lang w:val="sq-AL"/>
        </w:rPr>
        <w:t xml:space="preserve"> së deleve janë raca </w:t>
      </w:r>
      <w:r w:rsidR="00BC084C">
        <w:rPr>
          <w:rFonts w:ascii="Garamond" w:hAnsi="Garamond" w:cs="Arial"/>
          <w:sz w:val="24"/>
          <w:szCs w:val="24"/>
          <w:lang w:val="sq-AL"/>
        </w:rPr>
        <w:t>vendës</w:t>
      </w:r>
      <w:r w:rsidRPr="0058349C">
        <w:rPr>
          <w:rFonts w:ascii="Garamond" w:hAnsi="Garamond" w:cs="Arial"/>
          <w:sz w:val="24"/>
          <w:szCs w:val="24"/>
          <w:lang w:val="sq-AL"/>
        </w:rPr>
        <w:t>e, të cilat janë përshtatur shumë mirë me kushtet klimatike lokale. Pragu relativisht i lartë i tuf</w:t>
      </w:r>
      <w:r w:rsidRPr="0058349C">
        <w:rPr>
          <w:rFonts w:ascii="Garamond" w:hAnsi="Garamond" w:cs="Arial"/>
          <w:bCs/>
          <w:sz w:val="24"/>
          <w:szCs w:val="24"/>
          <w:lang w:val="sq-AL"/>
        </w:rPr>
        <w:t xml:space="preserve">ës </w:t>
      </w:r>
      <w:r w:rsidRPr="0058349C">
        <w:rPr>
          <w:rFonts w:ascii="Garamond" w:hAnsi="Garamond" w:cs="Arial"/>
          <w:sz w:val="24"/>
          <w:szCs w:val="24"/>
          <w:lang w:val="sq-AL"/>
        </w:rPr>
        <w:t>për q</w:t>
      </w:r>
      <w:r w:rsidR="00A235E7">
        <w:rPr>
          <w:rFonts w:ascii="Garamond" w:hAnsi="Garamond" w:cs="Arial"/>
          <w:sz w:val="24"/>
          <w:szCs w:val="24"/>
          <w:lang w:val="sq-AL"/>
        </w:rPr>
        <w:t>ëndrueshmërinë ekonomike (120–</w:t>
      </w:r>
      <w:r w:rsidRPr="0058349C">
        <w:rPr>
          <w:rFonts w:ascii="Garamond" w:hAnsi="Garamond" w:cs="Arial"/>
          <w:sz w:val="24"/>
          <w:szCs w:val="24"/>
          <w:lang w:val="sq-AL"/>
        </w:rPr>
        <w:t>130 dele ose dhi), hezitimi i brezit të ri për kullotjen tradicionale të bagëtive të imëta kanë çuar në ulje të ripërtypësve të vegjël me më shumë se 8% midis vitit 2015 dhe vitit 2019. Prandaj, mirëmbajtja e tyre është e rëndësishme nga perspektiva ekonomike, sociale, kulturore dhe mjedisore, duke siguruar qëndrueshmëri t</w:t>
      </w:r>
      <w:r w:rsidRPr="0058349C">
        <w:rPr>
          <w:rFonts w:ascii="Garamond" w:hAnsi="Garamond" w:cs="Arial"/>
          <w:bCs/>
          <w:sz w:val="24"/>
          <w:szCs w:val="24"/>
          <w:lang w:val="sq-AL"/>
        </w:rPr>
        <w:t>ë</w:t>
      </w:r>
      <w:r w:rsidRPr="0058349C">
        <w:rPr>
          <w:rFonts w:ascii="Garamond" w:hAnsi="Garamond" w:cs="Arial"/>
          <w:sz w:val="24"/>
          <w:szCs w:val="24"/>
          <w:lang w:val="sq-AL"/>
        </w:rPr>
        <w:t xml:space="preserve"> bujqësisë tradicionale në zona të largëta.</w:t>
      </w:r>
    </w:p>
    <w:p w14:paraId="0773AE62" w14:textId="35994C01" w:rsidR="00DF7A00" w:rsidRPr="0058349C" w:rsidRDefault="00664693" w:rsidP="00664693">
      <w:pPr>
        <w:pStyle w:val="TEKSTIIII"/>
        <w:rPr>
          <w:b/>
          <w:lang w:val="sq-AL"/>
        </w:rPr>
      </w:pPr>
      <w:r w:rsidRPr="0058349C">
        <w:rPr>
          <w:b/>
          <w:lang w:val="sq-AL"/>
        </w:rPr>
        <w:t xml:space="preserve">2.4 </w:t>
      </w:r>
      <w:r w:rsidR="00DF7A00" w:rsidRPr="0058349C">
        <w:rPr>
          <w:b/>
          <w:lang w:val="sq-AL"/>
        </w:rPr>
        <w:t xml:space="preserve">Inkurajimi i bujqësisë organike </w:t>
      </w:r>
    </w:p>
    <w:p w14:paraId="0773AE63" w14:textId="481B9426" w:rsidR="00862546" w:rsidRPr="0058349C" w:rsidRDefault="00DF7A00" w:rsidP="00D23E1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Shqipëria ka një mundësi të artë për të zhvilluar bujqësinë organike, në harmoni me objektivin e Strategjisë së BE-së </w:t>
      </w:r>
      <w:r w:rsidR="00664693" w:rsidRPr="0058349C">
        <w:rPr>
          <w:rFonts w:ascii="Garamond" w:hAnsi="Garamond" w:cs="Arial"/>
          <w:sz w:val="24"/>
          <w:szCs w:val="24"/>
          <w:lang w:val="sq-AL"/>
        </w:rPr>
        <w:t>“</w:t>
      </w:r>
      <w:r w:rsidRPr="0058349C">
        <w:rPr>
          <w:rFonts w:ascii="Garamond" w:hAnsi="Garamond" w:cs="Arial"/>
          <w:sz w:val="24"/>
          <w:szCs w:val="24"/>
          <w:lang w:val="sq-AL"/>
        </w:rPr>
        <w:t>Nga ferma në tavolin</w:t>
      </w:r>
      <w:r w:rsidRPr="0058349C">
        <w:rPr>
          <w:rFonts w:ascii="Garamond" w:hAnsi="Garamond" w:cs="Arial"/>
          <w:bCs/>
          <w:sz w:val="24"/>
          <w:szCs w:val="24"/>
          <w:lang w:val="sq-AL"/>
        </w:rPr>
        <w:t>ë</w:t>
      </w:r>
      <w:r w:rsidR="00664693" w:rsidRPr="0058349C">
        <w:rPr>
          <w:rFonts w:ascii="Garamond" w:hAnsi="Garamond" w:cs="Arial"/>
          <w:bCs/>
          <w:sz w:val="24"/>
          <w:szCs w:val="24"/>
          <w:lang w:val="sq-AL"/>
        </w:rPr>
        <w:t>”</w:t>
      </w:r>
      <w:r w:rsidRPr="0058349C">
        <w:rPr>
          <w:rFonts w:ascii="Garamond" w:hAnsi="Garamond" w:cs="Arial"/>
          <w:sz w:val="24"/>
          <w:szCs w:val="24"/>
          <w:lang w:val="sq-AL"/>
        </w:rPr>
        <w:t>, p</w:t>
      </w:r>
      <w:r w:rsidRPr="0058349C">
        <w:rPr>
          <w:rFonts w:ascii="Garamond" w:hAnsi="Garamond" w:cs="Arial"/>
          <w:bCs/>
          <w:sz w:val="24"/>
          <w:szCs w:val="24"/>
          <w:lang w:val="sq-AL"/>
        </w:rPr>
        <w:t>ër të</w:t>
      </w:r>
      <w:r w:rsidRPr="0058349C">
        <w:rPr>
          <w:rFonts w:ascii="Garamond" w:hAnsi="Garamond" w:cs="Arial"/>
          <w:sz w:val="24"/>
          <w:szCs w:val="24"/>
          <w:lang w:val="sq-AL"/>
        </w:rPr>
        <w:t xml:space="preserve"> arritur që bujqësia organike të </w:t>
      </w:r>
      <w:r w:rsidR="00D23E10" w:rsidRPr="0058349C">
        <w:rPr>
          <w:rFonts w:ascii="Garamond" w:hAnsi="Garamond" w:cs="Arial"/>
          <w:sz w:val="24"/>
          <w:szCs w:val="24"/>
          <w:lang w:val="sq-AL"/>
        </w:rPr>
        <w:t>zërë</w:t>
      </w:r>
      <w:r w:rsidRPr="0058349C">
        <w:rPr>
          <w:rFonts w:ascii="Garamond" w:hAnsi="Garamond" w:cs="Arial"/>
          <w:sz w:val="24"/>
          <w:szCs w:val="24"/>
          <w:lang w:val="sq-AL"/>
        </w:rPr>
        <w:t xml:space="preserve"> 25% e tokës bujqësore deri në vitin 2030, po ashtu me </w:t>
      </w:r>
      <w:r w:rsidR="00D23E10" w:rsidRPr="0058349C">
        <w:rPr>
          <w:rFonts w:ascii="Garamond" w:hAnsi="Garamond" w:cs="Arial"/>
          <w:sz w:val="24"/>
          <w:szCs w:val="24"/>
          <w:lang w:val="sq-AL"/>
        </w:rPr>
        <w:t xml:space="preserve">shtyllën </w:t>
      </w:r>
      <w:r w:rsidRPr="0058349C">
        <w:rPr>
          <w:rFonts w:ascii="Garamond" w:hAnsi="Garamond" w:cs="Arial"/>
          <w:sz w:val="24"/>
          <w:szCs w:val="24"/>
          <w:lang w:val="sq-AL"/>
        </w:rPr>
        <w:t>IV të Deklaratës së Sofjes për A</w:t>
      </w:r>
      <w:r w:rsidR="00D23E10">
        <w:rPr>
          <w:rFonts w:ascii="Garamond" w:hAnsi="Garamond" w:cs="Arial"/>
          <w:sz w:val="24"/>
          <w:szCs w:val="24"/>
          <w:lang w:val="sq-AL"/>
        </w:rPr>
        <w:t>gj</w:t>
      </w:r>
      <w:r w:rsidRPr="0058349C">
        <w:rPr>
          <w:rFonts w:ascii="Garamond" w:hAnsi="Garamond" w:cs="Arial"/>
          <w:sz w:val="24"/>
          <w:szCs w:val="24"/>
          <w:lang w:val="sq-AL"/>
        </w:rPr>
        <w:t xml:space="preserve">endën e Gjelbër për Ballkanin Perëndimor: </w:t>
      </w:r>
      <w:r w:rsidR="00664693" w:rsidRPr="0058349C">
        <w:rPr>
          <w:rFonts w:ascii="Garamond" w:hAnsi="Garamond" w:cs="Arial"/>
          <w:i/>
          <w:iCs/>
          <w:sz w:val="24"/>
          <w:szCs w:val="24"/>
          <w:lang w:val="sq-AL"/>
        </w:rPr>
        <w:t>“</w:t>
      </w:r>
      <w:r w:rsidR="00D23E10" w:rsidRPr="0058349C">
        <w:rPr>
          <w:rFonts w:ascii="Garamond" w:hAnsi="Garamond" w:cs="Arial"/>
          <w:i/>
          <w:sz w:val="24"/>
          <w:szCs w:val="24"/>
          <w:lang w:val="sq-AL"/>
        </w:rPr>
        <w:t xml:space="preserve">Promovimi </w:t>
      </w:r>
      <w:r w:rsidRPr="0058349C">
        <w:rPr>
          <w:rFonts w:ascii="Garamond" w:hAnsi="Garamond" w:cs="Arial"/>
          <w:i/>
          <w:sz w:val="24"/>
          <w:szCs w:val="24"/>
          <w:lang w:val="sq-AL"/>
        </w:rPr>
        <w:t>i bujqësisë miqësore me mjedisin dhe organike dhe reduktimi i produkteve kimike sintetike të përdorura në prodhimin e ushqimit: pesticidet, ilaçet veterinare dhe plehrat</w:t>
      </w:r>
      <w:r w:rsidR="00664693" w:rsidRPr="0058349C">
        <w:rPr>
          <w:rFonts w:ascii="Garamond" w:hAnsi="Garamond" w:cs="Arial"/>
          <w:i/>
          <w:iCs/>
          <w:sz w:val="24"/>
          <w:szCs w:val="24"/>
          <w:lang w:val="sq-AL"/>
        </w:rPr>
        <w:t>”</w:t>
      </w:r>
      <w:r w:rsidRPr="0058349C">
        <w:rPr>
          <w:rFonts w:ascii="Garamond" w:hAnsi="Garamond" w:cs="Arial"/>
          <w:sz w:val="24"/>
          <w:szCs w:val="24"/>
          <w:lang w:val="sq-AL"/>
        </w:rPr>
        <w:t>. Përveç kësaj, kërkesa n</w:t>
      </w:r>
      <w:r w:rsidRPr="0058349C">
        <w:rPr>
          <w:rFonts w:ascii="Garamond" w:hAnsi="Garamond" w:cs="Arial"/>
          <w:bCs/>
          <w:sz w:val="24"/>
          <w:szCs w:val="24"/>
          <w:lang w:val="sq-AL"/>
        </w:rPr>
        <w:t xml:space="preserve">ë rritje </w:t>
      </w:r>
      <w:r w:rsidRPr="0058349C">
        <w:rPr>
          <w:rFonts w:ascii="Garamond" w:hAnsi="Garamond" w:cs="Arial"/>
          <w:sz w:val="24"/>
          <w:szCs w:val="24"/>
          <w:lang w:val="sq-AL"/>
        </w:rPr>
        <w:t>e tregut për produkte organike është një potencial dhe mundësi reale që duhet të shfrytëzohet.</w:t>
      </w:r>
    </w:p>
    <w:p w14:paraId="0773AE64" w14:textId="0929185C" w:rsidR="00DF7A00" w:rsidRPr="0058349C" w:rsidRDefault="00862546" w:rsidP="00862546">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 xml:space="preserve">2.5 </w:t>
      </w:r>
      <w:r w:rsidR="00DF7A00" w:rsidRPr="0058349C">
        <w:rPr>
          <w:rFonts w:ascii="Garamond" w:hAnsi="Garamond" w:cs="Arial"/>
          <w:b/>
          <w:bCs/>
          <w:sz w:val="24"/>
          <w:szCs w:val="24"/>
          <w:lang w:val="sq-AL"/>
        </w:rPr>
        <w:t>Përafrimi gradual me standardet e BE-së dhe promovimi i praktikave të mira për m</w:t>
      </w:r>
      <w:r w:rsidR="00DF7A00" w:rsidRPr="00D23E10">
        <w:rPr>
          <w:rFonts w:ascii="Garamond" w:hAnsi="Garamond" w:cs="Arial"/>
          <w:b/>
          <w:bCs/>
          <w:sz w:val="24"/>
          <w:szCs w:val="24"/>
          <w:lang w:val="sq-AL"/>
        </w:rPr>
        <w:t xml:space="preserve">irëmbajtjen </w:t>
      </w:r>
      <w:r w:rsidR="00DF7A00" w:rsidRPr="0058349C">
        <w:rPr>
          <w:rFonts w:ascii="Garamond" w:hAnsi="Garamond" w:cs="Arial"/>
          <w:b/>
          <w:bCs/>
          <w:sz w:val="24"/>
          <w:szCs w:val="24"/>
          <w:lang w:val="sq-AL"/>
        </w:rPr>
        <w:t xml:space="preserve">e burimeve natyrore, si ajri, toka dhe uji </w:t>
      </w:r>
      <w:r w:rsidR="00DF7A00" w:rsidRPr="0058349C">
        <w:rPr>
          <w:rFonts w:ascii="Garamond" w:hAnsi="Garamond" w:cs="Arial"/>
          <w:bCs/>
          <w:sz w:val="24"/>
          <w:szCs w:val="24"/>
          <w:lang w:val="sq-AL"/>
        </w:rPr>
        <w:t>(shih</w:t>
      </w:r>
      <w:r w:rsidR="00664693" w:rsidRPr="0058349C">
        <w:rPr>
          <w:rFonts w:ascii="Garamond" w:hAnsi="Garamond" w:cs="Arial"/>
          <w:bCs/>
          <w:sz w:val="24"/>
          <w:szCs w:val="24"/>
          <w:lang w:val="sq-AL"/>
        </w:rPr>
        <w:t>,</w:t>
      </w:r>
      <w:r w:rsidR="00DF7A00" w:rsidRPr="0058349C">
        <w:rPr>
          <w:rFonts w:ascii="Garamond" w:hAnsi="Garamond" w:cs="Arial"/>
          <w:bCs/>
          <w:sz w:val="24"/>
          <w:szCs w:val="24"/>
          <w:lang w:val="sq-AL"/>
        </w:rPr>
        <w:t xml:space="preserve"> gjithashtu</w:t>
      </w:r>
      <w:r w:rsidR="00664693" w:rsidRPr="0058349C">
        <w:rPr>
          <w:rFonts w:ascii="Garamond" w:hAnsi="Garamond" w:cs="Arial"/>
          <w:bCs/>
          <w:sz w:val="24"/>
          <w:szCs w:val="24"/>
          <w:lang w:val="sq-AL"/>
        </w:rPr>
        <w:t>,</w:t>
      </w:r>
      <w:r w:rsidR="00DF7A00" w:rsidRPr="0058349C">
        <w:rPr>
          <w:rFonts w:ascii="Garamond" w:hAnsi="Garamond" w:cs="Arial"/>
          <w:bCs/>
          <w:sz w:val="24"/>
          <w:szCs w:val="24"/>
          <w:lang w:val="sq-AL"/>
        </w:rPr>
        <w:t xml:space="preserve"> </w:t>
      </w:r>
      <w:r w:rsidR="00664693" w:rsidRPr="0058349C">
        <w:rPr>
          <w:rFonts w:ascii="Garamond" w:hAnsi="Garamond" w:cs="Arial"/>
          <w:bCs/>
          <w:sz w:val="24"/>
          <w:szCs w:val="24"/>
          <w:lang w:val="sq-AL"/>
        </w:rPr>
        <w:t xml:space="preserve">objektivin ndërsektorial </w:t>
      </w:r>
      <w:r w:rsidR="00DF7A00" w:rsidRPr="0058349C">
        <w:rPr>
          <w:rFonts w:ascii="Garamond" w:hAnsi="Garamond" w:cs="Arial"/>
          <w:bCs/>
          <w:sz w:val="24"/>
          <w:szCs w:val="24"/>
          <w:lang w:val="sq-AL"/>
        </w:rPr>
        <w:t>1</w:t>
      </w:r>
      <w:r w:rsidR="00DF7A00" w:rsidRPr="0058349C">
        <w:rPr>
          <w:rFonts w:ascii="Garamond" w:hAnsi="Garamond" w:cs="Arial"/>
          <w:sz w:val="24"/>
          <w:szCs w:val="24"/>
          <w:lang w:val="sq-AL"/>
        </w:rPr>
        <w:t>).</w:t>
      </w:r>
    </w:p>
    <w:p w14:paraId="0773AE65" w14:textId="650F4DB2"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Aktualisht</w:t>
      </w:r>
      <w:r w:rsidR="00D23E10">
        <w:rPr>
          <w:rFonts w:ascii="Garamond" w:hAnsi="Garamond" w:cs="Arial"/>
          <w:sz w:val="24"/>
          <w:szCs w:val="24"/>
          <w:lang w:val="sq-AL"/>
        </w:rPr>
        <w:t>,</w:t>
      </w:r>
      <w:r w:rsidRPr="0058349C">
        <w:rPr>
          <w:rFonts w:ascii="Garamond" w:hAnsi="Garamond" w:cs="Arial"/>
          <w:sz w:val="24"/>
          <w:szCs w:val="24"/>
          <w:lang w:val="sq-AL"/>
        </w:rPr>
        <w:t xml:space="preserve"> praktikat e mira bujqësore promovohen sistematikisht në Shqipëri. Ato do të zbatohen n</w:t>
      </w:r>
      <w:r w:rsidRPr="0058349C">
        <w:rPr>
          <w:rFonts w:ascii="Garamond" w:hAnsi="Garamond" w:cs="Arial"/>
          <w:bCs/>
          <w:sz w:val="24"/>
          <w:szCs w:val="24"/>
          <w:lang w:val="sq-AL"/>
        </w:rPr>
        <w:t xml:space="preserve">ëpërmjet </w:t>
      </w:r>
      <w:r w:rsidRPr="0058349C">
        <w:rPr>
          <w:rFonts w:ascii="Garamond" w:hAnsi="Garamond" w:cs="Arial"/>
          <w:sz w:val="24"/>
          <w:szCs w:val="24"/>
          <w:lang w:val="sq-AL"/>
        </w:rPr>
        <w:t xml:space="preserve">hartimit dhe futjes në zbatim të </w:t>
      </w:r>
      <w:r w:rsidRPr="0058349C">
        <w:rPr>
          <w:rFonts w:ascii="Garamond" w:hAnsi="Garamond" w:cs="Arial"/>
          <w:b/>
          <w:sz w:val="24"/>
          <w:szCs w:val="24"/>
          <w:lang w:val="sq-AL"/>
        </w:rPr>
        <w:t>Kushteve të Mira Bujqësore dhe Mjedisore (KMBM</w:t>
      </w:r>
      <w:r w:rsidRPr="0058349C">
        <w:rPr>
          <w:rFonts w:ascii="Garamond" w:hAnsi="Garamond" w:cs="Arial"/>
          <w:sz w:val="24"/>
          <w:szCs w:val="24"/>
          <w:lang w:val="sq-AL"/>
        </w:rPr>
        <w:t>) të thjeshtuara,</w:t>
      </w:r>
      <w:r w:rsidRPr="0058349C">
        <w:rPr>
          <w:rFonts w:ascii="Garamond" w:hAnsi="Garamond" w:cs="Arial"/>
          <w:b/>
          <w:sz w:val="24"/>
          <w:szCs w:val="24"/>
          <w:lang w:val="sq-AL"/>
        </w:rPr>
        <w:t xml:space="preserve"> </w:t>
      </w:r>
      <w:r w:rsidRPr="0058349C">
        <w:rPr>
          <w:rFonts w:ascii="Garamond" w:hAnsi="Garamond" w:cs="Arial"/>
          <w:sz w:val="24"/>
          <w:szCs w:val="24"/>
          <w:lang w:val="sq-AL"/>
        </w:rPr>
        <w:t xml:space="preserve">përveç standardeve minimale ligjore dhe të cilat do të jenë të detyrueshme për përfituesit e mbështetjes së të ardhurave dhe pagesave kompensuese. Kuadri i standardeve të KMBM-ve synon të kontribuojë në zbutjen dhe përshtatjen ndaj ndryshimeve klimatike, në mbrojtjen e ujit, tokës dhe biodiversitetit. </w:t>
      </w:r>
    </w:p>
    <w:p w14:paraId="0773AE66" w14:textId="6E9B2544"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Ujitja e papërshtatshme</w:t>
      </w:r>
      <w:r w:rsidRPr="0058349C">
        <w:rPr>
          <w:rFonts w:ascii="Garamond" w:hAnsi="Garamond" w:cs="Arial"/>
          <w:sz w:val="24"/>
          <w:szCs w:val="24"/>
          <w:lang w:val="sq-AL"/>
        </w:rPr>
        <w:t xml:space="preserve"> mund të shkaktojë erozion të tokës dhe</w:t>
      </w:r>
      <w:r w:rsidR="00D23E10">
        <w:rPr>
          <w:rFonts w:ascii="Garamond" w:hAnsi="Garamond" w:cs="Arial"/>
          <w:sz w:val="24"/>
          <w:szCs w:val="24"/>
          <w:lang w:val="sq-AL"/>
        </w:rPr>
        <w:t>,</w:t>
      </w:r>
      <w:r w:rsidRPr="0058349C">
        <w:rPr>
          <w:rFonts w:ascii="Garamond" w:hAnsi="Garamond" w:cs="Arial"/>
          <w:sz w:val="24"/>
          <w:szCs w:val="24"/>
          <w:lang w:val="sq-AL"/>
        </w:rPr>
        <w:t xml:space="preserve"> gjithashtu</w:t>
      </w:r>
      <w:r w:rsidR="00D23E10">
        <w:rPr>
          <w:rFonts w:ascii="Garamond" w:hAnsi="Garamond" w:cs="Arial"/>
          <w:sz w:val="24"/>
          <w:szCs w:val="24"/>
          <w:lang w:val="sq-AL"/>
        </w:rPr>
        <w:t>,</w:t>
      </w:r>
      <w:r w:rsidRPr="0058349C">
        <w:rPr>
          <w:rFonts w:ascii="Garamond" w:hAnsi="Garamond" w:cs="Arial"/>
          <w:sz w:val="24"/>
          <w:szCs w:val="24"/>
          <w:lang w:val="sq-AL"/>
        </w:rPr>
        <w:t xml:space="preserve"> mund të krijojë toka të kripura (në rast se përdoret ujë nëntokësor i kripur).</w:t>
      </w:r>
    </w:p>
    <w:p w14:paraId="0773AE67" w14:textId="5DA9D7F6" w:rsidR="00862546" w:rsidRPr="0058349C" w:rsidRDefault="00DF7A00" w:rsidP="00862546">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Masa e agropylltarisë</w:t>
      </w:r>
      <w:r w:rsidRPr="0058349C">
        <w:rPr>
          <w:rFonts w:ascii="Garamond" w:hAnsi="Garamond" w:cs="Arial"/>
          <w:sz w:val="24"/>
          <w:szCs w:val="24"/>
          <w:lang w:val="sq-AL"/>
        </w:rPr>
        <w:t xml:space="preserve"> do të ishte një nga mjetet më të efektshme për të trajtuar fenomenin intensiv të erozionit, veçanërisht në tokat e braktisura</w:t>
      </w:r>
      <w:r w:rsidR="00D23E10">
        <w:rPr>
          <w:rFonts w:ascii="Garamond" w:hAnsi="Garamond" w:cs="Arial"/>
          <w:sz w:val="24"/>
          <w:szCs w:val="24"/>
          <w:lang w:val="sq-AL"/>
        </w:rPr>
        <w:t xml:space="preserve"> bujqësore, shpatet e zhveshura</w:t>
      </w:r>
      <w:r w:rsidRPr="0058349C">
        <w:rPr>
          <w:rFonts w:ascii="Garamond" w:hAnsi="Garamond" w:cs="Arial"/>
          <w:sz w:val="24"/>
          <w:szCs w:val="24"/>
          <w:lang w:val="sq-AL"/>
        </w:rPr>
        <w:t xml:space="preserve"> etj.</w:t>
      </w:r>
    </w:p>
    <w:p w14:paraId="0773AE68" w14:textId="71E8C987" w:rsidR="00DF7A00" w:rsidRPr="0058349C" w:rsidRDefault="00862546" w:rsidP="00862546">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2.6</w:t>
      </w:r>
      <w:r w:rsidRPr="0058349C">
        <w:rPr>
          <w:rFonts w:ascii="Garamond" w:hAnsi="Garamond" w:cs="Arial"/>
          <w:sz w:val="24"/>
          <w:szCs w:val="24"/>
          <w:lang w:val="sq-AL"/>
        </w:rPr>
        <w:t xml:space="preserve"> </w:t>
      </w:r>
      <w:r w:rsidR="00DF7A00" w:rsidRPr="0058349C">
        <w:rPr>
          <w:rFonts w:ascii="Garamond" w:hAnsi="Garamond" w:cs="Arial"/>
          <w:b/>
          <w:bCs/>
          <w:sz w:val="24"/>
          <w:szCs w:val="24"/>
          <w:lang w:val="sq-AL"/>
        </w:rPr>
        <w:t xml:space="preserve">Forcimi i ndërgjegjësimit publik, i njohurive dhe </w:t>
      </w:r>
      <w:r w:rsidR="003E43D8">
        <w:rPr>
          <w:rFonts w:ascii="Garamond" w:hAnsi="Garamond" w:cs="Arial"/>
          <w:b/>
          <w:bCs/>
          <w:sz w:val="24"/>
          <w:szCs w:val="24"/>
          <w:lang w:val="sq-AL"/>
        </w:rPr>
        <w:t xml:space="preserve">i </w:t>
      </w:r>
      <w:r w:rsidR="00DF7A00" w:rsidRPr="0058349C">
        <w:rPr>
          <w:rFonts w:ascii="Garamond" w:hAnsi="Garamond" w:cs="Arial"/>
          <w:b/>
          <w:bCs/>
          <w:sz w:val="24"/>
          <w:szCs w:val="24"/>
          <w:lang w:val="sq-AL"/>
        </w:rPr>
        <w:t>aftësive të administratës</w:t>
      </w:r>
      <w:r w:rsidR="003E43D8">
        <w:rPr>
          <w:rFonts w:ascii="Garamond" w:hAnsi="Garamond" w:cs="Arial"/>
          <w:b/>
          <w:bCs/>
          <w:sz w:val="24"/>
          <w:szCs w:val="24"/>
          <w:lang w:val="sq-AL"/>
        </w:rPr>
        <w:t>,</w:t>
      </w:r>
      <w:r w:rsidR="00DF7A00" w:rsidRPr="0058349C">
        <w:rPr>
          <w:rFonts w:ascii="Garamond" w:hAnsi="Garamond" w:cs="Arial"/>
          <w:b/>
          <w:bCs/>
          <w:sz w:val="24"/>
          <w:szCs w:val="24"/>
          <w:lang w:val="sq-AL"/>
        </w:rPr>
        <w:t xml:space="preserve"> dhe </w:t>
      </w:r>
      <w:r w:rsidR="003E43D8">
        <w:rPr>
          <w:rFonts w:ascii="Garamond" w:hAnsi="Garamond" w:cs="Arial"/>
          <w:b/>
          <w:bCs/>
          <w:sz w:val="24"/>
          <w:szCs w:val="24"/>
          <w:lang w:val="sq-AL"/>
        </w:rPr>
        <w:t xml:space="preserve">i </w:t>
      </w:r>
      <w:r w:rsidR="00DF7A00" w:rsidRPr="0058349C">
        <w:rPr>
          <w:rFonts w:ascii="Garamond" w:hAnsi="Garamond" w:cs="Arial"/>
          <w:b/>
          <w:bCs/>
          <w:sz w:val="24"/>
          <w:szCs w:val="24"/>
          <w:lang w:val="sq-AL"/>
        </w:rPr>
        <w:t>strukturave këshilluese</w:t>
      </w:r>
      <w:r w:rsidR="003E43D8">
        <w:rPr>
          <w:rFonts w:ascii="Garamond" w:hAnsi="Garamond" w:cs="Arial"/>
          <w:b/>
          <w:bCs/>
          <w:sz w:val="24"/>
          <w:szCs w:val="24"/>
          <w:lang w:val="sq-AL"/>
        </w:rPr>
        <w:t>,</w:t>
      </w:r>
      <w:r w:rsidR="00DF7A00" w:rsidRPr="0058349C">
        <w:rPr>
          <w:rFonts w:ascii="Garamond" w:hAnsi="Garamond" w:cs="Arial"/>
          <w:b/>
          <w:bCs/>
          <w:sz w:val="24"/>
          <w:szCs w:val="24"/>
          <w:lang w:val="sq-AL"/>
        </w:rPr>
        <w:t xml:space="preserve"> por dhe i fermerëve mbi standardet e BE-së në lidhje me mbrojtjen e mjedisit dhe zbutjen dhe përshtatjen ndaj ndryshimeve klimatike </w:t>
      </w:r>
    </w:p>
    <w:p w14:paraId="0773AE69" w14:textId="3D098DD5" w:rsidR="00862546" w:rsidRPr="0058349C" w:rsidRDefault="00DF7A00" w:rsidP="00862546">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lastRenderedPageBreak/>
        <w:t>Është shumë e nevojshme rritja e ndërgjegjësimit publik, e njohurive dhe aftësive të administratës, strukturave të ekstensionit në sektorin e bujqësisë</w:t>
      </w:r>
      <w:r w:rsidR="00681513">
        <w:rPr>
          <w:rFonts w:ascii="Garamond" w:hAnsi="Garamond" w:cs="Arial"/>
          <w:sz w:val="24"/>
          <w:szCs w:val="24"/>
          <w:lang w:val="sq-AL"/>
        </w:rPr>
        <w:t>,</w:t>
      </w:r>
      <w:r w:rsidRPr="0058349C">
        <w:rPr>
          <w:rFonts w:ascii="Garamond" w:hAnsi="Garamond" w:cs="Arial"/>
          <w:sz w:val="24"/>
          <w:szCs w:val="24"/>
          <w:lang w:val="sq-AL"/>
        </w:rPr>
        <w:t xml:space="preserve"> si edhe e fermerëve mbi standardet e BE-së</w:t>
      </w:r>
      <w:r w:rsidR="00681513">
        <w:rPr>
          <w:rFonts w:ascii="Garamond" w:hAnsi="Garamond" w:cs="Arial"/>
          <w:sz w:val="24"/>
          <w:szCs w:val="24"/>
          <w:lang w:val="sq-AL"/>
        </w:rPr>
        <w:t>,</w:t>
      </w:r>
      <w:r w:rsidRPr="0058349C">
        <w:rPr>
          <w:rFonts w:ascii="Garamond" w:hAnsi="Garamond" w:cs="Arial"/>
          <w:sz w:val="24"/>
          <w:szCs w:val="24"/>
          <w:lang w:val="sq-AL"/>
        </w:rPr>
        <w:t xml:space="preserve"> në lidhje me mbrojtjen e mjedisit dhe me masat zbutëse dhe përshtatëse ndaj ndryshimeve klimatike. Përveç avantazheve të drejtpërdrejta, MBZHR-ja ka një objektiv strategjik në sigurimin e aksesit në fondet e BE-së për bujqësinë dhe zhvillimin rural. Ndërkohë që vendi po përshtatet me kërkesat bazë të </w:t>
      </w:r>
      <w:r w:rsidR="00B25257" w:rsidRPr="00B25257">
        <w:rPr>
          <w:rFonts w:ascii="Garamond" w:hAnsi="Garamond" w:cs="Arial"/>
          <w:i/>
          <w:iCs/>
          <w:sz w:val="24"/>
          <w:szCs w:val="24"/>
          <w:lang w:val="sq-AL"/>
        </w:rPr>
        <w:t>acquis</w:t>
      </w:r>
      <w:r w:rsidRPr="0058349C">
        <w:rPr>
          <w:rFonts w:ascii="Garamond" w:hAnsi="Garamond" w:cs="Arial"/>
          <w:sz w:val="24"/>
          <w:szCs w:val="24"/>
          <w:lang w:val="sq-AL"/>
        </w:rPr>
        <w:t xml:space="preserve"> të PPB-së, BE-ja po shkon drejt një politike ambicioze të gjelbër në të gjithë sektorët, e cila është</w:t>
      </w:r>
      <w:r w:rsidR="00681513">
        <w:rPr>
          <w:rFonts w:ascii="Garamond" w:hAnsi="Garamond" w:cs="Arial"/>
          <w:sz w:val="24"/>
          <w:szCs w:val="24"/>
          <w:lang w:val="sq-AL"/>
        </w:rPr>
        <w:t>,</w:t>
      </w:r>
      <w:r w:rsidRPr="0058349C">
        <w:rPr>
          <w:rFonts w:ascii="Garamond" w:hAnsi="Garamond" w:cs="Arial"/>
          <w:sz w:val="24"/>
          <w:szCs w:val="24"/>
          <w:lang w:val="sq-AL"/>
        </w:rPr>
        <w:t xml:space="preserve"> gjithashtu</w:t>
      </w:r>
      <w:r w:rsidR="00681513">
        <w:rPr>
          <w:rFonts w:ascii="Garamond" w:hAnsi="Garamond" w:cs="Arial"/>
          <w:sz w:val="24"/>
          <w:szCs w:val="24"/>
          <w:lang w:val="sq-AL"/>
        </w:rPr>
        <w:t>,</w:t>
      </w:r>
      <w:r w:rsidRPr="0058349C">
        <w:rPr>
          <w:rFonts w:ascii="Garamond" w:hAnsi="Garamond" w:cs="Arial"/>
          <w:sz w:val="24"/>
          <w:szCs w:val="24"/>
          <w:lang w:val="sq-AL"/>
        </w:rPr>
        <w:t xml:space="preserve"> mjaft sfiduese për vendet anëtare të BE-së. </w:t>
      </w:r>
    </w:p>
    <w:p w14:paraId="0773AE6A" w14:textId="6BF6150A" w:rsidR="00DF7A00" w:rsidRPr="0058349C" w:rsidRDefault="00862546" w:rsidP="00862546">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 xml:space="preserve">2.7 </w:t>
      </w:r>
      <w:r w:rsidR="00DF7A00" w:rsidRPr="0058349C">
        <w:rPr>
          <w:rFonts w:ascii="Garamond" w:hAnsi="Garamond" w:cs="Arial"/>
          <w:b/>
          <w:bCs/>
          <w:sz w:val="24"/>
          <w:szCs w:val="24"/>
          <w:lang w:val="sq-AL"/>
        </w:rPr>
        <w:t>Konsolidimi i Shërbimit</w:t>
      </w:r>
      <w:r w:rsidR="00681513">
        <w:rPr>
          <w:rFonts w:ascii="Garamond" w:hAnsi="Garamond" w:cs="Arial"/>
          <w:b/>
          <w:bCs/>
          <w:sz w:val="24"/>
          <w:szCs w:val="24"/>
          <w:lang w:val="sq-AL"/>
        </w:rPr>
        <w:t xml:space="preserve"> Këshillimor për Fermat (SHKF</w:t>
      </w:r>
      <w:r w:rsidR="00DF7A00" w:rsidRPr="0058349C">
        <w:rPr>
          <w:rFonts w:ascii="Garamond" w:hAnsi="Garamond" w:cs="Arial"/>
          <w:b/>
          <w:bCs/>
          <w:sz w:val="24"/>
          <w:szCs w:val="24"/>
          <w:lang w:val="sq-AL"/>
        </w:rPr>
        <w:t>) (shih</w:t>
      </w:r>
      <w:r w:rsidR="00664693" w:rsidRPr="0058349C">
        <w:rPr>
          <w:rFonts w:ascii="Garamond" w:hAnsi="Garamond" w:cs="Arial"/>
          <w:b/>
          <w:bCs/>
          <w:sz w:val="24"/>
          <w:szCs w:val="24"/>
          <w:lang w:val="sq-AL"/>
        </w:rPr>
        <w:t>,</w:t>
      </w:r>
      <w:r w:rsidR="00DF7A00" w:rsidRPr="0058349C">
        <w:rPr>
          <w:rFonts w:ascii="Garamond" w:hAnsi="Garamond" w:cs="Arial"/>
          <w:b/>
          <w:bCs/>
          <w:sz w:val="24"/>
          <w:szCs w:val="24"/>
          <w:lang w:val="sq-AL"/>
        </w:rPr>
        <w:t xml:space="preserve"> gjithashtu</w:t>
      </w:r>
      <w:r w:rsidR="00664693" w:rsidRPr="0058349C">
        <w:rPr>
          <w:rFonts w:ascii="Garamond" w:hAnsi="Garamond" w:cs="Arial"/>
          <w:b/>
          <w:bCs/>
          <w:sz w:val="24"/>
          <w:szCs w:val="24"/>
          <w:lang w:val="sq-AL"/>
        </w:rPr>
        <w:t>,</w:t>
      </w:r>
      <w:r w:rsidR="00DF7A00" w:rsidRPr="0058349C">
        <w:rPr>
          <w:rFonts w:ascii="Garamond" w:hAnsi="Garamond" w:cs="Arial"/>
          <w:b/>
          <w:bCs/>
          <w:sz w:val="24"/>
          <w:szCs w:val="24"/>
          <w:lang w:val="sq-AL"/>
        </w:rPr>
        <w:t xml:space="preserve"> </w:t>
      </w:r>
      <w:r w:rsidR="00664693" w:rsidRPr="0058349C">
        <w:rPr>
          <w:rFonts w:ascii="Garamond" w:hAnsi="Garamond" w:cs="Arial"/>
          <w:b/>
          <w:bCs/>
          <w:sz w:val="24"/>
          <w:szCs w:val="24"/>
          <w:lang w:val="sq-AL"/>
        </w:rPr>
        <w:t xml:space="preserve">objektivin ndërsektorial </w:t>
      </w:r>
      <w:r w:rsidR="00DF7A00" w:rsidRPr="0058349C">
        <w:rPr>
          <w:rFonts w:ascii="Garamond" w:hAnsi="Garamond" w:cs="Arial"/>
          <w:b/>
          <w:bCs/>
          <w:sz w:val="24"/>
          <w:szCs w:val="24"/>
          <w:lang w:val="sq-AL"/>
        </w:rPr>
        <w:t>2)</w:t>
      </w:r>
    </w:p>
    <w:p w14:paraId="0773AE6B" w14:textId="5CDB462B" w:rsidR="00DF7A00" w:rsidRPr="0058349C" w:rsidRDefault="00DF7A00" w:rsidP="00681513">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Në këtë aspekt kërkohen kompetenca të përmirësuara të këshilluesve (publik</w:t>
      </w:r>
      <w:r w:rsidR="00681513">
        <w:rPr>
          <w:rFonts w:ascii="Garamond" w:hAnsi="Garamond" w:cs="Arial"/>
          <w:sz w:val="24"/>
          <w:szCs w:val="24"/>
          <w:lang w:val="sq-AL"/>
        </w:rPr>
        <w:t>ë</w:t>
      </w:r>
      <w:r w:rsidRPr="0058349C">
        <w:rPr>
          <w:rFonts w:ascii="Garamond" w:hAnsi="Garamond" w:cs="Arial"/>
          <w:sz w:val="24"/>
          <w:szCs w:val="24"/>
          <w:lang w:val="sq-AL"/>
        </w:rPr>
        <w:t xml:space="preserve"> dhe privat</w:t>
      </w:r>
      <w:r w:rsidR="00681513">
        <w:rPr>
          <w:rFonts w:ascii="Garamond" w:hAnsi="Garamond" w:cs="Arial"/>
          <w:sz w:val="24"/>
          <w:szCs w:val="24"/>
          <w:lang w:val="sq-AL"/>
        </w:rPr>
        <w:t>ë</w:t>
      </w:r>
      <w:r w:rsidRPr="0058349C">
        <w:rPr>
          <w:rFonts w:ascii="Garamond" w:hAnsi="Garamond" w:cs="Arial"/>
          <w:sz w:val="24"/>
          <w:szCs w:val="24"/>
          <w:lang w:val="sq-AL"/>
        </w:rPr>
        <w:t xml:space="preserve">) dhe një strukturë e përshtatshme për transferimin e informacionit, e këshillimit dhe </w:t>
      </w:r>
      <w:r w:rsidR="00681513">
        <w:rPr>
          <w:rFonts w:ascii="Garamond" w:hAnsi="Garamond" w:cs="Arial"/>
          <w:sz w:val="24"/>
          <w:szCs w:val="24"/>
          <w:lang w:val="sq-AL"/>
        </w:rPr>
        <w:t xml:space="preserve">të </w:t>
      </w:r>
      <w:r w:rsidRPr="0058349C">
        <w:rPr>
          <w:rFonts w:ascii="Garamond" w:hAnsi="Garamond" w:cs="Arial"/>
          <w:sz w:val="24"/>
          <w:szCs w:val="24"/>
          <w:lang w:val="sq-AL"/>
        </w:rPr>
        <w:t>trajnimit me fokus në kushtet mjedisore që janë pjesë e PPB-së të BE-së.</w:t>
      </w:r>
    </w:p>
    <w:p w14:paraId="0773AE6C" w14:textId="0B424AD0" w:rsidR="00862546" w:rsidRPr="0058349C" w:rsidRDefault="00DF7A00" w:rsidP="00681513">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lang w:val="sq-AL"/>
        </w:rPr>
        <w:t>Rrjetet e transferimit të njohurive për praktikat e mira bujqësore dhe</w:t>
      </w:r>
      <w:r w:rsidRPr="0058349C">
        <w:rPr>
          <w:rFonts w:ascii="Garamond" w:hAnsi="Garamond" w:cs="Arial"/>
          <w:sz w:val="24"/>
          <w:szCs w:val="24"/>
          <w:lang w:val="sq-AL"/>
        </w:rPr>
        <w:t xml:space="preserve"> </w:t>
      </w:r>
      <w:r w:rsidRPr="0058349C">
        <w:rPr>
          <w:rFonts w:ascii="Garamond" w:hAnsi="Garamond" w:cs="Arial"/>
          <w:b/>
          <w:bCs/>
          <w:sz w:val="24"/>
          <w:szCs w:val="24"/>
          <w:lang w:val="sq-AL"/>
        </w:rPr>
        <w:t xml:space="preserve">mjedisore </w:t>
      </w:r>
      <w:r w:rsidRPr="0058349C">
        <w:rPr>
          <w:rFonts w:ascii="Garamond" w:hAnsi="Garamond" w:cs="Arial"/>
          <w:bCs/>
          <w:sz w:val="24"/>
          <w:szCs w:val="24"/>
          <w:lang w:val="sq-AL"/>
        </w:rPr>
        <w:t>shihen si jashtëzakonisht të rëndësishme. Prodhimi i materialeve trajnuese për zbutjen e efekteve dhe përshtatjen ndaj ndryshimeve klimatike, si dhe për mbrojtjen e peizazhit, tokës, ujit dhe biodiversitetit, kërkon përfshirjen e instituteve kërkimore, universiteteve, OJF-ve mjedisore dhe organizatave të tjera të shoqërisë civile, ndërsa ofrimi i trajnimeve që përfshijnë organizatat e fermerëve në demonstrimet në praktike është ideale për qëndrueshmërinë e rrjeteve. Është e domosdoshme që SHKF-</w:t>
      </w:r>
      <w:r w:rsidR="00681513">
        <w:rPr>
          <w:rFonts w:ascii="Garamond" w:hAnsi="Garamond" w:cs="Arial"/>
          <w:bCs/>
          <w:sz w:val="24"/>
          <w:szCs w:val="24"/>
          <w:lang w:val="sq-AL"/>
        </w:rPr>
        <w:t>ja</w:t>
      </w:r>
      <w:r w:rsidRPr="0058349C">
        <w:rPr>
          <w:rFonts w:ascii="Garamond" w:hAnsi="Garamond" w:cs="Arial"/>
          <w:bCs/>
          <w:sz w:val="24"/>
          <w:szCs w:val="24"/>
          <w:lang w:val="sq-AL"/>
        </w:rPr>
        <w:t xml:space="preserve"> të fokusohet qartësisht</w:t>
      </w:r>
      <w:r w:rsidR="00CF7694" w:rsidRPr="0058349C">
        <w:rPr>
          <w:rFonts w:ascii="Garamond" w:hAnsi="Garamond" w:cs="Arial"/>
          <w:bCs/>
          <w:sz w:val="24"/>
          <w:szCs w:val="24"/>
          <w:lang w:val="sq-AL"/>
        </w:rPr>
        <w:t xml:space="preserve"> </w:t>
      </w:r>
      <w:r w:rsidRPr="0058349C">
        <w:rPr>
          <w:rFonts w:ascii="Garamond" w:hAnsi="Garamond" w:cs="Arial"/>
          <w:bCs/>
          <w:sz w:val="24"/>
          <w:szCs w:val="24"/>
          <w:lang w:val="sq-AL"/>
        </w:rPr>
        <w:t xml:space="preserve">në kushtëzimet </w:t>
      </w:r>
      <w:r w:rsidRPr="00681513">
        <w:rPr>
          <w:rFonts w:ascii="Garamond" w:hAnsi="Garamond" w:cs="Arial"/>
          <w:bCs/>
          <w:i/>
          <w:iCs/>
          <w:sz w:val="24"/>
          <w:szCs w:val="24"/>
          <w:lang w:val="sq-AL"/>
        </w:rPr>
        <w:t>(</w:t>
      </w:r>
      <w:r w:rsidRPr="00681513">
        <w:rPr>
          <w:rFonts w:ascii="Garamond" w:eastAsia="Calibri" w:hAnsi="Garamond"/>
          <w:i/>
          <w:iCs/>
          <w:sz w:val="24"/>
          <w:szCs w:val="24"/>
          <w:lang w:val="sq-AL"/>
        </w:rPr>
        <w:t>cross-compliance).</w:t>
      </w:r>
    </w:p>
    <w:p w14:paraId="0773AE6D" w14:textId="6D3D6625" w:rsidR="00DF7A00" w:rsidRPr="0058349C" w:rsidRDefault="00664693" w:rsidP="00664693">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lang w:val="sq-AL"/>
        </w:rPr>
        <w:t xml:space="preserve">2.8 </w:t>
      </w:r>
      <w:r w:rsidR="00DF7A00" w:rsidRPr="0058349C">
        <w:rPr>
          <w:rFonts w:ascii="Garamond" w:hAnsi="Garamond" w:cs="Arial"/>
          <w:b/>
          <w:bCs/>
          <w:sz w:val="24"/>
          <w:szCs w:val="24"/>
          <w:lang w:val="sq-AL"/>
        </w:rPr>
        <w:t>Sigurimi i treguesve bazë bujqësorë të lidhur me mjedisin</w:t>
      </w:r>
    </w:p>
    <w:p w14:paraId="0773AE6E" w14:textId="4AB40D16" w:rsidR="00641ADD" w:rsidRPr="0058349C" w:rsidRDefault="00DF7A00" w:rsidP="00641ADD">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Treguesit bazë janë gur themeli për përgatitjen e politikës dhe vlerësimin e ndikimit të saj. Në Shqipëri po llogariten pjesa më e madhe e treguesve bazë. Përdorimi i pesticideve dhe </w:t>
      </w:r>
      <w:r w:rsidR="004A212B">
        <w:rPr>
          <w:rFonts w:ascii="Garamond" w:hAnsi="Garamond" w:cs="Arial"/>
          <w:sz w:val="24"/>
          <w:szCs w:val="24"/>
          <w:lang w:val="sq-AL"/>
        </w:rPr>
        <w:t xml:space="preserve">i </w:t>
      </w:r>
      <w:r w:rsidRPr="0058349C">
        <w:rPr>
          <w:rFonts w:ascii="Garamond" w:hAnsi="Garamond" w:cs="Arial"/>
          <w:sz w:val="24"/>
          <w:szCs w:val="24"/>
          <w:lang w:val="sq-AL"/>
        </w:rPr>
        <w:t xml:space="preserve">ilaçeve veterinare, zonat bujqësore me vlerë të lartë natyrore, cilësia e ujit dhe erozioni i tokës nga uji janë tregues të rëndësishëm, pjesë e treguesve bazë që duhet të vihen në dispozicion për përafrimin me </w:t>
      </w:r>
      <w:r w:rsidR="00B25257" w:rsidRPr="00B25257">
        <w:rPr>
          <w:rFonts w:ascii="Garamond" w:hAnsi="Garamond" w:cs="Arial"/>
          <w:i/>
          <w:iCs/>
          <w:sz w:val="24"/>
          <w:szCs w:val="24"/>
          <w:lang w:val="sq-AL"/>
        </w:rPr>
        <w:t>acquis</w:t>
      </w:r>
      <w:r w:rsidRPr="0058349C">
        <w:rPr>
          <w:rFonts w:ascii="Garamond" w:hAnsi="Garamond" w:cs="Arial"/>
          <w:sz w:val="24"/>
          <w:szCs w:val="24"/>
          <w:lang w:val="sq-AL"/>
        </w:rPr>
        <w:t xml:space="preserve"> të BE-së, si dhe n</w:t>
      </w:r>
      <w:r w:rsidRPr="0058349C">
        <w:rPr>
          <w:rFonts w:ascii="Garamond" w:hAnsi="Garamond" w:cs="Arial"/>
          <w:bCs/>
          <w:sz w:val="24"/>
          <w:szCs w:val="24"/>
          <w:lang w:val="sq-AL"/>
        </w:rPr>
        <w:t xml:space="preserve">ë </w:t>
      </w:r>
      <w:r w:rsidRPr="0058349C">
        <w:rPr>
          <w:rFonts w:ascii="Garamond" w:hAnsi="Garamond" w:cs="Arial"/>
          <w:sz w:val="24"/>
          <w:szCs w:val="24"/>
          <w:lang w:val="sq-AL"/>
        </w:rPr>
        <w:t>vendimmarrjen për politikat e bazuara në t</w:t>
      </w:r>
      <w:r w:rsidRPr="0058349C">
        <w:rPr>
          <w:rFonts w:ascii="Garamond" w:hAnsi="Garamond" w:cs="Arial"/>
          <w:bCs/>
          <w:sz w:val="24"/>
          <w:szCs w:val="24"/>
          <w:lang w:val="sq-AL"/>
        </w:rPr>
        <w:t xml:space="preserve">ë dhëna dhe </w:t>
      </w:r>
      <w:r w:rsidRPr="0058349C">
        <w:rPr>
          <w:rFonts w:ascii="Garamond" w:hAnsi="Garamond" w:cs="Arial"/>
          <w:sz w:val="24"/>
          <w:szCs w:val="24"/>
          <w:lang w:val="sq-AL"/>
        </w:rPr>
        <w:t>fakte.</w:t>
      </w:r>
    </w:p>
    <w:p w14:paraId="0773AE6F" w14:textId="77777777" w:rsidR="00DF7A00" w:rsidRPr="0058349C" w:rsidRDefault="00641ADD" w:rsidP="00641ADD">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 xml:space="preserve">2.9 </w:t>
      </w:r>
      <w:r w:rsidR="00DF7A00" w:rsidRPr="0058349C">
        <w:rPr>
          <w:rFonts w:ascii="Garamond" w:hAnsi="Garamond" w:cs="Arial"/>
          <w:b/>
          <w:bCs/>
          <w:sz w:val="24"/>
          <w:szCs w:val="24"/>
          <w:lang w:val="sq-AL"/>
        </w:rPr>
        <w:t>Përmirësimi i kapaciteteve pyjore për zbatimin e standardeve mjedisore</w:t>
      </w:r>
    </w:p>
    <w:p w14:paraId="0773AE70" w14:textId="128F61FB" w:rsidR="00641ADD" w:rsidRPr="0058349C" w:rsidRDefault="00DF7A00" w:rsidP="00641ADD">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Sektori i pyjeve kontribuon në përshtatjen ndaj ndryshimeve klimatike, siç është roli i tij në mbrojtjen e burimeve ujore dhe shërbimet mjedisore. Skema e certifikimit që siguron menaxhimin e duhur të burimeve pyjore janë instrumente të cilat do të integrohen. Kjo kërkon mbështetje nëpërmjet ndihmës direkte financiare dhe vendosjes së standardeve për përfshirjen e produkteve të drurit në ndërtimet e gjelbra. Qëllimi është adresimi i sfidave të ndryshimeve klimatike, të integrimit të energjisë së rinovueshme dhe </w:t>
      </w:r>
      <w:r w:rsidR="004A212B">
        <w:rPr>
          <w:rFonts w:ascii="Garamond" w:hAnsi="Garamond" w:cs="Arial"/>
          <w:sz w:val="24"/>
          <w:szCs w:val="24"/>
          <w:lang w:val="sq-AL"/>
        </w:rPr>
        <w:t xml:space="preserve">të </w:t>
      </w:r>
      <w:r w:rsidRPr="0058349C">
        <w:rPr>
          <w:rFonts w:ascii="Garamond" w:hAnsi="Garamond" w:cs="Arial"/>
          <w:sz w:val="24"/>
          <w:szCs w:val="24"/>
          <w:lang w:val="sq-AL"/>
        </w:rPr>
        <w:t>ruajtjes së biodiversitetit. Kjo përfshin masa për të mbështetur planifikimin e menaxhimit të qëndrueshëm të pyjeve, krijimin e koncepteve dhe sistemeve të menaxhimit të zjarrit q</w:t>
      </w:r>
      <w:r w:rsidRPr="0058349C">
        <w:rPr>
          <w:rFonts w:ascii="Garamond" w:hAnsi="Garamond" w:cs="Arial"/>
          <w:bCs/>
          <w:sz w:val="24"/>
          <w:szCs w:val="24"/>
          <w:lang w:val="sq-AL"/>
        </w:rPr>
        <w:t>ë</w:t>
      </w:r>
      <w:r w:rsidRPr="0058349C">
        <w:rPr>
          <w:rFonts w:ascii="Garamond" w:hAnsi="Garamond" w:cs="Arial"/>
          <w:sz w:val="24"/>
          <w:szCs w:val="24"/>
          <w:lang w:val="sq-AL"/>
        </w:rPr>
        <w:t xml:space="preserve"> do t</w:t>
      </w:r>
      <w:r w:rsidRPr="0058349C">
        <w:rPr>
          <w:rFonts w:ascii="Garamond" w:hAnsi="Garamond" w:cs="Arial"/>
          <w:bCs/>
          <w:sz w:val="24"/>
          <w:szCs w:val="24"/>
          <w:lang w:val="sq-AL"/>
        </w:rPr>
        <w:t>ë</w:t>
      </w:r>
      <w:r w:rsidRPr="0058349C">
        <w:rPr>
          <w:rFonts w:ascii="Garamond" w:hAnsi="Garamond" w:cs="Arial"/>
          <w:sz w:val="24"/>
          <w:szCs w:val="24"/>
          <w:lang w:val="sq-AL"/>
        </w:rPr>
        <w:t xml:space="preserve"> realizohen n</w:t>
      </w:r>
      <w:r w:rsidRPr="0058349C">
        <w:rPr>
          <w:rFonts w:ascii="Garamond" w:hAnsi="Garamond" w:cs="Arial"/>
          <w:bCs/>
          <w:sz w:val="24"/>
          <w:szCs w:val="24"/>
          <w:lang w:val="sq-AL"/>
        </w:rPr>
        <w:t>ë</w:t>
      </w:r>
      <w:r w:rsidRPr="0058349C">
        <w:rPr>
          <w:rFonts w:ascii="Garamond" w:hAnsi="Garamond" w:cs="Arial"/>
          <w:sz w:val="24"/>
          <w:szCs w:val="24"/>
          <w:lang w:val="sq-AL"/>
        </w:rPr>
        <w:t>p</w:t>
      </w:r>
      <w:r w:rsidRPr="0058349C">
        <w:rPr>
          <w:rFonts w:ascii="Garamond" w:hAnsi="Garamond" w:cs="Arial"/>
          <w:bCs/>
          <w:sz w:val="24"/>
          <w:szCs w:val="24"/>
          <w:lang w:val="sq-AL"/>
        </w:rPr>
        <w:t>ë</w:t>
      </w:r>
      <w:r w:rsidR="00641ADD" w:rsidRPr="0058349C">
        <w:rPr>
          <w:rFonts w:ascii="Garamond" w:hAnsi="Garamond" w:cs="Arial"/>
          <w:sz w:val="24"/>
          <w:szCs w:val="24"/>
          <w:lang w:val="sq-AL"/>
        </w:rPr>
        <w:t>rmjet programit IPARD.</w:t>
      </w:r>
    </w:p>
    <w:p w14:paraId="0773AE71" w14:textId="77777777" w:rsidR="00DF7A00" w:rsidRPr="0058349C" w:rsidRDefault="00641ADD" w:rsidP="00641ADD">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2.10</w:t>
      </w:r>
      <w:r w:rsidRPr="0058349C">
        <w:rPr>
          <w:rFonts w:ascii="Garamond" w:hAnsi="Garamond" w:cs="Arial"/>
          <w:sz w:val="24"/>
          <w:szCs w:val="24"/>
          <w:lang w:val="sq-AL"/>
        </w:rPr>
        <w:t xml:space="preserve"> </w:t>
      </w:r>
      <w:r w:rsidR="00DF7A00" w:rsidRPr="0058349C">
        <w:rPr>
          <w:rFonts w:ascii="Garamond" w:hAnsi="Garamond" w:cs="Arial"/>
          <w:b/>
          <w:bCs/>
          <w:sz w:val="24"/>
          <w:szCs w:val="24"/>
          <w:lang w:val="sq-AL"/>
        </w:rPr>
        <w:t>Rritja e sekuestrimit të karbonit nëpërmjet pyllëzimit dhe ripyllëzimit të tokave shumë të degraduara</w:t>
      </w:r>
    </w:p>
    <w:p w14:paraId="0773AE72" w14:textId="32265831"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Sektori i pylltarisë lëshon gazra se</w:t>
      </w:r>
      <w:r w:rsidR="00A67E5B">
        <w:rPr>
          <w:rFonts w:ascii="Garamond" w:hAnsi="Garamond" w:cs="Arial"/>
          <w:sz w:val="24"/>
          <w:szCs w:val="24"/>
          <w:lang w:val="sq-AL"/>
        </w:rPr>
        <w:t>r</w:t>
      </w:r>
      <w:r w:rsidRPr="0058349C">
        <w:rPr>
          <w:rFonts w:ascii="Garamond" w:hAnsi="Garamond" w:cs="Arial"/>
          <w:sz w:val="24"/>
          <w:szCs w:val="24"/>
          <w:lang w:val="sq-AL"/>
        </w:rPr>
        <w:t>rë dhe thith CO</w:t>
      </w:r>
      <w:r w:rsidRPr="0058349C">
        <w:rPr>
          <w:rFonts w:ascii="Garamond" w:hAnsi="Garamond" w:cs="Arial"/>
          <w:sz w:val="24"/>
          <w:szCs w:val="24"/>
          <w:vertAlign w:val="subscript"/>
          <w:lang w:val="sq-AL"/>
        </w:rPr>
        <w:t>2</w:t>
      </w:r>
      <w:r w:rsidRPr="0058349C">
        <w:rPr>
          <w:rFonts w:ascii="Garamond" w:hAnsi="Garamond" w:cs="Arial"/>
          <w:sz w:val="24"/>
          <w:szCs w:val="24"/>
          <w:lang w:val="sq-AL"/>
        </w:rPr>
        <w:t xml:space="preserve"> në tokën dhe biomasën e tij. Nëpërmjet pyllëzimit dhe ripyllëzimit të tokave pyjore të degraduara, mund të rritet sekuestrimi i karbonit. Pyllëzimi mund të synojë tokat me erozion.</w:t>
      </w:r>
    </w:p>
    <w:p w14:paraId="0773AE73" w14:textId="4CA19CAB" w:rsidR="00DF7A00" w:rsidRPr="0058349C" w:rsidRDefault="00DC2FE0" w:rsidP="002613AD">
      <w:pPr>
        <w:pStyle w:val="TEKSTIIII"/>
        <w:rPr>
          <w:lang w:val="sq-AL"/>
        </w:rPr>
      </w:pPr>
      <w:bookmarkStart w:id="28" w:name="_Toc103838826"/>
      <w:r w:rsidRPr="0058349C">
        <w:rPr>
          <w:rStyle w:val="Heading2Char"/>
          <w:rFonts w:ascii="Garamond" w:hAnsi="Garamond"/>
          <w:color w:val="auto"/>
          <w:sz w:val="24"/>
          <w:szCs w:val="24"/>
          <w:lang w:val="sq-AL"/>
        </w:rPr>
        <w:t xml:space="preserve">3.2.3 </w:t>
      </w:r>
      <w:r w:rsidR="00DF7A00" w:rsidRPr="0058349C">
        <w:rPr>
          <w:rStyle w:val="Heading2Char"/>
          <w:rFonts w:ascii="Garamond" w:hAnsi="Garamond"/>
          <w:color w:val="auto"/>
          <w:sz w:val="24"/>
          <w:szCs w:val="24"/>
          <w:lang w:val="sq-AL"/>
        </w:rPr>
        <w:t>Politika 1</w:t>
      </w:r>
      <w:r w:rsidR="002613AD">
        <w:rPr>
          <w:rStyle w:val="Heading2Char"/>
          <w:rFonts w:ascii="Garamond" w:hAnsi="Garamond"/>
          <w:color w:val="auto"/>
          <w:sz w:val="24"/>
          <w:szCs w:val="24"/>
          <w:lang w:val="sq-AL"/>
        </w:rPr>
        <w:t>.</w:t>
      </w:r>
      <w:r w:rsidR="00DF7A00" w:rsidRPr="0058349C">
        <w:rPr>
          <w:rStyle w:val="Heading2Char"/>
          <w:rFonts w:ascii="Garamond" w:hAnsi="Garamond"/>
          <w:color w:val="auto"/>
          <w:sz w:val="24"/>
          <w:szCs w:val="24"/>
          <w:lang w:val="sq-AL"/>
        </w:rPr>
        <w:t xml:space="preserve"> </w:t>
      </w:r>
      <w:r w:rsidR="002613AD" w:rsidRPr="0058349C">
        <w:rPr>
          <w:rStyle w:val="Heading2Char"/>
          <w:rFonts w:ascii="Garamond" w:hAnsi="Garamond"/>
          <w:color w:val="auto"/>
          <w:sz w:val="24"/>
          <w:szCs w:val="24"/>
          <w:lang w:val="sq-AL"/>
        </w:rPr>
        <w:t xml:space="preserve">Objektivi </w:t>
      </w:r>
      <w:r w:rsidR="00DF7A00" w:rsidRPr="0058349C">
        <w:rPr>
          <w:rStyle w:val="Heading2Char"/>
          <w:rFonts w:ascii="Garamond" w:hAnsi="Garamond"/>
          <w:color w:val="auto"/>
          <w:sz w:val="24"/>
          <w:szCs w:val="24"/>
          <w:lang w:val="sq-AL"/>
        </w:rPr>
        <w:t>i përgjithshëm 3: Forcimi i strukturës sociale-ekonomike të zonave rural</w:t>
      </w:r>
      <w:r w:rsidR="00DF7A00" w:rsidRPr="0058349C">
        <w:rPr>
          <w:lang w:val="sq-AL"/>
        </w:rPr>
        <w:t>e</w:t>
      </w:r>
      <w:bookmarkEnd w:id="28"/>
    </w:p>
    <w:p w14:paraId="0773AE74" w14:textId="142B8AF9" w:rsidR="00DF7A00" w:rsidRPr="0058349C" w:rsidRDefault="00DF7A00" w:rsidP="001663BC">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Zonat rurale në Shqipëri kanë një rol kyç pasi ato janë vendi i punës dhe jetes</w:t>
      </w:r>
      <w:r w:rsidRPr="0058349C">
        <w:rPr>
          <w:rFonts w:ascii="Garamond" w:hAnsi="Garamond" w:cs="Arial"/>
          <w:bCs/>
          <w:sz w:val="24"/>
          <w:szCs w:val="24"/>
          <w:lang w:val="sq-AL"/>
        </w:rPr>
        <w:t>ës së</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fermerëve, sipërmarrësve dhe konsumatorëve dhe p</w:t>
      </w:r>
      <w:r w:rsidRPr="0058349C">
        <w:rPr>
          <w:rFonts w:ascii="Garamond" w:hAnsi="Garamond" w:cs="Arial"/>
          <w:bCs/>
          <w:sz w:val="24"/>
          <w:szCs w:val="24"/>
          <w:lang w:val="sq-AL"/>
        </w:rPr>
        <w:t>ërfshijnë</w:t>
      </w:r>
      <w:r w:rsidRPr="0058349C">
        <w:rPr>
          <w:rFonts w:ascii="Garamond" w:hAnsi="Garamond" w:cs="Arial"/>
          <w:sz w:val="24"/>
          <w:szCs w:val="24"/>
          <w:lang w:val="sq-AL"/>
        </w:rPr>
        <w:t xml:space="preserve"> pjesë të mëdha të burimeve natyrore dhe ekosistemeve. Zhbllokimi i potencialit në këtë drejtim nënkupton mbështetjen e një cikli, në të cilin mundësitë e reja ekonomike krijojnë shtysa pozitive për të reduktuar varfërinë, migrimin dhe papunësinë dhe për të përmirësuar aksesin në shërbime. Qëllimi është të krijohen perspektiva pozitive, duke përfshirë zonat dhe grupet sociale më të c</w:t>
      </w:r>
      <w:r w:rsidRPr="0058349C">
        <w:rPr>
          <w:rFonts w:ascii="Garamond" w:hAnsi="Garamond" w:cs="Arial"/>
          <w:bCs/>
          <w:sz w:val="24"/>
          <w:szCs w:val="24"/>
          <w:lang w:val="sq-AL"/>
        </w:rPr>
        <w:t>e</w:t>
      </w:r>
      <w:r w:rsidRPr="0058349C">
        <w:rPr>
          <w:rFonts w:ascii="Garamond" w:hAnsi="Garamond" w:cs="Arial"/>
          <w:sz w:val="24"/>
          <w:szCs w:val="24"/>
          <w:lang w:val="sq-AL"/>
        </w:rPr>
        <w:t>nueshme, në mënyrë që qytetarët të përfitojnë nga zonat tërheqëse rurale</w:t>
      </w:r>
      <w:r w:rsidR="001663BC">
        <w:rPr>
          <w:rFonts w:ascii="Garamond" w:hAnsi="Garamond" w:cs="Arial"/>
          <w:sz w:val="24"/>
          <w:szCs w:val="24"/>
          <w:lang w:val="sq-AL"/>
        </w:rPr>
        <w:t>,</w:t>
      </w:r>
      <w:r w:rsidRPr="0058349C">
        <w:rPr>
          <w:rFonts w:ascii="Garamond" w:hAnsi="Garamond" w:cs="Arial"/>
          <w:sz w:val="24"/>
          <w:szCs w:val="24"/>
          <w:lang w:val="sq-AL"/>
        </w:rPr>
        <w:t xml:space="preserve"> si vende për të jetuar dhe për të bërë biznes, si dhe për pushim/çlodhje dhe turizëm.</w:t>
      </w:r>
    </w:p>
    <w:p w14:paraId="0773AE75" w14:textId="730CEBAB" w:rsidR="00DF7A00" w:rsidRPr="0058349C" w:rsidRDefault="00DF7A00" w:rsidP="00176C1C">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lastRenderedPageBreak/>
        <w:t>Politika e zhvillimit rural luan një rol jetik në Shqipëri për të mbajtur njerëzit në zonat rurale dhe për të adresuar sfida të tjera sociale që kërkojnë kushte favorizuese, të tilla si aspektet gjinore, aksesi në mundësi biznesi, organizata të forta lokale, shërbime dhe infrastrukturë bazë, arsimim di</w:t>
      </w:r>
      <w:r w:rsidR="00176C1C">
        <w:rPr>
          <w:rFonts w:ascii="Garamond" w:hAnsi="Garamond" w:cs="Arial"/>
          <w:sz w:val="24"/>
          <w:szCs w:val="24"/>
          <w:lang w:val="sq-AL"/>
        </w:rPr>
        <w:t>gj</w:t>
      </w:r>
      <w:r w:rsidRPr="0058349C">
        <w:rPr>
          <w:rFonts w:ascii="Garamond" w:hAnsi="Garamond" w:cs="Arial"/>
          <w:sz w:val="24"/>
          <w:szCs w:val="24"/>
          <w:lang w:val="sq-AL"/>
        </w:rPr>
        <w:t>ital, njohuri dhe inovacion.</w:t>
      </w:r>
    </w:p>
    <w:p w14:paraId="0773AE76"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Objektivi është në përputhje me vizionin afatgjatë të BE-së 2040 për zona rurale dhe komuniteteve rurale më të forta, </w:t>
      </w:r>
      <w:r w:rsidRPr="0058349C">
        <w:rPr>
          <w:rFonts w:ascii="Garamond" w:hAnsi="Garamond" w:cs="Arial"/>
          <w:bCs/>
          <w:sz w:val="24"/>
          <w:szCs w:val="24"/>
          <w:lang w:val="sq-AL"/>
        </w:rPr>
        <w:t>ekonomikisht</w:t>
      </w:r>
      <w:r w:rsidRPr="0058349C">
        <w:rPr>
          <w:rFonts w:ascii="Garamond" w:hAnsi="Garamond" w:cs="Arial"/>
          <w:sz w:val="24"/>
          <w:szCs w:val="24"/>
          <w:lang w:val="sq-AL"/>
        </w:rPr>
        <w:t xml:space="preserve"> t</w:t>
      </w:r>
      <w:r w:rsidRPr="0058349C">
        <w:rPr>
          <w:rFonts w:ascii="Garamond" w:hAnsi="Garamond" w:cs="Arial"/>
          <w:bCs/>
          <w:sz w:val="24"/>
          <w:szCs w:val="24"/>
          <w:lang w:val="sq-AL"/>
        </w:rPr>
        <w:t xml:space="preserve">ë qëndrueshme </w:t>
      </w:r>
      <w:r w:rsidRPr="0058349C">
        <w:rPr>
          <w:rFonts w:ascii="Garamond" w:hAnsi="Garamond" w:cs="Arial"/>
          <w:sz w:val="24"/>
          <w:szCs w:val="24"/>
          <w:lang w:val="sq-AL"/>
        </w:rPr>
        <w:t xml:space="preserve">dhe me prosperitet. </w:t>
      </w:r>
    </w:p>
    <w:p w14:paraId="0773AE77" w14:textId="39CA8A34" w:rsidR="00DF7A00" w:rsidRPr="0058349C" w:rsidRDefault="00DC2FE0" w:rsidP="00764B49">
      <w:pPr>
        <w:pStyle w:val="TEKSTIIII"/>
        <w:rPr>
          <w:rStyle w:val="Heading3Char"/>
          <w:rFonts w:ascii="Garamond" w:hAnsi="Garamond"/>
          <w:color w:val="auto"/>
        </w:rPr>
      </w:pPr>
      <w:bookmarkStart w:id="29" w:name="_Toc103838827"/>
      <w:r w:rsidRPr="0058349C">
        <w:rPr>
          <w:rStyle w:val="Heading3Char"/>
          <w:rFonts w:ascii="Garamond" w:hAnsi="Garamond"/>
          <w:color w:val="auto"/>
        </w:rPr>
        <w:t xml:space="preserve">3.2.3.1 </w:t>
      </w:r>
      <w:r w:rsidR="00DF7A00" w:rsidRPr="0058349C">
        <w:rPr>
          <w:rStyle w:val="Heading3Char"/>
          <w:rFonts w:ascii="Garamond" w:hAnsi="Garamond"/>
          <w:color w:val="auto"/>
        </w:rPr>
        <w:t>Politika 1</w:t>
      </w:r>
      <w:r w:rsidR="00764B49">
        <w:rPr>
          <w:rStyle w:val="Heading3Char"/>
          <w:rFonts w:ascii="Garamond" w:hAnsi="Garamond"/>
          <w:color w:val="auto"/>
        </w:rPr>
        <w:t>.</w:t>
      </w:r>
      <w:r w:rsidR="00DF7A00" w:rsidRPr="0058349C">
        <w:rPr>
          <w:rStyle w:val="Heading3Char"/>
          <w:rFonts w:ascii="Garamond" w:hAnsi="Garamond"/>
          <w:color w:val="auto"/>
        </w:rPr>
        <w:t xml:space="preserve"> </w:t>
      </w:r>
      <w:r w:rsidR="00764B49" w:rsidRPr="0058349C">
        <w:rPr>
          <w:rStyle w:val="Heading3Char"/>
          <w:rFonts w:ascii="Garamond" w:hAnsi="Garamond"/>
          <w:color w:val="auto"/>
        </w:rPr>
        <w:t xml:space="preserve">Objektivi </w:t>
      </w:r>
      <w:r w:rsidR="00DF7A00" w:rsidRPr="0058349C">
        <w:rPr>
          <w:rStyle w:val="Heading3Char"/>
          <w:rFonts w:ascii="Garamond" w:hAnsi="Garamond"/>
          <w:color w:val="auto"/>
        </w:rPr>
        <w:t>specifik 7: Forcimi i punësimit rural dhe i zhvillimit</w:t>
      </w:r>
      <w:r w:rsidR="00CF7694" w:rsidRPr="0058349C">
        <w:rPr>
          <w:rStyle w:val="Heading3Char"/>
          <w:rFonts w:ascii="Garamond" w:hAnsi="Garamond"/>
          <w:color w:val="auto"/>
        </w:rPr>
        <w:t xml:space="preserve"> </w:t>
      </w:r>
      <w:r w:rsidR="00DF7A00" w:rsidRPr="0058349C">
        <w:rPr>
          <w:rStyle w:val="Heading3Char"/>
          <w:rFonts w:ascii="Garamond" w:hAnsi="Garamond"/>
          <w:color w:val="auto"/>
        </w:rPr>
        <w:t>të biznesit</w:t>
      </w:r>
      <w:bookmarkEnd w:id="29"/>
    </w:p>
    <w:p w14:paraId="0773AE78" w14:textId="77777777" w:rsidR="00DF7A00" w:rsidRPr="0058349C" w:rsidRDefault="00DF7A00" w:rsidP="00DF7A00">
      <w:pPr>
        <w:keepNext/>
        <w:keepLines/>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Cilësia e jetës në zonat rurale</w:t>
      </w:r>
    </w:p>
    <w:p w14:paraId="0773AE79"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Zonat rurale të Shqipërisë karakterizohen nga një </w:t>
      </w:r>
      <w:r w:rsidRPr="0058349C">
        <w:rPr>
          <w:rFonts w:ascii="Garamond" w:hAnsi="Garamond" w:cs="Arial"/>
          <w:b/>
          <w:sz w:val="24"/>
          <w:szCs w:val="24"/>
          <w:lang w:val="sq-AL"/>
        </w:rPr>
        <w:t>ristrukturim gradual ekonomik dhe nga ndryshime të shpejta demografike</w:t>
      </w:r>
      <w:r w:rsidRPr="0058349C">
        <w:rPr>
          <w:rFonts w:ascii="Garamond" w:hAnsi="Garamond" w:cs="Arial"/>
          <w:sz w:val="24"/>
          <w:szCs w:val="24"/>
          <w:lang w:val="sq-AL"/>
        </w:rPr>
        <w:t>. Përqindja e popullsisë rurale ka rënë vazhdimisht nga 42,57% në vitin 2015 në 38,89% në vitin 2019, e shkaktuar nga migrimi jashtë vendit dhe nga nivelet përgjithësisht më të ulëta të lindjeve. Emigrantët brenda vendit p</w:t>
      </w:r>
      <w:r w:rsidRPr="0058349C">
        <w:rPr>
          <w:rFonts w:ascii="Garamond" w:hAnsi="Garamond" w:cs="Arial"/>
          <w:bCs/>
          <w:sz w:val="24"/>
          <w:szCs w:val="24"/>
          <w:lang w:val="sq-AL"/>
        </w:rPr>
        <w:t>ërthithen</w:t>
      </w:r>
      <w:r w:rsidRPr="0058349C">
        <w:rPr>
          <w:rFonts w:ascii="Garamond" w:hAnsi="Garamond" w:cs="Arial"/>
          <w:sz w:val="24"/>
          <w:szCs w:val="24"/>
          <w:lang w:val="sq-AL"/>
        </w:rPr>
        <w:t xml:space="preserve"> kryesisht nga zonat urbane, pasi shkalla e urbanizimit po rritet pavarësisht nga një rënie e përgjithshme e popullsisë. Parashikimet tregojnë se popullsia shqiptare do të ulet me 100,000 njerëz në rreth 2.75 milionë në vitin 2031 krahasuar me vitin 2020. </w:t>
      </w:r>
    </w:p>
    <w:p w14:paraId="0773AE7A"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Të dhëna të specifikuara për </w:t>
      </w:r>
      <w:r w:rsidRPr="0058349C">
        <w:rPr>
          <w:rFonts w:ascii="Garamond" w:hAnsi="Garamond" w:cs="Arial"/>
          <w:b/>
          <w:sz w:val="24"/>
          <w:szCs w:val="24"/>
          <w:lang w:val="sq-AL"/>
        </w:rPr>
        <w:t>nivelin e varfërisë</w:t>
      </w:r>
      <w:r w:rsidRPr="0058349C">
        <w:rPr>
          <w:rFonts w:ascii="Garamond" w:hAnsi="Garamond" w:cs="Arial"/>
          <w:sz w:val="24"/>
          <w:szCs w:val="24"/>
          <w:lang w:val="sq-AL"/>
        </w:rPr>
        <w:t xml:space="preserve"> në zonat urbane dhe rurale aktualisht nuk jan</w:t>
      </w:r>
      <w:r w:rsidRPr="0058349C">
        <w:rPr>
          <w:rFonts w:ascii="Garamond" w:hAnsi="Garamond" w:cs="Arial"/>
          <w:bCs/>
          <w:sz w:val="24"/>
          <w:szCs w:val="24"/>
          <w:lang w:val="sq-AL"/>
        </w:rPr>
        <w:t>ë në dispozicion</w:t>
      </w:r>
      <w:r w:rsidRPr="0058349C">
        <w:rPr>
          <w:rFonts w:ascii="Garamond" w:hAnsi="Garamond" w:cs="Arial"/>
          <w:sz w:val="24"/>
          <w:szCs w:val="24"/>
          <w:lang w:val="sq-AL"/>
        </w:rPr>
        <w:t xml:space="preserve">. Treguesit e zhvillimit (p.sh., aksesi në infrastrukturë dhe shërbime, tregu i punës, mjedisi i biznesit) sugjerojnë </w:t>
      </w:r>
      <w:r w:rsidRPr="0058349C">
        <w:rPr>
          <w:rFonts w:ascii="Garamond" w:hAnsi="Garamond" w:cs="Arial"/>
          <w:b/>
          <w:sz w:val="24"/>
          <w:szCs w:val="24"/>
          <w:lang w:val="sq-AL"/>
        </w:rPr>
        <w:t>se situata e privimit të banorëve</w:t>
      </w:r>
      <w:r w:rsidRPr="0058349C">
        <w:rPr>
          <w:rFonts w:ascii="Garamond" w:hAnsi="Garamond" w:cs="Arial"/>
          <w:sz w:val="24"/>
          <w:szCs w:val="24"/>
          <w:lang w:val="sq-AL"/>
        </w:rPr>
        <w:t xml:space="preserve"> </w:t>
      </w:r>
      <w:r w:rsidRPr="0058349C">
        <w:rPr>
          <w:rFonts w:ascii="Garamond" w:hAnsi="Garamond" w:cs="Arial"/>
          <w:b/>
          <w:sz w:val="24"/>
          <w:szCs w:val="24"/>
          <w:lang w:val="sq-AL"/>
        </w:rPr>
        <w:t>është më e pasigurt në zonat rurale</w:t>
      </w:r>
      <w:r w:rsidRPr="0058349C">
        <w:rPr>
          <w:rFonts w:ascii="Garamond" w:hAnsi="Garamond" w:cs="Arial"/>
          <w:sz w:val="24"/>
          <w:szCs w:val="24"/>
          <w:lang w:val="sq-AL"/>
        </w:rPr>
        <w:t xml:space="preserve">. </w:t>
      </w:r>
    </w:p>
    <w:p w14:paraId="0773AE7B" w14:textId="462B3841" w:rsidR="00DF7A00" w:rsidRPr="0058349C" w:rsidRDefault="00DF7A00" w:rsidP="00664693">
      <w:pPr>
        <w:spacing w:after="0" w:line="240" w:lineRule="auto"/>
        <w:ind w:firstLine="284"/>
        <w:jc w:val="both"/>
        <w:rPr>
          <w:rFonts w:ascii="Garamond" w:hAnsi="Garamond"/>
          <w:sz w:val="24"/>
          <w:szCs w:val="24"/>
          <w:lang w:val="sq-AL"/>
        </w:rPr>
      </w:pPr>
      <w:r w:rsidRPr="0058349C">
        <w:rPr>
          <w:rFonts w:ascii="Garamond" w:hAnsi="Garamond" w:cs="Arial"/>
          <w:sz w:val="24"/>
          <w:szCs w:val="24"/>
          <w:lang w:val="sq-AL"/>
        </w:rPr>
        <w:t xml:space="preserve">Të dhënat e specifikuara të fuqisë punëtore, papunësisë dhe pagave në zonat urbane dhe rurale nuk janë të disponueshme. </w:t>
      </w:r>
      <w:r w:rsidRPr="0058349C">
        <w:rPr>
          <w:rFonts w:ascii="Garamond" w:hAnsi="Garamond" w:cs="Arial"/>
          <w:b/>
          <w:sz w:val="24"/>
          <w:szCs w:val="24"/>
          <w:lang w:val="sq-AL"/>
        </w:rPr>
        <w:t xml:space="preserve">Shkalla </w:t>
      </w:r>
      <w:r w:rsidRPr="0058349C">
        <w:rPr>
          <w:rFonts w:ascii="Garamond" w:hAnsi="Garamond" w:cs="Arial"/>
          <w:sz w:val="24"/>
          <w:szCs w:val="24"/>
          <w:lang w:val="sq-AL"/>
        </w:rPr>
        <w:t xml:space="preserve">zyrtare </w:t>
      </w:r>
      <w:r w:rsidRPr="0058349C">
        <w:rPr>
          <w:rFonts w:ascii="Garamond" w:hAnsi="Garamond" w:cs="Arial"/>
          <w:b/>
          <w:sz w:val="24"/>
          <w:szCs w:val="24"/>
          <w:lang w:val="sq-AL"/>
        </w:rPr>
        <w:t>e papunësisë</w:t>
      </w:r>
      <w:r w:rsidRPr="0058349C">
        <w:rPr>
          <w:rFonts w:ascii="Garamond" w:hAnsi="Garamond" w:cs="Arial"/>
          <w:sz w:val="24"/>
          <w:szCs w:val="24"/>
          <w:lang w:val="sq-AL"/>
        </w:rPr>
        <w:t xml:space="preserve"> në zonat rurale konsiderohet më e ulët se në zonat urbane</w:t>
      </w:r>
      <w:r w:rsidRPr="0058349C">
        <w:rPr>
          <w:vertAlign w:val="superscript"/>
          <w:lang w:val="sq-AL"/>
        </w:rPr>
        <w:footnoteReference w:id="28"/>
      </w:r>
      <w:r w:rsidR="00664693" w:rsidRPr="0058349C">
        <w:rPr>
          <w:lang w:val="sq-AL"/>
        </w:rPr>
        <w:t>.</w:t>
      </w:r>
      <w:r w:rsidR="00664693" w:rsidRPr="0058349C">
        <w:rPr>
          <w:vertAlign w:val="superscript"/>
          <w:lang w:val="sq-AL"/>
        </w:rPr>
        <w:t xml:space="preserve"> </w:t>
      </w:r>
      <w:r w:rsidRPr="0058349C">
        <w:rPr>
          <w:rFonts w:ascii="Garamond" w:hAnsi="Garamond" w:cs="Arial"/>
          <w:sz w:val="24"/>
          <w:szCs w:val="24"/>
          <w:lang w:val="sq-AL"/>
        </w:rPr>
        <w:t>Shkalla e papunësisë së të rinjve (grup-mosha 15</w:t>
      </w:r>
      <w:r w:rsidR="00664693" w:rsidRPr="0058349C">
        <w:rPr>
          <w:rFonts w:ascii="Garamond" w:hAnsi="Garamond" w:cs="Arial"/>
          <w:sz w:val="24"/>
          <w:szCs w:val="24"/>
          <w:lang w:val="sq-AL"/>
        </w:rPr>
        <w:t>–</w:t>
      </w:r>
      <w:r w:rsidRPr="0058349C">
        <w:rPr>
          <w:rFonts w:ascii="Garamond" w:hAnsi="Garamond" w:cs="Arial"/>
          <w:sz w:val="24"/>
          <w:szCs w:val="24"/>
          <w:lang w:val="sq-AL"/>
        </w:rPr>
        <w:t xml:space="preserve">24 vjeç) ishte 27.2% në vitin 2019. Në vitin 2020, paga mesatare mujore bruto ishte 52,380 </w:t>
      </w:r>
      <w:r w:rsidR="00664693" w:rsidRPr="0058349C">
        <w:rPr>
          <w:rFonts w:ascii="Garamond" w:hAnsi="Garamond" w:cs="Arial"/>
          <w:sz w:val="24"/>
          <w:szCs w:val="24"/>
          <w:lang w:val="sq-AL"/>
        </w:rPr>
        <w:t>lekë</w:t>
      </w:r>
      <w:r w:rsidRPr="0058349C">
        <w:rPr>
          <w:rFonts w:ascii="Garamond" w:hAnsi="Garamond" w:cs="Arial"/>
          <w:sz w:val="24"/>
          <w:szCs w:val="24"/>
          <w:lang w:val="sq-AL"/>
        </w:rPr>
        <w:t xml:space="preserve">, ndërsa në bujqësi, pyje dhe peshkim ishte </w:t>
      </w:r>
      <w:r w:rsidRPr="0058349C">
        <w:rPr>
          <w:rFonts w:ascii="Garamond" w:hAnsi="Garamond"/>
          <w:sz w:val="24"/>
          <w:szCs w:val="24"/>
          <w:lang w:val="sq-AL"/>
        </w:rPr>
        <w:t>33.359 lekë.</w:t>
      </w:r>
    </w:p>
    <w:p w14:paraId="0773AE7C" w14:textId="7FE0C74A"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lang w:val="sq-AL"/>
        </w:rPr>
        <w:t xml:space="preserve">Përmirësimi i infrastrukturës rurale dhe </w:t>
      </w:r>
      <w:r w:rsidR="00625E5E">
        <w:rPr>
          <w:rFonts w:ascii="Garamond" w:hAnsi="Garamond" w:cs="Arial"/>
          <w:b/>
          <w:bCs/>
          <w:sz w:val="24"/>
          <w:szCs w:val="24"/>
          <w:lang w:val="sq-AL"/>
        </w:rPr>
        <w:t xml:space="preserve">i </w:t>
      </w:r>
      <w:r w:rsidRPr="0058349C">
        <w:rPr>
          <w:rFonts w:ascii="Garamond" w:hAnsi="Garamond" w:cs="Arial"/>
          <w:b/>
          <w:bCs/>
          <w:sz w:val="24"/>
          <w:szCs w:val="24"/>
          <w:lang w:val="sq-AL"/>
        </w:rPr>
        <w:t xml:space="preserve">shërbimeve </w:t>
      </w:r>
      <w:r w:rsidRPr="0058349C">
        <w:rPr>
          <w:rFonts w:ascii="Garamond" w:hAnsi="Garamond" w:cs="Arial"/>
          <w:bCs/>
          <w:sz w:val="24"/>
          <w:szCs w:val="24"/>
          <w:lang w:val="sq-AL"/>
        </w:rPr>
        <w:t>bazë kontribuojnë në mbylljen e hendekut midis popullsisë rurale dhe urbane dhe i bëjnë zonat rurale më tërheqëse dhe ekonomikisht të qëndrueshme edhe për brezat e rinj</w:t>
      </w:r>
      <w:r w:rsidRPr="0058349C">
        <w:rPr>
          <w:rFonts w:ascii="Garamond" w:hAnsi="Garamond" w:cs="Arial"/>
          <w:sz w:val="24"/>
          <w:szCs w:val="24"/>
          <w:lang w:val="sq-AL"/>
        </w:rPr>
        <w:t>. Struktura e t</w:t>
      </w:r>
      <w:r w:rsidRPr="0058349C">
        <w:rPr>
          <w:rFonts w:ascii="Garamond" w:hAnsi="Garamond" w:cs="Arial"/>
          <w:bCs/>
          <w:sz w:val="24"/>
          <w:szCs w:val="24"/>
          <w:lang w:val="sq-AL"/>
        </w:rPr>
        <w:t>ë</w:t>
      </w:r>
      <w:r w:rsidRPr="0058349C">
        <w:rPr>
          <w:rFonts w:ascii="Garamond" w:hAnsi="Garamond" w:cs="Arial"/>
          <w:sz w:val="24"/>
          <w:szCs w:val="24"/>
          <w:lang w:val="sq-AL"/>
        </w:rPr>
        <w:t xml:space="preserve"> dh</w:t>
      </w:r>
      <w:r w:rsidRPr="0058349C">
        <w:rPr>
          <w:rFonts w:ascii="Garamond" w:hAnsi="Garamond" w:cs="Arial"/>
          <w:bCs/>
          <w:sz w:val="24"/>
          <w:szCs w:val="24"/>
          <w:lang w:val="sq-AL"/>
        </w:rPr>
        <w:t>ë</w:t>
      </w:r>
      <w:r w:rsidRPr="0058349C">
        <w:rPr>
          <w:rFonts w:ascii="Garamond" w:hAnsi="Garamond" w:cs="Arial"/>
          <w:sz w:val="24"/>
          <w:szCs w:val="24"/>
          <w:lang w:val="sq-AL"/>
        </w:rPr>
        <w:t>nave</w:t>
      </w:r>
      <w:r w:rsidR="000354E1">
        <w:rPr>
          <w:rFonts w:ascii="Garamond" w:hAnsi="Garamond" w:cs="Arial"/>
          <w:sz w:val="24"/>
          <w:szCs w:val="24"/>
          <w:lang w:val="sq-AL"/>
        </w:rPr>
        <w:t>,</w:t>
      </w:r>
      <w:r w:rsidRPr="0058349C">
        <w:rPr>
          <w:rFonts w:ascii="Garamond" w:hAnsi="Garamond" w:cs="Arial"/>
          <w:sz w:val="24"/>
          <w:szCs w:val="24"/>
          <w:lang w:val="sq-AL"/>
        </w:rPr>
        <w:t xml:space="preserve"> si dhe të dhëna t</w:t>
      </w:r>
      <w:r w:rsidRPr="0058349C">
        <w:rPr>
          <w:rFonts w:ascii="Garamond" w:hAnsi="Garamond"/>
          <w:sz w:val="24"/>
          <w:szCs w:val="24"/>
          <w:lang w:val="sq-AL"/>
        </w:rPr>
        <w:t xml:space="preserve">ë </w:t>
      </w:r>
      <w:r w:rsidRPr="0058349C">
        <w:rPr>
          <w:rFonts w:ascii="Garamond" w:hAnsi="Garamond" w:cs="Arial"/>
          <w:sz w:val="24"/>
          <w:szCs w:val="24"/>
          <w:lang w:val="sq-AL"/>
        </w:rPr>
        <w:t>ndara për infrastrukturën urbane dhe at</w:t>
      </w:r>
      <w:r w:rsidRPr="0058349C">
        <w:rPr>
          <w:rFonts w:ascii="Garamond" w:hAnsi="Garamond"/>
          <w:sz w:val="24"/>
          <w:szCs w:val="24"/>
          <w:lang w:val="sq-AL"/>
        </w:rPr>
        <w:t xml:space="preserve">ë </w:t>
      </w:r>
      <w:r w:rsidRPr="0058349C">
        <w:rPr>
          <w:rFonts w:ascii="Garamond" w:hAnsi="Garamond" w:cs="Arial"/>
          <w:sz w:val="24"/>
          <w:szCs w:val="24"/>
          <w:lang w:val="sq-AL"/>
        </w:rPr>
        <w:t>rurale</w:t>
      </w:r>
      <w:r w:rsidR="000354E1">
        <w:rPr>
          <w:rFonts w:ascii="Garamond" w:hAnsi="Garamond" w:cs="Arial"/>
          <w:sz w:val="24"/>
          <w:szCs w:val="24"/>
          <w:lang w:val="sq-AL"/>
        </w:rPr>
        <w:t>,</w:t>
      </w:r>
      <w:r w:rsidRPr="0058349C">
        <w:rPr>
          <w:rFonts w:ascii="Garamond" w:hAnsi="Garamond" w:cs="Arial"/>
          <w:sz w:val="24"/>
          <w:szCs w:val="24"/>
          <w:lang w:val="sq-AL"/>
        </w:rPr>
        <w:t xml:space="preserve"> si edhe p</w:t>
      </w:r>
      <w:r w:rsidRPr="0058349C">
        <w:rPr>
          <w:rFonts w:ascii="Garamond" w:hAnsi="Garamond"/>
          <w:sz w:val="24"/>
          <w:szCs w:val="24"/>
          <w:lang w:val="sq-AL"/>
        </w:rPr>
        <w:t>ër</w:t>
      </w:r>
      <w:r w:rsidRPr="0058349C">
        <w:rPr>
          <w:rFonts w:ascii="Garamond" w:hAnsi="Garamond" w:cs="Arial"/>
          <w:sz w:val="24"/>
          <w:szCs w:val="24"/>
          <w:lang w:val="sq-AL"/>
        </w:rPr>
        <w:t xml:space="preserve"> shërbimet bazë do t</w:t>
      </w:r>
      <w:r w:rsidRPr="0058349C">
        <w:rPr>
          <w:rFonts w:ascii="Garamond" w:hAnsi="Garamond" w:cs="Arial"/>
          <w:bCs/>
          <w:sz w:val="24"/>
          <w:szCs w:val="24"/>
          <w:lang w:val="sq-AL"/>
        </w:rPr>
        <w:t>ë</w:t>
      </w:r>
      <w:r w:rsidRPr="0058349C">
        <w:rPr>
          <w:rFonts w:ascii="Garamond" w:hAnsi="Garamond" w:cs="Arial"/>
          <w:sz w:val="24"/>
          <w:szCs w:val="24"/>
          <w:lang w:val="sq-AL"/>
        </w:rPr>
        <w:t xml:space="preserve"> duhet t</w:t>
      </w:r>
      <w:r w:rsidRPr="0058349C">
        <w:rPr>
          <w:rFonts w:ascii="Garamond" w:hAnsi="Garamond" w:cs="Arial"/>
          <w:bCs/>
          <w:sz w:val="24"/>
          <w:szCs w:val="24"/>
          <w:lang w:val="sq-AL"/>
        </w:rPr>
        <w:t>ë</w:t>
      </w:r>
      <w:r w:rsidRPr="0058349C">
        <w:rPr>
          <w:rFonts w:ascii="Garamond" w:hAnsi="Garamond" w:cs="Arial"/>
          <w:sz w:val="24"/>
          <w:szCs w:val="24"/>
          <w:lang w:val="sq-AL"/>
        </w:rPr>
        <w:t xml:space="preserve"> p</w:t>
      </w:r>
      <w:r w:rsidRPr="0058349C">
        <w:rPr>
          <w:rFonts w:ascii="Garamond" w:hAnsi="Garamond" w:cs="Arial"/>
          <w:bCs/>
          <w:sz w:val="24"/>
          <w:szCs w:val="24"/>
          <w:lang w:val="sq-AL"/>
        </w:rPr>
        <w:t>ë</w:t>
      </w:r>
      <w:r w:rsidRPr="0058349C">
        <w:rPr>
          <w:rFonts w:ascii="Garamond" w:hAnsi="Garamond" w:cs="Arial"/>
          <w:sz w:val="24"/>
          <w:szCs w:val="24"/>
          <w:lang w:val="sq-AL"/>
        </w:rPr>
        <w:t>rmi</w:t>
      </w:r>
      <w:r w:rsidRPr="0058349C">
        <w:rPr>
          <w:rFonts w:ascii="Garamond" w:hAnsi="Garamond" w:cs="Arial"/>
          <w:bCs/>
          <w:sz w:val="24"/>
          <w:szCs w:val="24"/>
          <w:lang w:val="sq-AL"/>
        </w:rPr>
        <w:t>r</w:t>
      </w:r>
      <w:r w:rsidRPr="0058349C">
        <w:rPr>
          <w:rFonts w:ascii="Garamond" w:hAnsi="Garamond" w:cs="Arial"/>
          <w:sz w:val="24"/>
          <w:szCs w:val="24"/>
          <w:lang w:val="sq-AL"/>
        </w:rPr>
        <w:t xml:space="preserve">ësohen. Në vitin 2019, 100% e familjeve ishin të lidhura me </w:t>
      </w:r>
      <w:r w:rsidRPr="0058349C">
        <w:rPr>
          <w:rFonts w:ascii="Garamond" w:hAnsi="Garamond" w:cs="Arial"/>
          <w:b/>
          <w:sz w:val="24"/>
          <w:szCs w:val="24"/>
          <w:lang w:val="sq-AL"/>
        </w:rPr>
        <w:t>energjinë elektrike</w:t>
      </w:r>
      <w:r w:rsidRPr="0058349C">
        <w:rPr>
          <w:rFonts w:ascii="Garamond" w:hAnsi="Garamond" w:cs="Arial"/>
          <w:sz w:val="24"/>
          <w:szCs w:val="24"/>
          <w:lang w:val="sq-AL"/>
        </w:rPr>
        <w:t xml:space="preserve">, 91.2% e popullsisë kishin </w:t>
      </w:r>
      <w:r w:rsidRPr="0058349C">
        <w:rPr>
          <w:rFonts w:ascii="Garamond" w:hAnsi="Garamond" w:cs="Arial"/>
          <w:b/>
          <w:sz w:val="24"/>
          <w:szCs w:val="24"/>
          <w:lang w:val="sq-AL"/>
        </w:rPr>
        <w:t xml:space="preserve">furnizim me ujë të pijshëm </w:t>
      </w:r>
      <w:r w:rsidRPr="0058349C">
        <w:rPr>
          <w:rFonts w:ascii="Garamond" w:hAnsi="Garamond" w:cs="Arial"/>
          <w:sz w:val="24"/>
          <w:szCs w:val="24"/>
          <w:lang w:val="sq-AL"/>
        </w:rPr>
        <w:t>në shtëpitë e tyre. Në vitin 2017, 39,9% e popullsisë kishin n</w:t>
      </w:r>
      <w:r w:rsidRPr="0058349C">
        <w:rPr>
          <w:rFonts w:ascii="Garamond" w:hAnsi="Garamond"/>
          <w:sz w:val="24"/>
          <w:szCs w:val="24"/>
          <w:lang w:val="sq-AL"/>
        </w:rPr>
        <w:t>ë përdorim</w:t>
      </w:r>
      <w:r w:rsidRPr="0058349C">
        <w:rPr>
          <w:rFonts w:ascii="Garamond" w:hAnsi="Garamond" w:cs="Arial"/>
          <w:sz w:val="24"/>
          <w:szCs w:val="24"/>
          <w:lang w:val="sq-AL"/>
        </w:rPr>
        <w:t xml:space="preserve"> një sistem sanitar </w:t>
      </w:r>
      <w:r w:rsidR="00664693" w:rsidRPr="0058349C">
        <w:rPr>
          <w:rFonts w:ascii="Garamond" w:hAnsi="Garamond" w:cs="Arial"/>
          <w:sz w:val="24"/>
          <w:szCs w:val="24"/>
          <w:lang w:val="sq-AL"/>
        </w:rPr>
        <w:t>“</w:t>
      </w:r>
      <w:r w:rsidRPr="0058349C">
        <w:rPr>
          <w:rFonts w:ascii="Garamond" w:hAnsi="Garamond" w:cs="Arial"/>
          <w:sz w:val="24"/>
          <w:szCs w:val="24"/>
          <w:lang w:val="sq-AL"/>
        </w:rPr>
        <w:t>të menaxhuar në mënyrë të sigurt</w:t>
      </w:r>
      <w:r w:rsidR="00664693" w:rsidRPr="0058349C">
        <w:rPr>
          <w:rFonts w:ascii="Garamond" w:hAnsi="Garamond" w:cs="Arial"/>
          <w:sz w:val="24"/>
          <w:szCs w:val="24"/>
          <w:lang w:val="sq-AL"/>
        </w:rPr>
        <w:t>”</w:t>
      </w:r>
      <w:r w:rsidRPr="0058349C">
        <w:rPr>
          <w:rFonts w:ascii="Garamond" w:hAnsi="Garamond" w:cs="Arial"/>
          <w:sz w:val="24"/>
          <w:szCs w:val="24"/>
          <w:lang w:val="sq-AL"/>
        </w:rPr>
        <w:t xml:space="preserve">, një strukturë bazë që asgjëson në mënyrë të sigurt mbetjet njerëzore. Sistemi </w:t>
      </w:r>
      <w:r w:rsidRPr="0058349C">
        <w:rPr>
          <w:rFonts w:ascii="Garamond" w:hAnsi="Garamond" w:cs="Arial"/>
          <w:b/>
          <w:sz w:val="24"/>
          <w:szCs w:val="24"/>
          <w:lang w:val="sq-AL"/>
        </w:rPr>
        <w:t>shëndetësor</w:t>
      </w:r>
      <w:r w:rsidRPr="0058349C">
        <w:rPr>
          <w:rFonts w:ascii="Garamond" w:hAnsi="Garamond" w:cs="Arial"/>
          <w:sz w:val="24"/>
          <w:szCs w:val="24"/>
          <w:lang w:val="sq-AL"/>
        </w:rPr>
        <w:t xml:space="preserve"> në Shqipëri është kryesisht publik, megjithëse kujdesi shëndetësor privat është bërë gjithnjë e më popullor, veçanërisht në zonat kryesore urbane. Bazuar n</w:t>
      </w:r>
      <w:r w:rsidRPr="0058349C">
        <w:rPr>
          <w:rFonts w:ascii="Garamond" w:eastAsia="Arial" w:hAnsi="Garamond" w:cs="Arial"/>
          <w:bCs/>
          <w:sz w:val="24"/>
          <w:szCs w:val="24"/>
          <w:lang w:val="sq-AL"/>
        </w:rPr>
        <w:t>ë të dhënat më të fundit të publikuara nga INSTAT</w:t>
      </w:r>
      <w:r w:rsidR="000354E1">
        <w:rPr>
          <w:rFonts w:ascii="Garamond" w:eastAsia="Arial" w:hAnsi="Garamond" w:cs="Arial"/>
          <w:bCs/>
          <w:sz w:val="24"/>
          <w:szCs w:val="24"/>
          <w:lang w:val="sq-AL"/>
        </w:rPr>
        <w:t>-i</w:t>
      </w:r>
      <w:r w:rsidRPr="0058349C">
        <w:rPr>
          <w:rFonts w:ascii="Garamond" w:eastAsia="Arial" w:hAnsi="Garamond" w:cs="Arial"/>
          <w:bCs/>
          <w:sz w:val="24"/>
          <w:szCs w:val="24"/>
          <w:lang w:val="sq-AL"/>
        </w:rPr>
        <w:t>, s</w:t>
      </w:r>
      <w:r w:rsidRPr="0058349C">
        <w:rPr>
          <w:rFonts w:ascii="Garamond" w:hAnsi="Garamond" w:cs="Arial"/>
          <w:sz w:val="24"/>
          <w:szCs w:val="24"/>
          <w:lang w:val="sq-AL"/>
        </w:rPr>
        <w:t>hërbimet e grumbullimit të mbetjeve janë përmirësuar ndjeshëm në shumë bashki: rreth 87% e popullsisë së Shqipërisë ka përfituar nga shërbimet e grumbullimit të mbetjeve në vitin 2020, një rritje prej 26% krahasuar me vitin</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 xml:space="preserve">2017. </w:t>
      </w:r>
    </w:p>
    <w:p w14:paraId="0773AE7D" w14:textId="43704238" w:rsidR="00DF7A00" w:rsidRPr="0058349C" w:rsidRDefault="00DF7A00" w:rsidP="000A23DB">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Rreth gjysma </w:t>
      </w:r>
      <w:r w:rsidRPr="0058349C">
        <w:rPr>
          <w:rFonts w:ascii="Garamond" w:hAnsi="Garamond" w:cs="Arial"/>
          <w:b/>
          <w:sz w:val="24"/>
          <w:szCs w:val="24"/>
          <w:lang w:val="sq-AL"/>
        </w:rPr>
        <w:t>e rrjetit rrugor rajonal dhe lokal</w:t>
      </w:r>
      <w:r w:rsidRPr="0058349C">
        <w:rPr>
          <w:rFonts w:ascii="Garamond" w:hAnsi="Garamond" w:cs="Arial"/>
          <w:sz w:val="24"/>
          <w:szCs w:val="24"/>
          <w:lang w:val="sq-AL"/>
        </w:rPr>
        <w:t xml:space="preserve"> (11,000 km rrugë rajonale, lokale dhe urbane nga gjithsej 15,000 km) është në</w:t>
      </w:r>
      <w:r w:rsidRPr="0058349C">
        <w:rPr>
          <w:rFonts w:ascii="Garamond" w:hAnsi="Garamond" w:cs="Arial"/>
          <w:b/>
          <w:sz w:val="24"/>
          <w:szCs w:val="24"/>
          <w:lang w:val="sq-AL"/>
        </w:rPr>
        <w:t xml:space="preserve"> gjendje të mirë ose shumë të mirë</w:t>
      </w:r>
      <w:r w:rsidRPr="0058349C">
        <w:rPr>
          <w:rFonts w:ascii="Garamond" w:hAnsi="Garamond" w:cs="Arial"/>
          <w:sz w:val="24"/>
          <w:szCs w:val="24"/>
          <w:lang w:val="sq-AL"/>
        </w:rPr>
        <w:t>, duke mundësuar aksesin në shërbimet kryesore publike dhe qendrat ekonomike dhe ofron mundësi për t</w:t>
      </w:r>
      <w:r w:rsidR="000A23DB">
        <w:rPr>
          <w:rFonts w:ascii="Garamond" w:hAnsi="Garamond" w:cs="Arial"/>
          <w:sz w:val="24"/>
          <w:szCs w:val="24"/>
          <w:lang w:val="sq-AL"/>
        </w:rPr>
        <w:t>’</w:t>
      </w:r>
      <w:r w:rsidRPr="0058349C">
        <w:rPr>
          <w:rFonts w:ascii="Garamond" w:hAnsi="Garamond" w:cs="Arial"/>
          <w:sz w:val="24"/>
          <w:szCs w:val="24"/>
          <w:lang w:val="sq-AL"/>
        </w:rPr>
        <w:t xml:space="preserve">i shërbyer industrisë së turizmit në zhvillim. Duke pasur në konsideratë se në Shqipëri industria agroushqimore është përgjegjëse (në mënyrë të drejtpërdrejtë dhe indirekte) për pothuajse gjysmën e vendeve të punës në të gjithë ekonominë, përmirësimi i aksesit në treg nëpërmjet një lidhjeje më të mirë rrugore është kritike për zhvillimin e vendit. </w:t>
      </w:r>
    </w:p>
    <w:p w14:paraId="0773AE7E" w14:textId="7A8300F9" w:rsidR="00DF7A00" w:rsidRPr="0058349C" w:rsidRDefault="00DF7A00" w:rsidP="0022224B">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 xml:space="preserve">Infrastruktura e </w:t>
      </w:r>
      <w:r w:rsidRPr="000A23DB">
        <w:rPr>
          <w:rFonts w:ascii="Garamond" w:hAnsi="Garamond" w:cs="Arial"/>
          <w:b/>
          <w:sz w:val="24"/>
          <w:szCs w:val="24"/>
          <w:lang w:val="sq-AL"/>
        </w:rPr>
        <w:t>nd</w:t>
      </w:r>
      <w:r w:rsidRPr="000A23DB">
        <w:rPr>
          <w:rFonts w:ascii="Garamond" w:hAnsi="Garamond"/>
          <w:b/>
          <w:sz w:val="24"/>
          <w:szCs w:val="24"/>
          <w:lang w:val="sq-AL"/>
        </w:rPr>
        <w:t>ërlidhjes</w:t>
      </w:r>
      <w:r w:rsidRPr="0058349C">
        <w:rPr>
          <w:rFonts w:ascii="Garamond" w:hAnsi="Garamond"/>
          <w:sz w:val="24"/>
          <w:szCs w:val="24"/>
          <w:lang w:val="sq-AL"/>
        </w:rPr>
        <w:t xml:space="preserve"> </w:t>
      </w:r>
      <w:r w:rsidRPr="0058349C">
        <w:rPr>
          <w:rFonts w:ascii="Garamond" w:hAnsi="Garamond" w:cs="Arial"/>
          <w:b/>
          <w:sz w:val="24"/>
          <w:szCs w:val="24"/>
          <w:lang w:val="sq-AL"/>
        </w:rPr>
        <w:t>di</w:t>
      </w:r>
      <w:r w:rsidR="000A23DB">
        <w:rPr>
          <w:rFonts w:ascii="Garamond" w:hAnsi="Garamond" w:cs="Arial"/>
          <w:b/>
          <w:sz w:val="24"/>
          <w:szCs w:val="24"/>
          <w:lang w:val="sq-AL"/>
        </w:rPr>
        <w:t>gj</w:t>
      </w:r>
      <w:r w:rsidRPr="0058349C">
        <w:rPr>
          <w:rFonts w:ascii="Garamond" w:hAnsi="Garamond" w:cs="Arial"/>
          <w:b/>
          <w:sz w:val="24"/>
          <w:szCs w:val="24"/>
          <w:lang w:val="sq-AL"/>
        </w:rPr>
        <w:t>itale në zonat rurale</w:t>
      </w:r>
      <w:r w:rsidRPr="0058349C">
        <w:rPr>
          <w:rFonts w:ascii="Garamond" w:hAnsi="Garamond" w:cs="Arial"/>
          <w:sz w:val="24"/>
          <w:szCs w:val="24"/>
          <w:lang w:val="sq-AL"/>
        </w:rPr>
        <w:t xml:space="preserve"> përmirëson performancën ekonomike dhe cilësinë e jetës përmes përmirësimit të aksesit në njohuri, tregje, shërbime sociale dhe kulturore, teknologji dhe infrastrukturë që zakonisht janë të aksesueshme vetëm për banorët </w:t>
      </w:r>
      <w:r w:rsidRPr="0058349C">
        <w:rPr>
          <w:rFonts w:ascii="Garamond" w:hAnsi="Garamond" w:cs="Arial"/>
          <w:sz w:val="24"/>
          <w:szCs w:val="24"/>
          <w:lang w:val="sq-AL"/>
        </w:rPr>
        <w:lastRenderedPageBreak/>
        <w:t>urbanë (</w:t>
      </w:r>
      <w:r w:rsidR="00664693" w:rsidRPr="0058349C">
        <w:rPr>
          <w:rFonts w:ascii="Garamond" w:hAnsi="Garamond" w:cs="Arial"/>
          <w:sz w:val="24"/>
          <w:szCs w:val="24"/>
          <w:lang w:val="sq-AL"/>
        </w:rPr>
        <w:t>“</w:t>
      </w:r>
      <w:r w:rsidRPr="0058349C">
        <w:rPr>
          <w:rFonts w:ascii="Garamond" w:hAnsi="Garamond" w:cs="Arial"/>
          <w:sz w:val="24"/>
          <w:szCs w:val="24"/>
          <w:lang w:val="sq-AL"/>
        </w:rPr>
        <w:t>Koncepti i fshatit të zgjuar</w:t>
      </w:r>
      <w:r w:rsidR="00664693" w:rsidRPr="0058349C">
        <w:rPr>
          <w:rFonts w:ascii="Garamond" w:hAnsi="Garamond" w:cs="Arial"/>
          <w:sz w:val="24"/>
          <w:szCs w:val="24"/>
          <w:lang w:val="sq-AL"/>
        </w:rPr>
        <w:t>”</w:t>
      </w:r>
      <w:r w:rsidRPr="0058349C">
        <w:rPr>
          <w:rFonts w:ascii="Garamond" w:hAnsi="Garamond" w:cs="Arial"/>
          <w:sz w:val="24"/>
          <w:szCs w:val="24"/>
          <w:lang w:val="sq-AL"/>
        </w:rPr>
        <w:t xml:space="preserve"> </w:t>
      </w:r>
      <w:r w:rsidR="00A33DCF">
        <w:rPr>
          <w:rFonts w:ascii="Garamond" w:hAnsi="Garamond" w:cs="Arial"/>
          <w:sz w:val="24"/>
          <w:szCs w:val="24"/>
          <w:lang w:val="sq-AL"/>
        </w:rPr>
        <w:t>i</w:t>
      </w:r>
      <w:r w:rsidRPr="0058349C">
        <w:rPr>
          <w:rFonts w:ascii="Garamond" w:hAnsi="Garamond" w:cs="Arial"/>
          <w:sz w:val="24"/>
          <w:szCs w:val="24"/>
          <w:lang w:val="sq-AL"/>
        </w:rPr>
        <w:t xml:space="preserve"> BE-së). </w:t>
      </w:r>
      <w:r w:rsidRPr="0058349C">
        <w:rPr>
          <w:rFonts w:ascii="Garamond" w:hAnsi="Garamond" w:cs="Arial"/>
          <w:b/>
          <w:sz w:val="24"/>
          <w:szCs w:val="24"/>
          <w:lang w:val="sq-AL"/>
        </w:rPr>
        <w:t xml:space="preserve">Një mbulim </w:t>
      </w:r>
      <w:r w:rsidRPr="0058349C">
        <w:rPr>
          <w:rFonts w:ascii="Garamond" w:hAnsi="Garamond" w:cs="Arial"/>
          <w:sz w:val="24"/>
          <w:szCs w:val="24"/>
          <w:lang w:val="sq-AL"/>
        </w:rPr>
        <w:t>i madh</w:t>
      </w:r>
      <w:r w:rsidRPr="0058349C">
        <w:rPr>
          <w:rFonts w:ascii="Garamond" w:hAnsi="Garamond" w:cs="Arial"/>
          <w:b/>
          <w:sz w:val="24"/>
          <w:szCs w:val="24"/>
          <w:lang w:val="sq-AL"/>
        </w:rPr>
        <w:t xml:space="preserve"> i internetit me brez të gjerë </w:t>
      </w:r>
      <w:r w:rsidRPr="0058349C">
        <w:rPr>
          <w:rFonts w:ascii="Garamond" w:hAnsi="Garamond" w:cs="Arial"/>
          <w:sz w:val="24"/>
          <w:szCs w:val="24"/>
          <w:lang w:val="sq-AL"/>
        </w:rPr>
        <w:t>dhe akses të përmirësuar në internet janë thelbësore për</w:t>
      </w:r>
      <w:r w:rsidR="00852412">
        <w:rPr>
          <w:rFonts w:ascii="Garamond" w:hAnsi="Garamond" w:cs="Arial"/>
          <w:sz w:val="24"/>
          <w:szCs w:val="24"/>
          <w:lang w:val="sq-AL"/>
        </w:rPr>
        <w:t xml:space="preserve"> të mundësuar një tranzicion di</w:t>
      </w:r>
      <w:r w:rsidR="0022224B">
        <w:rPr>
          <w:rFonts w:ascii="Garamond" w:hAnsi="Garamond" w:cs="Arial"/>
          <w:sz w:val="24"/>
          <w:szCs w:val="24"/>
          <w:lang w:val="sq-AL"/>
        </w:rPr>
        <w:t>gj</w:t>
      </w:r>
      <w:r w:rsidRPr="0058349C">
        <w:rPr>
          <w:rFonts w:ascii="Garamond" w:hAnsi="Garamond" w:cs="Arial"/>
          <w:sz w:val="24"/>
          <w:szCs w:val="24"/>
          <w:lang w:val="sq-AL"/>
        </w:rPr>
        <w:t xml:space="preserve">ital në ekonominë shqiptare dhe për të përmirësuar përfshirjen sociale të popullsisë dhe komuniteteve rurale. </w:t>
      </w:r>
      <w:r w:rsidRPr="0058349C">
        <w:rPr>
          <w:rFonts w:ascii="Garamond" w:hAnsi="Garamond" w:cs="Arial"/>
          <w:b/>
          <w:sz w:val="24"/>
          <w:szCs w:val="24"/>
          <w:lang w:val="sq-AL"/>
        </w:rPr>
        <w:t>Strategjia e BE-së për Konektivitetin për një Shoqëri Evropiane Gigabit 2030</w:t>
      </w:r>
      <w:r w:rsidRPr="0058349C">
        <w:rPr>
          <w:rFonts w:ascii="Garamond" w:hAnsi="Garamond" w:cs="Arial"/>
          <w:sz w:val="24"/>
          <w:szCs w:val="24"/>
          <w:lang w:val="sq-AL"/>
        </w:rPr>
        <w:t xml:space="preserve"> përcakton objektivin që çdo familje evropiane të ketë akses në internet me shpejtësi të lartë deri në vitin 2025 dhe në lidhjen gigabit deri në vitin 2030.</w:t>
      </w:r>
    </w:p>
    <w:p w14:paraId="0773AE7F" w14:textId="2BDCB9CE"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lang w:val="sq-AL"/>
        </w:rPr>
        <w:t>Infrastruktura financiare në zonat rurale është në zhvillim.</w:t>
      </w:r>
      <w:r w:rsidRPr="0058349C">
        <w:rPr>
          <w:rFonts w:ascii="Garamond" w:hAnsi="Garamond" w:cs="Arial"/>
          <w:sz w:val="24"/>
          <w:szCs w:val="24"/>
          <w:lang w:val="sq-AL"/>
        </w:rPr>
        <w:t xml:space="preserve"> Pavarësisht se në Shqipëri operojnë 16 banka tregtare dhe më shumë se njëqind institucione të tjera financiare, ato janë më pak të pranishme në zonat rurale dhe të thella. Sondazhet tregojnë se vetëm 10% e banorëve ruralë janë të prirur të përdorin shërbimet bankare dhe pjesa e përgjithshme e kredisë për bujqësinë në të gjithë</w:t>
      </w:r>
      <w:r w:rsidR="00852412">
        <w:rPr>
          <w:rFonts w:ascii="Garamond" w:hAnsi="Garamond" w:cs="Arial"/>
          <w:sz w:val="24"/>
          <w:szCs w:val="24"/>
          <w:lang w:val="sq-AL"/>
        </w:rPr>
        <w:t xml:space="preserve"> huadhënien është afërsisht 1,7–</w:t>
      </w:r>
      <w:r w:rsidRPr="0058349C">
        <w:rPr>
          <w:rFonts w:ascii="Garamond" w:hAnsi="Garamond" w:cs="Arial"/>
          <w:sz w:val="24"/>
          <w:szCs w:val="24"/>
          <w:lang w:val="sq-AL"/>
        </w:rPr>
        <w:t>1,9%</w:t>
      </w:r>
      <w:r w:rsidRPr="00852412">
        <w:rPr>
          <w:rFonts w:ascii="Garamond" w:hAnsi="Garamond"/>
          <w:sz w:val="24"/>
          <w:szCs w:val="24"/>
          <w:vertAlign w:val="superscript"/>
        </w:rPr>
        <w:footnoteReference w:id="29"/>
      </w:r>
      <w:r w:rsidRPr="0058349C">
        <w:rPr>
          <w:rFonts w:ascii="Garamond" w:hAnsi="Garamond" w:cs="Arial"/>
          <w:sz w:val="24"/>
          <w:szCs w:val="24"/>
          <w:lang w:val="sq-AL"/>
        </w:rPr>
        <w:t>.</w:t>
      </w:r>
    </w:p>
    <w:p w14:paraId="0773AE80" w14:textId="77777777" w:rsidR="00DF7A00" w:rsidRPr="0058349C" w:rsidRDefault="00DF7A00" w:rsidP="00DF7A00">
      <w:pPr>
        <w:keepNext/>
        <w:keepLines/>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Diversifikimi i të ardhurave nga ferma dhe zhvillimi i biznesit rural</w:t>
      </w:r>
    </w:p>
    <w:p w14:paraId="0773AE81"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Krijimi i biznesit rural, modernizimi dhe diversifikimi i të ardhurave nga ferma sjellin aktivitet ekonomik në zonat rurale, edhe jashtë sektorit bujqësor. Kjo është thelbësore nga k</w:t>
      </w:r>
      <w:r w:rsidRPr="0058349C">
        <w:rPr>
          <w:rFonts w:ascii="Garamond" w:hAnsi="Garamond" w:cs="Arial"/>
          <w:bCs/>
          <w:sz w:val="24"/>
          <w:szCs w:val="24"/>
          <w:lang w:val="sq-AL"/>
        </w:rPr>
        <w:t>ëndvështrimi</w:t>
      </w:r>
      <w:r w:rsidRPr="0058349C">
        <w:rPr>
          <w:rFonts w:ascii="Garamond" w:hAnsi="Garamond" w:cs="Arial"/>
          <w:sz w:val="24"/>
          <w:szCs w:val="24"/>
          <w:lang w:val="sq-AL"/>
        </w:rPr>
        <w:t xml:space="preserve"> i rritjes së përqindjes së fermerëve q</w:t>
      </w:r>
      <w:r w:rsidRPr="0058349C">
        <w:rPr>
          <w:rFonts w:ascii="Garamond" w:hAnsi="Garamond" w:cs="Arial"/>
          <w:bCs/>
          <w:sz w:val="24"/>
          <w:szCs w:val="24"/>
          <w:lang w:val="sq-AL"/>
        </w:rPr>
        <w:t xml:space="preserve">ë punojnë në fermë </w:t>
      </w:r>
      <w:r w:rsidRPr="0058349C">
        <w:rPr>
          <w:rFonts w:ascii="Garamond" w:hAnsi="Garamond" w:cs="Arial"/>
          <w:sz w:val="24"/>
          <w:szCs w:val="24"/>
          <w:lang w:val="sq-AL"/>
        </w:rPr>
        <w:t>me kohë të pjesshme, si edhe i ndryshimit strukturor në sektorin e bujqësisë, i cili pritet të rritet në vitet e ardhshme.</w:t>
      </w:r>
    </w:p>
    <w:p w14:paraId="0773AE82" w14:textId="02B9B6F7" w:rsidR="00DF7A00" w:rsidRPr="0058349C" w:rsidRDefault="00DF7A00" w:rsidP="000B60BC">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Nuk ka të dhëna të specifike p</w:t>
      </w:r>
      <w:r w:rsidRPr="0058349C">
        <w:rPr>
          <w:rFonts w:ascii="Garamond" w:hAnsi="Garamond" w:cs="Arial"/>
          <w:bCs/>
          <w:sz w:val="24"/>
          <w:szCs w:val="24"/>
          <w:lang w:val="sq-AL"/>
        </w:rPr>
        <w:t>ër zonat</w:t>
      </w:r>
      <w:r w:rsidR="00664693" w:rsidRPr="0058349C">
        <w:rPr>
          <w:rFonts w:ascii="Garamond" w:hAnsi="Garamond" w:cs="Arial"/>
          <w:sz w:val="24"/>
          <w:szCs w:val="24"/>
          <w:lang w:val="sq-AL"/>
        </w:rPr>
        <w:t xml:space="preserve"> urbane</w:t>
      </w:r>
      <w:r w:rsidRPr="0058349C">
        <w:rPr>
          <w:rFonts w:ascii="Garamond" w:hAnsi="Garamond" w:cs="Arial"/>
          <w:sz w:val="24"/>
          <w:szCs w:val="24"/>
          <w:lang w:val="sq-AL"/>
        </w:rPr>
        <w:t xml:space="preserve">/rurale për llojet e aktiviteteve ekonomike jashtë sektorit primar. </w:t>
      </w:r>
      <w:r w:rsidRPr="0058349C">
        <w:rPr>
          <w:rFonts w:ascii="Garamond" w:hAnsi="Garamond" w:cs="Arial"/>
          <w:b/>
          <w:sz w:val="24"/>
          <w:szCs w:val="24"/>
          <w:lang w:val="sq-AL"/>
        </w:rPr>
        <w:t>Zhvillimi ekonomik në zonat rurale</w:t>
      </w:r>
      <w:r w:rsidRPr="0058349C">
        <w:rPr>
          <w:rFonts w:ascii="Garamond" w:hAnsi="Garamond" w:cs="Arial"/>
          <w:sz w:val="24"/>
          <w:szCs w:val="24"/>
          <w:lang w:val="sq-AL"/>
        </w:rPr>
        <w:t xml:space="preserve"> karakterizohet akoma nga një varësi e lartë në bujqësi. Megjithëse sektori i bujqësisë po përjeton rritje të qëndrueshme, me KPPM</w:t>
      </w:r>
      <w:r w:rsidR="00394896">
        <w:rPr>
          <w:rFonts w:ascii="Garamond" w:hAnsi="Garamond" w:cs="Arial"/>
          <w:sz w:val="24"/>
          <w:szCs w:val="24"/>
          <w:lang w:val="sq-AL"/>
        </w:rPr>
        <w:t>-në</w:t>
      </w:r>
      <w:r w:rsidRPr="0058349C">
        <w:rPr>
          <w:rFonts w:ascii="Garamond" w:hAnsi="Garamond" w:cs="Arial"/>
          <w:sz w:val="24"/>
          <w:szCs w:val="24"/>
          <w:lang w:val="sq-AL"/>
        </w:rPr>
        <w:t xml:space="preserve"> vjetore prej rreth 53.7 milionë </w:t>
      </w:r>
      <w:r w:rsidR="00394896">
        <w:rPr>
          <w:rFonts w:ascii="Garamond" w:hAnsi="Garamond" w:cs="Arial"/>
          <w:sz w:val="24"/>
          <w:szCs w:val="24"/>
          <w:lang w:val="sq-AL"/>
        </w:rPr>
        <w:t>e</w:t>
      </w:r>
      <w:r w:rsidRPr="0058349C">
        <w:rPr>
          <w:rFonts w:ascii="Garamond" w:hAnsi="Garamond" w:cs="Arial"/>
          <w:sz w:val="24"/>
          <w:szCs w:val="24"/>
          <w:lang w:val="sq-AL"/>
        </w:rPr>
        <w:t>uro</w:t>
      </w:r>
      <w:r w:rsidR="00394896">
        <w:rPr>
          <w:rFonts w:ascii="Garamond" w:hAnsi="Garamond" w:cs="Arial"/>
          <w:sz w:val="24"/>
          <w:szCs w:val="24"/>
          <w:lang w:val="sq-AL"/>
        </w:rPr>
        <w:t>sh</w:t>
      </w:r>
      <w:r w:rsidRPr="0058349C">
        <w:rPr>
          <w:rFonts w:ascii="Garamond" w:hAnsi="Garamond" w:cs="Arial"/>
          <w:sz w:val="24"/>
          <w:szCs w:val="24"/>
          <w:lang w:val="sq-AL"/>
        </w:rPr>
        <w:t xml:space="preserve"> dhe një vlerë vjetore produktiviteti (VSHB për njësi pune në bujqësi) prej 5,680 </w:t>
      </w:r>
      <w:r w:rsidR="000B60BC">
        <w:rPr>
          <w:rFonts w:ascii="Garamond" w:hAnsi="Garamond" w:cs="Arial"/>
          <w:sz w:val="24"/>
          <w:szCs w:val="24"/>
          <w:lang w:val="sq-AL"/>
        </w:rPr>
        <w:t>e</w:t>
      </w:r>
      <w:r w:rsidRPr="0058349C">
        <w:rPr>
          <w:rFonts w:ascii="Garamond" w:hAnsi="Garamond" w:cs="Arial"/>
          <w:sz w:val="24"/>
          <w:szCs w:val="24"/>
          <w:lang w:val="sq-AL"/>
        </w:rPr>
        <w:t>uro (në vitin 2020), produktiviteti bujqësor duhet të përmirësohet, jo vetëm në krahasim me BE-në 27, por edhe krahasuar me vendet e tjera të Ballkanit Perëndimor.</w:t>
      </w:r>
      <w:r w:rsidRPr="000B60BC">
        <w:rPr>
          <w:rFonts w:ascii="Garamond" w:hAnsi="Garamond"/>
          <w:sz w:val="24"/>
          <w:szCs w:val="24"/>
          <w:vertAlign w:val="superscript"/>
        </w:rPr>
        <w:footnoteReference w:id="30"/>
      </w:r>
      <w:r w:rsidRPr="0058349C">
        <w:rPr>
          <w:rFonts w:ascii="Garamond" w:hAnsi="Garamond" w:cs="Arial"/>
          <w:sz w:val="24"/>
          <w:szCs w:val="24"/>
          <w:lang w:val="sq-AL"/>
        </w:rPr>
        <w:t xml:space="preserve"> </w:t>
      </w:r>
    </w:p>
    <w:p w14:paraId="0773AE83" w14:textId="0BDFD241"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Më shumë se </w:t>
      </w:r>
      <w:r w:rsidRPr="0058349C">
        <w:rPr>
          <w:rFonts w:ascii="Garamond" w:hAnsi="Garamond" w:cs="Arial"/>
          <w:b/>
          <w:sz w:val="24"/>
          <w:szCs w:val="24"/>
          <w:lang w:val="sq-AL"/>
        </w:rPr>
        <w:t>rreth 95% janë ferma familjare</w:t>
      </w:r>
      <w:r w:rsidRPr="0058349C">
        <w:rPr>
          <w:rFonts w:ascii="Garamond" w:hAnsi="Garamond" w:cs="Arial"/>
          <w:sz w:val="24"/>
          <w:szCs w:val="24"/>
          <w:lang w:val="sq-AL"/>
        </w:rPr>
        <w:t>, shpesh të angazhuara në prodhime për familjen</w:t>
      </w:r>
      <w:r w:rsidR="00702AC7">
        <w:rPr>
          <w:rFonts w:ascii="Garamond" w:hAnsi="Garamond" w:cs="Arial"/>
          <w:sz w:val="24"/>
          <w:szCs w:val="24"/>
          <w:lang w:val="sq-AL"/>
        </w:rPr>
        <w:t>,</w:t>
      </w:r>
      <w:r w:rsidRPr="0058349C">
        <w:rPr>
          <w:rFonts w:ascii="Garamond" w:hAnsi="Garamond" w:cs="Arial"/>
          <w:sz w:val="24"/>
          <w:szCs w:val="24"/>
          <w:lang w:val="sq-AL"/>
        </w:rPr>
        <w:t xml:space="preserve"> për shkak të madhësisë të vogël dhe parcelizimit të madh të tyre. Si rrjedhojë edhe aksesi në treg është ende i ulët me rreth 15% të produkteve të shitura për shkak të sasive të tyre të vogla, mungesës së lidhjeve në zinxhir</w:t>
      </w:r>
      <w:r w:rsidRPr="0058349C">
        <w:rPr>
          <w:rFonts w:ascii="Garamond" w:hAnsi="Garamond" w:cs="Arial"/>
          <w:bCs/>
          <w:sz w:val="24"/>
          <w:szCs w:val="24"/>
          <w:lang w:val="sq-AL"/>
        </w:rPr>
        <w:t>ët</w:t>
      </w:r>
      <w:r w:rsidRPr="0058349C">
        <w:rPr>
          <w:rFonts w:ascii="Garamond" w:hAnsi="Garamond" w:cs="Arial"/>
          <w:sz w:val="24"/>
          <w:szCs w:val="24"/>
          <w:lang w:val="sq-AL"/>
        </w:rPr>
        <w:t xml:space="preserve"> e vlerës dhe aksesit të ulët në mjetet mekanike</w:t>
      </w:r>
      <w:r w:rsidRPr="00702AC7">
        <w:rPr>
          <w:rFonts w:ascii="Garamond" w:hAnsi="Garamond"/>
          <w:sz w:val="24"/>
          <w:szCs w:val="24"/>
          <w:vertAlign w:val="superscript"/>
        </w:rPr>
        <w:footnoteReference w:id="31"/>
      </w:r>
      <w:r w:rsidRPr="0058349C">
        <w:rPr>
          <w:rFonts w:ascii="Garamond" w:hAnsi="Garamond" w:cs="Arial"/>
          <w:sz w:val="24"/>
          <w:szCs w:val="24"/>
          <w:lang w:val="sq-AL"/>
        </w:rPr>
        <w:t xml:space="preserve"> (shih</w:t>
      </w:r>
      <w:r w:rsidR="00702AC7">
        <w:rPr>
          <w:rFonts w:ascii="Garamond" w:hAnsi="Garamond" w:cs="Arial"/>
          <w:sz w:val="24"/>
          <w:szCs w:val="24"/>
          <w:lang w:val="sq-AL"/>
        </w:rPr>
        <w:t>,</w:t>
      </w:r>
      <w:r w:rsidRPr="0058349C">
        <w:rPr>
          <w:rFonts w:ascii="Garamond" w:hAnsi="Garamond" w:cs="Arial"/>
          <w:sz w:val="24"/>
          <w:szCs w:val="24"/>
          <w:lang w:val="sq-AL"/>
        </w:rPr>
        <w:t xml:space="preserve"> gjithashtu</w:t>
      </w:r>
      <w:r w:rsidR="00702AC7">
        <w:rPr>
          <w:rFonts w:ascii="Garamond" w:hAnsi="Garamond" w:cs="Arial"/>
          <w:sz w:val="24"/>
          <w:szCs w:val="24"/>
          <w:lang w:val="sq-AL"/>
        </w:rPr>
        <w:t>,</w:t>
      </w:r>
      <w:r w:rsidRPr="0058349C">
        <w:rPr>
          <w:rFonts w:ascii="Garamond" w:hAnsi="Garamond" w:cs="Arial"/>
          <w:sz w:val="24"/>
          <w:szCs w:val="24"/>
          <w:lang w:val="sq-AL"/>
        </w:rPr>
        <w:t xml:space="preserve"> Objektivi i </w:t>
      </w:r>
      <w:r w:rsidR="00702AC7" w:rsidRPr="0058349C">
        <w:rPr>
          <w:rFonts w:ascii="Garamond" w:hAnsi="Garamond" w:cs="Arial"/>
          <w:sz w:val="24"/>
          <w:szCs w:val="24"/>
          <w:lang w:val="sq-AL"/>
        </w:rPr>
        <w:t xml:space="preserve">përgjithshëm </w:t>
      </w:r>
      <w:r w:rsidRPr="0058349C">
        <w:rPr>
          <w:rFonts w:ascii="Garamond" w:hAnsi="Garamond" w:cs="Arial"/>
          <w:sz w:val="24"/>
          <w:szCs w:val="24"/>
          <w:lang w:val="sq-AL"/>
        </w:rPr>
        <w:t xml:space="preserve">1). </w:t>
      </w:r>
    </w:p>
    <w:p w14:paraId="0773AE84" w14:textId="257B71F8"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lang w:val="sq-AL"/>
        </w:rPr>
        <w:t>Sistemet lokale ushqimore dhe zinxhirët e shkurtër të furnizimit</w:t>
      </w:r>
      <w:r w:rsidR="00702AC7">
        <w:rPr>
          <w:rFonts w:ascii="Garamond" w:hAnsi="Garamond" w:cs="Arial"/>
          <w:b/>
          <w:bCs/>
          <w:sz w:val="24"/>
          <w:szCs w:val="24"/>
          <w:lang w:val="sq-AL"/>
        </w:rPr>
        <w:t>,</w:t>
      </w:r>
      <w:r w:rsidRPr="0058349C">
        <w:rPr>
          <w:rFonts w:ascii="Garamond" w:hAnsi="Garamond" w:cs="Arial"/>
          <w:bCs/>
          <w:sz w:val="24"/>
          <w:szCs w:val="24"/>
          <w:lang w:val="sq-AL"/>
        </w:rPr>
        <w:t xml:space="preserve"> që lidhin fermerët dhe prodhuesit e vegjël artizanal</w:t>
      </w:r>
      <w:r w:rsidR="00702AC7">
        <w:rPr>
          <w:rFonts w:ascii="Garamond" w:hAnsi="Garamond" w:cs="Arial"/>
          <w:bCs/>
          <w:sz w:val="24"/>
          <w:szCs w:val="24"/>
          <w:lang w:val="sq-AL"/>
        </w:rPr>
        <w:t>ë</w:t>
      </w:r>
      <w:r w:rsidRPr="0058349C">
        <w:rPr>
          <w:rFonts w:ascii="Garamond" w:hAnsi="Garamond" w:cs="Arial"/>
          <w:bCs/>
          <w:sz w:val="24"/>
          <w:szCs w:val="24"/>
          <w:lang w:val="sq-AL"/>
        </w:rPr>
        <w:t xml:space="preserve"> të ushqimit në zonat rurale me konsumatorët nëpërmjet marketingut të drejtpërdrejtë</w:t>
      </w:r>
      <w:r w:rsidR="00702AC7">
        <w:rPr>
          <w:rFonts w:ascii="Garamond" w:hAnsi="Garamond" w:cs="Arial"/>
          <w:bCs/>
          <w:sz w:val="24"/>
          <w:szCs w:val="24"/>
          <w:lang w:val="sq-AL"/>
        </w:rPr>
        <w:t>,</w:t>
      </w:r>
      <w:r w:rsidRPr="0058349C">
        <w:rPr>
          <w:rFonts w:ascii="Garamond" w:hAnsi="Garamond" w:cs="Arial"/>
          <w:bCs/>
          <w:sz w:val="24"/>
          <w:szCs w:val="24"/>
          <w:lang w:val="sq-AL"/>
        </w:rPr>
        <w:t xml:space="preserve"> duhet të zhvillohen akoma për të arritur një gamë të gjerë përfitimesh ekonomike, sociale dhe mjedisore</w:t>
      </w:r>
      <w:r w:rsidRPr="0058349C">
        <w:rPr>
          <w:rFonts w:ascii="Garamond" w:hAnsi="Garamond" w:cs="Arial"/>
          <w:sz w:val="24"/>
          <w:szCs w:val="24"/>
          <w:lang w:val="sq-AL"/>
        </w:rPr>
        <w:t>, e cila mund të jetë</w:t>
      </w:r>
      <w:r w:rsidR="00702AC7">
        <w:rPr>
          <w:rFonts w:ascii="Garamond" w:hAnsi="Garamond" w:cs="Arial"/>
          <w:sz w:val="24"/>
          <w:szCs w:val="24"/>
          <w:lang w:val="sq-AL"/>
        </w:rPr>
        <w:t>,</w:t>
      </w:r>
      <w:r w:rsidRPr="0058349C">
        <w:rPr>
          <w:rFonts w:ascii="Garamond" w:hAnsi="Garamond" w:cs="Arial"/>
          <w:sz w:val="24"/>
          <w:szCs w:val="24"/>
          <w:lang w:val="sq-AL"/>
        </w:rPr>
        <w:t xml:space="preserve"> gjithashtu</w:t>
      </w:r>
      <w:r w:rsidR="00702AC7">
        <w:rPr>
          <w:rFonts w:ascii="Garamond" w:hAnsi="Garamond" w:cs="Arial"/>
          <w:sz w:val="24"/>
          <w:szCs w:val="24"/>
          <w:lang w:val="sq-AL"/>
        </w:rPr>
        <w:t>,</w:t>
      </w:r>
      <w:r w:rsidRPr="0058349C">
        <w:rPr>
          <w:rFonts w:ascii="Garamond" w:hAnsi="Garamond" w:cs="Arial"/>
          <w:sz w:val="24"/>
          <w:szCs w:val="24"/>
          <w:lang w:val="sq-AL"/>
        </w:rPr>
        <w:t xml:space="preserve"> tërheqëse për fermerët e rinj, të rinjtë dhe gratë rurale.</w:t>
      </w:r>
      <w:r w:rsidRPr="00702AC7">
        <w:rPr>
          <w:rFonts w:ascii="Garamond" w:hAnsi="Garamond"/>
          <w:sz w:val="24"/>
          <w:szCs w:val="24"/>
          <w:vertAlign w:val="superscript"/>
        </w:rPr>
        <w:footnoteReference w:id="32"/>
      </w:r>
      <w:r w:rsidRPr="00702AC7">
        <w:rPr>
          <w:rFonts w:ascii="Garamond" w:hAnsi="Garamond"/>
          <w:sz w:val="24"/>
          <w:szCs w:val="24"/>
          <w:vertAlign w:val="superscript"/>
        </w:rPr>
        <w:t xml:space="preserve"> </w:t>
      </w:r>
      <w:r w:rsidRPr="0058349C">
        <w:rPr>
          <w:rFonts w:ascii="Garamond" w:hAnsi="Garamond" w:cs="Arial"/>
          <w:sz w:val="24"/>
          <w:szCs w:val="24"/>
          <w:lang w:val="sq-AL"/>
        </w:rPr>
        <w:t>Zinxhirët e shkurtër të furnizimit janë më të dobishëm nëse rrisin vlerën e shtuar rajonale duke kontribuar në stimulimin e cikleve të zhvillimit ekonomik lokal nëpërmjet lidhjes së bujqë</w:t>
      </w:r>
      <w:r w:rsidR="00702AC7">
        <w:rPr>
          <w:rFonts w:ascii="Garamond" w:hAnsi="Garamond" w:cs="Arial"/>
          <w:sz w:val="24"/>
          <w:szCs w:val="24"/>
          <w:lang w:val="sq-AL"/>
        </w:rPr>
        <w:t>sisë me sektorë të tjerë, p.sh.</w:t>
      </w:r>
      <w:r w:rsidRPr="0058349C">
        <w:rPr>
          <w:rFonts w:ascii="Garamond" w:hAnsi="Garamond" w:cs="Arial"/>
          <w:sz w:val="24"/>
          <w:szCs w:val="24"/>
          <w:lang w:val="sq-AL"/>
        </w:rPr>
        <w:t xml:space="preserve"> agroturizmin dhe turizmin rural, zhvillimin e tregjeve lokale dhe panairet lokale, dhe duke e integruar atë në iniciativa të zhvillimit lokal.</w:t>
      </w:r>
    </w:p>
    <w:p w14:paraId="0773AE85" w14:textId="1865CAF8"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Ligji </w:t>
      </w:r>
      <w:r w:rsidR="00702AC7" w:rsidRPr="0058349C">
        <w:rPr>
          <w:rFonts w:ascii="Garamond" w:hAnsi="Garamond" w:cs="Arial"/>
          <w:sz w:val="24"/>
          <w:szCs w:val="24"/>
          <w:lang w:val="sq-AL"/>
        </w:rPr>
        <w:t>kombëtar i ushqimit nr</w:t>
      </w:r>
      <w:r w:rsidRPr="0058349C">
        <w:rPr>
          <w:rFonts w:ascii="Garamond" w:hAnsi="Garamond" w:cs="Arial"/>
          <w:sz w:val="24"/>
          <w:szCs w:val="24"/>
          <w:lang w:val="sq-AL"/>
        </w:rPr>
        <w:t xml:space="preserve">. 9863/2008, i ndryshuar, </w:t>
      </w:r>
      <w:r w:rsidR="00702AC7" w:rsidRPr="0058349C">
        <w:rPr>
          <w:rFonts w:ascii="Garamond" w:hAnsi="Garamond" w:cs="Arial"/>
          <w:sz w:val="24"/>
          <w:szCs w:val="24"/>
          <w:lang w:val="sq-AL"/>
        </w:rPr>
        <w:t xml:space="preserve">neni </w:t>
      </w:r>
      <w:r w:rsidRPr="0058349C">
        <w:rPr>
          <w:rFonts w:ascii="Garamond" w:hAnsi="Garamond" w:cs="Arial"/>
          <w:sz w:val="24"/>
          <w:szCs w:val="24"/>
          <w:lang w:val="sq-AL"/>
        </w:rPr>
        <w:t xml:space="preserve">26(7), ofron terren për </w:t>
      </w:r>
      <w:r w:rsidRPr="0058349C">
        <w:rPr>
          <w:rFonts w:ascii="Garamond" w:hAnsi="Garamond" w:cs="Arial"/>
          <w:b/>
          <w:sz w:val="24"/>
          <w:szCs w:val="24"/>
          <w:lang w:val="sq-AL"/>
        </w:rPr>
        <w:t xml:space="preserve">fleksibilitet nga zbatimi i sistemit të vetëkontrollit </w:t>
      </w:r>
      <w:r w:rsidRPr="0058349C">
        <w:rPr>
          <w:rFonts w:ascii="Garamond" w:hAnsi="Garamond" w:cs="Arial"/>
          <w:sz w:val="24"/>
          <w:szCs w:val="24"/>
          <w:lang w:val="sq-AL"/>
        </w:rPr>
        <w:t xml:space="preserve">(ARPKK) për fermerët dhe prodhuesit </w:t>
      </w:r>
      <w:r w:rsidR="00BC084C">
        <w:rPr>
          <w:rFonts w:ascii="Garamond" w:hAnsi="Garamond" w:cs="Arial"/>
          <w:sz w:val="24"/>
          <w:szCs w:val="24"/>
          <w:lang w:val="sq-AL"/>
        </w:rPr>
        <w:t>vendës</w:t>
      </w:r>
      <w:r w:rsidRPr="0058349C">
        <w:rPr>
          <w:rFonts w:ascii="Garamond" w:hAnsi="Garamond" w:cs="Arial"/>
          <w:sz w:val="24"/>
          <w:szCs w:val="24"/>
          <w:lang w:val="sq-AL"/>
        </w:rPr>
        <w:t xml:space="preserve"> të produkteve ushqimore tradicionale në sasi të vogla, në përputhje me nivelet e pranueshme higjienike të përcaktuara në nivel kombëtar, sipas praktikave të mira të prodhimit dhe nga ana tjetër, diversiteti i produkteve nga operatorët e vegjël ushqimorë duhet të zhvillohet akoma më </w:t>
      </w:r>
      <w:r w:rsidRPr="0058349C">
        <w:rPr>
          <w:rFonts w:ascii="Garamond" w:hAnsi="Garamond" w:cs="Arial"/>
          <w:sz w:val="24"/>
          <w:szCs w:val="24"/>
          <w:lang w:val="sq-AL"/>
        </w:rPr>
        <w:lastRenderedPageBreak/>
        <w:t>shumë që të përmbushë preferencat e shumta të konsumatorëve dhe mundësinë e marketingut për të lidhur më mirë marketingun e drejtpërdrejtë në fermë me zhvillimin e agroturizmit.</w:t>
      </w:r>
    </w:p>
    <w:p w14:paraId="0773AE86" w14:textId="677AF115" w:rsidR="00DF7A00" w:rsidRPr="0058349C" w:rsidRDefault="00DF7A00" w:rsidP="00C332AD">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Marketingu i drejtpërdrejtë nga fermeri te konsumatori</w:t>
      </w:r>
      <w:r w:rsidRPr="0058349C">
        <w:rPr>
          <w:rFonts w:ascii="Garamond" w:hAnsi="Garamond" w:cs="Arial"/>
          <w:sz w:val="24"/>
          <w:szCs w:val="24"/>
          <w:lang w:val="sq-AL"/>
        </w:rPr>
        <w:t xml:space="preserve"> ofron një strategji alternative marketingu për fermerët, duke siguruar të ardhurat e tyre, duke përmbushur</w:t>
      </w:r>
      <w:r w:rsidR="00B93094">
        <w:rPr>
          <w:rFonts w:ascii="Garamond" w:hAnsi="Garamond" w:cs="Arial"/>
          <w:sz w:val="24"/>
          <w:szCs w:val="24"/>
          <w:lang w:val="sq-AL"/>
        </w:rPr>
        <w:t>,</w:t>
      </w:r>
      <w:r w:rsidRPr="0058349C">
        <w:rPr>
          <w:rFonts w:ascii="Garamond" w:hAnsi="Garamond" w:cs="Arial"/>
          <w:sz w:val="24"/>
          <w:szCs w:val="24"/>
          <w:lang w:val="sq-AL"/>
        </w:rPr>
        <w:t xml:space="preserve"> gjithashtu</w:t>
      </w:r>
      <w:r w:rsidR="00B93094">
        <w:rPr>
          <w:rFonts w:ascii="Garamond" w:hAnsi="Garamond" w:cs="Arial"/>
          <w:sz w:val="24"/>
          <w:szCs w:val="24"/>
          <w:lang w:val="sq-AL"/>
        </w:rPr>
        <w:t>,</w:t>
      </w:r>
      <w:r w:rsidRPr="0058349C">
        <w:rPr>
          <w:rFonts w:ascii="Garamond" w:hAnsi="Garamond" w:cs="Arial"/>
          <w:sz w:val="24"/>
          <w:szCs w:val="24"/>
          <w:lang w:val="sq-AL"/>
        </w:rPr>
        <w:t xml:space="preserve"> kërkesën në rritje të konsumatorëve për ushqim lokal. Fermerët shqiptarë janë mësuar t</w:t>
      </w:r>
      <w:r w:rsidR="0006689B">
        <w:rPr>
          <w:rFonts w:ascii="Garamond" w:hAnsi="Garamond" w:cs="Arial"/>
          <w:sz w:val="24"/>
          <w:szCs w:val="24"/>
          <w:lang w:val="sq-AL"/>
        </w:rPr>
        <w:t>’</w:t>
      </w:r>
      <w:r w:rsidRPr="0058349C">
        <w:rPr>
          <w:rFonts w:ascii="Garamond" w:hAnsi="Garamond" w:cs="Arial"/>
          <w:sz w:val="24"/>
          <w:szCs w:val="24"/>
          <w:lang w:val="sq-AL"/>
        </w:rPr>
        <w:t xml:space="preserve">i shesin herë pas </w:t>
      </w:r>
      <w:r w:rsidR="0006689B">
        <w:rPr>
          <w:rFonts w:ascii="Garamond" w:hAnsi="Garamond" w:cs="Arial"/>
          <w:sz w:val="24"/>
          <w:szCs w:val="24"/>
          <w:lang w:val="sq-AL"/>
        </w:rPr>
        <w:t>here produktet e tyre direkt te</w:t>
      </w:r>
      <w:r w:rsidRPr="0058349C">
        <w:rPr>
          <w:rFonts w:ascii="Garamond" w:hAnsi="Garamond" w:cs="Arial"/>
          <w:sz w:val="24"/>
          <w:szCs w:val="24"/>
          <w:lang w:val="sq-AL"/>
        </w:rPr>
        <w:t xml:space="preserve"> klienti fundor, por kryesisht në mënyrë informale. Një nga arsyet kryesore që ky treg nuk është i zhvilluar sa duhet është mungesa e njohurive</w:t>
      </w:r>
      <w:r w:rsidR="0006689B">
        <w:rPr>
          <w:rFonts w:ascii="Garamond" w:hAnsi="Garamond" w:cs="Arial"/>
          <w:sz w:val="24"/>
          <w:szCs w:val="24"/>
          <w:lang w:val="sq-AL"/>
        </w:rPr>
        <w:t>,</w:t>
      </w:r>
      <w:r w:rsidRPr="0058349C">
        <w:rPr>
          <w:rFonts w:ascii="Garamond" w:hAnsi="Garamond" w:cs="Arial"/>
          <w:sz w:val="24"/>
          <w:szCs w:val="24"/>
          <w:lang w:val="sq-AL"/>
        </w:rPr>
        <w:t xml:space="preserve"> që lidhen me </w:t>
      </w:r>
      <w:r w:rsidRPr="00325897">
        <w:rPr>
          <w:rFonts w:ascii="Garamond" w:hAnsi="Garamond" w:cs="Arial"/>
          <w:sz w:val="24"/>
          <w:szCs w:val="24"/>
          <w:lang w:val="sq-AL"/>
        </w:rPr>
        <w:t>krijimin e biznesit të marketingut të drejtpërdrejtë. Kjo së bashku me frikën e barrierave të rënda administrative janë ndër arsyet kryesore për zhvillimin e një ekonomie gri në sektorin bujqësor/zinxhirin ushqimor, pasi shumica e fermerëve nuk i regjistrojnë aktivitetet e tyre të marketingut të drejtpërdrejtë, por kufizojnë në këtë mënyrë</w:t>
      </w:r>
      <w:r w:rsidR="00DA16A2">
        <w:rPr>
          <w:rFonts w:ascii="Garamond" w:hAnsi="Garamond" w:cs="Arial"/>
          <w:sz w:val="24"/>
          <w:szCs w:val="24"/>
          <w:lang w:val="sq-AL"/>
        </w:rPr>
        <w:t>,</w:t>
      </w:r>
      <w:r w:rsidRPr="00325897">
        <w:rPr>
          <w:rFonts w:ascii="Garamond" w:hAnsi="Garamond" w:cs="Arial"/>
          <w:sz w:val="24"/>
          <w:szCs w:val="24"/>
          <w:lang w:val="sq-AL"/>
        </w:rPr>
        <w:t xml:space="preserve"> gjithashtu</w:t>
      </w:r>
      <w:r w:rsidR="00DA16A2">
        <w:rPr>
          <w:rFonts w:ascii="Garamond" w:hAnsi="Garamond" w:cs="Arial"/>
          <w:sz w:val="24"/>
          <w:szCs w:val="24"/>
          <w:lang w:val="sq-AL"/>
        </w:rPr>
        <w:t>,</w:t>
      </w:r>
      <w:r w:rsidRPr="00325897">
        <w:rPr>
          <w:rFonts w:ascii="Garamond" w:hAnsi="Garamond" w:cs="Arial"/>
          <w:sz w:val="24"/>
          <w:szCs w:val="24"/>
          <w:lang w:val="sq-AL"/>
        </w:rPr>
        <w:t xml:space="preserve"> mundësitë e tyre ekonomike, p.sh., shitjen e produkteve</w:t>
      </w:r>
      <w:r w:rsidR="00CF7694" w:rsidRPr="00325897">
        <w:rPr>
          <w:rFonts w:ascii="Garamond" w:hAnsi="Garamond" w:cs="Arial"/>
          <w:sz w:val="24"/>
          <w:szCs w:val="24"/>
          <w:lang w:val="sq-AL"/>
        </w:rPr>
        <w:t xml:space="preserve"> </w:t>
      </w:r>
      <w:r w:rsidRPr="00325897">
        <w:rPr>
          <w:rFonts w:ascii="Garamond" w:hAnsi="Garamond" w:cs="Arial"/>
          <w:sz w:val="24"/>
          <w:szCs w:val="24"/>
          <w:lang w:val="sq-AL"/>
        </w:rPr>
        <w:t>t</w:t>
      </w:r>
      <w:r w:rsidRPr="00325897">
        <w:rPr>
          <w:rFonts w:ascii="Garamond" w:hAnsi="Garamond" w:cs="Arial"/>
          <w:bCs/>
          <w:sz w:val="24"/>
          <w:szCs w:val="24"/>
          <w:lang w:val="sq-AL"/>
        </w:rPr>
        <w:t>ë</w:t>
      </w:r>
      <w:r w:rsidRPr="00325897">
        <w:rPr>
          <w:rFonts w:ascii="Garamond" w:hAnsi="Garamond" w:cs="Arial"/>
          <w:sz w:val="24"/>
          <w:szCs w:val="24"/>
          <w:lang w:val="sq-AL"/>
        </w:rPr>
        <w:t xml:space="preserve"> tyre te subjektet turistike, të cilat nga ana e tyre duhet të respektojnë kuadrin e sigurisë ushqimore.</w:t>
      </w:r>
    </w:p>
    <w:p w14:paraId="0773AE87" w14:textId="6CC248B5"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Për të rritur besimin e konsumatorëve në cilësinë e produkteve ushqimore të prodhuara n</w:t>
      </w:r>
      <w:r w:rsidRPr="0058349C">
        <w:rPr>
          <w:rFonts w:ascii="Garamond" w:hAnsi="Garamond" w:cs="Arial"/>
          <w:bCs/>
          <w:sz w:val="24"/>
          <w:szCs w:val="24"/>
          <w:lang w:val="sq-AL"/>
        </w:rPr>
        <w:t xml:space="preserve">ë mënyrë </w:t>
      </w:r>
      <w:r w:rsidRPr="0058349C">
        <w:rPr>
          <w:rFonts w:ascii="Garamond" w:hAnsi="Garamond" w:cs="Arial"/>
          <w:sz w:val="24"/>
          <w:szCs w:val="24"/>
          <w:lang w:val="sq-AL"/>
        </w:rPr>
        <w:t xml:space="preserve">artizanale dhe të shitura lokalisht (p.sh. reçel, verë, raki, jufka, gliko, gjize, pastërma), kërkohet një marketing i shëndoshë. Këto produkte, sipas traditës së zonës, mund të përfshihen në regjimin e </w:t>
      </w:r>
      <w:r w:rsidR="00664693" w:rsidRPr="0058349C">
        <w:rPr>
          <w:rFonts w:ascii="Garamond" w:hAnsi="Garamond" w:cs="Arial"/>
          <w:sz w:val="24"/>
          <w:szCs w:val="24"/>
          <w:lang w:val="sq-AL"/>
        </w:rPr>
        <w:t>“</w:t>
      </w:r>
      <w:r w:rsidRPr="0058349C">
        <w:rPr>
          <w:rFonts w:ascii="Garamond" w:hAnsi="Garamond" w:cs="Arial"/>
          <w:sz w:val="24"/>
          <w:szCs w:val="24"/>
          <w:lang w:val="sq-AL"/>
        </w:rPr>
        <w:t>përcaktimit të produktit të certifikuar tradicional</w:t>
      </w:r>
      <w:r w:rsidR="00664693" w:rsidRPr="0058349C">
        <w:rPr>
          <w:rFonts w:ascii="Garamond" w:hAnsi="Garamond" w:cs="Arial"/>
          <w:sz w:val="24"/>
          <w:szCs w:val="24"/>
          <w:lang w:val="sq-AL"/>
        </w:rPr>
        <w:t>”</w:t>
      </w:r>
      <w:r w:rsidRPr="0058349C">
        <w:rPr>
          <w:rFonts w:ascii="Garamond" w:hAnsi="Garamond" w:cs="Arial"/>
          <w:sz w:val="24"/>
          <w:szCs w:val="24"/>
          <w:lang w:val="sq-AL"/>
        </w:rPr>
        <w:t xml:space="preserve"> të sistemeve kryesore të përafërta të cilësisë së BE-së (DPO, TMGJ), të cilat janë të orientuara edhe për marketingun rajonal dhe ndërkombëtar.</w:t>
      </w:r>
    </w:p>
    <w:p w14:paraId="0773AE88" w14:textId="77777777" w:rsidR="00DF7A00" w:rsidRPr="0058349C" w:rsidRDefault="00DF7A00" w:rsidP="00DF7A00">
      <w:pPr>
        <w:keepNext/>
        <w:keepLines/>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Turizmi i qëndrueshëm rural</w:t>
      </w:r>
    </w:p>
    <w:p w14:paraId="0773AE89"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Nuk disponohen të dhëna të</w:t>
      </w:r>
      <w:r w:rsidRPr="0058349C">
        <w:rPr>
          <w:rFonts w:ascii="Garamond" w:hAnsi="Garamond" w:cs="Arial"/>
          <w:bCs/>
          <w:sz w:val="24"/>
          <w:szCs w:val="24"/>
          <w:lang w:val="sq-AL"/>
        </w:rPr>
        <w:t xml:space="preserve"> detajuara</w:t>
      </w:r>
      <w:r w:rsidRPr="0058349C">
        <w:rPr>
          <w:rFonts w:ascii="Garamond" w:hAnsi="Garamond" w:cs="Arial"/>
          <w:sz w:val="24"/>
          <w:szCs w:val="24"/>
          <w:lang w:val="sq-AL"/>
        </w:rPr>
        <w:t xml:space="preserve"> për segmentin e turizmit rural. </w:t>
      </w:r>
      <w:r w:rsidRPr="0058349C">
        <w:rPr>
          <w:rFonts w:ascii="Garamond" w:hAnsi="Garamond" w:cs="Arial"/>
          <w:b/>
          <w:sz w:val="24"/>
          <w:szCs w:val="24"/>
          <w:lang w:val="sq-AL"/>
        </w:rPr>
        <w:t>Sektori i turizmit</w:t>
      </w:r>
      <w:r w:rsidRPr="0058349C">
        <w:rPr>
          <w:rFonts w:ascii="Garamond" w:hAnsi="Garamond" w:cs="Arial"/>
          <w:sz w:val="24"/>
          <w:szCs w:val="24"/>
          <w:lang w:val="sq-AL"/>
        </w:rPr>
        <w:t xml:space="preserve"> është </w:t>
      </w:r>
      <w:r w:rsidRPr="0058349C">
        <w:rPr>
          <w:rFonts w:ascii="Garamond" w:hAnsi="Garamond" w:cs="Arial"/>
          <w:b/>
          <w:sz w:val="24"/>
          <w:szCs w:val="24"/>
          <w:lang w:val="sq-AL"/>
        </w:rPr>
        <w:t xml:space="preserve">zgjeruar </w:t>
      </w:r>
      <w:r w:rsidRPr="0058349C">
        <w:rPr>
          <w:rFonts w:ascii="Garamond" w:hAnsi="Garamond" w:cs="Arial"/>
          <w:sz w:val="24"/>
          <w:szCs w:val="24"/>
          <w:lang w:val="sq-AL"/>
        </w:rPr>
        <w:t>vazhdimisht përpara pandemisë COVID-19. Norma e rritjes në vitin 2018 ishte më e lartë se për shërbimet e tjera (më shumë se 14%), ku peshën më të madhe e zënë produktet e turizmit bregdetar dhe të plazhit.</w:t>
      </w:r>
    </w:p>
    <w:p w14:paraId="0773AE8A" w14:textId="2C41A615" w:rsidR="00DF7A00" w:rsidRPr="0058349C" w:rsidRDefault="00DF7A00" w:rsidP="005B311C">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Zonat rurale kanë një </w:t>
      </w:r>
      <w:r w:rsidRPr="0058349C">
        <w:rPr>
          <w:rFonts w:ascii="Garamond" w:hAnsi="Garamond" w:cs="Arial"/>
          <w:b/>
          <w:sz w:val="24"/>
          <w:szCs w:val="24"/>
          <w:lang w:val="sq-AL"/>
        </w:rPr>
        <w:t>potencial të lartë për turizmin natyror</w:t>
      </w:r>
      <w:r w:rsidRPr="0058349C">
        <w:rPr>
          <w:rFonts w:ascii="Garamond" w:hAnsi="Garamond" w:cs="Arial"/>
          <w:sz w:val="24"/>
          <w:szCs w:val="24"/>
          <w:lang w:val="sq-AL"/>
        </w:rPr>
        <w:t xml:space="preserve"> (p.sh., agroturizëm, turizëm malor, ekoturizëm, turizëm në zona të mbrojtura, aktivitete në natyrë, vizita studimore, turizëm kulinar) por edhe për shkëmbim kulturash me anë të aktiviteteve kulturore, konferencave dhe ekspozitave (MICE), por i cili nuk është vlerësuar akoma sa duhet. Shembujt e mirë të disa zonave (ndërkufitare) të turizmit malor (p.sh. ecja në këmbë </w:t>
      </w:r>
      <w:r w:rsidR="00664693" w:rsidRPr="0058349C">
        <w:rPr>
          <w:rFonts w:ascii="Garamond" w:hAnsi="Garamond" w:cs="Arial"/>
          <w:sz w:val="24"/>
          <w:szCs w:val="24"/>
          <w:lang w:val="sq-AL"/>
        </w:rPr>
        <w:t>“</w:t>
      </w:r>
      <w:r w:rsidRPr="0058349C">
        <w:rPr>
          <w:rFonts w:ascii="Garamond" w:hAnsi="Garamond" w:cs="Arial"/>
          <w:sz w:val="24"/>
          <w:szCs w:val="24"/>
          <w:lang w:val="sq-AL"/>
        </w:rPr>
        <w:t>Majat e Ballkanit</w:t>
      </w:r>
      <w:r w:rsidR="00664693" w:rsidRPr="0058349C">
        <w:rPr>
          <w:rFonts w:ascii="Garamond" w:hAnsi="Garamond" w:cs="Arial"/>
          <w:sz w:val="24"/>
          <w:szCs w:val="24"/>
          <w:lang w:val="sq-AL"/>
        </w:rPr>
        <w:t>”</w:t>
      </w:r>
      <w:r w:rsidRPr="0058349C">
        <w:rPr>
          <w:rFonts w:ascii="Garamond" w:hAnsi="Garamond" w:cs="Arial"/>
          <w:sz w:val="24"/>
          <w:szCs w:val="24"/>
          <w:lang w:val="sq-AL"/>
        </w:rPr>
        <w:t xml:space="preserve">, </w:t>
      </w:r>
      <w:r w:rsidR="00664693" w:rsidRPr="0058349C">
        <w:rPr>
          <w:rFonts w:ascii="Garamond" w:hAnsi="Garamond" w:cs="Arial"/>
          <w:sz w:val="24"/>
          <w:szCs w:val="24"/>
          <w:lang w:val="sq-AL"/>
        </w:rPr>
        <w:t>“</w:t>
      </w:r>
      <w:r w:rsidRPr="0058349C">
        <w:rPr>
          <w:rFonts w:ascii="Garamond" w:hAnsi="Garamond" w:cs="Arial"/>
          <w:sz w:val="24"/>
          <w:szCs w:val="24"/>
          <w:lang w:val="sq-AL"/>
        </w:rPr>
        <w:t>Shtegu i Lartë Scardus</w:t>
      </w:r>
      <w:r w:rsidR="00664693" w:rsidRPr="0058349C">
        <w:rPr>
          <w:rFonts w:ascii="Garamond" w:hAnsi="Garamond" w:cs="Arial"/>
          <w:sz w:val="24"/>
          <w:szCs w:val="24"/>
          <w:lang w:val="sq-AL"/>
        </w:rPr>
        <w:t>”</w:t>
      </w:r>
      <w:r w:rsidRPr="0058349C">
        <w:rPr>
          <w:rFonts w:ascii="Garamond" w:hAnsi="Garamond" w:cs="Arial"/>
          <w:sz w:val="24"/>
          <w:szCs w:val="24"/>
          <w:lang w:val="sq-AL"/>
        </w:rPr>
        <w:t>) janë praktika të mira. Megjithatë, në Strategjinë Kombëtare të Turizmit, produktet e turizmit rural nuk jan</w:t>
      </w:r>
      <w:r w:rsidRPr="0058349C">
        <w:rPr>
          <w:rFonts w:ascii="Garamond" w:hAnsi="Garamond" w:cs="Arial"/>
          <w:bCs/>
          <w:sz w:val="24"/>
          <w:szCs w:val="24"/>
          <w:lang w:val="sq-AL"/>
        </w:rPr>
        <w:t xml:space="preserve">ë përpunuar </w:t>
      </w:r>
      <w:r w:rsidRPr="0058349C">
        <w:rPr>
          <w:rFonts w:ascii="Garamond" w:hAnsi="Garamond" w:cs="Arial"/>
          <w:sz w:val="24"/>
          <w:szCs w:val="24"/>
          <w:lang w:val="sq-AL"/>
        </w:rPr>
        <w:t>më tej. Mungon akoma një koncept i përmirësuar kombëtar i zhvillimit të agroturizmit bazuar në përcaktimin mbi një ferm</w:t>
      </w:r>
      <w:r w:rsidRPr="0058349C">
        <w:rPr>
          <w:rFonts w:ascii="Garamond" w:hAnsi="Garamond" w:cs="Arial"/>
          <w:bCs/>
          <w:sz w:val="24"/>
          <w:szCs w:val="24"/>
          <w:lang w:val="sq-AL"/>
        </w:rPr>
        <w:t>ë</w:t>
      </w:r>
      <w:r w:rsidRPr="0058349C">
        <w:rPr>
          <w:rFonts w:ascii="Garamond" w:hAnsi="Garamond" w:cs="Arial"/>
          <w:sz w:val="24"/>
          <w:szCs w:val="24"/>
          <w:lang w:val="sq-AL"/>
        </w:rPr>
        <w:t xml:space="preserve"> funksionale dhe përgjegjësitë jan</w:t>
      </w:r>
      <w:r w:rsidRPr="0058349C">
        <w:rPr>
          <w:rFonts w:ascii="Garamond" w:hAnsi="Garamond" w:cs="Arial"/>
          <w:bCs/>
          <w:sz w:val="24"/>
          <w:szCs w:val="24"/>
          <w:lang w:val="sq-AL"/>
        </w:rPr>
        <w:t>ë akoma të</w:t>
      </w:r>
      <w:r w:rsidRPr="0058349C">
        <w:rPr>
          <w:rFonts w:ascii="Garamond" w:hAnsi="Garamond" w:cs="Arial"/>
          <w:sz w:val="24"/>
          <w:szCs w:val="24"/>
          <w:lang w:val="sq-AL"/>
        </w:rPr>
        <w:t xml:space="preserve"> paqarta midis institucioneve të përfshira (kryesisht MTE, MBZHR, PMO, NAPTA, AZHBR).</w:t>
      </w:r>
    </w:p>
    <w:p w14:paraId="0773AE8B" w14:textId="2C9C5103" w:rsidR="00DF7A00"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Rritja e investimeve për kampingjet, sheshet e parkimit për rulotët kanë një kërkesë edhe më të madhe të pritshme pas pandemisë COVID 19, si një produkt i sigurt turistik që do të ndërlidhet mirë me fermat bujqësore në zonat rurale. </w:t>
      </w:r>
      <w:r w:rsidRPr="0058349C">
        <w:rPr>
          <w:rFonts w:ascii="Garamond" w:hAnsi="Garamond" w:cs="Arial"/>
          <w:b/>
          <w:sz w:val="24"/>
          <w:szCs w:val="24"/>
          <w:lang w:val="sq-AL"/>
        </w:rPr>
        <w:t>Turizmi rural tregoi tendenca premtuese përpara pandemisë, por ka ende një potencial të lartë, të pashfrytëzuar</w:t>
      </w:r>
      <w:r w:rsidRPr="0058349C">
        <w:rPr>
          <w:rFonts w:ascii="Garamond" w:hAnsi="Garamond" w:cs="Arial"/>
          <w:sz w:val="24"/>
          <w:szCs w:val="24"/>
          <w:lang w:val="sq-AL"/>
        </w:rPr>
        <w:t xml:space="preserve"> për shkak të mungesës së operatorëve dhe stafit të kualifikuar, mungesës së marketingut të pikave t</w:t>
      </w:r>
      <w:r w:rsidRPr="0058349C">
        <w:rPr>
          <w:rFonts w:ascii="Garamond" w:hAnsi="Garamond" w:cs="Arial"/>
          <w:bCs/>
          <w:sz w:val="24"/>
          <w:szCs w:val="24"/>
          <w:lang w:val="sq-AL"/>
        </w:rPr>
        <w:t xml:space="preserve">ë </w:t>
      </w:r>
      <w:r w:rsidRPr="0058349C">
        <w:rPr>
          <w:rFonts w:ascii="Garamond" w:hAnsi="Garamond" w:cs="Arial"/>
          <w:sz w:val="24"/>
          <w:szCs w:val="24"/>
          <w:lang w:val="sq-AL"/>
        </w:rPr>
        <w:t>p</w:t>
      </w:r>
      <w:r w:rsidRPr="0058349C">
        <w:rPr>
          <w:rFonts w:ascii="Garamond" w:hAnsi="Garamond" w:cs="Arial"/>
          <w:bCs/>
          <w:sz w:val="24"/>
          <w:szCs w:val="24"/>
          <w:lang w:val="sq-AL"/>
        </w:rPr>
        <w:t>ërbashkëta</w:t>
      </w:r>
      <w:r w:rsidRPr="0058349C">
        <w:rPr>
          <w:rFonts w:ascii="Garamond" w:hAnsi="Garamond" w:cs="Arial"/>
          <w:sz w:val="24"/>
          <w:szCs w:val="24"/>
          <w:lang w:val="sq-AL"/>
        </w:rPr>
        <w:t xml:space="preserve"> të shitjes dhe rritjes së cilësisë dhe standardeve të sigurta për të përmbushur pritshmëritë e turistëve pas pandemisë COVID-19. 60% e rajoneve të Shqipërisë kanë burime dhe pasuri të mjaftueshme natyrore për të zhvilluar turizmin rural dhe rekreativ. Ndryshimet vjetore të hyrjeve n</w:t>
      </w:r>
      <w:r w:rsidRPr="0058349C">
        <w:rPr>
          <w:rFonts w:ascii="Garamond" w:hAnsi="Garamond" w:cs="Arial"/>
          <w:bCs/>
          <w:sz w:val="24"/>
          <w:szCs w:val="24"/>
          <w:lang w:val="sq-AL"/>
        </w:rPr>
        <w:t>ë Shqipëri</w:t>
      </w:r>
      <w:r w:rsidR="005B311C">
        <w:rPr>
          <w:rFonts w:ascii="Garamond" w:hAnsi="Garamond" w:cs="Arial"/>
          <w:sz w:val="24"/>
          <w:szCs w:val="24"/>
          <w:lang w:val="sq-AL"/>
        </w:rPr>
        <w:t xml:space="preserve"> (rezidentë dhe jorezidentë) në vitet 2018–</w:t>
      </w:r>
      <w:r w:rsidRPr="0058349C">
        <w:rPr>
          <w:rFonts w:ascii="Garamond" w:hAnsi="Garamond" w:cs="Arial"/>
          <w:sz w:val="24"/>
          <w:szCs w:val="24"/>
          <w:lang w:val="sq-AL"/>
        </w:rPr>
        <w:t>2019 në Rajonin Verior</w:t>
      </w:r>
      <w:r w:rsidR="005B311C">
        <w:rPr>
          <w:rFonts w:ascii="Garamond" w:hAnsi="Garamond" w:cs="Arial"/>
          <w:sz w:val="24"/>
          <w:szCs w:val="24"/>
          <w:lang w:val="sq-AL"/>
        </w:rPr>
        <w:t>,</w:t>
      </w:r>
      <w:r w:rsidRPr="0058349C">
        <w:rPr>
          <w:rFonts w:ascii="Garamond" w:hAnsi="Garamond" w:cs="Arial"/>
          <w:sz w:val="24"/>
          <w:szCs w:val="24"/>
          <w:lang w:val="sq-AL"/>
        </w:rPr>
        <w:t xml:space="preserve"> q</w:t>
      </w:r>
      <w:r w:rsidRPr="0058349C">
        <w:rPr>
          <w:rFonts w:ascii="Garamond" w:hAnsi="Garamond" w:cs="Arial"/>
          <w:bCs/>
          <w:sz w:val="24"/>
          <w:szCs w:val="24"/>
          <w:lang w:val="sq-AL"/>
        </w:rPr>
        <w:t xml:space="preserve">ë është </w:t>
      </w:r>
      <w:r w:rsidRPr="0058349C">
        <w:rPr>
          <w:rFonts w:ascii="Garamond" w:hAnsi="Garamond" w:cs="Arial"/>
          <w:sz w:val="24"/>
          <w:szCs w:val="24"/>
          <w:lang w:val="sq-AL"/>
        </w:rPr>
        <w:t>kryesisht rural kanë shënuar rritjen më të lartë me 12.6%.</w:t>
      </w:r>
      <w:r w:rsidRPr="0058349C">
        <w:rPr>
          <w:rFonts w:ascii="Garamond" w:hAnsi="Garamond" w:cs="Arial"/>
          <w:sz w:val="24"/>
          <w:szCs w:val="24"/>
          <w:vertAlign w:val="superscript"/>
          <w:lang w:val="sq-AL"/>
        </w:rPr>
        <w:footnoteReference w:id="33"/>
      </w:r>
    </w:p>
    <w:p w14:paraId="0773AE8C" w14:textId="05C9E735"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lastRenderedPageBreak/>
        <w:t>Anketa mbi diversifikimin, e kryer nga MBZHR</w:t>
      </w:r>
      <w:r w:rsidR="009A11A7">
        <w:rPr>
          <w:rFonts w:ascii="Garamond" w:hAnsi="Garamond" w:cs="Arial"/>
          <w:sz w:val="24"/>
          <w:szCs w:val="24"/>
          <w:lang w:val="sq-AL"/>
        </w:rPr>
        <w:t>-ja</w:t>
      </w:r>
      <w:r w:rsidRPr="0058349C">
        <w:rPr>
          <w:rFonts w:ascii="Garamond" w:hAnsi="Garamond" w:cs="Arial"/>
          <w:sz w:val="24"/>
          <w:szCs w:val="24"/>
          <w:lang w:val="sq-AL"/>
        </w:rPr>
        <w:t xml:space="preserve"> (2021) identifikoi afërsisht 660 njësi akomodimi në zonat rurale. Pak më shumë se 40% e këtyre subjekteve kanë nga 6 deri në 10 dhoma.</w:t>
      </w:r>
      <w:r w:rsidRPr="00A65870">
        <w:rPr>
          <w:rFonts w:ascii="Garamond" w:hAnsi="Garamond"/>
          <w:sz w:val="24"/>
          <w:szCs w:val="24"/>
          <w:vertAlign w:val="superscript"/>
        </w:rPr>
        <w:footnoteReference w:id="34"/>
      </w:r>
    </w:p>
    <w:p w14:paraId="0773AE8D" w14:textId="18DDD71A" w:rsidR="00DF7A00" w:rsidRPr="0058349C" w:rsidRDefault="00DF7A00" w:rsidP="00C50571">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Në vitin 2020, </w:t>
      </w:r>
      <w:r w:rsidRPr="0058349C">
        <w:rPr>
          <w:rFonts w:ascii="Garamond" w:hAnsi="Garamond" w:cs="Arial"/>
          <w:b/>
          <w:sz w:val="24"/>
          <w:szCs w:val="24"/>
          <w:lang w:val="sq-AL"/>
        </w:rPr>
        <w:t xml:space="preserve">21 ferma u regjistruan si </w:t>
      </w:r>
      <w:r w:rsidR="00664693" w:rsidRPr="0058349C">
        <w:rPr>
          <w:rFonts w:ascii="Garamond" w:hAnsi="Garamond" w:cs="Arial"/>
          <w:b/>
          <w:sz w:val="24"/>
          <w:szCs w:val="24"/>
          <w:lang w:val="sq-AL"/>
        </w:rPr>
        <w:t>“</w:t>
      </w:r>
      <w:r w:rsidRPr="0058349C">
        <w:rPr>
          <w:rFonts w:ascii="Garamond" w:hAnsi="Garamond" w:cs="Arial"/>
          <w:b/>
          <w:sz w:val="24"/>
          <w:szCs w:val="24"/>
          <w:lang w:val="sq-AL"/>
        </w:rPr>
        <w:t>Subjekt i Certifikuar Agroturistik</w:t>
      </w:r>
      <w:r w:rsidR="00664693" w:rsidRPr="0058349C">
        <w:rPr>
          <w:rFonts w:ascii="Garamond" w:hAnsi="Garamond" w:cs="Arial"/>
          <w:b/>
          <w:sz w:val="24"/>
          <w:szCs w:val="24"/>
          <w:lang w:val="sq-AL"/>
        </w:rPr>
        <w:t>”</w:t>
      </w:r>
      <w:r w:rsidR="00C50571">
        <w:rPr>
          <w:rFonts w:ascii="Garamond" w:hAnsi="Garamond" w:cs="Arial"/>
          <w:sz w:val="24"/>
          <w:szCs w:val="24"/>
          <w:lang w:val="sq-AL"/>
        </w:rPr>
        <w:t xml:space="preserve"> për 5 vjet</w:t>
      </w:r>
      <w:r w:rsidR="007B0DA5">
        <w:rPr>
          <w:rFonts w:ascii="Garamond" w:hAnsi="Garamond" w:cs="Arial"/>
          <w:sz w:val="24"/>
          <w:szCs w:val="24"/>
          <w:lang w:val="sq-AL"/>
        </w:rPr>
        <w:t>,</w:t>
      </w:r>
      <w:r w:rsidRPr="0058349C">
        <w:rPr>
          <w:rFonts w:ascii="Garamond" w:hAnsi="Garamond" w:cs="Arial"/>
          <w:sz w:val="24"/>
          <w:szCs w:val="24"/>
          <w:lang w:val="sq-AL"/>
        </w:rPr>
        <w:t xml:space="preserve"> sipas VKM</w:t>
      </w:r>
      <w:r w:rsidR="007B0DA5">
        <w:rPr>
          <w:rFonts w:ascii="Garamond" w:hAnsi="Garamond" w:cs="Arial"/>
          <w:sz w:val="24"/>
          <w:szCs w:val="24"/>
          <w:lang w:val="sq-AL"/>
        </w:rPr>
        <w:t>-së</w:t>
      </w:r>
      <w:r w:rsidRPr="0058349C">
        <w:rPr>
          <w:rFonts w:ascii="Garamond" w:hAnsi="Garamond" w:cs="Arial"/>
          <w:sz w:val="24"/>
          <w:szCs w:val="24"/>
          <w:lang w:val="sq-AL"/>
        </w:rPr>
        <w:t xml:space="preserve"> </w:t>
      </w:r>
      <w:r w:rsidR="007B0DA5" w:rsidRPr="0058349C">
        <w:rPr>
          <w:rFonts w:ascii="Garamond" w:hAnsi="Garamond" w:cs="Arial"/>
          <w:sz w:val="24"/>
          <w:szCs w:val="24"/>
          <w:lang w:val="sq-AL"/>
        </w:rPr>
        <w:t>nr</w:t>
      </w:r>
      <w:r w:rsidRPr="0058349C">
        <w:rPr>
          <w:rFonts w:ascii="Garamond" w:hAnsi="Garamond" w:cs="Arial"/>
          <w:sz w:val="24"/>
          <w:szCs w:val="24"/>
          <w:lang w:val="sq-AL"/>
        </w:rPr>
        <w:t>. 22/12.1.2018, si dhe 13 subjekte janë pajisur me certifikatë paraprake, n</w:t>
      </w:r>
      <w:r w:rsidRPr="0058349C">
        <w:rPr>
          <w:rFonts w:ascii="Garamond" w:hAnsi="Garamond" w:cs="Arial"/>
          <w:bCs/>
          <w:sz w:val="24"/>
          <w:szCs w:val="24"/>
          <w:lang w:val="sq-AL"/>
        </w:rPr>
        <w:t>ë kuadër</w:t>
      </w:r>
      <w:r w:rsidRPr="0058349C">
        <w:rPr>
          <w:rFonts w:ascii="Garamond" w:hAnsi="Garamond" w:cs="Arial"/>
          <w:sz w:val="24"/>
          <w:szCs w:val="24"/>
          <w:lang w:val="sq-AL"/>
        </w:rPr>
        <w:t xml:space="preserve"> të cilit MTE dhe MBZHR bashkëpunojnë. Agroturizmi është një biznes relativisht i ri (afërsisht 5 vjet) kryesisht i menaxhuar nga fermerë të rinj (mesatarisht rreth 35 vjeç) me një shpërndarje të barabartë të operatorëve burra dhe gra. Madhësia mesatare e fermave me aktivitet agroturizmi prej 7.3 ha është mbi madhësinë mesatare të fermave (1.2 ha) dhe vendndodhja e tyre është afër zonave më të mëdha urbane dhe n</w:t>
      </w:r>
      <w:r w:rsidRPr="0058349C">
        <w:rPr>
          <w:rFonts w:ascii="Garamond" w:hAnsi="Garamond" w:cs="Arial"/>
          <w:bCs/>
          <w:sz w:val="24"/>
          <w:szCs w:val="24"/>
          <w:lang w:val="sq-AL"/>
        </w:rPr>
        <w:t xml:space="preserve">ë përgjithësi </w:t>
      </w:r>
      <w:r w:rsidRPr="0058349C">
        <w:rPr>
          <w:rFonts w:ascii="Garamond" w:hAnsi="Garamond" w:cs="Arial"/>
          <w:sz w:val="24"/>
          <w:szCs w:val="24"/>
          <w:lang w:val="sq-AL"/>
        </w:rPr>
        <w:t>jo shumë larg nga një rrug</w:t>
      </w:r>
      <w:r w:rsidRPr="0058349C">
        <w:rPr>
          <w:rFonts w:ascii="Garamond" w:hAnsi="Garamond" w:cs="Arial"/>
          <w:bCs/>
          <w:sz w:val="24"/>
          <w:szCs w:val="24"/>
          <w:lang w:val="sq-AL"/>
        </w:rPr>
        <w:t>ë automobilistike</w:t>
      </w:r>
      <w:r w:rsidRPr="0058349C">
        <w:rPr>
          <w:rFonts w:ascii="Garamond" w:hAnsi="Garamond" w:cs="Arial"/>
          <w:sz w:val="24"/>
          <w:szCs w:val="24"/>
          <w:lang w:val="sq-AL"/>
        </w:rPr>
        <w:t>.</w:t>
      </w:r>
      <w:r w:rsidRPr="007B0DA5">
        <w:rPr>
          <w:rFonts w:ascii="Garamond" w:hAnsi="Garamond"/>
          <w:sz w:val="24"/>
          <w:szCs w:val="24"/>
          <w:vertAlign w:val="superscript"/>
        </w:rPr>
        <w:footnoteReference w:id="35"/>
      </w:r>
      <w:r w:rsidRPr="007B0DA5">
        <w:rPr>
          <w:rFonts w:ascii="Garamond" w:hAnsi="Garamond"/>
          <w:sz w:val="24"/>
          <w:szCs w:val="24"/>
          <w:vertAlign w:val="superscript"/>
        </w:rPr>
        <w:t xml:space="preserve"> </w:t>
      </w:r>
      <w:r w:rsidRPr="0058349C">
        <w:rPr>
          <w:rFonts w:ascii="Garamond" w:hAnsi="Garamond" w:cs="Arial"/>
          <w:sz w:val="24"/>
          <w:szCs w:val="24"/>
          <w:lang w:val="sq-AL"/>
        </w:rPr>
        <w:t>Numri i vlerësuar i fermave që kanë potencial për t</w:t>
      </w:r>
      <w:r w:rsidR="00664693" w:rsidRPr="0058349C">
        <w:rPr>
          <w:rFonts w:ascii="Garamond" w:hAnsi="Garamond" w:cs="Arial"/>
          <w:sz w:val="24"/>
          <w:szCs w:val="24"/>
          <w:lang w:val="sq-AL"/>
        </w:rPr>
        <w:t>’</w:t>
      </w:r>
      <w:r w:rsidRPr="0058349C">
        <w:rPr>
          <w:rFonts w:ascii="Garamond" w:hAnsi="Garamond" w:cs="Arial"/>
          <w:sz w:val="24"/>
          <w:szCs w:val="24"/>
          <w:lang w:val="sq-AL"/>
        </w:rPr>
        <w:t>u transformuar në ferma agroturistike</w:t>
      </w:r>
      <w:r w:rsidR="00B444E4">
        <w:rPr>
          <w:rFonts w:ascii="Garamond" w:hAnsi="Garamond" w:cs="Arial"/>
          <w:sz w:val="24"/>
          <w:szCs w:val="24"/>
          <w:lang w:val="sq-AL"/>
        </w:rPr>
        <w:t>,</w:t>
      </w:r>
      <w:r w:rsidRPr="0058349C">
        <w:rPr>
          <w:rFonts w:ascii="Garamond" w:hAnsi="Garamond" w:cs="Arial"/>
          <w:sz w:val="24"/>
          <w:szCs w:val="24"/>
          <w:lang w:val="sq-AL"/>
        </w:rPr>
        <w:t xml:space="preserve"> si biznes familjar është shumë më i madh.</w:t>
      </w:r>
    </w:p>
    <w:p w14:paraId="0773AE8E" w14:textId="2219E395"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Kërkesa për produktet e turizmit rural</w:t>
      </w:r>
      <w:r w:rsidRPr="0058349C">
        <w:rPr>
          <w:rFonts w:ascii="Garamond" w:hAnsi="Garamond" w:cs="Arial"/>
          <w:sz w:val="24"/>
          <w:szCs w:val="24"/>
          <w:lang w:val="sq-AL"/>
        </w:rPr>
        <w:t xml:space="preserve"> pritet t</w:t>
      </w:r>
      <w:r w:rsidRPr="0058349C">
        <w:rPr>
          <w:rFonts w:ascii="Garamond" w:hAnsi="Garamond" w:cs="Arial"/>
          <w:bCs/>
          <w:sz w:val="24"/>
          <w:szCs w:val="24"/>
          <w:lang w:val="sq-AL"/>
        </w:rPr>
        <w:t xml:space="preserve">ë rritet </w:t>
      </w:r>
      <w:r w:rsidRPr="0058349C">
        <w:rPr>
          <w:rFonts w:ascii="Garamond" w:hAnsi="Garamond" w:cs="Arial"/>
          <w:sz w:val="24"/>
          <w:szCs w:val="24"/>
          <w:lang w:val="sq-AL"/>
        </w:rPr>
        <w:t xml:space="preserve">për disa shtigje ecjeje në distanca të gjata, ato ndërkufitare (p.sh. </w:t>
      </w:r>
      <w:r w:rsidR="00664693" w:rsidRPr="0058349C">
        <w:rPr>
          <w:rFonts w:ascii="Garamond" w:hAnsi="Garamond" w:cs="Arial"/>
          <w:sz w:val="24"/>
          <w:szCs w:val="24"/>
          <w:lang w:val="sq-AL"/>
        </w:rPr>
        <w:t>“</w:t>
      </w:r>
      <w:r w:rsidRPr="0058349C">
        <w:rPr>
          <w:rFonts w:ascii="Garamond" w:hAnsi="Garamond" w:cs="Arial"/>
          <w:sz w:val="24"/>
          <w:szCs w:val="24"/>
          <w:lang w:val="sq-AL"/>
        </w:rPr>
        <w:t>Majat e Ballkanit</w:t>
      </w:r>
      <w:r w:rsidR="00664693" w:rsidRPr="0058349C">
        <w:rPr>
          <w:rFonts w:ascii="Garamond" w:hAnsi="Garamond" w:cs="Arial"/>
          <w:sz w:val="24"/>
          <w:szCs w:val="24"/>
          <w:lang w:val="sq-AL"/>
        </w:rPr>
        <w:t>”</w:t>
      </w:r>
      <w:r w:rsidRPr="0058349C">
        <w:rPr>
          <w:rFonts w:ascii="Garamond" w:hAnsi="Garamond" w:cs="Arial"/>
          <w:sz w:val="24"/>
          <w:szCs w:val="24"/>
          <w:lang w:val="sq-AL"/>
        </w:rPr>
        <w:t xml:space="preserve">, </w:t>
      </w:r>
      <w:r w:rsidR="00664693" w:rsidRPr="0058349C">
        <w:rPr>
          <w:rFonts w:ascii="Garamond" w:hAnsi="Garamond" w:cs="Arial"/>
          <w:sz w:val="24"/>
          <w:szCs w:val="24"/>
          <w:lang w:val="sq-AL"/>
        </w:rPr>
        <w:t>“</w:t>
      </w:r>
      <w:r w:rsidRPr="0058349C">
        <w:rPr>
          <w:rFonts w:ascii="Garamond" w:hAnsi="Garamond" w:cs="Arial"/>
          <w:sz w:val="24"/>
          <w:szCs w:val="24"/>
          <w:lang w:val="sq-AL"/>
        </w:rPr>
        <w:t>Shtegu i Lartë Scardus</w:t>
      </w:r>
      <w:r w:rsidR="00664693" w:rsidRPr="0058349C">
        <w:rPr>
          <w:rFonts w:ascii="Garamond" w:hAnsi="Garamond" w:cs="Arial"/>
          <w:sz w:val="24"/>
          <w:szCs w:val="24"/>
          <w:lang w:val="sq-AL"/>
        </w:rPr>
        <w:t>”</w:t>
      </w:r>
      <w:r w:rsidRPr="0058349C">
        <w:rPr>
          <w:rFonts w:ascii="Garamond" w:hAnsi="Garamond" w:cs="Arial"/>
          <w:sz w:val="24"/>
          <w:szCs w:val="24"/>
          <w:lang w:val="sq-AL"/>
        </w:rPr>
        <w:t>) në rajonet veriore dhe perëndimore dhe për disa aktivitete në natyrë (p.sh., parashutizëm, kanoe, rafting) në rajonin qendror dhe jugor ku kanë mundësi të mëdha zhvillimi. Rritja e ofertës së tregut për kampingjet, sheshet e parkimit për rulotët</w:t>
      </w:r>
      <w:r w:rsidR="00B444E4">
        <w:rPr>
          <w:rFonts w:ascii="Garamond" w:hAnsi="Garamond" w:cs="Arial"/>
          <w:sz w:val="24"/>
          <w:szCs w:val="24"/>
          <w:lang w:val="sq-AL"/>
        </w:rPr>
        <w:t>,</w:t>
      </w:r>
      <w:r w:rsidRPr="0058349C">
        <w:rPr>
          <w:rFonts w:ascii="Garamond" w:hAnsi="Garamond" w:cs="Arial"/>
          <w:sz w:val="24"/>
          <w:szCs w:val="24"/>
          <w:lang w:val="sq-AL"/>
        </w:rPr>
        <w:t xml:space="preserve"> me kërkesë edhe më të madhe të pritshme pas pandemisë COVID-19 duhet të merren në konsideratë. Duhet të shqyrtohen mundësitë në rritje për </w:t>
      </w:r>
      <w:r w:rsidRPr="0058349C">
        <w:rPr>
          <w:rFonts w:ascii="Garamond" w:hAnsi="Garamond" w:cs="Arial"/>
          <w:b/>
          <w:sz w:val="24"/>
          <w:szCs w:val="24"/>
          <w:lang w:val="sq-AL"/>
        </w:rPr>
        <w:t>Ballkanin Perëndimor si një destinacion turistik</w:t>
      </w:r>
      <w:r w:rsidR="00B444E4">
        <w:rPr>
          <w:rFonts w:ascii="Garamond" w:hAnsi="Garamond" w:cs="Arial"/>
          <w:b/>
          <w:sz w:val="24"/>
          <w:szCs w:val="24"/>
          <w:lang w:val="sq-AL"/>
        </w:rPr>
        <w:t>,</w:t>
      </w:r>
      <w:r w:rsidRPr="0058349C">
        <w:rPr>
          <w:rFonts w:ascii="Garamond" w:hAnsi="Garamond" w:cs="Arial"/>
          <w:sz w:val="24"/>
          <w:szCs w:val="24"/>
          <w:lang w:val="sq-AL"/>
        </w:rPr>
        <w:t xml:space="preserve"> pasi barrierat tregtare janë hequr në vitin 2021 nga CEFTA (licencat për agjencitë e udhëtimit dhe operatorët turistikë për të operuar në të 7 tregjet e CEFTA-s), për të ndërtuar një Treg të Përbashkët Rajonal.</w:t>
      </w:r>
    </w:p>
    <w:p w14:paraId="0773AE8F" w14:textId="6E413EE5" w:rsidR="00DF7A00" w:rsidRPr="0058349C" w:rsidRDefault="00DF7A00" w:rsidP="00DF7A00">
      <w:pPr>
        <w:spacing w:after="0" w:line="240" w:lineRule="auto"/>
        <w:ind w:firstLine="284"/>
        <w:jc w:val="both"/>
        <w:rPr>
          <w:rFonts w:ascii="Garamond" w:hAnsi="Garamond" w:cs="Arial"/>
          <w:b/>
          <w:bCs/>
          <w:sz w:val="24"/>
          <w:szCs w:val="24"/>
          <w:lang w:val="sq-AL"/>
        </w:rPr>
      </w:pPr>
      <w:r w:rsidRPr="0058349C">
        <w:rPr>
          <w:rFonts w:ascii="Garamond" w:hAnsi="Garamond" w:cs="Arial"/>
          <w:b/>
          <w:sz w:val="24"/>
          <w:szCs w:val="24"/>
          <w:lang w:val="sq-AL"/>
        </w:rPr>
        <w:t xml:space="preserve">Menaxhimi i </w:t>
      </w:r>
      <w:r w:rsidR="00B444E4" w:rsidRPr="0058349C">
        <w:rPr>
          <w:rFonts w:ascii="Garamond" w:hAnsi="Garamond" w:cs="Arial"/>
          <w:b/>
          <w:sz w:val="24"/>
          <w:szCs w:val="24"/>
          <w:lang w:val="sq-AL"/>
        </w:rPr>
        <w:t>qëndrueshëm</w:t>
      </w:r>
      <w:r w:rsidRPr="0058349C">
        <w:rPr>
          <w:rFonts w:ascii="Garamond" w:hAnsi="Garamond" w:cs="Arial"/>
          <w:b/>
          <w:sz w:val="24"/>
          <w:szCs w:val="24"/>
          <w:lang w:val="sq-AL"/>
        </w:rPr>
        <w:t xml:space="preserve"> i pyjeve si një potencial për zhvillimin rural</w:t>
      </w:r>
      <w:r w:rsidRPr="0058349C">
        <w:rPr>
          <w:rFonts w:ascii="Garamond" w:hAnsi="Garamond" w:cs="Arial"/>
          <w:b/>
          <w:bCs/>
          <w:sz w:val="24"/>
          <w:szCs w:val="24"/>
          <w:lang w:val="sq-AL"/>
        </w:rPr>
        <w:t xml:space="preserve"> </w:t>
      </w:r>
    </w:p>
    <w:p w14:paraId="0773AE90" w14:textId="7CC58CB8"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lang w:val="sq-AL"/>
        </w:rPr>
        <w:t>Pyjet ofrojnë një gamë të gjerë të mirave materiale</w:t>
      </w:r>
      <w:r w:rsidR="00B444E4">
        <w:rPr>
          <w:rFonts w:ascii="Garamond" w:hAnsi="Garamond" w:cs="Arial"/>
          <w:b/>
          <w:bCs/>
          <w:sz w:val="24"/>
          <w:szCs w:val="24"/>
          <w:lang w:val="sq-AL"/>
        </w:rPr>
        <w:t>,</w:t>
      </w:r>
      <w:r w:rsidRPr="0058349C">
        <w:rPr>
          <w:rFonts w:ascii="Garamond" w:hAnsi="Garamond" w:cs="Arial"/>
          <w:b/>
          <w:bCs/>
          <w:sz w:val="24"/>
          <w:szCs w:val="24"/>
          <w:lang w:val="sq-AL"/>
        </w:rPr>
        <w:t xml:space="preserve"> si</w:t>
      </w:r>
      <w:r w:rsidR="00B444E4">
        <w:rPr>
          <w:rFonts w:ascii="Garamond" w:hAnsi="Garamond" w:cs="Arial"/>
          <w:b/>
          <w:bCs/>
          <w:sz w:val="24"/>
          <w:szCs w:val="24"/>
          <w:lang w:val="sq-AL"/>
        </w:rPr>
        <w:t>:</w:t>
      </w:r>
      <w:r w:rsidRPr="0058349C">
        <w:rPr>
          <w:rFonts w:ascii="Garamond" w:hAnsi="Garamond" w:cs="Arial"/>
          <w:b/>
          <w:bCs/>
          <w:sz w:val="24"/>
          <w:szCs w:val="24"/>
          <w:lang w:val="sq-AL"/>
        </w:rPr>
        <w:t xml:space="preserve"> dru, ushqim, foragjere dhe bimë mjekësore, përveç mundësive për rekreacion</w:t>
      </w:r>
      <w:r w:rsidRPr="0058349C">
        <w:rPr>
          <w:rFonts w:ascii="Garamond" w:hAnsi="Garamond" w:cs="Arial"/>
          <w:sz w:val="24"/>
          <w:szCs w:val="24"/>
          <w:lang w:val="sq-AL"/>
        </w:rPr>
        <w:t>. Biomasa e drurit është një burim i rëndësishëm për ngrohjen dhe gatimin në zonat rurale të Shqipërisë. Nëpërmjet pyllëzimit të tokave të abandonuara, ekziston një mundësi jo vetëm për të përmirësuar sekuestrimin e karbonit dhe për të marrë biomasë druri, por edhe për të nxitur zhvillimin rural dhe për të gjeneruar të ardhura.</w:t>
      </w:r>
    </w:p>
    <w:p w14:paraId="0773AE91" w14:textId="41B456FF" w:rsidR="00DF7A00" w:rsidRPr="0058349C" w:rsidRDefault="00DF7A00" w:rsidP="00B444E4">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b/>
          <w:sz w:val="24"/>
          <w:szCs w:val="24"/>
          <w:lang w:val="sq-AL"/>
        </w:rPr>
        <w:t>Koleksioni i Produkteve Pyjore JoDrunore (NTFP</w:t>
      </w:r>
      <w:r w:rsidRPr="0058349C">
        <w:rPr>
          <w:rFonts w:ascii="Garamond" w:eastAsia="Arial" w:hAnsi="Garamond" w:cs="Arial"/>
          <w:sz w:val="24"/>
          <w:szCs w:val="24"/>
          <w:lang w:val="sq-AL"/>
        </w:rPr>
        <w:t>) është një komponent kyç i sistemeve pyjore dhe kullosore malore dhe është ende një aktivitet i rëndësishëm i diversifikimit ekonomik, duke përfshirë BAM të egra, kërpudhat e egra, një numër manash toke të egra dhe arrorë të ngrënshëm (gështenja dhe arra). Mbledhja e NTFP-ve të tjera është më e lokalizuar dhe lidhet me mundësitë specifike të tregut (si kërpudhat), traditat (boronicat në Shqipërinë Verilindore). Mbledhja e MAP-ve të egra është një aktivitet dhe burim i rëndësishëm të ardhurash për shumë familje rurale. Megjithatë, gjatë dekadës së fundit, ka pasur një zhvendosje t</w:t>
      </w:r>
      <w:r w:rsidRPr="0058349C">
        <w:rPr>
          <w:rFonts w:ascii="Garamond" w:hAnsi="Garamond" w:cs="Arial"/>
          <w:bCs/>
          <w:sz w:val="24"/>
          <w:szCs w:val="24"/>
          <w:lang w:val="sq-AL"/>
        </w:rPr>
        <w:t xml:space="preserve">ë aktivitetit </w:t>
      </w:r>
      <w:r w:rsidRPr="0058349C">
        <w:rPr>
          <w:rFonts w:ascii="Garamond" w:eastAsia="Arial" w:hAnsi="Garamond" w:cs="Arial"/>
          <w:sz w:val="24"/>
          <w:szCs w:val="24"/>
          <w:lang w:val="sq-AL"/>
        </w:rPr>
        <w:t>nga grumbullimi i BAM</w:t>
      </w:r>
      <w:r w:rsidR="00563D94">
        <w:rPr>
          <w:rFonts w:ascii="Garamond" w:eastAsia="Arial" w:hAnsi="Garamond" w:cs="Arial"/>
          <w:sz w:val="24"/>
          <w:szCs w:val="24"/>
          <w:lang w:val="sq-AL"/>
        </w:rPr>
        <w:t>-së s</w:t>
      </w:r>
      <w:r w:rsidRPr="0058349C">
        <w:rPr>
          <w:rFonts w:ascii="Garamond" w:eastAsia="Arial" w:hAnsi="Garamond" w:cs="Arial"/>
          <w:sz w:val="24"/>
          <w:szCs w:val="24"/>
          <w:lang w:val="sq-AL"/>
        </w:rPr>
        <w:t>ë egër në ato të kultivuara.</w:t>
      </w:r>
    </w:p>
    <w:p w14:paraId="0773AE92" w14:textId="77777777" w:rsidR="00DF7A00" w:rsidRPr="0058349C" w:rsidRDefault="00DF7A00" w:rsidP="00DF7A00">
      <w:pPr>
        <w:keepNext/>
        <w:keepLines/>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Prodhimi i energjisë së rinovueshme</w:t>
      </w:r>
    </w:p>
    <w:p w14:paraId="0773AE93" w14:textId="32C88C25" w:rsidR="00DF7A00" w:rsidRPr="0058349C" w:rsidRDefault="00DF7A00" w:rsidP="00726CFB">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Duhet të promovohen mundësitë për </w:t>
      </w:r>
      <w:r w:rsidRPr="0058349C">
        <w:rPr>
          <w:rFonts w:ascii="Garamond" w:hAnsi="Garamond" w:cs="Arial"/>
          <w:b/>
          <w:sz w:val="24"/>
          <w:szCs w:val="24"/>
          <w:lang w:val="sq-AL"/>
        </w:rPr>
        <w:t>prodhimin e energjisë së rinovueshme</w:t>
      </w:r>
      <w:r w:rsidRPr="0058349C">
        <w:rPr>
          <w:rFonts w:ascii="Garamond" w:hAnsi="Garamond" w:cs="Arial"/>
          <w:sz w:val="24"/>
          <w:szCs w:val="24"/>
          <w:lang w:val="sq-AL"/>
        </w:rPr>
        <w:t xml:space="preserve"> përmes energjisë diellore në zonat rurale. Strategjia e re Kombëtare e Sektorit të Energjisë 2030 synon të ketë një pjesë 48% të energjisë së rinovueshme të konsumit final bruto të energjisë. Shqipëria ka rrezatim të jashtëzakonshëm diellor në pjesën më të madhe të territorit të saj, duke paraqitur një potencial të konsiderueshëm për zhvillimin e nj</w:t>
      </w:r>
      <w:r w:rsidRPr="0058349C">
        <w:rPr>
          <w:rFonts w:ascii="Garamond" w:hAnsi="Garamond" w:cs="Arial"/>
          <w:bCs/>
          <w:sz w:val="24"/>
          <w:szCs w:val="24"/>
          <w:lang w:val="sq-AL"/>
        </w:rPr>
        <w:t>ësive të prodhimit të energjisë nga</w:t>
      </w:r>
      <w:r w:rsidRPr="0058349C">
        <w:rPr>
          <w:rFonts w:ascii="Garamond" w:hAnsi="Garamond" w:cs="Arial"/>
          <w:sz w:val="24"/>
          <w:szCs w:val="24"/>
          <w:lang w:val="sq-AL"/>
        </w:rPr>
        <w:t xml:space="preserve"> dielli (Fotovoltaike - FV) për prodhimin e energjisë dhe pajisje termikë diellore për qëllime ngrohjeje. Potenciali teknik i Shqipërisë për vendosjen e nj</w:t>
      </w:r>
      <w:r w:rsidRPr="0058349C">
        <w:rPr>
          <w:rFonts w:ascii="Garamond" w:hAnsi="Garamond" w:cs="Arial"/>
          <w:bCs/>
          <w:sz w:val="24"/>
          <w:szCs w:val="24"/>
          <w:lang w:val="sq-AL"/>
        </w:rPr>
        <w:t>ësive të prodhimit të energjisë nga</w:t>
      </w:r>
      <w:r w:rsidRPr="0058349C">
        <w:rPr>
          <w:rFonts w:ascii="Garamond" w:hAnsi="Garamond" w:cs="Arial"/>
          <w:sz w:val="24"/>
          <w:szCs w:val="24"/>
          <w:lang w:val="sq-AL"/>
        </w:rPr>
        <w:t xml:space="preserve"> dielli (FV) </w:t>
      </w:r>
      <w:r w:rsidRPr="0058349C">
        <w:rPr>
          <w:rFonts w:ascii="Garamond" w:hAnsi="Garamond" w:cs="Arial"/>
          <w:sz w:val="24"/>
          <w:szCs w:val="24"/>
          <w:lang w:val="sq-AL"/>
        </w:rPr>
        <w:lastRenderedPageBreak/>
        <w:t xml:space="preserve">vlerësohet në 2,378 </w:t>
      </w:r>
      <w:r w:rsidR="00726CFB" w:rsidRPr="0058349C">
        <w:rPr>
          <w:rFonts w:ascii="Garamond" w:hAnsi="Garamond" w:cs="Arial"/>
          <w:sz w:val="24"/>
          <w:szCs w:val="24"/>
          <w:lang w:val="sq-AL"/>
        </w:rPr>
        <w:t>m</w:t>
      </w:r>
      <w:r w:rsidR="00726CFB">
        <w:rPr>
          <w:rFonts w:ascii="Garamond" w:hAnsi="Garamond" w:cs="Arial"/>
          <w:sz w:val="24"/>
          <w:szCs w:val="24"/>
          <w:lang w:val="sq-AL"/>
        </w:rPr>
        <w:t>w</w:t>
      </w:r>
      <w:r w:rsidR="00726CFB" w:rsidRPr="0058349C">
        <w:rPr>
          <w:rFonts w:ascii="Garamond" w:hAnsi="Garamond" w:cs="Arial"/>
          <w:sz w:val="24"/>
          <w:szCs w:val="24"/>
          <w:lang w:val="sq-AL"/>
        </w:rPr>
        <w:t xml:space="preserve"> </w:t>
      </w:r>
      <w:r w:rsidRPr="0058349C">
        <w:rPr>
          <w:rFonts w:ascii="Garamond" w:hAnsi="Garamond" w:cs="Arial"/>
          <w:sz w:val="24"/>
          <w:szCs w:val="24"/>
          <w:lang w:val="sq-AL"/>
        </w:rPr>
        <w:t xml:space="preserve">dhe kapaciteti i instaluar i FV-ve diellore është propozuar në nivelin e 1,074 </w:t>
      </w:r>
      <w:r w:rsidR="00726CFB" w:rsidRPr="0058349C">
        <w:rPr>
          <w:rFonts w:ascii="Garamond" w:hAnsi="Garamond" w:cs="Arial"/>
          <w:sz w:val="24"/>
          <w:szCs w:val="24"/>
          <w:lang w:val="sq-AL"/>
        </w:rPr>
        <w:t>m</w:t>
      </w:r>
      <w:r w:rsidR="00726CFB">
        <w:rPr>
          <w:rFonts w:ascii="Garamond" w:hAnsi="Garamond" w:cs="Arial"/>
          <w:sz w:val="24"/>
          <w:szCs w:val="24"/>
          <w:lang w:val="sq-AL"/>
        </w:rPr>
        <w:t>w</w:t>
      </w:r>
      <w:r w:rsidR="00726CFB" w:rsidRPr="0058349C">
        <w:rPr>
          <w:rFonts w:ascii="Garamond" w:hAnsi="Garamond" w:cs="Arial"/>
          <w:sz w:val="24"/>
          <w:szCs w:val="24"/>
          <w:lang w:val="sq-AL"/>
        </w:rPr>
        <w:t xml:space="preserve"> </w:t>
      </w:r>
      <w:r w:rsidRPr="0058349C">
        <w:rPr>
          <w:rFonts w:ascii="Garamond" w:hAnsi="Garamond" w:cs="Arial"/>
          <w:sz w:val="24"/>
          <w:szCs w:val="24"/>
          <w:lang w:val="sq-AL"/>
        </w:rPr>
        <w:t>deri në vitin 2030.</w:t>
      </w:r>
      <w:r w:rsidRPr="00726CFB">
        <w:rPr>
          <w:rFonts w:ascii="Garamond" w:hAnsi="Garamond"/>
          <w:sz w:val="24"/>
          <w:szCs w:val="24"/>
          <w:vertAlign w:val="superscript"/>
        </w:rPr>
        <w:footnoteReference w:id="36"/>
      </w:r>
      <w:r w:rsidRPr="00726CFB">
        <w:rPr>
          <w:rFonts w:ascii="Garamond" w:hAnsi="Garamond"/>
          <w:sz w:val="24"/>
          <w:szCs w:val="24"/>
          <w:vertAlign w:val="superscript"/>
        </w:rPr>
        <w:t xml:space="preserve"> </w:t>
      </w:r>
    </w:p>
    <w:p w14:paraId="0773AE94" w14:textId="31837DCB" w:rsidR="00DF7A00" w:rsidRPr="0058349C" w:rsidRDefault="00B63E83" w:rsidP="00726CFB">
      <w:pPr>
        <w:pStyle w:val="TEKSTIIII"/>
        <w:rPr>
          <w:lang w:val="sq-AL"/>
        </w:rPr>
      </w:pPr>
      <w:bookmarkStart w:id="30" w:name="_Toc103838828"/>
      <w:r w:rsidRPr="0058349C">
        <w:rPr>
          <w:rStyle w:val="Heading3Char"/>
          <w:rFonts w:ascii="Garamond" w:hAnsi="Garamond"/>
          <w:color w:val="auto"/>
        </w:rPr>
        <w:t xml:space="preserve">3.2.3.2 </w:t>
      </w:r>
      <w:r w:rsidR="00DF7A00" w:rsidRPr="0058349C">
        <w:rPr>
          <w:rStyle w:val="Heading3Char"/>
          <w:rFonts w:ascii="Garamond" w:hAnsi="Garamond"/>
          <w:color w:val="auto"/>
        </w:rPr>
        <w:t>Politika 3</w:t>
      </w:r>
      <w:r w:rsidR="00726CFB">
        <w:rPr>
          <w:lang w:val="sq-AL"/>
        </w:rPr>
        <w:t>.</w:t>
      </w:r>
      <w:r w:rsidR="00DF7A00" w:rsidRPr="0058349C">
        <w:rPr>
          <w:lang w:val="sq-AL"/>
        </w:rPr>
        <w:t xml:space="preserve"> </w:t>
      </w:r>
      <w:r w:rsidR="00DF7A00" w:rsidRPr="0058349C">
        <w:rPr>
          <w:rStyle w:val="Heading3Char"/>
          <w:rFonts w:ascii="Garamond" w:hAnsi="Garamond"/>
          <w:color w:val="auto"/>
        </w:rPr>
        <w:t>Objektivi specifik 8: Forcimi i formimit të kapitalit social për iniciativat e zhvillimit lokal gjithëpërfshirës</w:t>
      </w:r>
      <w:bookmarkEnd w:id="30"/>
      <w:r w:rsidR="00DF7A00" w:rsidRPr="0058349C">
        <w:rPr>
          <w:lang w:val="sq-AL"/>
        </w:rPr>
        <w:t xml:space="preserve"> </w:t>
      </w:r>
    </w:p>
    <w:p w14:paraId="0773AE95" w14:textId="77777777" w:rsidR="00DF7A00" w:rsidRPr="0058349C" w:rsidRDefault="00DF7A00" w:rsidP="00DF7A00">
      <w:pPr>
        <w:keepNext/>
        <w:keepLines/>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Iniciativat për Zhvillimin Lokal të Udhëhequr nga Komuniteti (ZHLUK)</w:t>
      </w:r>
    </w:p>
    <w:p w14:paraId="0773AE96" w14:textId="5ECF8493"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lang w:val="sq-AL"/>
        </w:rPr>
        <w:t>Iniciativat e ZHLUK-ut mundësojnë zhvillim lokal gjithëpërfshirës, rritje të pjesëmarrjes n</w:t>
      </w:r>
      <w:r w:rsidRPr="0058349C">
        <w:rPr>
          <w:rFonts w:ascii="Garamond" w:hAnsi="Garamond" w:cs="Arial"/>
          <w:sz w:val="24"/>
          <w:szCs w:val="24"/>
          <w:lang w:val="sq-AL"/>
        </w:rPr>
        <w:t xml:space="preserve">ë </w:t>
      </w:r>
      <w:r w:rsidRPr="0058349C">
        <w:rPr>
          <w:rFonts w:ascii="Garamond" w:hAnsi="Garamond" w:cs="Arial"/>
          <w:b/>
          <w:bCs/>
          <w:sz w:val="24"/>
          <w:szCs w:val="24"/>
          <w:lang w:val="sq-AL"/>
        </w:rPr>
        <w:t>qeverisjen vendore dhe formimin e kapaciteteve të kapitalit social</w:t>
      </w:r>
      <w:r w:rsidRPr="0058349C">
        <w:rPr>
          <w:rFonts w:ascii="Garamond" w:hAnsi="Garamond" w:cs="Arial"/>
          <w:sz w:val="24"/>
          <w:szCs w:val="24"/>
          <w:lang w:val="sq-AL"/>
        </w:rPr>
        <w:t xml:space="preserve">. Sipas konceptit të ZHLUK-ut, aktorët lokalë marrin drejtimin e zhvillimit të territorit të tyre dhe formojnë një partneritet lokal që harton dhe zbaton një strategji të integruar zhvillimi për territorin (rajonin) e tyre. Strategjia hartohet për përforcuar </w:t>
      </w:r>
      <w:r w:rsidR="00664693" w:rsidRPr="0058349C">
        <w:rPr>
          <w:rFonts w:ascii="Garamond" w:hAnsi="Garamond" w:cs="Arial"/>
          <w:sz w:val="24"/>
          <w:szCs w:val="24"/>
          <w:lang w:val="sq-AL"/>
        </w:rPr>
        <w:t>“</w:t>
      </w:r>
      <w:r w:rsidRPr="0058349C">
        <w:rPr>
          <w:rFonts w:ascii="Garamond" w:hAnsi="Garamond" w:cs="Arial"/>
          <w:sz w:val="24"/>
          <w:szCs w:val="24"/>
          <w:lang w:val="sq-AL"/>
        </w:rPr>
        <w:t>asete</w:t>
      </w:r>
      <w:r w:rsidR="00664693" w:rsidRPr="0058349C">
        <w:rPr>
          <w:rFonts w:ascii="Garamond" w:hAnsi="Garamond" w:cs="Arial"/>
          <w:sz w:val="24"/>
          <w:szCs w:val="24"/>
          <w:lang w:val="sq-AL"/>
        </w:rPr>
        <w:t>”</w:t>
      </w:r>
      <w:r w:rsidRPr="0058349C">
        <w:rPr>
          <w:rFonts w:ascii="Garamond" w:hAnsi="Garamond" w:cs="Arial"/>
          <w:sz w:val="24"/>
          <w:szCs w:val="24"/>
          <w:lang w:val="sq-AL"/>
        </w:rPr>
        <w:t xml:space="preserve"> sociale, mjedisore dhe ekonomike të komunitetit lokal më shumë se sa thjesht të kompensojë problemet e tij. </w:t>
      </w:r>
    </w:p>
    <w:p w14:paraId="0773AE97"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Fokusi është në rritjen e demokracisë lokale nëpërmjet qasjeve nga poshtë-lart, e cila u jep palëve të interesit akses më të mirë në proceset e vendimmarrjes për planifikimin lokal dhe në përzgjedhjen e prioriteteve.</w:t>
      </w:r>
    </w:p>
    <w:p w14:paraId="0773AE98" w14:textId="16386CF9"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Duke pasur parasysh faktin se iniciativat e ZHLUK-ut i vendosin aktorët lokalë në qendër të zhvillimit lokal, ashtu siç mbështeten nga qasja LEADER e BE</w:t>
      </w:r>
      <w:r w:rsidR="00726CFB">
        <w:rPr>
          <w:rFonts w:ascii="Garamond" w:hAnsi="Garamond" w:cs="Arial"/>
          <w:sz w:val="24"/>
          <w:szCs w:val="24"/>
          <w:lang w:val="sq-AL"/>
        </w:rPr>
        <w:t>-së</w:t>
      </w:r>
      <w:r w:rsidRPr="0058349C">
        <w:rPr>
          <w:rFonts w:ascii="Garamond" w:hAnsi="Garamond" w:cs="Arial"/>
          <w:sz w:val="24"/>
          <w:szCs w:val="24"/>
          <w:lang w:val="sq-AL"/>
        </w:rPr>
        <w:t xml:space="preserve">. Kjo qasje mbështetet shumë në kapitalin social dhe kërkon besim midis aktorëve dhe popullsisë </w:t>
      </w:r>
      <w:r w:rsidR="00BC084C">
        <w:rPr>
          <w:rFonts w:ascii="Garamond" w:hAnsi="Garamond" w:cs="Arial"/>
          <w:sz w:val="24"/>
          <w:szCs w:val="24"/>
          <w:lang w:val="sq-AL"/>
        </w:rPr>
        <w:t>vendës</w:t>
      </w:r>
      <w:r w:rsidRPr="0058349C">
        <w:rPr>
          <w:rFonts w:ascii="Garamond" w:hAnsi="Garamond" w:cs="Arial"/>
          <w:sz w:val="24"/>
          <w:szCs w:val="24"/>
          <w:lang w:val="sq-AL"/>
        </w:rPr>
        <w:t>e, gjë që është ende një temë kritike në Shqipërinë rurale.</w:t>
      </w:r>
    </w:p>
    <w:p w14:paraId="0773AE99" w14:textId="3762D325"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Gjatë 20 viteve të fundit, disa projekte ndërkombëtare në Shqipëri kanë promovuar nismat e komunitetit rural përmes qasjeve pjesëmarrëse dhe të integruara. Kjo ka çuar në forcimin e kapitalit social në zonat rurale dhe në trajnimin e një grupi ekspertësh kombëtarë</w:t>
      </w:r>
      <w:r w:rsidR="00682AD7">
        <w:rPr>
          <w:rFonts w:ascii="Garamond" w:hAnsi="Garamond" w:cs="Arial"/>
          <w:sz w:val="24"/>
          <w:szCs w:val="24"/>
          <w:lang w:val="sq-AL"/>
        </w:rPr>
        <w:t>,</w:t>
      </w:r>
      <w:r w:rsidRPr="0058349C">
        <w:rPr>
          <w:rFonts w:ascii="Garamond" w:hAnsi="Garamond" w:cs="Arial"/>
          <w:sz w:val="24"/>
          <w:szCs w:val="24"/>
          <w:lang w:val="sq-AL"/>
        </w:rPr>
        <w:t xml:space="preserve"> të cilët mund të zbatojnë me kompetencë nismat e ZHLUK-ut. Megjithatë, akoma nuk ka financim të qëndrueshëm për të mundësuar grupet/iniciativat lokale të veprimit të kryejnë aktivitetet e tyre zhvillimore në afat të gjatë, kështu që shumë prej grupeve janë joaktive ose janë shpërbërë pas përfundimit të projekteve. </w:t>
      </w:r>
      <w:r w:rsidRPr="0058349C">
        <w:rPr>
          <w:rFonts w:ascii="Garamond" w:hAnsi="Garamond" w:cs="Arial"/>
          <w:b/>
          <w:sz w:val="24"/>
          <w:szCs w:val="24"/>
          <w:lang w:val="sq-AL"/>
        </w:rPr>
        <w:t>Një partner i dobët vendor janë bashkitë,</w:t>
      </w:r>
      <w:r w:rsidRPr="0058349C">
        <w:rPr>
          <w:rFonts w:ascii="Garamond" w:hAnsi="Garamond" w:cs="Arial"/>
          <w:sz w:val="24"/>
          <w:szCs w:val="24"/>
          <w:lang w:val="sq-AL"/>
        </w:rPr>
        <w:t xml:space="preserve"> pasi ato nuk disponojnë burime financiare dhe njerëzore për të mbështetur zbatimin e iniciativave të ZHLUK-ut, e cila është thelbësore për qëndrueshmërinë e tyre.</w:t>
      </w:r>
    </w:p>
    <w:p w14:paraId="0773AE9A" w14:textId="6B01EEF9"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Në fillim të vitit 2021, ekzistonin 17 iniciativa të institucionalizuara për ZHLUK-un: 8 </w:t>
      </w:r>
      <w:r w:rsidR="00682AD7" w:rsidRPr="0058349C">
        <w:rPr>
          <w:rFonts w:ascii="Garamond" w:hAnsi="Garamond" w:cs="Arial"/>
          <w:sz w:val="24"/>
          <w:szCs w:val="24"/>
          <w:lang w:val="sq-AL"/>
        </w:rPr>
        <w:t xml:space="preserve">grupe vendore të veprimit </w:t>
      </w:r>
      <w:r w:rsidRPr="0058349C">
        <w:rPr>
          <w:rFonts w:ascii="Garamond" w:hAnsi="Garamond" w:cs="Arial"/>
          <w:sz w:val="24"/>
          <w:szCs w:val="24"/>
          <w:lang w:val="sq-AL"/>
        </w:rPr>
        <w:t>(GVV) të regjistruara, nga të cilat 4 ishin joaktive, 7 GVV potenciale dhe 2 struktura partneriteti lokal, të cilat ndërtojnë një masë kritike të burimeve institucionale dhe njerëzore të trajnuara, me njohuri në planifikimin e zhvillimit lokal, ngritjen e strukturave të partneritetit dhe metodave për mobilizimin e komunitetit.</w:t>
      </w:r>
      <w:r w:rsidRPr="00682AD7">
        <w:rPr>
          <w:rFonts w:ascii="Garamond" w:hAnsi="Garamond"/>
          <w:sz w:val="24"/>
          <w:szCs w:val="24"/>
          <w:vertAlign w:val="superscript"/>
        </w:rPr>
        <w:footnoteReference w:id="37"/>
      </w:r>
    </w:p>
    <w:p w14:paraId="0773AE9B" w14:textId="614B8DF5" w:rsidR="00DF7A00" w:rsidRPr="0058349C" w:rsidRDefault="00DF7A00" w:rsidP="00D76BC8">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Nëpërmjet programit ndërsektorial dhe të integruar shumëpalësh për zhvillimin rural, </w:t>
      </w:r>
      <w:r w:rsidR="00664693" w:rsidRPr="0058349C">
        <w:rPr>
          <w:rFonts w:ascii="Garamond" w:hAnsi="Garamond" w:cs="Arial"/>
          <w:sz w:val="24"/>
          <w:szCs w:val="24"/>
          <w:lang w:val="sq-AL"/>
        </w:rPr>
        <w:t>“</w:t>
      </w:r>
      <w:r w:rsidRPr="0058349C">
        <w:rPr>
          <w:rFonts w:ascii="Garamond" w:hAnsi="Garamond" w:cs="Arial"/>
          <w:sz w:val="24"/>
          <w:szCs w:val="24"/>
          <w:lang w:val="sq-AL"/>
        </w:rPr>
        <w:t>Programi 100-Fshatrat</w:t>
      </w:r>
      <w:r w:rsidR="00664693" w:rsidRPr="0058349C">
        <w:rPr>
          <w:rFonts w:ascii="Garamond" w:hAnsi="Garamond" w:cs="Arial"/>
          <w:sz w:val="24"/>
          <w:szCs w:val="24"/>
          <w:lang w:val="sq-AL"/>
        </w:rPr>
        <w:t>”</w:t>
      </w:r>
      <w:r w:rsidRPr="0058349C">
        <w:rPr>
          <w:rFonts w:ascii="Garamond" w:hAnsi="Garamond" w:cs="Arial"/>
          <w:sz w:val="24"/>
          <w:szCs w:val="24"/>
          <w:lang w:val="sq-AL"/>
        </w:rPr>
        <w:t xml:space="preserve"> (2018</w:t>
      </w:r>
      <w:r w:rsidR="00D76BC8">
        <w:rPr>
          <w:rFonts w:ascii="Garamond" w:hAnsi="Garamond" w:cs="Arial"/>
          <w:sz w:val="24"/>
          <w:szCs w:val="24"/>
          <w:lang w:val="sq-AL"/>
        </w:rPr>
        <w:t>–</w:t>
      </w:r>
      <w:r w:rsidRPr="0058349C">
        <w:rPr>
          <w:rFonts w:ascii="Garamond" w:hAnsi="Garamond" w:cs="Arial"/>
          <w:sz w:val="24"/>
          <w:szCs w:val="24"/>
          <w:lang w:val="sq-AL"/>
        </w:rPr>
        <w:t>2020) i QSH-së, palët vendore të interesit fituan përvojë dhe njohuri të mëtejshme në koordinimin e ndërhyrjeve për zhvillimin lokal. Kjo do të përbëjë një bazë shumë të mirë në zbatimin e qasjes LEADER e programuar për zbatim nga MBZHR</w:t>
      </w:r>
      <w:r w:rsidR="00D76BC8">
        <w:rPr>
          <w:rFonts w:ascii="Garamond" w:hAnsi="Garamond" w:cs="Arial"/>
          <w:sz w:val="24"/>
          <w:szCs w:val="24"/>
          <w:lang w:val="sq-AL"/>
        </w:rPr>
        <w:t>-ja,</w:t>
      </w:r>
      <w:r w:rsidRPr="0058349C">
        <w:rPr>
          <w:rFonts w:ascii="Garamond" w:hAnsi="Garamond" w:cs="Arial"/>
          <w:sz w:val="24"/>
          <w:szCs w:val="24"/>
          <w:lang w:val="sq-AL"/>
        </w:rPr>
        <w:t xml:space="preserve"> në kuadër të programit IPARD III.</w:t>
      </w:r>
    </w:p>
    <w:p w14:paraId="0773AE9C" w14:textId="77777777" w:rsidR="00DF7A00" w:rsidRPr="0058349C" w:rsidRDefault="00DF7A00" w:rsidP="00DF7A00">
      <w:pPr>
        <w:keepNext/>
        <w:keepLines/>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Rrjetet dhe platformat e OSHC-ve në zhvillimin rural, mbrojtjen e mjedisit dhe klimës</w:t>
      </w:r>
    </w:p>
    <w:p w14:paraId="0773AE9D" w14:textId="4A0D0B24" w:rsidR="00DF7A00" w:rsidRPr="0058349C" w:rsidRDefault="00DF7A00" w:rsidP="00C332AD">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Aktualisht</w:t>
      </w:r>
      <w:r w:rsidR="003B5623">
        <w:rPr>
          <w:rFonts w:ascii="Garamond" w:hAnsi="Garamond" w:cs="Arial"/>
          <w:b/>
          <w:sz w:val="24"/>
          <w:szCs w:val="24"/>
          <w:lang w:val="sq-AL"/>
        </w:rPr>
        <w:t>,</w:t>
      </w:r>
      <w:r w:rsidRPr="0058349C">
        <w:rPr>
          <w:rFonts w:ascii="Garamond" w:hAnsi="Garamond" w:cs="Arial"/>
          <w:b/>
          <w:sz w:val="24"/>
          <w:szCs w:val="24"/>
          <w:lang w:val="sq-AL"/>
        </w:rPr>
        <w:t xml:space="preserve"> </w:t>
      </w:r>
      <w:r w:rsidRPr="003B5623">
        <w:rPr>
          <w:rFonts w:ascii="Garamond" w:hAnsi="Garamond" w:cs="Arial"/>
          <w:bCs/>
          <w:sz w:val="24"/>
          <w:szCs w:val="24"/>
          <w:lang w:val="sq-AL"/>
        </w:rPr>
        <w:t>në</w:t>
      </w:r>
      <w:r w:rsidRPr="0058349C">
        <w:rPr>
          <w:rFonts w:ascii="Garamond" w:hAnsi="Garamond" w:cs="Arial"/>
          <w:sz w:val="24"/>
          <w:szCs w:val="24"/>
          <w:lang w:val="sq-AL"/>
        </w:rPr>
        <w:t xml:space="preserve"> Shqipëri ekziston një numër relativisht i lartë i OSHC-ve të cilat luajnë një rol të mirë n</w:t>
      </w:r>
      <w:r w:rsidR="00C332AD">
        <w:rPr>
          <w:rFonts w:ascii="Garamond" w:hAnsi="Garamond" w:cs="Arial"/>
          <w:sz w:val="24"/>
          <w:szCs w:val="24"/>
          <w:lang w:val="sq-AL"/>
        </w:rPr>
        <w:t>ë</w:t>
      </w:r>
      <w:r w:rsidRPr="0058349C">
        <w:rPr>
          <w:rFonts w:ascii="Garamond" w:hAnsi="Garamond" w:cs="Arial"/>
          <w:sz w:val="24"/>
          <w:szCs w:val="24"/>
          <w:lang w:val="sq-AL"/>
        </w:rPr>
        <w:t xml:space="preserve"> rritjen e kapaciteteve të fermerëve dhe të aktorëve rurale. Një pjesë e tyre janë bashkuar dhe kanë ngritur </w:t>
      </w:r>
      <w:r w:rsidRPr="0058349C">
        <w:rPr>
          <w:rFonts w:ascii="Garamond" w:hAnsi="Garamond" w:cs="Arial"/>
          <w:b/>
          <w:sz w:val="24"/>
          <w:szCs w:val="24"/>
          <w:lang w:val="sq-AL"/>
        </w:rPr>
        <w:t>Rrjetin Shqiptar për Zhvillimin Rural (RRSHZHR),</w:t>
      </w:r>
      <w:r w:rsidRPr="0058349C">
        <w:rPr>
          <w:rFonts w:ascii="Garamond" w:hAnsi="Garamond" w:cs="Arial"/>
          <w:sz w:val="24"/>
          <w:szCs w:val="24"/>
          <w:lang w:val="sq-AL"/>
        </w:rPr>
        <w:t xml:space="preserve"> i krijuar në vitin 2015 dhe në vitin 2021 kishte 23 anëtarë.</w:t>
      </w:r>
    </w:p>
    <w:p w14:paraId="0773AE9E" w14:textId="692FB565"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Me </w:t>
      </w:r>
      <w:r w:rsidR="003B5623" w:rsidRPr="0058349C">
        <w:rPr>
          <w:rFonts w:ascii="Garamond" w:hAnsi="Garamond" w:cs="Arial"/>
          <w:sz w:val="24"/>
          <w:szCs w:val="24"/>
          <w:lang w:val="sq-AL"/>
        </w:rPr>
        <w:t>ligjin nr</w:t>
      </w:r>
      <w:r w:rsidRPr="0058349C">
        <w:rPr>
          <w:rFonts w:ascii="Garamond" w:hAnsi="Garamond" w:cs="Arial"/>
          <w:sz w:val="24"/>
          <w:szCs w:val="24"/>
          <w:lang w:val="sq-AL"/>
        </w:rPr>
        <w:t>. 9817/22.10.2007</w:t>
      </w:r>
      <w:r w:rsidR="003B5623">
        <w:rPr>
          <w:rFonts w:ascii="Garamond" w:hAnsi="Garamond" w:cs="Arial"/>
          <w:sz w:val="24"/>
          <w:szCs w:val="24"/>
          <w:lang w:val="sq-AL"/>
        </w:rPr>
        <w:t>,</w:t>
      </w:r>
      <w:r w:rsidRPr="0058349C">
        <w:rPr>
          <w:rFonts w:ascii="Garamond" w:hAnsi="Garamond" w:cs="Arial"/>
          <w:sz w:val="24"/>
          <w:szCs w:val="24"/>
          <w:lang w:val="sq-AL"/>
        </w:rPr>
        <w:t xml:space="preserve"> për </w:t>
      </w:r>
      <w:r w:rsidR="003B5623" w:rsidRPr="0058349C">
        <w:rPr>
          <w:rFonts w:ascii="Garamond" w:hAnsi="Garamond" w:cs="Arial"/>
          <w:sz w:val="24"/>
          <w:szCs w:val="24"/>
          <w:lang w:val="sq-AL"/>
        </w:rPr>
        <w:t xml:space="preserve">bujqësinë dhe zhvillimin rural, është </w:t>
      </w:r>
      <w:r w:rsidRPr="0058349C">
        <w:rPr>
          <w:rFonts w:ascii="Garamond" w:hAnsi="Garamond" w:cs="Arial"/>
          <w:sz w:val="24"/>
          <w:szCs w:val="24"/>
          <w:lang w:val="sq-AL"/>
        </w:rPr>
        <w:t>në fuqi një kuadër ligjor q</w:t>
      </w:r>
      <w:r w:rsidRPr="0058349C">
        <w:rPr>
          <w:rFonts w:ascii="Garamond" w:hAnsi="Garamond" w:cs="Calibri"/>
          <w:sz w:val="24"/>
          <w:szCs w:val="24"/>
          <w:lang w:val="sq-AL"/>
        </w:rPr>
        <w:t xml:space="preserve">ë mbështet </w:t>
      </w:r>
      <w:r w:rsidRPr="0058349C">
        <w:rPr>
          <w:rFonts w:ascii="Garamond" w:hAnsi="Garamond" w:cs="Arial"/>
          <w:sz w:val="24"/>
          <w:szCs w:val="24"/>
          <w:lang w:val="sq-AL"/>
        </w:rPr>
        <w:t>krijimin e nismave lokale për nxitjen e partneritetit publik-privat. Akti ligjor i munguar për organizimin dhe funksionimin e GVV-ve në kuadër të mas</w:t>
      </w:r>
      <w:r w:rsidRPr="0058349C">
        <w:rPr>
          <w:rFonts w:ascii="Garamond" w:hAnsi="Garamond" w:cs="Calibri"/>
          <w:sz w:val="24"/>
          <w:szCs w:val="24"/>
          <w:lang w:val="sq-AL"/>
        </w:rPr>
        <w:t>ës LEADER</w:t>
      </w:r>
      <w:r w:rsidR="003B5623">
        <w:rPr>
          <w:rFonts w:ascii="Garamond" w:hAnsi="Garamond" w:cs="Calibri"/>
          <w:sz w:val="24"/>
          <w:szCs w:val="24"/>
          <w:lang w:val="sq-AL"/>
        </w:rPr>
        <w:t>,</w:t>
      </w:r>
      <w:r w:rsidRPr="0058349C">
        <w:rPr>
          <w:rFonts w:ascii="Garamond" w:hAnsi="Garamond" w:cs="Calibri"/>
          <w:sz w:val="24"/>
          <w:szCs w:val="24"/>
          <w:lang w:val="sq-AL"/>
        </w:rPr>
        <w:t xml:space="preserve"> në kuadër të</w:t>
      </w:r>
      <w:r w:rsidRPr="0058349C">
        <w:rPr>
          <w:rFonts w:ascii="Garamond" w:hAnsi="Garamond" w:cs="Arial"/>
          <w:sz w:val="24"/>
          <w:szCs w:val="24"/>
          <w:lang w:val="sq-AL"/>
        </w:rPr>
        <w:t xml:space="preserve"> IPARD</w:t>
      </w:r>
      <w:r w:rsidR="003B5623">
        <w:rPr>
          <w:rFonts w:ascii="Garamond" w:hAnsi="Garamond" w:cs="Arial"/>
          <w:sz w:val="24"/>
          <w:szCs w:val="24"/>
          <w:lang w:val="sq-AL"/>
        </w:rPr>
        <w:t>-së</w:t>
      </w:r>
      <w:r w:rsidRPr="0058349C">
        <w:rPr>
          <w:rFonts w:ascii="Garamond" w:hAnsi="Garamond" w:cs="Arial"/>
          <w:sz w:val="24"/>
          <w:szCs w:val="24"/>
          <w:lang w:val="sq-AL"/>
        </w:rPr>
        <w:t xml:space="preserve"> është përgatitur dhe konsultuar me grupet e interesit dhe është miratuar në muajin prill në parlament.</w:t>
      </w:r>
    </w:p>
    <w:p w14:paraId="0773AE9F" w14:textId="63461FE5"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lastRenderedPageBreak/>
        <w:t xml:space="preserve">Autoriteti </w:t>
      </w:r>
      <w:r w:rsidR="00DF4C35" w:rsidRPr="0058349C">
        <w:rPr>
          <w:rFonts w:ascii="Garamond" w:hAnsi="Garamond" w:cs="Arial"/>
          <w:sz w:val="24"/>
          <w:szCs w:val="24"/>
          <w:lang w:val="sq-AL"/>
        </w:rPr>
        <w:t>men</w:t>
      </w:r>
      <w:r w:rsidR="00DF4C35">
        <w:rPr>
          <w:rFonts w:ascii="Garamond" w:hAnsi="Garamond" w:cs="Arial"/>
          <w:sz w:val="24"/>
          <w:szCs w:val="24"/>
          <w:lang w:val="sq-AL"/>
        </w:rPr>
        <w:t>a</w:t>
      </w:r>
      <w:r w:rsidR="00DF4C35" w:rsidRPr="0058349C">
        <w:rPr>
          <w:rFonts w:ascii="Garamond" w:hAnsi="Garamond" w:cs="Arial"/>
          <w:sz w:val="24"/>
          <w:szCs w:val="24"/>
          <w:lang w:val="sq-AL"/>
        </w:rPr>
        <w:t xml:space="preserve">xhues </w:t>
      </w:r>
      <w:r w:rsidRPr="0058349C">
        <w:rPr>
          <w:rFonts w:ascii="Garamond" w:hAnsi="Garamond" w:cs="Arial"/>
          <w:sz w:val="24"/>
          <w:szCs w:val="24"/>
          <w:lang w:val="sq-AL"/>
        </w:rPr>
        <w:t>p</w:t>
      </w:r>
      <w:r w:rsidRPr="0058349C">
        <w:rPr>
          <w:rFonts w:ascii="Garamond" w:hAnsi="Garamond" w:cs="Calibri"/>
          <w:sz w:val="24"/>
          <w:szCs w:val="24"/>
          <w:lang w:val="sq-AL"/>
        </w:rPr>
        <w:t>ër IPARD (IPARD-MA)</w:t>
      </w:r>
      <w:r w:rsidRPr="0058349C">
        <w:rPr>
          <w:rFonts w:ascii="Garamond" w:hAnsi="Garamond" w:cs="Arial"/>
          <w:sz w:val="24"/>
          <w:szCs w:val="24"/>
          <w:lang w:val="sq-AL"/>
        </w:rPr>
        <w:t xml:space="preserve"> në MBZHR, po ndërton kapacitetet për ngritjen e</w:t>
      </w:r>
      <w:r w:rsidRPr="0058349C">
        <w:rPr>
          <w:rFonts w:ascii="Garamond" w:hAnsi="Garamond" w:cs="Arial"/>
          <w:b/>
          <w:sz w:val="24"/>
          <w:szCs w:val="24"/>
          <w:lang w:val="sq-AL"/>
        </w:rPr>
        <w:t xml:space="preserve"> një organi kombëtar koordinues p</w:t>
      </w:r>
      <w:r w:rsidRPr="0058349C">
        <w:rPr>
          <w:rFonts w:ascii="Garamond" w:hAnsi="Garamond" w:cs="Calibri"/>
          <w:sz w:val="24"/>
          <w:szCs w:val="24"/>
          <w:lang w:val="sq-AL"/>
        </w:rPr>
        <w:t xml:space="preserve">ër zbatimin e Iniciativave </w:t>
      </w:r>
      <w:r w:rsidRPr="0058349C">
        <w:rPr>
          <w:rFonts w:ascii="Garamond" w:hAnsi="Garamond" w:cs="Arial"/>
          <w:b/>
          <w:sz w:val="24"/>
          <w:szCs w:val="24"/>
          <w:lang w:val="sq-AL"/>
        </w:rPr>
        <w:t>ZHLUK</w:t>
      </w:r>
      <w:r w:rsidR="00797859">
        <w:rPr>
          <w:rFonts w:ascii="Garamond" w:hAnsi="Garamond" w:cs="Arial"/>
          <w:b/>
          <w:sz w:val="24"/>
          <w:szCs w:val="24"/>
          <w:lang w:val="sq-AL"/>
        </w:rPr>
        <w:t>/</w:t>
      </w:r>
      <w:r w:rsidRPr="0058349C">
        <w:rPr>
          <w:rFonts w:ascii="Garamond" w:hAnsi="Garamond" w:cs="Arial"/>
          <w:b/>
          <w:sz w:val="24"/>
          <w:szCs w:val="24"/>
          <w:lang w:val="sq-AL"/>
        </w:rPr>
        <w:t>LEADER</w:t>
      </w:r>
      <w:r w:rsidRPr="0058349C">
        <w:rPr>
          <w:rFonts w:ascii="Garamond" w:hAnsi="Garamond" w:cs="Arial"/>
          <w:sz w:val="24"/>
          <w:szCs w:val="24"/>
          <w:lang w:val="sq-AL"/>
        </w:rPr>
        <w:t xml:space="preserve"> për të mbështetur zbatimin e një rrjeti t</w:t>
      </w:r>
      <w:r w:rsidRPr="0058349C">
        <w:rPr>
          <w:rFonts w:ascii="Garamond" w:hAnsi="Garamond" w:cs="Calibri"/>
          <w:sz w:val="24"/>
          <w:szCs w:val="24"/>
          <w:lang w:val="sq-AL"/>
        </w:rPr>
        <w:t>ë bazuar tek</w:t>
      </w:r>
      <w:r w:rsidRPr="0058349C">
        <w:rPr>
          <w:rFonts w:ascii="Garamond" w:hAnsi="Garamond" w:cs="Arial"/>
          <w:sz w:val="24"/>
          <w:szCs w:val="24"/>
          <w:lang w:val="sq-AL"/>
        </w:rPr>
        <w:t xml:space="preserve"> anëtarët, Rrjetin Kombëtar </w:t>
      </w:r>
      <w:r w:rsidR="005936B2">
        <w:rPr>
          <w:rFonts w:ascii="Garamond" w:hAnsi="Garamond" w:cs="Arial"/>
          <w:sz w:val="24"/>
          <w:szCs w:val="24"/>
          <w:lang w:val="sq-AL"/>
        </w:rPr>
        <w:t>Rural Shqiptar (RRKRSH), bashkë</w:t>
      </w:r>
      <w:r w:rsidRPr="0058349C">
        <w:rPr>
          <w:rFonts w:ascii="Garamond" w:hAnsi="Garamond" w:cs="Arial"/>
          <w:sz w:val="24"/>
          <w:szCs w:val="24"/>
          <w:lang w:val="sq-AL"/>
        </w:rPr>
        <w:t>financuar nga IPARD. Është e dobishme të nd</w:t>
      </w:r>
      <w:r w:rsidRPr="0058349C">
        <w:rPr>
          <w:rFonts w:ascii="Garamond" w:hAnsi="Garamond" w:cs="Calibri"/>
          <w:sz w:val="24"/>
          <w:szCs w:val="24"/>
          <w:lang w:val="sq-AL"/>
        </w:rPr>
        <w:t>ërtohet mbi</w:t>
      </w:r>
      <w:r w:rsidRPr="0058349C">
        <w:rPr>
          <w:rFonts w:ascii="Garamond" w:hAnsi="Garamond" w:cs="Arial"/>
          <w:sz w:val="24"/>
          <w:szCs w:val="24"/>
          <w:lang w:val="sq-AL"/>
        </w:rPr>
        <w:t xml:space="preserve"> kapitalin social ekzistues</w:t>
      </w:r>
      <w:r w:rsidR="005936B2">
        <w:rPr>
          <w:rFonts w:ascii="Garamond" w:hAnsi="Garamond" w:cs="Arial"/>
          <w:sz w:val="24"/>
          <w:szCs w:val="24"/>
          <w:lang w:val="sq-AL"/>
        </w:rPr>
        <w:t>,</w:t>
      </w:r>
      <w:r w:rsidRPr="0058349C">
        <w:rPr>
          <w:rFonts w:ascii="Garamond" w:hAnsi="Garamond" w:cs="Arial"/>
          <w:sz w:val="24"/>
          <w:szCs w:val="24"/>
          <w:lang w:val="sq-AL"/>
        </w:rPr>
        <w:t xml:space="preserve"> siç është RRSHZHR-ja dhe mbi besimin</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e fituar nga anëtarët e OJF-ve nëpërmjet tij për të maksimizuar rezultatet pozitive dhe për të konsoliduar platformën për shkëmbimin e informacionit kombëtar, rajonal dhe evropian mbi strategjitë, programet dhe projektet.</w:t>
      </w:r>
    </w:p>
    <w:p w14:paraId="0773AEA0" w14:textId="55EB1EE7" w:rsidR="00DF7A00" w:rsidRPr="0058349C" w:rsidRDefault="00DF7A00" w:rsidP="005936B2">
      <w:pPr>
        <w:pStyle w:val="BodyText"/>
        <w:ind w:left="0" w:firstLine="284"/>
        <w:jc w:val="both"/>
        <w:rPr>
          <w:rFonts w:ascii="Garamond" w:hAnsi="Garamond"/>
          <w:b/>
          <w:sz w:val="24"/>
          <w:szCs w:val="24"/>
          <w:lang w:val="sq-AL"/>
        </w:rPr>
      </w:pPr>
      <w:r w:rsidRPr="0058349C">
        <w:rPr>
          <w:rFonts w:ascii="Garamond" w:hAnsi="Garamond"/>
          <w:b/>
          <w:sz w:val="24"/>
          <w:szCs w:val="24"/>
          <w:lang w:val="sq-AL"/>
        </w:rPr>
        <w:t>Politika 1</w:t>
      </w:r>
      <w:r w:rsidR="005936B2">
        <w:rPr>
          <w:rFonts w:ascii="Garamond" w:hAnsi="Garamond"/>
          <w:b/>
          <w:sz w:val="24"/>
          <w:szCs w:val="24"/>
          <w:lang w:val="sq-AL"/>
        </w:rPr>
        <w:t>.</w:t>
      </w:r>
      <w:r w:rsidRPr="0058349C">
        <w:rPr>
          <w:rFonts w:ascii="Garamond" w:hAnsi="Garamond"/>
          <w:b/>
          <w:sz w:val="24"/>
          <w:szCs w:val="24"/>
          <w:lang w:val="sq-AL"/>
        </w:rPr>
        <w:t xml:space="preserve"> Objektivi i përgjithshëm 3</w:t>
      </w:r>
    </w:p>
    <w:p w14:paraId="2D90BD05" w14:textId="77777777" w:rsidR="005D4BEE" w:rsidRDefault="005D4BEE" w:rsidP="005936B2">
      <w:pPr>
        <w:pStyle w:val="Caption"/>
        <w:spacing w:after="0"/>
        <w:jc w:val="center"/>
        <w:rPr>
          <w:rFonts w:ascii="Garamond" w:hAnsi="Garamond"/>
          <w:i/>
          <w:iCs/>
          <w:color w:val="auto"/>
          <w:sz w:val="20"/>
          <w:szCs w:val="20"/>
        </w:rPr>
      </w:pPr>
      <w:bookmarkStart w:id="31" w:name="_Toc103777365"/>
    </w:p>
    <w:p w14:paraId="0773AEA1" w14:textId="7CCD71EB" w:rsidR="00DF7A00" w:rsidRPr="005936B2" w:rsidRDefault="00DF7A00" w:rsidP="005936B2">
      <w:pPr>
        <w:pStyle w:val="Caption"/>
        <w:spacing w:after="0"/>
        <w:jc w:val="center"/>
        <w:rPr>
          <w:rFonts w:ascii="Garamond" w:hAnsi="Garamond"/>
          <w:b w:val="0"/>
          <w:bCs w:val="0"/>
          <w:i/>
          <w:iCs/>
          <w:color w:val="auto"/>
          <w:sz w:val="20"/>
          <w:szCs w:val="20"/>
        </w:rPr>
      </w:pPr>
      <w:r w:rsidRPr="005936B2">
        <w:rPr>
          <w:rFonts w:ascii="Garamond" w:hAnsi="Garamond"/>
          <w:i/>
          <w:iCs/>
          <w:color w:val="auto"/>
          <w:sz w:val="20"/>
          <w:szCs w:val="20"/>
        </w:rPr>
        <w:t>Tabela 3-</w:t>
      </w:r>
      <w:r w:rsidR="005936B2">
        <w:rPr>
          <w:rFonts w:ascii="Garamond" w:hAnsi="Garamond"/>
          <w:i/>
          <w:iCs/>
          <w:color w:val="auto"/>
          <w:sz w:val="20"/>
          <w:szCs w:val="20"/>
        </w:rPr>
        <w:t xml:space="preserve">8: </w:t>
      </w:r>
      <w:r w:rsidRPr="005936B2">
        <w:rPr>
          <w:rFonts w:ascii="Garamond" w:hAnsi="Garamond"/>
          <w:b w:val="0"/>
          <w:bCs w:val="0"/>
          <w:i/>
          <w:iCs/>
          <w:color w:val="auto"/>
          <w:sz w:val="20"/>
          <w:szCs w:val="20"/>
        </w:rPr>
        <w:t>Mundësitë dhe kërcënimet</w:t>
      </w:r>
      <w:r w:rsidR="005936B2" w:rsidRPr="005936B2">
        <w:rPr>
          <w:rFonts w:ascii="Garamond" w:hAnsi="Garamond"/>
          <w:b w:val="0"/>
          <w:bCs w:val="0"/>
          <w:i/>
          <w:iCs/>
          <w:color w:val="auto"/>
          <w:sz w:val="20"/>
          <w:szCs w:val="20"/>
        </w:rPr>
        <w:t xml:space="preserve"> </w:t>
      </w:r>
      <w:r w:rsidRPr="005936B2">
        <w:rPr>
          <w:rFonts w:ascii="Garamond" w:hAnsi="Garamond"/>
          <w:b w:val="0"/>
          <w:bCs w:val="0"/>
          <w:i/>
          <w:iCs/>
          <w:color w:val="auto"/>
          <w:sz w:val="20"/>
          <w:szCs w:val="20"/>
        </w:rPr>
        <w:t>-</w:t>
      </w:r>
      <w:r w:rsidR="005936B2" w:rsidRPr="005936B2">
        <w:rPr>
          <w:rFonts w:ascii="Garamond" w:hAnsi="Garamond"/>
          <w:b w:val="0"/>
          <w:bCs w:val="0"/>
          <w:i/>
          <w:iCs/>
          <w:color w:val="auto"/>
          <w:sz w:val="20"/>
          <w:szCs w:val="20"/>
        </w:rPr>
        <w:t xml:space="preserve"> </w:t>
      </w:r>
      <w:r w:rsidRPr="005936B2">
        <w:rPr>
          <w:rFonts w:ascii="Garamond" w:hAnsi="Garamond"/>
          <w:b w:val="0"/>
          <w:bCs w:val="0"/>
          <w:i/>
          <w:iCs/>
          <w:color w:val="auto"/>
          <w:sz w:val="20"/>
          <w:szCs w:val="20"/>
        </w:rPr>
        <w:t>Objektivi i përgjithshëm 3</w:t>
      </w:r>
      <w:bookmarkEnd w:id="3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664693" w:rsidRPr="005936B2" w14:paraId="0773AEA4" w14:textId="77777777" w:rsidTr="00664693">
        <w:trPr>
          <w:jc w:val="center"/>
        </w:trPr>
        <w:tc>
          <w:tcPr>
            <w:tcW w:w="4508" w:type="dxa"/>
            <w:shd w:val="clear" w:color="auto" w:fill="E2EFD9"/>
          </w:tcPr>
          <w:p w14:paraId="0773AEA2" w14:textId="77777777" w:rsidR="00DF7A00" w:rsidRPr="005936B2" w:rsidRDefault="00DF7A00" w:rsidP="00B63E83">
            <w:pPr>
              <w:spacing w:after="0" w:line="240" w:lineRule="auto"/>
              <w:jc w:val="both"/>
              <w:rPr>
                <w:rFonts w:ascii="Garamond" w:eastAsia="Arial" w:hAnsi="Garamond" w:cs="Arial"/>
                <w:b/>
                <w:sz w:val="20"/>
                <w:szCs w:val="24"/>
                <w:lang w:val="sq-AL"/>
              </w:rPr>
            </w:pPr>
            <w:r w:rsidRPr="005936B2">
              <w:rPr>
                <w:rFonts w:ascii="Garamond" w:eastAsia="Arial" w:hAnsi="Garamond" w:cs="Arial"/>
                <w:b/>
                <w:sz w:val="20"/>
                <w:szCs w:val="24"/>
                <w:lang w:val="sq-AL"/>
              </w:rPr>
              <w:t xml:space="preserve">MUNDËSITË </w:t>
            </w:r>
          </w:p>
        </w:tc>
        <w:tc>
          <w:tcPr>
            <w:tcW w:w="4508" w:type="dxa"/>
            <w:shd w:val="clear" w:color="auto" w:fill="E2EFD9"/>
          </w:tcPr>
          <w:p w14:paraId="0773AEA3" w14:textId="77777777" w:rsidR="00DF7A00" w:rsidRPr="005936B2" w:rsidRDefault="00DF7A00" w:rsidP="00B63E83">
            <w:pPr>
              <w:spacing w:after="0" w:line="240" w:lineRule="auto"/>
              <w:jc w:val="both"/>
              <w:rPr>
                <w:rFonts w:ascii="Garamond" w:eastAsia="Arial" w:hAnsi="Garamond" w:cs="Arial"/>
                <w:b/>
                <w:sz w:val="20"/>
                <w:szCs w:val="24"/>
                <w:lang w:val="sq-AL"/>
              </w:rPr>
            </w:pPr>
            <w:r w:rsidRPr="005936B2">
              <w:rPr>
                <w:rFonts w:ascii="Garamond" w:eastAsia="Arial" w:hAnsi="Garamond" w:cs="Arial"/>
                <w:b/>
                <w:sz w:val="20"/>
                <w:szCs w:val="24"/>
                <w:lang w:val="sq-AL"/>
              </w:rPr>
              <w:t>KËRCËNIMET</w:t>
            </w:r>
          </w:p>
        </w:tc>
      </w:tr>
      <w:tr w:rsidR="00664693" w:rsidRPr="0058349C" w14:paraId="0773AEAE" w14:textId="77777777" w:rsidTr="00664693">
        <w:trPr>
          <w:jc w:val="center"/>
        </w:trPr>
        <w:tc>
          <w:tcPr>
            <w:tcW w:w="4508" w:type="dxa"/>
            <w:shd w:val="clear" w:color="auto" w:fill="auto"/>
          </w:tcPr>
          <w:p w14:paraId="0773AEA5" w14:textId="79D074F2" w:rsidR="00DF7A00" w:rsidRPr="0058349C" w:rsidRDefault="00DF7A00" w:rsidP="00B63E83">
            <w:pPr>
              <w:spacing w:after="0" w:line="240" w:lineRule="auto"/>
              <w:jc w:val="both"/>
              <w:rPr>
                <w:rFonts w:ascii="Garamond" w:eastAsia="Arial" w:hAnsi="Garamond" w:cs="Arial"/>
                <w:b/>
                <w:sz w:val="20"/>
                <w:szCs w:val="24"/>
                <w:lang w:val="sq-AL"/>
              </w:rPr>
            </w:pPr>
            <w:r w:rsidRPr="0058349C">
              <w:rPr>
                <w:rFonts w:ascii="Garamond" w:eastAsia="Arial" w:hAnsi="Garamond" w:cs="Arial"/>
                <w:b/>
                <w:sz w:val="20"/>
                <w:szCs w:val="24"/>
                <w:lang w:val="sq-AL"/>
              </w:rPr>
              <w:t xml:space="preserve">Diversifikimi i të ardhurave nga ferma </w:t>
            </w:r>
            <w:r w:rsidR="00A12DB6">
              <w:rPr>
                <w:rFonts w:ascii="Garamond" w:eastAsia="Arial" w:hAnsi="Garamond" w:cs="Arial"/>
                <w:b/>
                <w:sz w:val="20"/>
                <w:szCs w:val="24"/>
                <w:lang w:val="sq-AL"/>
              </w:rPr>
              <w:t>dhe zhvillimi i biznesit rural</w:t>
            </w:r>
          </w:p>
          <w:p w14:paraId="0773AEA6" w14:textId="722A478F"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 xml:space="preserve">Preferenca të forta të konsumatorëve për produktet ushqimore </w:t>
            </w:r>
            <w:r w:rsidR="00BC084C">
              <w:rPr>
                <w:rFonts w:ascii="Garamond" w:eastAsia="Arial" w:hAnsi="Garamond" w:cs="Arial"/>
                <w:bCs/>
                <w:sz w:val="20"/>
                <w:szCs w:val="24"/>
                <w:lang w:val="sq-AL"/>
              </w:rPr>
              <w:t>vendës</w:t>
            </w:r>
            <w:r w:rsidRPr="0058349C">
              <w:rPr>
                <w:rFonts w:ascii="Garamond" w:eastAsia="Arial" w:hAnsi="Garamond" w:cs="Arial"/>
                <w:bCs/>
                <w:sz w:val="20"/>
                <w:szCs w:val="24"/>
                <w:lang w:val="sq-AL"/>
              </w:rPr>
              <w:t xml:space="preserve">e </w:t>
            </w:r>
          </w:p>
          <w:p w14:paraId="0773AEA7" w14:textId="77777777"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Preferenca në rritje për të blerë direkt nga prodhuesit.</w:t>
            </w:r>
          </w:p>
          <w:p w14:paraId="0773AEA8" w14:textId="10771696"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 xml:space="preserve">Burime të pasura natyrore për zhvillimin e akuakulturës (shih Objektivi i </w:t>
            </w:r>
            <w:r w:rsidR="00A12DB6" w:rsidRPr="0058349C">
              <w:rPr>
                <w:rFonts w:ascii="Garamond" w:eastAsia="Arial" w:hAnsi="Garamond" w:cs="Arial"/>
                <w:bCs/>
                <w:sz w:val="20"/>
                <w:szCs w:val="24"/>
                <w:lang w:val="sq-AL"/>
              </w:rPr>
              <w:t xml:space="preserve">përgjithshëm </w:t>
            </w:r>
            <w:r w:rsidRPr="0058349C">
              <w:rPr>
                <w:rFonts w:ascii="Garamond" w:eastAsia="Arial" w:hAnsi="Garamond" w:cs="Arial"/>
                <w:bCs/>
                <w:sz w:val="20"/>
                <w:szCs w:val="24"/>
                <w:lang w:val="sq-AL"/>
              </w:rPr>
              <w:t>4).</w:t>
            </w:r>
          </w:p>
          <w:p w14:paraId="0773AEA9" w14:textId="420C8937"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Rritja e numrit të vizitorëve të huaj dhe shqiptarë, në kuadër të turizmit rural dhe agroturizmit, të cilët kanë preferenca të forta për ushqim</w:t>
            </w:r>
            <w:r w:rsidR="00664693" w:rsidRPr="0058349C">
              <w:rPr>
                <w:rFonts w:ascii="Garamond" w:eastAsia="Arial" w:hAnsi="Garamond" w:cs="Arial"/>
                <w:bCs/>
                <w:sz w:val="20"/>
                <w:szCs w:val="24"/>
                <w:lang w:val="sq-AL"/>
              </w:rPr>
              <w:t>in autentik të prodhuar në vend</w:t>
            </w:r>
            <w:r w:rsidRPr="0058349C">
              <w:rPr>
                <w:rFonts w:ascii="Garamond" w:eastAsia="Arial" w:hAnsi="Garamond" w:cs="Arial"/>
                <w:bCs/>
                <w:sz w:val="20"/>
                <w:szCs w:val="24"/>
                <w:lang w:val="sq-AL"/>
              </w:rPr>
              <w:t>.</w:t>
            </w:r>
          </w:p>
          <w:p w14:paraId="0773AEAA" w14:textId="1B24EFD8"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Kuadri ligjor që përjashton e operatorët e vegjël të ushqimit nga zbatimi i HACCP</w:t>
            </w:r>
            <w:r w:rsidR="00A12DB6">
              <w:rPr>
                <w:rFonts w:ascii="Garamond" w:eastAsia="Arial" w:hAnsi="Garamond" w:cs="Arial"/>
                <w:bCs/>
                <w:sz w:val="20"/>
                <w:szCs w:val="24"/>
                <w:lang w:val="sq-AL"/>
              </w:rPr>
              <w:t>-së</w:t>
            </w:r>
            <w:r w:rsidRPr="0058349C">
              <w:rPr>
                <w:rFonts w:ascii="Garamond" w:eastAsia="Arial" w:hAnsi="Garamond" w:cs="Arial"/>
                <w:bCs/>
                <w:sz w:val="20"/>
                <w:szCs w:val="24"/>
                <w:lang w:val="sq-AL"/>
              </w:rPr>
              <w:t>.</w:t>
            </w:r>
          </w:p>
        </w:tc>
        <w:tc>
          <w:tcPr>
            <w:tcW w:w="4508" w:type="dxa"/>
            <w:shd w:val="clear" w:color="auto" w:fill="auto"/>
          </w:tcPr>
          <w:p w14:paraId="5D9C0F14" w14:textId="77777777" w:rsidR="00654340" w:rsidRDefault="00654340" w:rsidP="00B63E83">
            <w:pPr>
              <w:spacing w:after="0" w:line="240" w:lineRule="auto"/>
              <w:jc w:val="both"/>
              <w:rPr>
                <w:rFonts w:ascii="Garamond" w:eastAsia="Arial" w:hAnsi="Garamond" w:cs="Arial"/>
                <w:sz w:val="20"/>
                <w:szCs w:val="24"/>
                <w:lang w:val="sq-AL"/>
              </w:rPr>
            </w:pPr>
          </w:p>
          <w:p w14:paraId="46FB51B9" w14:textId="77777777" w:rsidR="00654340" w:rsidRDefault="00654340" w:rsidP="00B63E83">
            <w:pPr>
              <w:spacing w:after="0" w:line="240" w:lineRule="auto"/>
              <w:jc w:val="both"/>
              <w:rPr>
                <w:rFonts w:ascii="Garamond" w:eastAsia="Arial" w:hAnsi="Garamond" w:cs="Arial"/>
                <w:sz w:val="20"/>
                <w:szCs w:val="24"/>
                <w:lang w:val="sq-AL"/>
              </w:rPr>
            </w:pPr>
          </w:p>
          <w:p w14:paraId="0773AEAB" w14:textId="77777777" w:rsidR="00DF7A00" w:rsidRPr="0058349C" w:rsidRDefault="00DF7A00" w:rsidP="00B63E83">
            <w:pPr>
              <w:spacing w:after="0" w:line="240" w:lineRule="auto"/>
              <w:jc w:val="both"/>
              <w:rPr>
                <w:rFonts w:ascii="Garamond" w:eastAsia="Arial" w:hAnsi="Garamond" w:cs="Arial"/>
                <w:sz w:val="20"/>
                <w:szCs w:val="24"/>
                <w:lang w:val="sq-AL"/>
              </w:rPr>
            </w:pPr>
            <w:r w:rsidRPr="0058349C">
              <w:rPr>
                <w:rFonts w:ascii="Garamond" w:eastAsia="Arial" w:hAnsi="Garamond" w:cs="Arial"/>
                <w:sz w:val="20"/>
                <w:szCs w:val="24"/>
                <w:lang w:val="sq-AL"/>
              </w:rPr>
              <w:t>Madhësia e vogël dhe fragmentimi i fermës, informaliteti i lartë dhe situata shpesh herë e paqartë lidhur me pronësinë e tokës në sektorin e bujqësisë.</w:t>
            </w:r>
          </w:p>
          <w:p w14:paraId="0773AEAC" w14:textId="77777777" w:rsidR="00DF7A00" w:rsidRPr="0058349C" w:rsidRDefault="00DF7A00" w:rsidP="00B63E83">
            <w:pPr>
              <w:spacing w:after="0" w:line="240" w:lineRule="auto"/>
              <w:jc w:val="both"/>
              <w:rPr>
                <w:rFonts w:ascii="Garamond" w:eastAsia="Arial" w:hAnsi="Garamond" w:cs="Arial"/>
                <w:sz w:val="20"/>
                <w:szCs w:val="24"/>
                <w:lang w:val="sq-AL"/>
              </w:rPr>
            </w:pPr>
            <w:r w:rsidRPr="0058349C">
              <w:rPr>
                <w:rFonts w:ascii="Garamond" w:eastAsia="Arial" w:hAnsi="Garamond" w:cs="Arial"/>
                <w:sz w:val="20"/>
                <w:szCs w:val="24"/>
                <w:lang w:val="sq-AL"/>
              </w:rPr>
              <w:t>Konkurrencë e fortë me konsoliduesit, tregjet me shumicë dhe supermarketet në zhvillimin e zinxhirëve të shkurtër të furnizimit.</w:t>
            </w:r>
          </w:p>
          <w:p w14:paraId="0773AEAD" w14:textId="77777777" w:rsidR="00DF7A00" w:rsidRPr="0058349C" w:rsidRDefault="00DF7A00" w:rsidP="00B63E83">
            <w:pPr>
              <w:spacing w:after="0" w:line="240" w:lineRule="auto"/>
              <w:jc w:val="both"/>
              <w:rPr>
                <w:rFonts w:ascii="Garamond" w:eastAsia="Arial" w:hAnsi="Garamond" w:cs="Arial"/>
                <w:sz w:val="20"/>
                <w:szCs w:val="24"/>
                <w:lang w:val="sq-AL"/>
              </w:rPr>
            </w:pPr>
          </w:p>
        </w:tc>
      </w:tr>
      <w:tr w:rsidR="00664693" w:rsidRPr="0058349C" w14:paraId="0773AEBD" w14:textId="77777777" w:rsidTr="00664693">
        <w:trPr>
          <w:jc w:val="center"/>
        </w:trPr>
        <w:tc>
          <w:tcPr>
            <w:tcW w:w="4508" w:type="dxa"/>
            <w:shd w:val="clear" w:color="auto" w:fill="auto"/>
          </w:tcPr>
          <w:p w14:paraId="0773AEAF" w14:textId="1C52C067" w:rsidR="00DF7A00" w:rsidRPr="0058349C" w:rsidRDefault="00A12DB6" w:rsidP="00B63E83">
            <w:pPr>
              <w:spacing w:after="0" w:line="240" w:lineRule="auto"/>
              <w:jc w:val="both"/>
              <w:rPr>
                <w:rFonts w:ascii="Garamond" w:eastAsia="Arial" w:hAnsi="Garamond" w:cs="Arial"/>
                <w:b/>
                <w:sz w:val="20"/>
                <w:szCs w:val="24"/>
                <w:lang w:val="sq-AL"/>
              </w:rPr>
            </w:pPr>
            <w:r>
              <w:rPr>
                <w:rFonts w:ascii="Garamond" w:eastAsia="Arial" w:hAnsi="Garamond" w:cs="Arial"/>
                <w:b/>
                <w:sz w:val="20"/>
                <w:szCs w:val="24"/>
                <w:lang w:val="sq-AL"/>
              </w:rPr>
              <w:t>Turizëm i qëndrueshëm rural</w:t>
            </w:r>
          </w:p>
          <w:p w14:paraId="0773AEB0" w14:textId="7312029D"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Turizmi në tërësi</w:t>
            </w:r>
            <w:r w:rsidR="00A12DB6">
              <w:rPr>
                <w:rFonts w:ascii="Garamond" w:eastAsia="Arial" w:hAnsi="Garamond" w:cs="Arial"/>
                <w:bCs/>
                <w:sz w:val="20"/>
                <w:szCs w:val="24"/>
                <w:lang w:val="sq-AL"/>
              </w:rPr>
              <w:t>,</w:t>
            </w:r>
            <w:r w:rsidRPr="0058349C">
              <w:rPr>
                <w:rFonts w:ascii="Garamond" w:eastAsia="Arial" w:hAnsi="Garamond" w:cs="Arial"/>
                <w:bCs/>
                <w:sz w:val="20"/>
                <w:szCs w:val="24"/>
                <w:lang w:val="sq-AL"/>
              </w:rPr>
              <w:t xml:space="preserve"> por edhe ai rural</w:t>
            </w:r>
            <w:r w:rsidR="00CF7694" w:rsidRPr="0058349C">
              <w:rPr>
                <w:rFonts w:ascii="Garamond" w:eastAsia="Arial" w:hAnsi="Garamond" w:cs="Arial"/>
                <w:bCs/>
                <w:sz w:val="20"/>
                <w:szCs w:val="24"/>
                <w:lang w:val="sq-AL"/>
              </w:rPr>
              <w:t xml:space="preserve"> </w:t>
            </w:r>
            <w:r w:rsidRPr="0058349C">
              <w:rPr>
                <w:rFonts w:ascii="Garamond" w:eastAsia="Arial" w:hAnsi="Garamond" w:cs="Arial"/>
                <w:bCs/>
                <w:sz w:val="20"/>
                <w:szCs w:val="24"/>
                <w:lang w:val="sq-AL"/>
              </w:rPr>
              <w:t>ka qenë një sektor ekonomik në rritje dhe pritet të rimëkëmbet pas pandemisë COVID-19.</w:t>
            </w:r>
          </w:p>
          <w:p w14:paraId="0773AEB1" w14:textId="77777777"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Zonat rurale kanë një potencial të lartë për turizëm natyror dhe të aventurës.</w:t>
            </w:r>
          </w:p>
          <w:p w14:paraId="0773AEB2" w14:textId="6288C150"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 xml:space="preserve">Kërkesat e banorëve </w:t>
            </w:r>
            <w:r w:rsidR="00BC084C">
              <w:rPr>
                <w:rFonts w:ascii="Garamond" w:eastAsia="Arial" w:hAnsi="Garamond" w:cs="Arial"/>
                <w:bCs/>
                <w:sz w:val="20"/>
                <w:szCs w:val="24"/>
                <w:lang w:val="sq-AL"/>
              </w:rPr>
              <w:t>vendës</w:t>
            </w:r>
            <w:r w:rsidRPr="0058349C">
              <w:rPr>
                <w:rFonts w:ascii="Garamond" w:eastAsia="Arial" w:hAnsi="Garamond" w:cs="Arial"/>
                <w:bCs/>
                <w:sz w:val="20"/>
                <w:szCs w:val="24"/>
                <w:lang w:val="sq-AL"/>
              </w:rPr>
              <w:t xml:space="preserve"> për mbështetje për aktivitete rekreative janë në rritje.</w:t>
            </w:r>
          </w:p>
          <w:p w14:paraId="0773AEB3" w14:textId="35EB945D"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Rritja e mundësive për Ballkanin Perëndimor</w:t>
            </w:r>
            <w:r w:rsidR="00A12DB6">
              <w:rPr>
                <w:rFonts w:ascii="Garamond" w:eastAsia="Arial" w:hAnsi="Garamond" w:cs="Arial"/>
                <w:bCs/>
                <w:sz w:val="20"/>
                <w:szCs w:val="24"/>
                <w:lang w:val="sq-AL"/>
              </w:rPr>
              <w:t>,</w:t>
            </w:r>
            <w:r w:rsidRPr="0058349C">
              <w:rPr>
                <w:rFonts w:ascii="Garamond" w:eastAsia="Arial" w:hAnsi="Garamond" w:cs="Arial"/>
                <w:bCs/>
                <w:sz w:val="20"/>
                <w:szCs w:val="24"/>
                <w:lang w:val="sq-AL"/>
              </w:rPr>
              <w:t xml:space="preserve"> si destinacion turistik nëpërmjet lehtësimit/heqjes së bar</w:t>
            </w:r>
            <w:r w:rsidR="00A12DB6">
              <w:rPr>
                <w:rFonts w:ascii="Garamond" w:eastAsia="Arial" w:hAnsi="Garamond" w:cs="Arial"/>
                <w:bCs/>
                <w:sz w:val="20"/>
                <w:szCs w:val="24"/>
                <w:lang w:val="sq-AL"/>
              </w:rPr>
              <w:t>r</w:t>
            </w:r>
            <w:r w:rsidRPr="0058349C">
              <w:rPr>
                <w:rFonts w:ascii="Garamond" w:eastAsia="Arial" w:hAnsi="Garamond" w:cs="Arial"/>
                <w:bCs/>
                <w:sz w:val="20"/>
                <w:szCs w:val="24"/>
                <w:lang w:val="sq-AL"/>
              </w:rPr>
              <w:t>ierave tregtare në kuadrin e CEFTA</w:t>
            </w:r>
            <w:r w:rsidR="00A12DB6">
              <w:rPr>
                <w:rFonts w:ascii="Garamond" w:eastAsia="Arial" w:hAnsi="Garamond" w:cs="Arial"/>
                <w:bCs/>
                <w:sz w:val="20"/>
                <w:szCs w:val="24"/>
                <w:lang w:val="sq-AL"/>
              </w:rPr>
              <w:t>-s</w:t>
            </w:r>
            <w:r w:rsidRPr="0058349C">
              <w:rPr>
                <w:rFonts w:ascii="Garamond" w:eastAsia="Arial" w:hAnsi="Garamond" w:cs="Arial"/>
                <w:bCs/>
                <w:sz w:val="20"/>
                <w:szCs w:val="24"/>
                <w:lang w:val="sq-AL"/>
              </w:rPr>
              <w:t>.</w:t>
            </w:r>
          </w:p>
          <w:p w14:paraId="0773AEB4" w14:textId="77777777" w:rsidR="00DF7A00" w:rsidRPr="0058349C" w:rsidRDefault="00DF7A00" w:rsidP="00B63E83">
            <w:pPr>
              <w:spacing w:after="0" w:line="240" w:lineRule="auto"/>
              <w:jc w:val="both"/>
              <w:rPr>
                <w:rFonts w:ascii="Garamond" w:eastAsia="Arial" w:hAnsi="Garamond" w:cs="Arial"/>
                <w:bCs/>
                <w:sz w:val="20"/>
                <w:szCs w:val="24"/>
                <w:highlight w:val="green"/>
                <w:lang w:val="sq-AL"/>
              </w:rPr>
            </w:pPr>
          </w:p>
          <w:p w14:paraId="0773AEB5" w14:textId="77777777"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Shumë të rinj shqiptarë kanë njohuri të mira gjuhësore, gjë që është një pasuri në sektorin e turizmit.</w:t>
            </w:r>
          </w:p>
        </w:tc>
        <w:tc>
          <w:tcPr>
            <w:tcW w:w="4508" w:type="dxa"/>
            <w:shd w:val="clear" w:color="auto" w:fill="auto"/>
          </w:tcPr>
          <w:p w14:paraId="280D92CF" w14:textId="77777777" w:rsidR="00654340" w:rsidRDefault="00654340" w:rsidP="00B63E83">
            <w:pPr>
              <w:spacing w:after="0" w:line="240" w:lineRule="auto"/>
              <w:jc w:val="both"/>
              <w:rPr>
                <w:rFonts w:ascii="Garamond" w:eastAsia="Arial" w:hAnsi="Garamond" w:cs="Arial"/>
                <w:bCs/>
                <w:sz w:val="20"/>
                <w:szCs w:val="24"/>
                <w:lang w:val="sq-AL"/>
              </w:rPr>
            </w:pPr>
          </w:p>
          <w:p w14:paraId="0773AEB7" w14:textId="77777777"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Çështjet e pazgjidhura të së drejtës pronësore në zonat rurale.</w:t>
            </w:r>
          </w:p>
          <w:p w14:paraId="0773AEB8" w14:textId="77777777"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Informalitet në zonat rurale turistike, p.sh. në akomodim dhe hoteleri.</w:t>
            </w:r>
          </w:p>
          <w:p w14:paraId="0773AEB9" w14:textId="77777777"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sz w:val="20"/>
                <w:szCs w:val="24"/>
                <w:lang w:val="sq-AL"/>
              </w:rPr>
              <w:t xml:space="preserve">Madhësia e vogël dhe fragmentimi i fermës, informaliteti i lartë dhe situata shpesh herë e paqartë lidhur me pronësinë e tokës </w:t>
            </w:r>
            <w:r w:rsidRPr="0058349C">
              <w:rPr>
                <w:rFonts w:ascii="Garamond" w:eastAsia="Arial" w:hAnsi="Garamond" w:cs="Arial"/>
                <w:bCs/>
                <w:sz w:val="20"/>
                <w:szCs w:val="24"/>
                <w:lang w:val="sq-AL"/>
              </w:rPr>
              <w:t>janë kushte të pafavorshme për investimet në fermë në agroturizëm.</w:t>
            </w:r>
          </w:p>
          <w:p w14:paraId="0773AEBA" w14:textId="77777777"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Infrastrukturë e pamjaftueshme turistike në zonat rurale.</w:t>
            </w:r>
          </w:p>
          <w:p w14:paraId="0773AEBC" w14:textId="2BC5C825" w:rsidR="00DF7A00" w:rsidRPr="0058349C" w:rsidRDefault="00DF7A00" w:rsidP="00654340">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Kryesisht janë investitorë ndërkombëtarë dhe kombëtarë në turizëm me nivel të ulët përfitimi për komunitetet lokale.</w:t>
            </w:r>
          </w:p>
        </w:tc>
      </w:tr>
      <w:tr w:rsidR="00664693" w:rsidRPr="0058349C" w14:paraId="0773AEC8" w14:textId="77777777" w:rsidTr="00664693">
        <w:trPr>
          <w:jc w:val="center"/>
        </w:trPr>
        <w:tc>
          <w:tcPr>
            <w:tcW w:w="4508" w:type="dxa"/>
            <w:shd w:val="clear" w:color="auto" w:fill="auto"/>
          </w:tcPr>
          <w:p w14:paraId="0773AEBE" w14:textId="617822FD" w:rsidR="00DF7A00" w:rsidRPr="0058349C" w:rsidRDefault="00A12DB6" w:rsidP="00B63E83">
            <w:pPr>
              <w:spacing w:after="0" w:line="240" w:lineRule="auto"/>
              <w:jc w:val="both"/>
              <w:rPr>
                <w:rFonts w:ascii="Garamond" w:eastAsia="Arial" w:hAnsi="Garamond" w:cs="Arial"/>
                <w:b/>
                <w:sz w:val="20"/>
                <w:szCs w:val="24"/>
                <w:lang w:val="sq-AL"/>
              </w:rPr>
            </w:pPr>
            <w:r>
              <w:rPr>
                <w:rFonts w:ascii="Garamond" w:eastAsia="Arial" w:hAnsi="Garamond" w:cs="Arial"/>
                <w:b/>
                <w:sz w:val="20"/>
                <w:szCs w:val="24"/>
                <w:lang w:val="sq-AL"/>
              </w:rPr>
              <w:t>Infrastruktura publike rurale</w:t>
            </w:r>
          </w:p>
          <w:p w14:paraId="0773AEBF" w14:textId="205D0DDC" w:rsidR="00DF7A00" w:rsidRPr="0058349C" w:rsidRDefault="00DF7A00" w:rsidP="00A12DB6">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Ekspozimi i jashtëzakonshëm ndaj diellit paraqet një potencial të rëndësishëm për zhvillimin e element</w:t>
            </w:r>
            <w:r w:rsidR="00A12DB6">
              <w:rPr>
                <w:rFonts w:ascii="Garamond" w:eastAsia="Arial" w:hAnsi="Garamond" w:cs="Arial"/>
                <w:bCs/>
                <w:sz w:val="20"/>
                <w:szCs w:val="24"/>
                <w:lang w:val="sq-AL"/>
              </w:rPr>
              <w:t>e</w:t>
            </w:r>
            <w:r w:rsidRPr="0058349C">
              <w:rPr>
                <w:rFonts w:ascii="Garamond" w:eastAsia="Arial" w:hAnsi="Garamond" w:cs="Arial"/>
                <w:bCs/>
                <w:sz w:val="20"/>
                <w:szCs w:val="24"/>
                <w:lang w:val="sq-AL"/>
              </w:rPr>
              <w:t>ve (PV-ve) diellore për prodhimin e energjisë dhe për qëllime ngrohje.</w:t>
            </w:r>
          </w:p>
          <w:p w14:paraId="0773AEC0" w14:textId="2CE963E0"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Planet kombëtare dhe strategjitë sektoriale për zhvillimin e qëndrueshëm të internetit të brezit të gjerë deri në vitin 2025 stimulojnë investimet në brez të gjerë me shpejtësi të lartë</w:t>
            </w:r>
            <w:r w:rsidR="00A12DB6">
              <w:rPr>
                <w:rFonts w:ascii="Garamond" w:eastAsia="Arial" w:hAnsi="Garamond" w:cs="Arial"/>
                <w:bCs/>
                <w:sz w:val="20"/>
                <w:szCs w:val="24"/>
                <w:lang w:val="sq-AL"/>
              </w:rPr>
              <w:t>,</w:t>
            </w:r>
            <w:r w:rsidRPr="0058349C">
              <w:rPr>
                <w:rFonts w:ascii="Garamond" w:eastAsia="Arial" w:hAnsi="Garamond" w:cs="Arial"/>
                <w:bCs/>
                <w:sz w:val="20"/>
                <w:szCs w:val="24"/>
                <w:lang w:val="sq-AL"/>
              </w:rPr>
              <w:t xml:space="preserve"> në përputhje me objektivin e shoqërisë 2030 gigabit të BE-së.</w:t>
            </w:r>
          </w:p>
          <w:p w14:paraId="0773AEC1" w14:textId="77777777"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Mbulimi 99% i lidhjes G4 siguron lidhje celulare edhe në zona të largëta.</w:t>
            </w:r>
          </w:p>
          <w:p w14:paraId="0773AEC3" w14:textId="4A60C9BA" w:rsidR="00DF7A00" w:rsidRPr="0058349C" w:rsidRDefault="00DF7A00" w:rsidP="00A12DB6">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Programi IPARD III që përmban masën për përmirësimin e menaxhimit të pyjeve</w:t>
            </w:r>
            <w:r w:rsidR="00A12DB6">
              <w:rPr>
                <w:rFonts w:ascii="Garamond" w:eastAsia="Arial" w:hAnsi="Garamond" w:cs="Arial"/>
                <w:bCs/>
                <w:sz w:val="20"/>
                <w:szCs w:val="24"/>
                <w:lang w:val="sq-AL"/>
              </w:rPr>
              <w:t>.</w:t>
            </w:r>
          </w:p>
        </w:tc>
        <w:tc>
          <w:tcPr>
            <w:tcW w:w="4508" w:type="dxa"/>
            <w:shd w:val="clear" w:color="auto" w:fill="auto"/>
          </w:tcPr>
          <w:p w14:paraId="37468949" w14:textId="77777777" w:rsidR="00654340" w:rsidRDefault="00654340" w:rsidP="00B63E83">
            <w:pPr>
              <w:spacing w:after="0" w:line="240" w:lineRule="auto"/>
              <w:jc w:val="both"/>
              <w:rPr>
                <w:rFonts w:ascii="Garamond" w:eastAsia="Arial" w:hAnsi="Garamond" w:cs="Arial"/>
                <w:sz w:val="20"/>
                <w:szCs w:val="24"/>
                <w:lang w:val="sq-AL"/>
              </w:rPr>
            </w:pPr>
          </w:p>
          <w:p w14:paraId="0773AEC5" w14:textId="77777777" w:rsidR="00DF7A00" w:rsidRPr="0058349C" w:rsidRDefault="00DF7A00" w:rsidP="00B63E83">
            <w:pPr>
              <w:spacing w:after="0" w:line="240" w:lineRule="auto"/>
              <w:jc w:val="both"/>
              <w:rPr>
                <w:rFonts w:ascii="Garamond" w:eastAsia="Arial" w:hAnsi="Garamond" w:cs="Arial"/>
                <w:sz w:val="20"/>
                <w:szCs w:val="24"/>
                <w:lang w:val="sq-AL"/>
              </w:rPr>
            </w:pPr>
            <w:r w:rsidRPr="0058349C">
              <w:rPr>
                <w:rFonts w:ascii="Garamond" w:eastAsia="Arial" w:hAnsi="Garamond" w:cs="Arial"/>
                <w:sz w:val="20"/>
                <w:szCs w:val="24"/>
                <w:lang w:val="sq-AL"/>
              </w:rPr>
              <w:t>Kostot e larta të investimeve të ndërtimit dhe mirëmbajtjes në infrastrukturën publike rurale.</w:t>
            </w:r>
          </w:p>
          <w:p w14:paraId="0773AEC6" w14:textId="77777777" w:rsidR="00DF7A00" w:rsidRPr="0058349C" w:rsidRDefault="00DF7A00" w:rsidP="00B63E83">
            <w:pPr>
              <w:spacing w:after="0" w:line="240" w:lineRule="auto"/>
              <w:jc w:val="both"/>
              <w:rPr>
                <w:rFonts w:ascii="Garamond" w:eastAsia="Arial" w:hAnsi="Garamond" w:cs="Arial"/>
                <w:sz w:val="20"/>
                <w:szCs w:val="24"/>
                <w:lang w:val="sq-AL"/>
              </w:rPr>
            </w:pPr>
            <w:r w:rsidRPr="0058349C">
              <w:rPr>
                <w:rFonts w:ascii="Garamond" w:eastAsia="Arial" w:hAnsi="Garamond" w:cs="Arial"/>
                <w:sz w:val="20"/>
                <w:szCs w:val="24"/>
                <w:lang w:val="sq-AL"/>
              </w:rPr>
              <w:t>Nevojiten investime të larta në infrastrukturën turistike publike rurale.</w:t>
            </w:r>
          </w:p>
          <w:p w14:paraId="0773AEC7" w14:textId="77777777" w:rsidR="00DF7A00" w:rsidRPr="0058349C" w:rsidRDefault="00DF7A00" w:rsidP="00B63E83">
            <w:pPr>
              <w:spacing w:after="0" w:line="240" w:lineRule="auto"/>
              <w:jc w:val="both"/>
              <w:rPr>
                <w:rFonts w:ascii="Garamond" w:eastAsia="Arial" w:hAnsi="Garamond" w:cs="Arial"/>
                <w:sz w:val="20"/>
                <w:szCs w:val="24"/>
                <w:lang w:val="sq-AL"/>
              </w:rPr>
            </w:pPr>
          </w:p>
        </w:tc>
      </w:tr>
      <w:tr w:rsidR="00664693" w:rsidRPr="0058349C" w14:paraId="0773AED1" w14:textId="77777777" w:rsidTr="00664693">
        <w:trPr>
          <w:jc w:val="center"/>
        </w:trPr>
        <w:tc>
          <w:tcPr>
            <w:tcW w:w="4508" w:type="dxa"/>
            <w:shd w:val="clear" w:color="auto" w:fill="auto"/>
          </w:tcPr>
          <w:p w14:paraId="0773AEC9" w14:textId="327B0FC8" w:rsidR="00DF7A00" w:rsidRPr="00654340"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
                <w:sz w:val="20"/>
                <w:szCs w:val="24"/>
                <w:lang w:val="sq-AL"/>
              </w:rPr>
              <w:t xml:space="preserve">Iniciativat e zhvillimit lokal bazuar </w:t>
            </w:r>
            <w:r w:rsidRPr="00654340">
              <w:rPr>
                <w:rFonts w:ascii="Garamond" w:eastAsia="Arial" w:hAnsi="Garamond" w:cs="Arial"/>
                <w:b/>
                <w:sz w:val="20"/>
                <w:szCs w:val="24"/>
                <w:lang w:val="sq-AL"/>
              </w:rPr>
              <w:t>në qasjen LEADER</w:t>
            </w:r>
          </w:p>
          <w:p w14:paraId="0773AECA" w14:textId="6F7D814B"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Kuadri ligjor i ri ligjor</w:t>
            </w:r>
            <w:r w:rsidR="00CF7694" w:rsidRPr="0058349C">
              <w:rPr>
                <w:rFonts w:ascii="Garamond" w:eastAsia="Arial" w:hAnsi="Garamond" w:cs="Arial"/>
                <w:bCs/>
                <w:sz w:val="20"/>
                <w:szCs w:val="24"/>
                <w:lang w:val="sq-AL"/>
              </w:rPr>
              <w:t xml:space="preserve"> </w:t>
            </w:r>
            <w:r w:rsidRPr="0058349C">
              <w:rPr>
                <w:rFonts w:ascii="Garamond" w:eastAsia="Arial" w:hAnsi="Garamond" w:cs="Arial"/>
                <w:bCs/>
                <w:sz w:val="20"/>
                <w:szCs w:val="24"/>
                <w:lang w:val="sq-AL"/>
              </w:rPr>
              <w:t>i hartuar për të stimuluar iniciativat lokale dhe për të promovuar partneritetet publik-privat.</w:t>
            </w:r>
          </w:p>
          <w:p w14:paraId="0773AECB" w14:textId="77777777"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Është përgatitur projekt-akti ligjor për organizimin dhe funksionimin e GVV-së sipas IPARD LEADER.</w:t>
            </w:r>
          </w:p>
          <w:p w14:paraId="0773AECC" w14:textId="77777777"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lastRenderedPageBreak/>
              <w:t>Masa LEADER është planifikuar p</w:t>
            </w:r>
            <w:r w:rsidRPr="0058349C">
              <w:rPr>
                <w:rFonts w:ascii="Garamond" w:hAnsi="Garamond" w:cs="Arial"/>
                <w:sz w:val="20"/>
                <w:szCs w:val="24"/>
                <w:lang w:val="sq-AL"/>
              </w:rPr>
              <w:t xml:space="preserve">ërgatitur dhe do të dërgohet që </w:t>
            </w:r>
            <w:r w:rsidRPr="0058349C">
              <w:rPr>
                <w:rFonts w:ascii="Garamond" w:eastAsia="Arial" w:hAnsi="Garamond" w:cs="Arial"/>
                <w:bCs/>
                <w:sz w:val="20"/>
                <w:szCs w:val="24"/>
                <w:lang w:val="sq-AL"/>
              </w:rPr>
              <w:t>të akreditohet sipas k</w:t>
            </w:r>
            <w:r w:rsidRPr="0058349C">
              <w:rPr>
                <w:rFonts w:ascii="Garamond" w:hAnsi="Garamond" w:cs="Arial"/>
                <w:sz w:val="20"/>
                <w:szCs w:val="24"/>
                <w:lang w:val="sq-AL"/>
              </w:rPr>
              <w:t>ërkesave të I</w:t>
            </w:r>
            <w:r w:rsidRPr="0058349C">
              <w:rPr>
                <w:rFonts w:ascii="Garamond" w:eastAsia="Arial" w:hAnsi="Garamond" w:cs="Arial"/>
                <w:bCs/>
                <w:sz w:val="20"/>
                <w:szCs w:val="24"/>
                <w:lang w:val="sq-AL"/>
              </w:rPr>
              <w:t xml:space="preserve">PARD III. </w:t>
            </w:r>
          </w:p>
          <w:p w14:paraId="0773AECD" w14:textId="6E06F7F4" w:rsidR="00DF7A00" w:rsidRPr="0058349C" w:rsidRDefault="00DF7A00" w:rsidP="00B63E83">
            <w:pPr>
              <w:spacing w:after="0" w:line="240" w:lineRule="auto"/>
              <w:jc w:val="both"/>
              <w:rPr>
                <w:rFonts w:ascii="Garamond" w:eastAsia="Arial" w:hAnsi="Garamond" w:cs="Arial"/>
                <w:bCs/>
                <w:sz w:val="20"/>
                <w:szCs w:val="24"/>
                <w:lang w:val="sq-AL"/>
              </w:rPr>
            </w:pPr>
            <w:r w:rsidRPr="0058349C">
              <w:rPr>
                <w:rFonts w:ascii="Garamond" w:eastAsia="Arial" w:hAnsi="Garamond" w:cs="Arial"/>
                <w:bCs/>
                <w:sz w:val="20"/>
                <w:szCs w:val="24"/>
                <w:lang w:val="sq-AL"/>
              </w:rPr>
              <w:t>Përvojat e grumbulluara nga aktorët lokalë për të koordinuar ndërhyrjet e zhvillimit lokal në zonat rurale,</w:t>
            </w:r>
            <w:r w:rsidR="00CF7694" w:rsidRPr="0058349C">
              <w:rPr>
                <w:rFonts w:ascii="Garamond" w:eastAsia="Arial" w:hAnsi="Garamond" w:cs="Arial"/>
                <w:bCs/>
                <w:sz w:val="20"/>
                <w:szCs w:val="24"/>
                <w:lang w:val="sq-AL"/>
              </w:rPr>
              <w:t xml:space="preserve"> </w:t>
            </w:r>
            <w:r w:rsidRPr="0058349C">
              <w:rPr>
                <w:rFonts w:ascii="Garamond" w:eastAsia="Arial" w:hAnsi="Garamond" w:cs="Arial"/>
                <w:bCs/>
                <w:sz w:val="20"/>
                <w:szCs w:val="24"/>
                <w:lang w:val="sq-AL"/>
              </w:rPr>
              <w:t>në kuadër të Programit të</w:t>
            </w:r>
            <w:r w:rsidR="00CF7694" w:rsidRPr="0058349C">
              <w:rPr>
                <w:rFonts w:ascii="Garamond" w:eastAsia="Arial" w:hAnsi="Garamond" w:cs="Arial"/>
                <w:bCs/>
                <w:sz w:val="20"/>
                <w:szCs w:val="24"/>
                <w:lang w:val="sq-AL"/>
              </w:rPr>
              <w:t xml:space="preserve"> </w:t>
            </w:r>
            <w:r w:rsidRPr="0058349C">
              <w:rPr>
                <w:rFonts w:ascii="Garamond" w:eastAsia="Arial" w:hAnsi="Garamond" w:cs="Arial"/>
                <w:bCs/>
                <w:sz w:val="20"/>
                <w:szCs w:val="24"/>
                <w:lang w:val="sq-AL"/>
              </w:rPr>
              <w:t xml:space="preserve">Qeverisë Shqiptare </w:t>
            </w:r>
            <w:r w:rsidR="00664693" w:rsidRPr="0058349C">
              <w:rPr>
                <w:rFonts w:ascii="Garamond" w:eastAsia="Arial" w:hAnsi="Garamond" w:cs="Arial"/>
                <w:bCs/>
                <w:sz w:val="20"/>
                <w:szCs w:val="24"/>
                <w:lang w:val="sq-AL"/>
              </w:rPr>
              <w:t>“</w:t>
            </w:r>
            <w:r w:rsidRPr="0058349C">
              <w:rPr>
                <w:rFonts w:ascii="Garamond" w:eastAsia="Arial" w:hAnsi="Garamond" w:cs="Arial"/>
                <w:bCs/>
                <w:sz w:val="20"/>
                <w:szCs w:val="24"/>
                <w:lang w:val="sq-AL"/>
              </w:rPr>
              <w:t>100-Fshatrat</w:t>
            </w:r>
            <w:r w:rsidR="00664693" w:rsidRPr="0058349C">
              <w:rPr>
                <w:rFonts w:ascii="Garamond" w:eastAsia="Arial" w:hAnsi="Garamond" w:cs="Arial"/>
                <w:bCs/>
                <w:sz w:val="20"/>
                <w:szCs w:val="24"/>
                <w:lang w:val="sq-AL"/>
              </w:rPr>
              <w:t>”</w:t>
            </w:r>
            <w:r w:rsidRPr="0058349C">
              <w:rPr>
                <w:rFonts w:ascii="Garamond" w:eastAsia="Arial" w:hAnsi="Garamond" w:cs="Arial"/>
                <w:bCs/>
                <w:sz w:val="20"/>
                <w:szCs w:val="24"/>
                <w:lang w:val="sq-AL"/>
              </w:rPr>
              <w:t>.</w:t>
            </w:r>
          </w:p>
        </w:tc>
        <w:tc>
          <w:tcPr>
            <w:tcW w:w="4508" w:type="dxa"/>
            <w:shd w:val="clear" w:color="auto" w:fill="auto"/>
          </w:tcPr>
          <w:p w14:paraId="0773AECE" w14:textId="77777777" w:rsidR="00DF7A00" w:rsidRPr="0058349C" w:rsidRDefault="00DF7A00" w:rsidP="00B63E83">
            <w:pPr>
              <w:spacing w:after="0" w:line="240" w:lineRule="auto"/>
              <w:jc w:val="both"/>
              <w:rPr>
                <w:rFonts w:ascii="Garamond" w:eastAsia="Arial" w:hAnsi="Garamond" w:cs="Arial"/>
                <w:sz w:val="20"/>
                <w:szCs w:val="24"/>
                <w:lang w:val="sq-AL"/>
              </w:rPr>
            </w:pPr>
          </w:p>
          <w:p w14:paraId="0773AECF" w14:textId="77777777" w:rsidR="00DF7A00" w:rsidRPr="0058349C" w:rsidRDefault="00DF7A00" w:rsidP="00B63E83">
            <w:pPr>
              <w:spacing w:after="0" w:line="240" w:lineRule="auto"/>
              <w:jc w:val="both"/>
              <w:rPr>
                <w:rFonts w:ascii="Garamond" w:eastAsia="Arial" w:hAnsi="Garamond" w:cs="Arial"/>
                <w:sz w:val="20"/>
                <w:szCs w:val="24"/>
                <w:lang w:val="sq-AL"/>
              </w:rPr>
            </w:pPr>
            <w:r w:rsidRPr="0058349C">
              <w:rPr>
                <w:rFonts w:ascii="Garamond" w:eastAsia="Arial" w:hAnsi="Garamond" w:cs="Arial"/>
                <w:sz w:val="20"/>
                <w:szCs w:val="24"/>
                <w:lang w:val="sq-AL"/>
              </w:rPr>
              <w:t>Mungesa e burimeve dhe e ndërgjegjësimit në nivel bashkiak për të mbështetur partneritetet ndërmjet aktorëve publikë, privatë dhe të shoqërisë civile në zonat rurale.</w:t>
            </w:r>
          </w:p>
          <w:p w14:paraId="0773AED0" w14:textId="55D97D18" w:rsidR="00DF7A00" w:rsidRPr="0058349C" w:rsidRDefault="00DF7A00" w:rsidP="00B63E83">
            <w:pPr>
              <w:spacing w:after="0" w:line="240" w:lineRule="auto"/>
              <w:jc w:val="both"/>
              <w:rPr>
                <w:rFonts w:ascii="Garamond" w:eastAsia="Arial" w:hAnsi="Garamond" w:cs="Arial"/>
                <w:sz w:val="20"/>
                <w:szCs w:val="24"/>
                <w:lang w:val="sq-AL"/>
              </w:rPr>
            </w:pPr>
            <w:r w:rsidRPr="0058349C">
              <w:rPr>
                <w:rFonts w:ascii="Garamond" w:eastAsia="Arial" w:hAnsi="Garamond" w:cs="Arial"/>
                <w:sz w:val="20"/>
                <w:szCs w:val="24"/>
                <w:lang w:val="sq-AL"/>
              </w:rPr>
              <w:t>Bazë të ulët të kapaciteteve t</w:t>
            </w:r>
            <w:r w:rsidRPr="0058349C">
              <w:rPr>
                <w:rFonts w:ascii="Garamond" w:eastAsia="Arial" w:hAnsi="Garamond" w:cs="Arial"/>
                <w:bCs/>
                <w:sz w:val="20"/>
                <w:szCs w:val="24"/>
                <w:lang w:val="sq-AL"/>
              </w:rPr>
              <w:t xml:space="preserve">ë aktorëve </w:t>
            </w:r>
            <w:r w:rsidRPr="0058349C">
              <w:rPr>
                <w:rFonts w:ascii="Garamond" w:eastAsia="Arial" w:hAnsi="Garamond" w:cs="Arial"/>
                <w:sz w:val="20"/>
                <w:szCs w:val="24"/>
                <w:lang w:val="sq-AL"/>
              </w:rPr>
              <w:t>lokal</w:t>
            </w:r>
            <w:r w:rsidR="00654340">
              <w:rPr>
                <w:rFonts w:ascii="Garamond" w:eastAsia="Arial" w:hAnsi="Garamond" w:cs="Arial"/>
                <w:sz w:val="20"/>
                <w:szCs w:val="24"/>
                <w:lang w:val="sq-AL"/>
              </w:rPr>
              <w:t>ë</w:t>
            </w:r>
            <w:r w:rsidRPr="0058349C">
              <w:rPr>
                <w:rFonts w:ascii="Garamond" w:eastAsia="Arial" w:hAnsi="Garamond" w:cs="Arial"/>
                <w:sz w:val="20"/>
                <w:szCs w:val="24"/>
                <w:lang w:val="sq-AL"/>
              </w:rPr>
              <w:t>, gjë që është thelbësore për qasjet e zhvillimit me pjesëmarrje.</w:t>
            </w:r>
          </w:p>
        </w:tc>
      </w:tr>
    </w:tbl>
    <w:p w14:paraId="0773AED2" w14:textId="77777777" w:rsidR="00DF7A00" w:rsidRPr="0058349C" w:rsidRDefault="00DF7A00" w:rsidP="00DF7A00">
      <w:pPr>
        <w:pStyle w:val="Heading4"/>
        <w:spacing w:before="0" w:after="0" w:line="240" w:lineRule="auto"/>
        <w:ind w:left="0" w:firstLine="284"/>
        <w:jc w:val="both"/>
        <w:rPr>
          <w:rFonts w:ascii="Garamond" w:hAnsi="Garamond"/>
          <w:color w:val="auto"/>
          <w:sz w:val="24"/>
          <w:szCs w:val="24"/>
        </w:rPr>
      </w:pPr>
      <w:bookmarkStart w:id="32" w:name="_Ref88984362"/>
      <w:bookmarkStart w:id="33" w:name="_Toc103838829"/>
      <w:r w:rsidRPr="0058349C">
        <w:rPr>
          <w:rFonts w:ascii="Garamond" w:hAnsi="Garamond"/>
          <w:color w:val="auto"/>
          <w:sz w:val="24"/>
          <w:szCs w:val="24"/>
        </w:rPr>
        <w:lastRenderedPageBreak/>
        <w:t>Identifikimi i ndërhyrjeve sipas nevojave</w:t>
      </w:r>
      <w:bookmarkEnd w:id="32"/>
      <w:r w:rsidRPr="0058349C">
        <w:rPr>
          <w:rFonts w:ascii="Garamond" w:hAnsi="Garamond"/>
          <w:color w:val="auto"/>
          <w:sz w:val="24"/>
          <w:szCs w:val="24"/>
        </w:rPr>
        <w:t xml:space="preserve"> në kuadër të politikës 1, objektivit të përgjithshëm 3</w:t>
      </w:r>
      <w:bookmarkEnd w:id="33"/>
    </w:p>
    <w:p w14:paraId="0773AED3" w14:textId="2B14BE87" w:rsidR="00DF7A00" w:rsidRPr="0058349C" w:rsidRDefault="00B63E83" w:rsidP="00B63E83">
      <w:pPr>
        <w:pStyle w:val="TEKSTIIII"/>
        <w:rPr>
          <w:b/>
          <w:lang w:val="sq-AL"/>
        </w:rPr>
      </w:pPr>
      <w:r w:rsidRPr="0058349C">
        <w:rPr>
          <w:b/>
          <w:lang w:val="sq-AL"/>
        </w:rPr>
        <w:t xml:space="preserve">3.1 </w:t>
      </w:r>
      <w:r w:rsidR="00DF7A00" w:rsidRPr="0058349C">
        <w:rPr>
          <w:b/>
          <w:lang w:val="sq-AL"/>
        </w:rPr>
        <w:t xml:space="preserve">Përmirësimi i mundësive të zinxhirit të shkurtër të furnizimit për fermerët dhe </w:t>
      </w:r>
      <w:r w:rsidR="00654340">
        <w:rPr>
          <w:b/>
          <w:lang w:val="sq-AL"/>
        </w:rPr>
        <w:t xml:space="preserve">për </w:t>
      </w:r>
      <w:r w:rsidR="00DF7A00" w:rsidRPr="0058349C">
        <w:rPr>
          <w:b/>
          <w:lang w:val="sq-AL"/>
        </w:rPr>
        <w:t>prodhuesit e vegjël të ushqimit.</w:t>
      </w:r>
    </w:p>
    <w:p w14:paraId="0773AED4" w14:textId="46C2A531" w:rsidR="00DF7A00" w:rsidRPr="0058349C" w:rsidRDefault="00DF7A00" w:rsidP="00D928ED">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Ndryshimet në </w:t>
      </w:r>
      <w:r w:rsidR="00D928ED" w:rsidRPr="0058349C">
        <w:rPr>
          <w:rFonts w:ascii="Garamond" w:hAnsi="Garamond" w:cs="Arial"/>
          <w:sz w:val="24"/>
          <w:szCs w:val="24"/>
          <w:lang w:val="sq-AL"/>
        </w:rPr>
        <w:t>udhëzimin nr.</w:t>
      </w:r>
      <w:r w:rsidR="00D928ED">
        <w:rPr>
          <w:rFonts w:ascii="Garamond" w:hAnsi="Garamond" w:cs="Arial"/>
          <w:sz w:val="24"/>
          <w:szCs w:val="24"/>
          <w:lang w:val="sq-AL"/>
        </w:rPr>
        <w:t xml:space="preserve"> </w:t>
      </w:r>
      <w:r w:rsidRPr="0058349C">
        <w:rPr>
          <w:rFonts w:ascii="Garamond" w:hAnsi="Garamond" w:cs="Arial"/>
          <w:sz w:val="24"/>
          <w:szCs w:val="24"/>
          <w:lang w:val="sq-AL"/>
        </w:rPr>
        <w:t>5</w:t>
      </w:r>
      <w:r w:rsidR="00D928ED">
        <w:rPr>
          <w:rFonts w:ascii="Garamond" w:hAnsi="Garamond" w:cs="Arial"/>
          <w:sz w:val="24"/>
          <w:szCs w:val="24"/>
          <w:lang w:val="sq-AL"/>
        </w:rPr>
        <w:t>,</w:t>
      </w:r>
      <w:r w:rsidRPr="0058349C">
        <w:rPr>
          <w:rFonts w:ascii="Garamond" w:hAnsi="Garamond" w:cs="Arial"/>
          <w:sz w:val="24"/>
          <w:szCs w:val="24"/>
          <w:lang w:val="sq-AL"/>
        </w:rPr>
        <w:t xml:space="preserve"> datë 4.5.2018</w:t>
      </w:r>
      <w:r w:rsidR="00D928ED">
        <w:rPr>
          <w:rFonts w:ascii="Garamond" w:hAnsi="Garamond" w:cs="Arial"/>
          <w:sz w:val="24"/>
          <w:szCs w:val="24"/>
          <w:lang w:val="sq-AL"/>
        </w:rPr>
        <w:t xml:space="preserve">, </w:t>
      </w:r>
      <w:r w:rsidRPr="0058349C">
        <w:rPr>
          <w:rFonts w:ascii="Garamond" w:hAnsi="Garamond" w:cs="Arial"/>
          <w:sz w:val="24"/>
          <w:szCs w:val="24"/>
          <w:lang w:val="sq-AL"/>
        </w:rPr>
        <w:t>të MBZHR-së për zbatimin me fleksibilitet t</w:t>
      </w:r>
      <w:r w:rsidRPr="0058349C">
        <w:rPr>
          <w:rFonts w:ascii="Garamond" w:eastAsia="Arial" w:hAnsi="Garamond" w:cs="Arial"/>
          <w:bCs/>
          <w:sz w:val="24"/>
          <w:szCs w:val="24"/>
          <w:lang w:val="sq-AL"/>
        </w:rPr>
        <w:t>ë HACCP</w:t>
      </w:r>
      <w:r w:rsidR="00D928ED">
        <w:rPr>
          <w:rFonts w:ascii="Garamond" w:eastAsia="Arial" w:hAnsi="Garamond" w:cs="Arial"/>
          <w:bCs/>
          <w:sz w:val="24"/>
          <w:szCs w:val="24"/>
          <w:lang w:val="sq-AL"/>
        </w:rPr>
        <w:t>-së</w:t>
      </w:r>
      <w:r w:rsidRPr="0058349C">
        <w:rPr>
          <w:rFonts w:ascii="Garamond" w:hAnsi="Garamond" w:cs="Arial"/>
          <w:sz w:val="24"/>
          <w:szCs w:val="24"/>
          <w:lang w:val="sq-AL"/>
        </w:rPr>
        <w:t xml:space="preserve">, siç parashikohet në </w:t>
      </w:r>
      <w:r w:rsidR="00D928ED" w:rsidRPr="0058349C">
        <w:rPr>
          <w:rFonts w:ascii="Garamond" w:hAnsi="Garamond" w:cs="Arial"/>
          <w:sz w:val="24"/>
          <w:szCs w:val="24"/>
          <w:lang w:val="sq-AL"/>
        </w:rPr>
        <w:t>ligjin kombëtar të ushqimit nr</w:t>
      </w:r>
      <w:r w:rsidRPr="0058349C">
        <w:rPr>
          <w:rFonts w:ascii="Garamond" w:hAnsi="Garamond" w:cs="Arial"/>
          <w:sz w:val="24"/>
          <w:szCs w:val="24"/>
          <w:lang w:val="sq-AL"/>
        </w:rPr>
        <w:t xml:space="preserve">. 9863/2008, neni 26(7) për </w:t>
      </w:r>
      <w:r w:rsidRPr="0058349C">
        <w:rPr>
          <w:rFonts w:ascii="Garamond" w:hAnsi="Garamond" w:cs="Arial"/>
          <w:b/>
          <w:sz w:val="24"/>
          <w:szCs w:val="24"/>
          <w:lang w:val="sq-AL"/>
        </w:rPr>
        <w:t>prodhuesit e vegjël të ushqimit</w:t>
      </w:r>
      <w:r w:rsidRPr="0058349C">
        <w:rPr>
          <w:rFonts w:ascii="Garamond" w:hAnsi="Garamond" w:cs="Arial"/>
          <w:sz w:val="24"/>
          <w:szCs w:val="24"/>
          <w:lang w:val="sq-AL"/>
        </w:rPr>
        <w:t>, nevojiten për të rritur mundësitë e tyre për të investuar në zinxhirët e furnizimit të shkurtër q</w:t>
      </w:r>
      <w:r w:rsidRPr="0058349C">
        <w:rPr>
          <w:rFonts w:ascii="Garamond" w:eastAsia="Arial" w:hAnsi="Garamond" w:cs="Arial"/>
          <w:bCs/>
          <w:sz w:val="24"/>
          <w:szCs w:val="24"/>
          <w:lang w:val="sq-AL"/>
        </w:rPr>
        <w:t xml:space="preserve">ë janë </w:t>
      </w:r>
      <w:r w:rsidRPr="0058349C">
        <w:rPr>
          <w:rFonts w:ascii="Garamond" w:hAnsi="Garamond" w:cs="Arial"/>
          <w:sz w:val="24"/>
          <w:szCs w:val="24"/>
          <w:lang w:val="sq-AL"/>
        </w:rPr>
        <w:t>premtues p</w:t>
      </w:r>
      <w:r w:rsidRPr="0058349C">
        <w:rPr>
          <w:rFonts w:ascii="Garamond" w:eastAsia="Arial" w:hAnsi="Garamond" w:cs="Arial"/>
          <w:bCs/>
          <w:sz w:val="24"/>
          <w:szCs w:val="24"/>
          <w:lang w:val="sq-AL"/>
        </w:rPr>
        <w:t xml:space="preserve">ër </w:t>
      </w:r>
      <w:r w:rsidRPr="0058349C">
        <w:rPr>
          <w:rFonts w:ascii="Garamond" w:hAnsi="Garamond" w:cs="Arial"/>
          <w:sz w:val="24"/>
          <w:szCs w:val="24"/>
          <w:lang w:val="sq-AL"/>
        </w:rPr>
        <w:t>ta. Kjo nënkupton një rregullim (rritje) të pragjeve dhe të gamës së produkteve</w:t>
      </w:r>
      <w:r w:rsidR="00D928ED">
        <w:rPr>
          <w:rFonts w:ascii="Garamond" w:hAnsi="Garamond" w:cs="Arial"/>
          <w:sz w:val="24"/>
          <w:szCs w:val="24"/>
          <w:lang w:val="sq-AL"/>
        </w:rPr>
        <w:t>,</w:t>
      </w:r>
      <w:r w:rsidRPr="0058349C">
        <w:rPr>
          <w:rFonts w:ascii="Garamond" w:hAnsi="Garamond" w:cs="Arial"/>
          <w:sz w:val="24"/>
          <w:szCs w:val="24"/>
          <w:lang w:val="sq-AL"/>
        </w:rPr>
        <w:t xml:space="preserve"> që lidhen me produktet ushqimore me origjinë shtazore, për të nxitur zinxhirët e shkurtër të furnizimit dhe për t</w:t>
      </w:r>
      <w:r w:rsidR="00D928ED">
        <w:rPr>
          <w:rFonts w:ascii="Garamond" w:hAnsi="Garamond" w:cs="Arial"/>
          <w:sz w:val="24"/>
          <w:szCs w:val="24"/>
          <w:lang w:val="sq-AL"/>
        </w:rPr>
        <w:t>’</w:t>
      </w:r>
      <w:r w:rsidRPr="0058349C">
        <w:rPr>
          <w:rFonts w:ascii="Garamond" w:hAnsi="Garamond" w:cs="Arial"/>
          <w:sz w:val="24"/>
          <w:szCs w:val="24"/>
          <w:lang w:val="sq-AL"/>
        </w:rPr>
        <w:t>iu përgjigjur kërkesave të konsumatorëve për ushqim të shëndetshëm, të prodhuar lokalisht.</w:t>
      </w:r>
    </w:p>
    <w:p w14:paraId="0773AED5" w14:textId="76EFD4C1" w:rsidR="00DF7A00" w:rsidRPr="0058349C" w:rsidRDefault="00DF7A00" w:rsidP="00D928ED">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Për rritjen e investimeve në </w:t>
      </w:r>
      <w:r w:rsidRPr="0058349C">
        <w:rPr>
          <w:rFonts w:ascii="Garamond" w:hAnsi="Garamond" w:cs="Arial"/>
          <w:b/>
          <w:sz w:val="24"/>
          <w:szCs w:val="24"/>
          <w:lang w:val="sq-AL"/>
        </w:rPr>
        <w:t>tregtimin e drejtpërdrejtë të produkteve agroushqimore të freskëta dhe të përpunuara nga fermerët,</w:t>
      </w:r>
      <w:r w:rsidRPr="0058349C">
        <w:rPr>
          <w:rFonts w:ascii="Garamond" w:hAnsi="Garamond" w:cs="Arial"/>
          <w:sz w:val="24"/>
          <w:szCs w:val="24"/>
          <w:lang w:val="sq-AL"/>
        </w:rPr>
        <w:t xml:space="preserve"> duhet të përcaktohet një koncept i përshtatshëm i marketingut të drejtpërdrejtë, që lidhet me mundësinë e fleksibilitetit nga zbatimi i sistemit të vetëkontrollit, por edhe q</w:t>
      </w:r>
      <w:r w:rsidRPr="0058349C">
        <w:rPr>
          <w:rFonts w:ascii="Garamond" w:eastAsia="Arial" w:hAnsi="Garamond" w:cs="Arial"/>
          <w:bCs/>
          <w:sz w:val="24"/>
          <w:szCs w:val="24"/>
          <w:lang w:val="sq-AL"/>
        </w:rPr>
        <w:t xml:space="preserve">ë merr </w:t>
      </w:r>
      <w:r w:rsidRPr="0058349C">
        <w:rPr>
          <w:rFonts w:ascii="Garamond" w:hAnsi="Garamond" w:cs="Arial"/>
          <w:sz w:val="24"/>
          <w:szCs w:val="24"/>
          <w:lang w:val="sq-AL"/>
        </w:rPr>
        <w:t>parasysh preferencat e konsumatorëve për produkte të larmishme. Kjo mund të përfshijë</w:t>
      </w:r>
      <w:r w:rsidR="00D928ED">
        <w:rPr>
          <w:rFonts w:ascii="Garamond" w:hAnsi="Garamond" w:cs="Arial"/>
          <w:sz w:val="24"/>
          <w:szCs w:val="24"/>
          <w:lang w:val="sq-AL"/>
        </w:rPr>
        <w:t>,</w:t>
      </w:r>
      <w:r w:rsidRPr="0058349C">
        <w:rPr>
          <w:rFonts w:ascii="Garamond" w:hAnsi="Garamond" w:cs="Arial"/>
          <w:sz w:val="24"/>
          <w:szCs w:val="24"/>
          <w:lang w:val="sq-AL"/>
        </w:rPr>
        <w:t xml:space="preserve"> gjithashtu</w:t>
      </w:r>
      <w:r w:rsidR="00D928ED">
        <w:rPr>
          <w:rFonts w:ascii="Garamond" w:hAnsi="Garamond" w:cs="Arial"/>
          <w:sz w:val="24"/>
          <w:szCs w:val="24"/>
          <w:lang w:val="sq-AL"/>
        </w:rPr>
        <w:t>,</w:t>
      </w:r>
      <w:r w:rsidRPr="0058349C">
        <w:rPr>
          <w:rFonts w:ascii="Garamond" w:hAnsi="Garamond" w:cs="Arial"/>
          <w:sz w:val="24"/>
          <w:szCs w:val="24"/>
          <w:lang w:val="sq-AL"/>
        </w:rPr>
        <w:t xml:space="preserve"> mundësinë q</w:t>
      </w:r>
      <w:r w:rsidRPr="0058349C">
        <w:rPr>
          <w:rFonts w:ascii="Garamond" w:eastAsia="Arial" w:hAnsi="Garamond" w:cs="Arial"/>
          <w:bCs/>
          <w:sz w:val="24"/>
          <w:szCs w:val="24"/>
          <w:lang w:val="sq-AL"/>
        </w:rPr>
        <w:t xml:space="preserve">ë </w:t>
      </w:r>
      <w:r w:rsidRPr="0058349C">
        <w:rPr>
          <w:rFonts w:ascii="Garamond" w:hAnsi="Garamond" w:cs="Arial"/>
          <w:sz w:val="24"/>
          <w:szCs w:val="24"/>
          <w:lang w:val="sq-AL"/>
        </w:rPr>
        <w:t>fermerët t</w:t>
      </w:r>
      <w:r w:rsidRPr="0058349C">
        <w:rPr>
          <w:rFonts w:ascii="Garamond" w:eastAsia="Arial" w:hAnsi="Garamond" w:cs="Arial"/>
          <w:bCs/>
          <w:sz w:val="24"/>
          <w:szCs w:val="24"/>
          <w:lang w:val="sq-AL"/>
        </w:rPr>
        <w:t>ë bëjnë</w:t>
      </w:r>
      <w:r w:rsidRPr="0058349C">
        <w:rPr>
          <w:rFonts w:ascii="Garamond" w:hAnsi="Garamond" w:cs="Arial"/>
          <w:sz w:val="24"/>
          <w:szCs w:val="24"/>
          <w:lang w:val="sq-AL"/>
        </w:rPr>
        <w:t xml:space="preserve"> përpunimin e produkteve të tyre, bazuar n</w:t>
      </w:r>
      <w:r w:rsidRPr="0058349C">
        <w:rPr>
          <w:rFonts w:ascii="Garamond" w:eastAsia="Arial" w:hAnsi="Garamond" w:cs="Arial"/>
          <w:bCs/>
          <w:sz w:val="24"/>
          <w:szCs w:val="24"/>
          <w:lang w:val="sq-AL"/>
        </w:rPr>
        <w:t xml:space="preserve">ë </w:t>
      </w:r>
      <w:r w:rsidRPr="0058349C">
        <w:rPr>
          <w:rFonts w:ascii="Garamond" w:hAnsi="Garamond" w:cs="Arial"/>
          <w:sz w:val="24"/>
          <w:szCs w:val="24"/>
          <w:lang w:val="sq-AL"/>
        </w:rPr>
        <w:t>kontrata t</w:t>
      </w:r>
      <w:r w:rsidRPr="0058349C">
        <w:rPr>
          <w:rFonts w:ascii="Garamond" w:eastAsia="Arial" w:hAnsi="Garamond" w:cs="Arial"/>
          <w:bCs/>
          <w:sz w:val="24"/>
          <w:szCs w:val="24"/>
          <w:lang w:val="sq-AL"/>
        </w:rPr>
        <w:t>ë</w:t>
      </w:r>
      <w:r w:rsidRPr="0058349C">
        <w:rPr>
          <w:rFonts w:ascii="Garamond" w:hAnsi="Garamond" w:cs="Arial"/>
          <w:sz w:val="24"/>
          <w:szCs w:val="24"/>
          <w:lang w:val="sq-AL"/>
        </w:rPr>
        <w:t xml:space="preserve"> lidhura me ndërmarrjet e përpunimit artizanal (duke mbështetur në këtë mënyrë punësimin dhe të ardhurat), me kusht që produktet të përpunohen veçmas nga produktet e njësive të</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tjera prodhuese</w:t>
      </w:r>
      <w:r w:rsidR="00797859">
        <w:rPr>
          <w:rFonts w:ascii="Garamond" w:hAnsi="Garamond" w:cs="Arial"/>
          <w:sz w:val="24"/>
          <w:szCs w:val="24"/>
          <w:lang w:val="sq-AL"/>
        </w:rPr>
        <w:t>/</w:t>
      </w:r>
      <w:r w:rsidRPr="0058349C">
        <w:rPr>
          <w:rFonts w:ascii="Garamond" w:hAnsi="Garamond" w:cs="Arial"/>
          <w:sz w:val="24"/>
          <w:szCs w:val="24"/>
          <w:lang w:val="sq-AL"/>
        </w:rPr>
        <w:t>p</w:t>
      </w:r>
      <w:r w:rsidRPr="0058349C">
        <w:rPr>
          <w:rFonts w:ascii="Garamond" w:eastAsia="Arial" w:hAnsi="Garamond" w:cs="Arial"/>
          <w:bCs/>
          <w:sz w:val="24"/>
          <w:szCs w:val="24"/>
          <w:lang w:val="sq-AL"/>
        </w:rPr>
        <w:t>ërpunuese</w:t>
      </w:r>
      <w:r w:rsidRPr="0058349C">
        <w:rPr>
          <w:rFonts w:ascii="Garamond" w:hAnsi="Garamond" w:cs="Arial"/>
          <w:sz w:val="24"/>
          <w:szCs w:val="24"/>
          <w:lang w:val="sq-AL"/>
        </w:rPr>
        <w:t>.</w:t>
      </w:r>
    </w:p>
    <w:p w14:paraId="0773AED6"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 xml:space="preserve">Me vendosjen e kushteve të duhura të kuadrit ligjor dhe administrativ, </w:t>
      </w:r>
      <w:r w:rsidRPr="0058349C">
        <w:rPr>
          <w:rFonts w:ascii="Garamond" w:hAnsi="Garamond" w:cs="Arial"/>
          <w:sz w:val="24"/>
          <w:szCs w:val="24"/>
          <w:lang w:val="sq-AL"/>
        </w:rPr>
        <w:t>për diversifikimin e ekonomisë rurale</w:t>
      </w:r>
      <w:r w:rsidRPr="0058349C">
        <w:rPr>
          <w:rFonts w:ascii="Garamond" w:eastAsia="Arial" w:hAnsi="Garamond" w:cs="Arial"/>
          <w:bCs/>
          <w:sz w:val="24"/>
          <w:szCs w:val="24"/>
          <w:lang w:val="sq-AL"/>
        </w:rPr>
        <w:t xml:space="preserve"> është e nevojshme</w:t>
      </w:r>
      <w:r w:rsidRPr="0058349C">
        <w:rPr>
          <w:rFonts w:ascii="Garamond" w:hAnsi="Garamond" w:cs="Arial"/>
          <w:b/>
          <w:sz w:val="24"/>
          <w:szCs w:val="24"/>
          <w:lang w:val="sq-AL"/>
        </w:rPr>
        <w:t xml:space="preserve"> mbështetja për investime në pajisje të reja dhe p</w:t>
      </w:r>
      <w:r w:rsidRPr="00D928ED">
        <w:rPr>
          <w:rFonts w:ascii="Garamond" w:eastAsia="Arial" w:hAnsi="Garamond" w:cs="Arial"/>
          <w:b/>
          <w:sz w:val="24"/>
          <w:szCs w:val="24"/>
          <w:lang w:val="sq-AL"/>
        </w:rPr>
        <w:t>ër</w:t>
      </w:r>
      <w:r w:rsidRPr="0058349C">
        <w:rPr>
          <w:rFonts w:ascii="Garamond" w:hAnsi="Garamond" w:cs="Arial"/>
          <w:b/>
          <w:sz w:val="24"/>
          <w:szCs w:val="24"/>
          <w:lang w:val="sq-AL"/>
        </w:rPr>
        <w:t xml:space="preserve"> modernizimin </w:t>
      </w:r>
      <w:r w:rsidRPr="0058349C">
        <w:rPr>
          <w:rFonts w:ascii="Garamond" w:hAnsi="Garamond" w:cs="Arial"/>
          <w:sz w:val="24"/>
          <w:szCs w:val="24"/>
          <w:lang w:val="sq-AL"/>
        </w:rPr>
        <w:t>e pajisjeve ekzistuese në fermë p</w:t>
      </w:r>
      <w:r w:rsidRPr="0058349C">
        <w:rPr>
          <w:rFonts w:ascii="Garamond" w:eastAsia="Arial" w:hAnsi="Garamond" w:cs="Arial"/>
          <w:bCs/>
          <w:sz w:val="24"/>
          <w:szCs w:val="24"/>
          <w:lang w:val="sq-AL"/>
        </w:rPr>
        <w:t>ër</w:t>
      </w:r>
      <w:r w:rsidRPr="0058349C">
        <w:rPr>
          <w:rFonts w:ascii="Garamond" w:hAnsi="Garamond" w:cs="Arial"/>
          <w:sz w:val="24"/>
          <w:szCs w:val="24"/>
          <w:lang w:val="sq-AL"/>
        </w:rPr>
        <w:t xml:space="preserve"> përpunimin e ushqimit n</w:t>
      </w:r>
      <w:r w:rsidRPr="0058349C">
        <w:rPr>
          <w:rFonts w:ascii="Garamond" w:eastAsia="Arial" w:hAnsi="Garamond" w:cs="Arial"/>
          <w:bCs/>
          <w:sz w:val="24"/>
          <w:szCs w:val="24"/>
          <w:lang w:val="sq-AL"/>
        </w:rPr>
        <w:t xml:space="preserve">ë fermë dhe prodhimin </w:t>
      </w:r>
      <w:r w:rsidRPr="0058349C">
        <w:rPr>
          <w:rFonts w:ascii="Garamond" w:hAnsi="Garamond" w:cs="Arial"/>
          <w:sz w:val="24"/>
          <w:szCs w:val="24"/>
          <w:lang w:val="sq-AL"/>
        </w:rPr>
        <w:t>artizanal, t</w:t>
      </w:r>
      <w:r w:rsidRPr="0058349C">
        <w:rPr>
          <w:rFonts w:ascii="Garamond" w:eastAsia="Arial" w:hAnsi="Garamond" w:cs="Arial"/>
          <w:bCs/>
          <w:sz w:val="24"/>
          <w:szCs w:val="24"/>
          <w:lang w:val="sq-AL"/>
        </w:rPr>
        <w:t xml:space="preserve">ë </w:t>
      </w:r>
      <w:r w:rsidRPr="0058349C">
        <w:rPr>
          <w:rFonts w:ascii="Garamond" w:hAnsi="Garamond" w:cs="Arial"/>
          <w:sz w:val="24"/>
          <w:szCs w:val="24"/>
          <w:lang w:val="sq-AL"/>
        </w:rPr>
        <w:t>shitjes, ruajtjes, ftohjes, paketimit dhe etiketimit dhe objekteve për marketing të drejtpërdrejtë.</w:t>
      </w:r>
    </w:p>
    <w:p w14:paraId="0773AED7" w14:textId="34268176" w:rsidR="00DF7A00" w:rsidRPr="0058349C" w:rsidRDefault="00DF7A00" w:rsidP="00D928ED">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Zbatimi i </w:t>
      </w:r>
      <w:r w:rsidRPr="0058349C">
        <w:rPr>
          <w:rFonts w:ascii="Garamond" w:hAnsi="Garamond" w:cs="Arial"/>
          <w:b/>
          <w:sz w:val="24"/>
          <w:szCs w:val="24"/>
          <w:lang w:val="sq-AL"/>
        </w:rPr>
        <w:t>sistemeve të gjurmueshmërisë së ushqimit dhe i skemave të duhura vullnetare të cilësisë së ushqimit</w:t>
      </w:r>
      <w:r w:rsidRPr="0058349C">
        <w:rPr>
          <w:rFonts w:ascii="Garamond" w:hAnsi="Garamond" w:cs="Arial"/>
          <w:sz w:val="24"/>
          <w:szCs w:val="24"/>
          <w:lang w:val="sq-AL"/>
        </w:rPr>
        <w:t xml:space="preserve"> (p.sh., </w:t>
      </w:r>
      <w:r w:rsidR="00664693" w:rsidRPr="0058349C">
        <w:rPr>
          <w:rFonts w:ascii="Garamond" w:hAnsi="Garamond" w:cs="Arial"/>
          <w:sz w:val="24"/>
          <w:szCs w:val="24"/>
          <w:lang w:val="sq-AL"/>
        </w:rPr>
        <w:t>“</w:t>
      </w:r>
      <w:r w:rsidRPr="0058349C">
        <w:rPr>
          <w:rFonts w:ascii="Garamond" w:hAnsi="Garamond" w:cs="Arial"/>
          <w:sz w:val="24"/>
          <w:szCs w:val="24"/>
          <w:lang w:val="sq-AL"/>
        </w:rPr>
        <w:t>marketing i drejtpërdrejtë bujqësor</w:t>
      </w:r>
      <w:r w:rsidR="00664693" w:rsidRPr="0058349C">
        <w:rPr>
          <w:rFonts w:ascii="Garamond" w:hAnsi="Garamond" w:cs="Arial"/>
          <w:sz w:val="24"/>
          <w:szCs w:val="24"/>
          <w:lang w:val="sq-AL"/>
        </w:rPr>
        <w:t>”</w:t>
      </w:r>
      <w:r w:rsidRPr="0058349C">
        <w:rPr>
          <w:rFonts w:ascii="Garamond" w:hAnsi="Garamond" w:cs="Arial"/>
          <w:sz w:val="24"/>
          <w:szCs w:val="24"/>
          <w:lang w:val="sq-AL"/>
        </w:rPr>
        <w:t xml:space="preserve">, </w:t>
      </w:r>
      <w:r w:rsidR="00664693" w:rsidRPr="0058349C">
        <w:rPr>
          <w:rFonts w:ascii="Garamond" w:hAnsi="Garamond" w:cs="Arial"/>
          <w:sz w:val="24"/>
          <w:szCs w:val="24"/>
          <w:lang w:val="sq-AL"/>
        </w:rPr>
        <w:t>“</w:t>
      </w:r>
      <w:r w:rsidRPr="0058349C">
        <w:rPr>
          <w:rFonts w:ascii="Garamond" w:hAnsi="Garamond" w:cs="Arial"/>
          <w:sz w:val="24"/>
          <w:szCs w:val="24"/>
          <w:lang w:val="sq-AL"/>
        </w:rPr>
        <w:t>blerje direkt në fermë</w:t>
      </w:r>
      <w:r w:rsidR="00664693" w:rsidRPr="0058349C">
        <w:rPr>
          <w:rFonts w:ascii="Garamond" w:hAnsi="Garamond" w:cs="Arial"/>
          <w:sz w:val="24"/>
          <w:szCs w:val="24"/>
          <w:lang w:val="sq-AL"/>
        </w:rPr>
        <w:t>”</w:t>
      </w:r>
      <w:r w:rsidRPr="0058349C">
        <w:rPr>
          <w:rFonts w:ascii="Garamond" w:hAnsi="Garamond" w:cs="Arial"/>
          <w:sz w:val="24"/>
          <w:szCs w:val="24"/>
          <w:lang w:val="sq-AL"/>
        </w:rPr>
        <w:t xml:space="preserve">, </w:t>
      </w:r>
      <w:r w:rsidR="00664693" w:rsidRPr="0058349C">
        <w:rPr>
          <w:rFonts w:ascii="Garamond" w:hAnsi="Garamond" w:cs="Arial"/>
          <w:sz w:val="24"/>
          <w:szCs w:val="24"/>
          <w:lang w:val="sq-AL"/>
        </w:rPr>
        <w:t>“</w:t>
      </w:r>
      <w:r w:rsidRPr="0058349C">
        <w:rPr>
          <w:rFonts w:ascii="Garamond" w:hAnsi="Garamond" w:cs="Arial"/>
          <w:sz w:val="24"/>
          <w:szCs w:val="24"/>
          <w:lang w:val="sq-AL"/>
        </w:rPr>
        <w:t>produkte ushqimore tradicionale t</w:t>
      </w:r>
      <w:r w:rsidRPr="0058349C">
        <w:rPr>
          <w:rFonts w:ascii="Garamond" w:eastAsia="Arial" w:hAnsi="Garamond" w:cs="Arial"/>
          <w:bCs/>
          <w:sz w:val="24"/>
          <w:szCs w:val="24"/>
          <w:lang w:val="sq-AL"/>
        </w:rPr>
        <w:t xml:space="preserve">ë prodhuara në mënyrë </w:t>
      </w:r>
      <w:r w:rsidRPr="0058349C">
        <w:rPr>
          <w:rFonts w:ascii="Garamond" w:hAnsi="Garamond" w:cs="Arial"/>
          <w:sz w:val="24"/>
          <w:szCs w:val="24"/>
          <w:lang w:val="sq-AL"/>
        </w:rPr>
        <w:t>artizanale</w:t>
      </w:r>
      <w:r w:rsidR="00664693" w:rsidRPr="0058349C">
        <w:rPr>
          <w:rFonts w:ascii="Garamond" w:hAnsi="Garamond" w:cs="Arial"/>
          <w:sz w:val="24"/>
          <w:szCs w:val="24"/>
          <w:lang w:val="sq-AL"/>
        </w:rPr>
        <w:t>”</w:t>
      </w:r>
      <w:r w:rsidRPr="0058349C">
        <w:rPr>
          <w:rFonts w:ascii="Garamond" w:hAnsi="Garamond" w:cs="Arial"/>
          <w:sz w:val="24"/>
          <w:szCs w:val="24"/>
          <w:lang w:val="sq-AL"/>
        </w:rPr>
        <w:t>) për fermerët dhe prodhuesit artizanalë t</w:t>
      </w:r>
      <w:r w:rsidRPr="0058349C">
        <w:rPr>
          <w:rFonts w:ascii="Garamond" w:eastAsia="Arial" w:hAnsi="Garamond" w:cs="Arial"/>
          <w:bCs/>
          <w:sz w:val="24"/>
          <w:szCs w:val="24"/>
          <w:lang w:val="sq-AL"/>
        </w:rPr>
        <w:t>ë</w:t>
      </w:r>
      <w:r w:rsidRPr="0058349C">
        <w:rPr>
          <w:rFonts w:ascii="Garamond" w:hAnsi="Garamond" w:cs="Arial"/>
          <w:sz w:val="24"/>
          <w:szCs w:val="24"/>
          <w:lang w:val="sq-AL"/>
        </w:rPr>
        <w:t xml:space="preserve"> ushqimeve do të përmirësojë pozicionin e tyre në zinxhirin ushqimor t</w:t>
      </w:r>
      <w:r w:rsidRPr="0058349C">
        <w:rPr>
          <w:rFonts w:ascii="Garamond" w:eastAsia="Arial" w:hAnsi="Garamond" w:cs="Arial"/>
          <w:bCs/>
          <w:sz w:val="24"/>
          <w:szCs w:val="24"/>
          <w:lang w:val="sq-AL"/>
        </w:rPr>
        <w:t>ë</w:t>
      </w:r>
      <w:r w:rsidRPr="0058349C">
        <w:rPr>
          <w:rFonts w:ascii="Garamond" w:hAnsi="Garamond" w:cs="Arial"/>
          <w:sz w:val="24"/>
          <w:szCs w:val="24"/>
          <w:lang w:val="sq-AL"/>
        </w:rPr>
        <w:t xml:space="preserve"> vler</w:t>
      </w:r>
      <w:r w:rsidRPr="0058349C">
        <w:rPr>
          <w:rFonts w:ascii="Garamond" w:eastAsia="Arial" w:hAnsi="Garamond" w:cs="Arial"/>
          <w:bCs/>
          <w:sz w:val="24"/>
          <w:szCs w:val="24"/>
          <w:lang w:val="sq-AL"/>
        </w:rPr>
        <w:t>ës</w:t>
      </w:r>
      <w:r w:rsidRPr="0058349C">
        <w:rPr>
          <w:rFonts w:ascii="Garamond" w:hAnsi="Garamond" w:cs="Arial"/>
          <w:sz w:val="24"/>
          <w:szCs w:val="24"/>
          <w:lang w:val="sq-AL"/>
        </w:rPr>
        <w:t xml:space="preserve"> dhe do të përmbushë më mirë pritshmëritë e klientëve ndaj kanaleve të shitjes me marketing të drejtpërdrejtë. Informacioni mbi skemat e ndryshme të cilësisë </w:t>
      </w:r>
      <w:r w:rsidRPr="0058349C">
        <w:rPr>
          <w:rFonts w:ascii="Garamond" w:eastAsia="Arial" w:hAnsi="Garamond" w:cs="Arial"/>
          <w:bCs/>
          <w:sz w:val="24"/>
          <w:szCs w:val="24"/>
          <w:lang w:val="sq-AL"/>
        </w:rPr>
        <w:t>është i nevojshëm</w:t>
      </w:r>
      <w:r w:rsidRPr="0058349C">
        <w:rPr>
          <w:rFonts w:ascii="Garamond" w:hAnsi="Garamond" w:cs="Arial"/>
          <w:sz w:val="24"/>
          <w:szCs w:val="24"/>
          <w:lang w:val="sq-AL"/>
        </w:rPr>
        <w:t xml:space="preserve"> t</w:t>
      </w:r>
      <w:r w:rsidR="00D928ED">
        <w:rPr>
          <w:rFonts w:ascii="Garamond" w:hAnsi="Garamond" w:cs="Arial"/>
          <w:sz w:val="24"/>
          <w:szCs w:val="24"/>
          <w:lang w:val="sq-AL"/>
        </w:rPr>
        <w:t>’</w:t>
      </w:r>
      <w:r w:rsidRPr="0058349C">
        <w:rPr>
          <w:rFonts w:ascii="Garamond" w:hAnsi="Garamond" w:cs="Arial"/>
          <w:sz w:val="24"/>
          <w:szCs w:val="24"/>
          <w:lang w:val="sq-AL"/>
        </w:rPr>
        <w:t>u komunikohet qartë konsumatorëve</w:t>
      </w:r>
      <w:r w:rsidR="00D928ED">
        <w:rPr>
          <w:rFonts w:ascii="Garamond" w:hAnsi="Garamond" w:cs="Arial"/>
          <w:sz w:val="24"/>
          <w:szCs w:val="24"/>
          <w:lang w:val="sq-AL"/>
        </w:rPr>
        <w:t>,</w:t>
      </w:r>
      <w:r w:rsidRPr="0058349C">
        <w:rPr>
          <w:rFonts w:ascii="Garamond" w:hAnsi="Garamond" w:cs="Arial"/>
          <w:sz w:val="24"/>
          <w:szCs w:val="24"/>
          <w:lang w:val="sq-AL"/>
        </w:rPr>
        <w:t xml:space="preserve"> në mënyrë që të parandalohet konfuzioni dhe të bëhet dallimi i qartë i kësaj skeme prodhimi kundrejt skemës së cilësisë për prodhuesit më të mëdhenj (</w:t>
      </w:r>
      <w:r w:rsidR="00D928ED" w:rsidRPr="0058349C">
        <w:rPr>
          <w:rFonts w:ascii="Garamond" w:hAnsi="Garamond" w:cs="Arial"/>
          <w:sz w:val="24"/>
          <w:szCs w:val="24"/>
          <w:lang w:val="sq-AL"/>
        </w:rPr>
        <w:t xml:space="preserve">objektivi </w:t>
      </w:r>
      <w:r w:rsidRPr="0058349C">
        <w:rPr>
          <w:rFonts w:ascii="Garamond" w:hAnsi="Garamond" w:cs="Arial"/>
          <w:sz w:val="24"/>
          <w:szCs w:val="24"/>
          <w:lang w:val="sq-AL"/>
        </w:rPr>
        <w:t>2).</w:t>
      </w:r>
    </w:p>
    <w:p w14:paraId="0773AED8" w14:textId="7267CFBE"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 xml:space="preserve">Për të nxitur zhvillimin e zinxhirëve të shkurtër të furnizimit, mundësitë e trajnimit </w:t>
      </w:r>
      <w:r w:rsidRPr="0058349C">
        <w:rPr>
          <w:rFonts w:ascii="Garamond" w:hAnsi="Garamond" w:cs="Arial"/>
          <w:sz w:val="24"/>
          <w:szCs w:val="24"/>
          <w:lang w:val="sq-AL"/>
        </w:rPr>
        <w:t>dhe</w:t>
      </w:r>
      <w:r w:rsidRPr="0058349C">
        <w:rPr>
          <w:rFonts w:ascii="Garamond" w:hAnsi="Garamond" w:cs="Arial"/>
          <w:b/>
          <w:sz w:val="24"/>
          <w:szCs w:val="24"/>
          <w:lang w:val="sq-AL"/>
        </w:rPr>
        <w:t xml:space="preserve"> shkëmbimit të njohurive</w:t>
      </w:r>
      <w:r w:rsidRPr="0058349C">
        <w:rPr>
          <w:rFonts w:ascii="Garamond" w:hAnsi="Garamond" w:cs="Arial"/>
          <w:sz w:val="24"/>
          <w:szCs w:val="24"/>
          <w:lang w:val="sq-AL"/>
        </w:rPr>
        <w:t xml:space="preserve"> për fermerët dhe prodhuesit e vegjël të ushqimit në </w:t>
      </w:r>
      <w:r w:rsidRPr="0058349C">
        <w:rPr>
          <w:rFonts w:ascii="Garamond" w:hAnsi="Garamond" w:cs="Arial"/>
          <w:b/>
          <w:sz w:val="24"/>
          <w:szCs w:val="24"/>
          <w:lang w:val="sq-AL"/>
        </w:rPr>
        <w:t>marketing</w:t>
      </w:r>
      <w:r w:rsidRPr="0058349C">
        <w:rPr>
          <w:rFonts w:ascii="Garamond" w:hAnsi="Garamond" w:cs="Arial"/>
          <w:sz w:val="24"/>
          <w:szCs w:val="24"/>
          <w:lang w:val="sq-AL"/>
        </w:rPr>
        <w:t xml:space="preserve"> dhe </w:t>
      </w:r>
      <w:r w:rsidR="00D928ED">
        <w:rPr>
          <w:rFonts w:ascii="Garamond" w:hAnsi="Garamond" w:cs="Arial"/>
          <w:sz w:val="24"/>
          <w:szCs w:val="24"/>
          <w:lang w:val="sq-AL"/>
        </w:rPr>
        <w:t xml:space="preserve">në </w:t>
      </w:r>
      <w:r w:rsidRPr="0058349C">
        <w:rPr>
          <w:rFonts w:ascii="Garamond" w:hAnsi="Garamond" w:cs="Arial"/>
          <w:b/>
          <w:sz w:val="24"/>
          <w:szCs w:val="24"/>
          <w:lang w:val="sq-AL"/>
        </w:rPr>
        <w:t xml:space="preserve">komunikim, </w:t>
      </w:r>
      <w:r w:rsidRPr="0058349C">
        <w:rPr>
          <w:rFonts w:ascii="Garamond" w:hAnsi="Garamond" w:cs="Arial"/>
          <w:sz w:val="24"/>
          <w:szCs w:val="24"/>
          <w:lang w:val="sq-AL"/>
        </w:rPr>
        <w:t>duhet të mbështeten si shitjet direkte në fermë ose në bashkëpunim midis fermerëve dhe të tjera si skemat jashtë fermës (si tregjet e fermerëve, kanalet e shpërndarjes), bujqësia e mbështetur nga komuniteti, shitjet kolektive në veçanti tek institucionet publike (si p.sh. edhe për ushqimin e shkollave) dhe në bujtina ose si katering.</w:t>
      </w:r>
    </w:p>
    <w:p w14:paraId="0773AED9" w14:textId="77777777" w:rsidR="00DF7A00" w:rsidRPr="0058349C" w:rsidRDefault="00B63E83" w:rsidP="00B63E83">
      <w:pPr>
        <w:pStyle w:val="TEKSTIIII"/>
        <w:rPr>
          <w:b/>
          <w:lang w:val="sq-AL"/>
        </w:rPr>
      </w:pPr>
      <w:r w:rsidRPr="0058349C">
        <w:rPr>
          <w:b/>
          <w:lang w:val="sq-AL"/>
        </w:rPr>
        <w:t xml:space="preserve">3.2 </w:t>
      </w:r>
      <w:r w:rsidR="00DF7A00" w:rsidRPr="0058349C">
        <w:rPr>
          <w:b/>
          <w:lang w:val="sq-AL"/>
        </w:rPr>
        <w:t>Forcimi i turizmit rural dhe në veçanti i zinxhirit të vlerës së agroturizmit.</w:t>
      </w:r>
    </w:p>
    <w:p w14:paraId="0773AEDA" w14:textId="0DB5BAE0" w:rsidR="00DF7A00" w:rsidRPr="0058349C" w:rsidRDefault="00DF7A00" w:rsidP="00DF7A00">
      <w:pPr>
        <w:spacing w:after="0" w:line="240" w:lineRule="auto"/>
        <w:ind w:firstLine="284"/>
        <w:jc w:val="both"/>
        <w:rPr>
          <w:rFonts w:ascii="Garamond" w:hAnsi="Garamond" w:cs="Arial"/>
          <w:bCs/>
          <w:sz w:val="24"/>
          <w:szCs w:val="24"/>
          <w:lang w:val="sq-AL"/>
        </w:rPr>
      </w:pPr>
      <w:r w:rsidRPr="0058349C">
        <w:rPr>
          <w:rFonts w:ascii="Garamond" w:hAnsi="Garamond" w:cs="Arial"/>
          <w:bCs/>
          <w:sz w:val="24"/>
          <w:szCs w:val="24"/>
          <w:lang w:val="sq-AL"/>
        </w:rPr>
        <w:t xml:space="preserve">Nevojitet </w:t>
      </w:r>
      <w:r w:rsidRPr="0058349C">
        <w:rPr>
          <w:rFonts w:ascii="Garamond" w:hAnsi="Garamond" w:cs="Arial"/>
          <w:b/>
          <w:bCs/>
          <w:sz w:val="24"/>
          <w:szCs w:val="24"/>
          <w:lang w:val="sq-AL"/>
        </w:rPr>
        <w:t xml:space="preserve">konsolidimi i kuadrit të përgjithshëm për zhvillimin e turizmit rural, </w:t>
      </w:r>
      <w:r w:rsidRPr="0058349C">
        <w:rPr>
          <w:rFonts w:ascii="Garamond" w:hAnsi="Garamond" w:cs="Arial"/>
          <w:bCs/>
          <w:sz w:val="24"/>
          <w:szCs w:val="24"/>
          <w:lang w:val="sq-AL"/>
        </w:rPr>
        <w:t>veçan</w:t>
      </w:r>
      <w:r w:rsidRPr="0058349C">
        <w:rPr>
          <w:rFonts w:ascii="Garamond" w:eastAsia="Arial" w:hAnsi="Garamond" w:cs="Arial"/>
          <w:bCs/>
          <w:sz w:val="24"/>
          <w:szCs w:val="24"/>
          <w:lang w:val="sq-AL"/>
        </w:rPr>
        <w:t>ërisht</w:t>
      </w:r>
      <w:r w:rsidRPr="0058349C">
        <w:rPr>
          <w:rFonts w:ascii="Garamond" w:hAnsi="Garamond" w:cs="Arial"/>
          <w:bCs/>
          <w:sz w:val="24"/>
          <w:szCs w:val="24"/>
          <w:lang w:val="sq-AL"/>
        </w:rPr>
        <w:t xml:space="preserve"> për zhvillimin e agroturizmit (koncepti agroturiz</w:t>
      </w:r>
      <w:r w:rsidRPr="0058349C">
        <w:rPr>
          <w:rFonts w:ascii="Garamond" w:hAnsi="Garamond" w:cs="Arial"/>
          <w:sz w:val="24"/>
          <w:szCs w:val="24"/>
          <w:lang w:val="sq-AL"/>
        </w:rPr>
        <w:t>ëm i</w:t>
      </w:r>
      <w:r w:rsidRPr="0058349C">
        <w:rPr>
          <w:rFonts w:ascii="Garamond" w:hAnsi="Garamond" w:cs="Arial"/>
          <w:bCs/>
          <w:sz w:val="24"/>
          <w:szCs w:val="24"/>
          <w:lang w:val="sq-AL"/>
        </w:rPr>
        <w:t xml:space="preserve"> bazuar n</w:t>
      </w:r>
      <w:r w:rsidRPr="0058349C">
        <w:rPr>
          <w:rFonts w:ascii="Garamond" w:hAnsi="Garamond" w:cs="Arial"/>
          <w:sz w:val="24"/>
          <w:szCs w:val="24"/>
          <w:lang w:val="sq-AL"/>
        </w:rPr>
        <w:t>ë një fermë n</w:t>
      </w:r>
      <w:r w:rsidRPr="0058349C">
        <w:rPr>
          <w:rFonts w:ascii="Garamond" w:eastAsia="Arial" w:hAnsi="Garamond" w:cs="Arial"/>
          <w:bCs/>
          <w:sz w:val="24"/>
          <w:szCs w:val="24"/>
          <w:lang w:val="sq-AL"/>
        </w:rPr>
        <w:t xml:space="preserve">ë </w:t>
      </w:r>
      <w:r w:rsidRPr="0058349C">
        <w:rPr>
          <w:rFonts w:ascii="Garamond" w:hAnsi="Garamond" w:cs="Arial"/>
          <w:sz w:val="24"/>
          <w:szCs w:val="24"/>
          <w:lang w:val="sq-AL"/>
        </w:rPr>
        <w:t>aktivitet</w:t>
      </w:r>
      <w:r w:rsidRPr="0058349C">
        <w:rPr>
          <w:rFonts w:ascii="Garamond" w:hAnsi="Garamond" w:cs="Arial"/>
          <w:bCs/>
          <w:sz w:val="24"/>
          <w:szCs w:val="24"/>
          <w:lang w:val="sq-AL"/>
        </w:rPr>
        <w:t>). Kjo përfshin</w:t>
      </w:r>
      <w:r w:rsidR="00BB0C65">
        <w:rPr>
          <w:rFonts w:ascii="Garamond" w:hAnsi="Garamond" w:cs="Arial"/>
          <w:bCs/>
          <w:sz w:val="24"/>
          <w:szCs w:val="24"/>
          <w:lang w:val="sq-AL"/>
        </w:rPr>
        <w:t>,</w:t>
      </w:r>
      <w:r w:rsidRPr="0058349C">
        <w:rPr>
          <w:rFonts w:ascii="Garamond" w:hAnsi="Garamond" w:cs="Arial"/>
          <w:bCs/>
          <w:sz w:val="24"/>
          <w:szCs w:val="24"/>
          <w:lang w:val="sq-AL"/>
        </w:rPr>
        <w:t xml:space="preserve"> gjithashtu</w:t>
      </w:r>
      <w:r w:rsidR="00BB0C65">
        <w:rPr>
          <w:rFonts w:ascii="Garamond" w:hAnsi="Garamond" w:cs="Arial"/>
          <w:bCs/>
          <w:sz w:val="24"/>
          <w:szCs w:val="24"/>
          <w:lang w:val="sq-AL"/>
        </w:rPr>
        <w:t>,</w:t>
      </w:r>
      <w:r w:rsidRPr="0058349C">
        <w:rPr>
          <w:rFonts w:ascii="Garamond" w:hAnsi="Garamond" w:cs="Arial"/>
          <w:bCs/>
          <w:sz w:val="24"/>
          <w:szCs w:val="24"/>
          <w:lang w:val="sq-AL"/>
        </w:rPr>
        <w:t xml:space="preserve"> zhvillimin/përshtatjen e standardeve të duhura të sigurimit të </w:t>
      </w:r>
      <w:r w:rsidRPr="0058349C">
        <w:rPr>
          <w:rFonts w:ascii="Garamond" w:hAnsi="Garamond" w:cs="Arial"/>
          <w:bCs/>
          <w:sz w:val="24"/>
          <w:szCs w:val="24"/>
          <w:lang w:val="sq-AL"/>
        </w:rPr>
        <w:lastRenderedPageBreak/>
        <w:t>cilësisë, certifikimet e lidhura me produktin, standardet e shëndetit publik dhe udhëtimit të sigurt, si dhe çështjet fiskale, financiare dhe ligjore.</w:t>
      </w:r>
    </w:p>
    <w:p w14:paraId="0773AEDB" w14:textId="75C24F45" w:rsidR="00DF7A00" w:rsidRPr="0058349C" w:rsidRDefault="00DF7A00" w:rsidP="00BB0C65">
      <w:pPr>
        <w:spacing w:after="0" w:line="240" w:lineRule="auto"/>
        <w:ind w:firstLine="284"/>
        <w:jc w:val="both"/>
        <w:rPr>
          <w:rFonts w:ascii="Garamond" w:hAnsi="Garamond" w:cs="Arial"/>
          <w:bCs/>
          <w:sz w:val="24"/>
          <w:szCs w:val="24"/>
          <w:lang w:val="sq-AL"/>
        </w:rPr>
      </w:pPr>
      <w:r w:rsidRPr="0058349C">
        <w:rPr>
          <w:rFonts w:ascii="Garamond" w:hAnsi="Garamond" w:cs="Arial"/>
          <w:bCs/>
          <w:sz w:val="24"/>
          <w:szCs w:val="24"/>
          <w:lang w:val="sq-AL"/>
        </w:rPr>
        <w:t xml:space="preserve">Forcimi i </w:t>
      </w:r>
      <w:r w:rsidRPr="0058349C">
        <w:rPr>
          <w:rFonts w:ascii="Garamond" w:hAnsi="Garamond" w:cs="Arial"/>
          <w:b/>
          <w:bCs/>
          <w:sz w:val="24"/>
          <w:szCs w:val="24"/>
          <w:lang w:val="sq-AL"/>
        </w:rPr>
        <w:t>turizmit rural dhe</w:t>
      </w:r>
      <w:r w:rsidR="00BB0C65">
        <w:rPr>
          <w:rFonts w:ascii="Garamond" w:hAnsi="Garamond" w:cs="Arial"/>
          <w:b/>
          <w:bCs/>
          <w:sz w:val="24"/>
          <w:szCs w:val="24"/>
          <w:lang w:val="sq-AL"/>
        </w:rPr>
        <w:t>,</w:t>
      </w:r>
      <w:r w:rsidRPr="0058349C">
        <w:rPr>
          <w:rFonts w:ascii="Garamond" w:hAnsi="Garamond" w:cs="Arial"/>
          <w:b/>
          <w:bCs/>
          <w:sz w:val="24"/>
          <w:szCs w:val="24"/>
          <w:lang w:val="sq-AL"/>
        </w:rPr>
        <w:t xml:space="preserve"> në veçanti</w:t>
      </w:r>
      <w:r w:rsidR="00BB0C65">
        <w:rPr>
          <w:rFonts w:ascii="Garamond" w:hAnsi="Garamond" w:cs="Arial"/>
          <w:b/>
          <w:bCs/>
          <w:sz w:val="24"/>
          <w:szCs w:val="24"/>
          <w:lang w:val="sq-AL"/>
        </w:rPr>
        <w:t>,</w:t>
      </w:r>
      <w:r w:rsidRPr="0058349C">
        <w:rPr>
          <w:rFonts w:ascii="Garamond" w:hAnsi="Garamond" w:cs="Arial"/>
          <w:b/>
          <w:bCs/>
          <w:sz w:val="24"/>
          <w:szCs w:val="24"/>
          <w:lang w:val="sq-AL"/>
        </w:rPr>
        <w:t xml:space="preserve"> i zinxhirit të vlerës së agroturizmit</w:t>
      </w:r>
      <w:r w:rsidR="00BB0C65">
        <w:rPr>
          <w:rFonts w:ascii="Garamond" w:hAnsi="Garamond" w:cs="Arial"/>
          <w:b/>
          <w:bCs/>
          <w:sz w:val="24"/>
          <w:szCs w:val="24"/>
          <w:lang w:val="sq-AL"/>
        </w:rPr>
        <w:t>,</w:t>
      </w:r>
      <w:r w:rsidRPr="0058349C">
        <w:rPr>
          <w:rFonts w:ascii="Garamond" w:hAnsi="Garamond" w:cs="Arial"/>
          <w:bCs/>
          <w:sz w:val="24"/>
          <w:szCs w:val="24"/>
          <w:lang w:val="sq-AL"/>
        </w:rPr>
        <w:t xml:space="preserve"> përfshin edhe anën e kërkesës</w:t>
      </w:r>
      <w:r w:rsidR="00BB0C65">
        <w:rPr>
          <w:rFonts w:ascii="Garamond" w:hAnsi="Garamond" w:cs="Arial"/>
          <w:bCs/>
          <w:sz w:val="24"/>
          <w:szCs w:val="24"/>
          <w:lang w:val="sq-AL"/>
        </w:rPr>
        <w:t>,</w:t>
      </w:r>
      <w:r w:rsidRPr="0058349C">
        <w:rPr>
          <w:rFonts w:ascii="Garamond" w:hAnsi="Garamond" w:cs="Arial"/>
          <w:bCs/>
          <w:sz w:val="24"/>
          <w:szCs w:val="24"/>
          <w:lang w:val="sq-AL"/>
        </w:rPr>
        <w:t xml:space="preserve"> siç </w:t>
      </w:r>
      <w:r w:rsidRPr="0058349C">
        <w:rPr>
          <w:rFonts w:ascii="Garamond" w:hAnsi="Garamond" w:cs="Arial"/>
          <w:sz w:val="24"/>
          <w:szCs w:val="24"/>
          <w:lang w:val="sq-AL"/>
        </w:rPr>
        <w:t>është</w:t>
      </w:r>
      <w:r w:rsidRPr="0058349C">
        <w:rPr>
          <w:rFonts w:ascii="Garamond" w:hAnsi="Garamond" w:cs="Arial"/>
          <w:bCs/>
          <w:sz w:val="24"/>
          <w:szCs w:val="24"/>
          <w:lang w:val="sq-AL"/>
        </w:rPr>
        <w:t>: përmirësimi i marketingut në nivel të operatorëve individ</w:t>
      </w:r>
      <w:r w:rsidR="00167C37" w:rsidRPr="0058349C">
        <w:rPr>
          <w:rFonts w:ascii="Garamond" w:hAnsi="Garamond" w:cs="Arial"/>
          <w:bCs/>
          <w:sz w:val="24"/>
          <w:szCs w:val="24"/>
          <w:lang w:val="sq-AL"/>
        </w:rPr>
        <w:t>ual</w:t>
      </w:r>
      <w:r w:rsidR="00BB0C65">
        <w:rPr>
          <w:rFonts w:ascii="Garamond" w:hAnsi="Garamond" w:cs="Arial"/>
          <w:bCs/>
          <w:sz w:val="24"/>
          <w:szCs w:val="24"/>
          <w:lang w:val="sq-AL"/>
        </w:rPr>
        <w:t>ë</w:t>
      </w:r>
      <w:r w:rsidR="00797859">
        <w:rPr>
          <w:rFonts w:ascii="Garamond" w:hAnsi="Garamond" w:cs="Arial"/>
          <w:bCs/>
          <w:sz w:val="24"/>
          <w:szCs w:val="24"/>
          <w:lang w:val="sq-AL"/>
        </w:rPr>
        <w:t>/</w:t>
      </w:r>
      <w:r w:rsidR="00BB0C65">
        <w:rPr>
          <w:rFonts w:ascii="Garamond" w:hAnsi="Garamond" w:cs="Arial"/>
          <w:bCs/>
          <w:sz w:val="24"/>
          <w:szCs w:val="24"/>
          <w:lang w:val="sq-AL"/>
        </w:rPr>
        <w:t>rrjeteve</w:t>
      </w:r>
      <w:r w:rsidR="00797859">
        <w:rPr>
          <w:rFonts w:ascii="Garamond" w:hAnsi="Garamond" w:cs="Arial"/>
          <w:bCs/>
          <w:sz w:val="24"/>
          <w:szCs w:val="24"/>
          <w:lang w:val="sq-AL"/>
        </w:rPr>
        <w:t>/</w:t>
      </w:r>
      <w:r w:rsidR="00167C37" w:rsidRPr="0058349C">
        <w:rPr>
          <w:rFonts w:ascii="Garamond" w:hAnsi="Garamond" w:cs="Arial"/>
          <w:bCs/>
          <w:sz w:val="24"/>
          <w:szCs w:val="24"/>
          <w:lang w:val="sq-AL"/>
        </w:rPr>
        <w:t>komuniteteve/</w:t>
      </w:r>
      <w:r w:rsidRPr="0058349C">
        <w:rPr>
          <w:rFonts w:ascii="Garamond" w:hAnsi="Garamond" w:cs="Arial"/>
          <w:bCs/>
          <w:sz w:val="24"/>
          <w:szCs w:val="24"/>
          <w:lang w:val="sq-AL"/>
        </w:rPr>
        <w:t>destinacioneve (përfshirë mundësitë di</w:t>
      </w:r>
      <w:r w:rsidR="00BB0C65">
        <w:rPr>
          <w:rFonts w:ascii="Garamond" w:hAnsi="Garamond" w:cs="Arial"/>
          <w:bCs/>
          <w:sz w:val="24"/>
          <w:szCs w:val="24"/>
          <w:lang w:val="sq-AL"/>
        </w:rPr>
        <w:t>gj</w:t>
      </w:r>
      <w:r w:rsidRPr="0058349C">
        <w:rPr>
          <w:rFonts w:ascii="Garamond" w:hAnsi="Garamond" w:cs="Arial"/>
          <w:bCs/>
          <w:sz w:val="24"/>
          <w:szCs w:val="24"/>
          <w:lang w:val="sq-AL"/>
        </w:rPr>
        <w:t>itale), koordinimi dhe bashkëpunimi ndërmjet operatorëve agroturistik</w:t>
      </w:r>
      <w:r w:rsidR="00BB0C65">
        <w:rPr>
          <w:rFonts w:ascii="Garamond" w:hAnsi="Garamond" w:cs="Arial"/>
          <w:bCs/>
          <w:sz w:val="24"/>
          <w:szCs w:val="24"/>
          <w:lang w:val="sq-AL"/>
        </w:rPr>
        <w:t>ë</w:t>
      </w:r>
      <w:r w:rsidRPr="0058349C">
        <w:rPr>
          <w:rFonts w:ascii="Garamond" w:hAnsi="Garamond" w:cs="Arial"/>
          <w:bCs/>
          <w:sz w:val="24"/>
          <w:szCs w:val="24"/>
          <w:lang w:val="sq-AL"/>
        </w:rPr>
        <w:t xml:space="preserve">, përfshirë dhënien e markës dhe shqyrtimin e mundësive për </w:t>
      </w:r>
      <w:r w:rsidR="00664693" w:rsidRPr="0058349C">
        <w:rPr>
          <w:rFonts w:ascii="Garamond" w:hAnsi="Garamond" w:cs="Arial"/>
          <w:bCs/>
          <w:sz w:val="24"/>
          <w:szCs w:val="24"/>
          <w:lang w:val="sq-AL"/>
        </w:rPr>
        <w:t>“</w:t>
      </w:r>
      <w:r w:rsidRPr="0058349C">
        <w:rPr>
          <w:rFonts w:ascii="Garamond" w:hAnsi="Garamond" w:cs="Arial"/>
          <w:bCs/>
          <w:sz w:val="24"/>
          <w:szCs w:val="24"/>
          <w:lang w:val="sq-AL"/>
        </w:rPr>
        <w:t>Agroturizmin e Ballkanit Perëndimor</w:t>
      </w:r>
      <w:r w:rsidR="00664693" w:rsidRPr="0058349C">
        <w:rPr>
          <w:rFonts w:ascii="Garamond" w:hAnsi="Garamond" w:cs="Arial"/>
          <w:bCs/>
          <w:sz w:val="24"/>
          <w:szCs w:val="24"/>
          <w:lang w:val="sq-AL"/>
        </w:rPr>
        <w:t>”</w:t>
      </w:r>
      <w:r w:rsidR="00BB0C65">
        <w:rPr>
          <w:rFonts w:ascii="Garamond" w:hAnsi="Garamond" w:cs="Arial"/>
          <w:bCs/>
          <w:sz w:val="24"/>
          <w:szCs w:val="24"/>
          <w:lang w:val="sq-AL"/>
        </w:rPr>
        <w:t>,</w:t>
      </w:r>
      <w:r w:rsidRPr="0058349C">
        <w:rPr>
          <w:rFonts w:ascii="Garamond" w:hAnsi="Garamond" w:cs="Arial"/>
          <w:bCs/>
          <w:sz w:val="24"/>
          <w:szCs w:val="24"/>
          <w:lang w:val="sq-AL"/>
        </w:rPr>
        <w:t xml:space="preserve"> si promovues turistik, rrjetëzimi rreth temave dhe grupimi gjeografik, q</w:t>
      </w:r>
      <w:r w:rsidRPr="0058349C">
        <w:rPr>
          <w:rFonts w:ascii="Garamond" w:hAnsi="Garamond" w:cs="Arial"/>
          <w:sz w:val="24"/>
          <w:szCs w:val="24"/>
          <w:lang w:val="sq-AL"/>
        </w:rPr>
        <w:t>ë përfshijnë</w:t>
      </w:r>
      <w:r w:rsidRPr="0058349C">
        <w:rPr>
          <w:rFonts w:ascii="Garamond" w:hAnsi="Garamond" w:cs="Arial"/>
          <w:bCs/>
          <w:sz w:val="24"/>
          <w:szCs w:val="24"/>
          <w:lang w:val="sq-AL"/>
        </w:rPr>
        <w:t xml:space="preserve"> bashkëpunimin ndërkufitar rreth atraksioneve turistike, përfshirjen e or</w:t>
      </w:r>
      <w:r w:rsidR="00BB0C65">
        <w:rPr>
          <w:rFonts w:ascii="Garamond" w:hAnsi="Garamond" w:cs="Arial"/>
          <w:bCs/>
          <w:sz w:val="24"/>
          <w:szCs w:val="24"/>
          <w:lang w:val="sq-AL"/>
        </w:rPr>
        <w:t>ganizatave me bazë në komunitet</w:t>
      </w:r>
      <w:r w:rsidRPr="0058349C">
        <w:rPr>
          <w:rFonts w:ascii="Garamond" w:hAnsi="Garamond" w:cs="Arial"/>
          <w:bCs/>
          <w:sz w:val="24"/>
          <w:szCs w:val="24"/>
          <w:lang w:val="sq-AL"/>
        </w:rPr>
        <w:t xml:space="preserve"> ose promovimin e koncepteve t</w:t>
      </w:r>
      <w:r w:rsidRPr="0058349C">
        <w:rPr>
          <w:rFonts w:ascii="Garamond" w:hAnsi="Garamond" w:cs="Arial"/>
          <w:sz w:val="24"/>
          <w:szCs w:val="24"/>
          <w:lang w:val="sq-AL"/>
        </w:rPr>
        <w:t xml:space="preserve">ë </w:t>
      </w:r>
      <w:r w:rsidRPr="0058349C">
        <w:rPr>
          <w:rFonts w:ascii="Garamond" w:hAnsi="Garamond" w:cs="Arial"/>
          <w:bCs/>
          <w:sz w:val="24"/>
          <w:szCs w:val="24"/>
          <w:lang w:val="sq-AL"/>
        </w:rPr>
        <w:t>turizmit rajonal të Ballkanit Perëndimor.</w:t>
      </w:r>
    </w:p>
    <w:p w14:paraId="0773AEDC" w14:textId="0FD60FBA" w:rsidR="00DF7A00" w:rsidRPr="0058349C" w:rsidRDefault="00DF7A00" w:rsidP="00BB0C65">
      <w:pPr>
        <w:spacing w:after="0" w:line="240" w:lineRule="auto"/>
        <w:ind w:firstLine="284"/>
        <w:jc w:val="both"/>
        <w:rPr>
          <w:rFonts w:ascii="Garamond" w:hAnsi="Garamond" w:cs="Arial"/>
          <w:bCs/>
          <w:sz w:val="24"/>
          <w:szCs w:val="24"/>
          <w:lang w:val="sq-AL"/>
        </w:rPr>
      </w:pPr>
      <w:r w:rsidRPr="0058349C">
        <w:rPr>
          <w:rFonts w:ascii="Garamond" w:hAnsi="Garamond" w:cs="Arial"/>
          <w:bCs/>
          <w:sz w:val="24"/>
          <w:szCs w:val="24"/>
          <w:lang w:val="sq-AL"/>
        </w:rPr>
        <w:t xml:space="preserve">Për sa i përket </w:t>
      </w:r>
      <w:r w:rsidRPr="0058349C">
        <w:rPr>
          <w:rFonts w:ascii="Garamond" w:hAnsi="Garamond" w:cs="Arial"/>
          <w:b/>
          <w:bCs/>
          <w:sz w:val="24"/>
          <w:szCs w:val="24"/>
          <w:lang w:val="sq-AL"/>
        </w:rPr>
        <w:t>infrastrukturës së përgjithshme sociale-ekonomike</w:t>
      </w:r>
      <w:r w:rsidRPr="0058349C">
        <w:rPr>
          <w:rFonts w:ascii="Garamond" w:hAnsi="Garamond" w:cs="Arial"/>
          <w:bCs/>
          <w:sz w:val="24"/>
          <w:szCs w:val="24"/>
          <w:lang w:val="sq-AL"/>
        </w:rPr>
        <w:t xml:space="preserve">, </w:t>
      </w:r>
      <w:r w:rsidRPr="0058349C">
        <w:rPr>
          <w:rFonts w:ascii="Garamond" w:hAnsi="Garamond" w:cs="Arial"/>
          <w:b/>
          <w:bCs/>
          <w:sz w:val="24"/>
          <w:szCs w:val="24"/>
          <w:lang w:val="sq-AL"/>
        </w:rPr>
        <w:t>infrastruktura turistike rurale në vend</w:t>
      </w:r>
      <w:r w:rsidRPr="0058349C">
        <w:rPr>
          <w:rFonts w:ascii="Garamond" w:hAnsi="Garamond" w:cs="Arial"/>
          <w:bCs/>
          <w:sz w:val="24"/>
          <w:szCs w:val="24"/>
          <w:lang w:val="sq-AL"/>
        </w:rPr>
        <w:t xml:space="preserve"> duhet të përmirësohet në përputhje me traditat dhe kulturën </w:t>
      </w:r>
      <w:r w:rsidR="00BC084C">
        <w:rPr>
          <w:rFonts w:ascii="Garamond" w:hAnsi="Garamond" w:cs="Arial"/>
          <w:bCs/>
          <w:sz w:val="24"/>
          <w:szCs w:val="24"/>
          <w:lang w:val="sq-AL"/>
        </w:rPr>
        <w:t>vendës</w:t>
      </w:r>
      <w:r w:rsidRPr="0058349C">
        <w:rPr>
          <w:rFonts w:ascii="Garamond" w:hAnsi="Garamond" w:cs="Arial"/>
          <w:bCs/>
          <w:sz w:val="24"/>
          <w:szCs w:val="24"/>
          <w:lang w:val="sq-AL"/>
        </w:rPr>
        <w:t xml:space="preserve">e, si dhe me kujdesin ndaj peizazhit dhe mjedisit për të forcuar origjinalitetin si pika kryesore e promovimit për turizmin rural. </w:t>
      </w:r>
      <w:r w:rsidRPr="0058349C">
        <w:rPr>
          <w:rFonts w:ascii="Garamond" w:hAnsi="Garamond" w:cs="Arial"/>
          <w:b/>
          <w:bCs/>
          <w:sz w:val="24"/>
          <w:szCs w:val="24"/>
          <w:lang w:val="sq-AL"/>
        </w:rPr>
        <w:t>Pikat e informacionit, muzetë, tregjet lokale, festivalet dhe atraksionet e tjera turistike në zonat rurale</w:t>
      </w:r>
      <w:r w:rsidRPr="0058349C">
        <w:rPr>
          <w:rFonts w:ascii="Garamond" w:hAnsi="Garamond" w:cs="Arial"/>
          <w:bCs/>
          <w:sz w:val="24"/>
          <w:szCs w:val="24"/>
          <w:lang w:val="sq-AL"/>
        </w:rPr>
        <w:t xml:space="preserve"> duhet të zhvillohen edhe m</w:t>
      </w:r>
      <w:r w:rsidRPr="0058349C">
        <w:rPr>
          <w:rFonts w:ascii="Garamond" w:hAnsi="Garamond" w:cs="Arial"/>
          <w:sz w:val="24"/>
          <w:szCs w:val="24"/>
          <w:lang w:val="sq-AL"/>
        </w:rPr>
        <w:t>ë tej</w:t>
      </w:r>
      <w:r w:rsidRPr="0058349C">
        <w:rPr>
          <w:rFonts w:ascii="Garamond" w:hAnsi="Garamond" w:cs="Arial"/>
          <w:bCs/>
          <w:sz w:val="24"/>
          <w:szCs w:val="24"/>
          <w:lang w:val="sq-AL"/>
        </w:rPr>
        <w:t>, në nj</w:t>
      </w:r>
      <w:r w:rsidRPr="0058349C">
        <w:rPr>
          <w:rFonts w:ascii="Garamond" w:hAnsi="Garamond" w:cs="Arial"/>
          <w:sz w:val="24"/>
          <w:szCs w:val="24"/>
          <w:lang w:val="sq-AL"/>
        </w:rPr>
        <w:t>ë linjë</w:t>
      </w:r>
      <w:r w:rsidRPr="0058349C">
        <w:rPr>
          <w:rFonts w:ascii="Garamond" w:hAnsi="Garamond" w:cs="Arial"/>
          <w:bCs/>
          <w:sz w:val="24"/>
          <w:szCs w:val="24"/>
          <w:lang w:val="sq-AL"/>
        </w:rPr>
        <w:t xml:space="preserve"> me zhvillimin e produkteve m</w:t>
      </w:r>
      <w:r w:rsidRPr="0058349C">
        <w:rPr>
          <w:rFonts w:ascii="Garamond" w:hAnsi="Garamond" w:cs="Arial"/>
          <w:sz w:val="24"/>
          <w:szCs w:val="24"/>
          <w:lang w:val="sq-AL"/>
        </w:rPr>
        <w:t xml:space="preserve">ë </w:t>
      </w:r>
      <w:r w:rsidRPr="0058349C">
        <w:rPr>
          <w:rFonts w:ascii="Garamond" w:hAnsi="Garamond" w:cs="Arial"/>
          <w:bCs/>
          <w:sz w:val="24"/>
          <w:szCs w:val="24"/>
          <w:lang w:val="sq-AL"/>
        </w:rPr>
        <w:t>të larmishme të turizmit rural. Përzgjedhja e lokaliteteve duhet të bazohet në studimet e fizibilitetit të autoriteteve kombëtare kompetente dhe duhet t</w:t>
      </w:r>
      <w:r w:rsidR="00BB0C65">
        <w:rPr>
          <w:rFonts w:ascii="Garamond" w:hAnsi="Garamond" w:cs="Arial"/>
          <w:bCs/>
          <w:sz w:val="24"/>
          <w:szCs w:val="24"/>
          <w:lang w:val="sq-AL"/>
        </w:rPr>
        <w:t>’</w:t>
      </w:r>
      <w:r w:rsidRPr="0058349C">
        <w:rPr>
          <w:rFonts w:ascii="Garamond" w:hAnsi="Garamond" w:cs="Arial"/>
          <w:bCs/>
          <w:sz w:val="24"/>
          <w:szCs w:val="24"/>
          <w:lang w:val="sq-AL"/>
        </w:rPr>
        <w:t>i japë prioritet të lartë mbështetjes së nevojave të turizmit rural, por edhe lidhjes së zonave më të largëta me potenciale tu</w:t>
      </w:r>
      <w:r w:rsidR="00BB0C65">
        <w:rPr>
          <w:rFonts w:ascii="Garamond" w:hAnsi="Garamond" w:cs="Arial"/>
          <w:bCs/>
          <w:sz w:val="24"/>
          <w:szCs w:val="24"/>
          <w:lang w:val="sq-AL"/>
        </w:rPr>
        <w:t>ristike të pa</w:t>
      </w:r>
      <w:r w:rsidRPr="0058349C">
        <w:rPr>
          <w:rFonts w:ascii="Garamond" w:hAnsi="Garamond" w:cs="Arial"/>
          <w:bCs/>
          <w:sz w:val="24"/>
          <w:szCs w:val="24"/>
          <w:lang w:val="sq-AL"/>
        </w:rPr>
        <w:t>eksploruara.</w:t>
      </w:r>
    </w:p>
    <w:p w14:paraId="0773AEDD" w14:textId="7485393E" w:rsidR="00DF7A00" w:rsidRPr="0058349C" w:rsidRDefault="00DF7A00" w:rsidP="007172E7">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lang w:val="sq-AL"/>
        </w:rPr>
        <w:t>Ngritja e kapaciteteve për operatorët e turizmit rural</w:t>
      </w:r>
      <w:r w:rsidR="007172E7">
        <w:rPr>
          <w:rFonts w:ascii="Garamond" w:hAnsi="Garamond" w:cs="Arial"/>
          <w:b/>
          <w:bCs/>
          <w:sz w:val="24"/>
          <w:szCs w:val="24"/>
          <w:lang w:val="sq-AL"/>
        </w:rPr>
        <w:t>,</w:t>
      </w:r>
      <w:r w:rsidRPr="0058349C">
        <w:rPr>
          <w:rFonts w:ascii="Garamond" w:hAnsi="Garamond" w:cs="Arial"/>
          <w:bCs/>
          <w:sz w:val="24"/>
          <w:szCs w:val="24"/>
          <w:lang w:val="sq-AL"/>
        </w:rPr>
        <w:t xml:space="preserve"> sipas llojeve të tyre të biznesit duhet të forcohet për të përmbushur pritshmëritë në rritje të vizitorëve për shëndetin, sigurinë dhe peizazhin natyror të paprekur, për të mbështetur zbatimin e standardeve cilësore dhe të sigurta të udhëtimit bazuar në udhëzimet e praktikave më të mira të aplikuara ndërkombëtarisht,</w:t>
      </w:r>
      <w:r w:rsidRPr="007172E7">
        <w:rPr>
          <w:rFonts w:ascii="Garamond" w:hAnsi="Garamond"/>
          <w:sz w:val="24"/>
          <w:szCs w:val="24"/>
          <w:vertAlign w:val="superscript"/>
        </w:rPr>
        <w:footnoteReference w:id="38"/>
      </w:r>
      <w:r w:rsidR="007172E7">
        <w:rPr>
          <w:rFonts w:ascii="Garamond" w:hAnsi="Garamond" w:cs="Arial"/>
          <w:bCs/>
          <w:sz w:val="24"/>
          <w:szCs w:val="24"/>
          <w:lang w:val="sq-AL"/>
        </w:rPr>
        <w:t xml:space="preserve"> </w:t>
      </w:r>
      <w:r w:rsidRPr="0058349C">
        <w:rPr>
          <w:rFonts w:ascii="Garamond" w:hAnsi="Garamond" w:cs="Arial"/>
          <w:bCs/>
          <w:sz w:val="24"/>
          <w:szCs w:val="24"/>
          <w:lang w:val="sq-AL"/>
        </w:rPr>
        <w:t>që synojnë rifillimin dhe përshpejtimin e rimëkëmbjes së sektorit në vazhdën e pandemisë COVID-19</w:t>
      </w:r>
      <w:r w:rsidRPr="0058349C">
        <w:rPr>
          <w:rFonts w:ascii="Garamond" w:hAnsi="Garamond" w:cs="Arial"/>
          <w:sz w:val="24"/>
          <w:szCs w:val="24"/>
          <w:lang w:val="sq-AL"/>
        </w:rPr>
        <w:t>.</w:t>
      </w:r>
    </w:p>
    <w:p w14:paraId="0773AEDE" w14:textId="77777777" w:rsidR="00DF7A00" w:rsidRPr="0058349C" w:rsidRDefault="00B63E83" w:rsidP="00B63E83">
      <w:pPr>
        <w:pStyle w:val="TEKSTIIII"/>
        <w:rPr>
          <w:b/>
          <w:lang w:val="sq-AL"/>
        </w:rPr>
      </w:pPr>
      <w:r w:rsidRPr="0058349C">
        <w:rPr>
          <w:b/>
          <w:lang w:val="sq-AL"/>
        </w:rPr>
        <w:t xml:space="preserve">3.3 </w:t>
      </w:r>
      <w:r w:rsidR="00DF7A00" w:rsidRPr="0058349C">
        <w:rPr>
          <w:b/>
          <w:lang w:val="sq-AL"/>
        </w:rPr>
        <w:t>Forcimi i një ekonomie lokale të larmishme (diversifikuar) të bazuar në sektorin privat</w:t>
      </w:r>
    </w:p>
    <w:p w14:paraId="0773AEDF" w14:textId="0E6C8099" w:rsidR="00DF7A00" w:rsidRPr="0058349C" w:rsidRDefault="00DF7A00" w:rsidP="007172E7">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Për të diversifikuar ekonominë lokale dhe për të rritur atraktivitetin ndaj zonave rurale</w:t>
      </w:r>
      <w:r w:rsidRPr="0058349C">
        <w:rPr>
          <w:rFonts w:ascii="Garamond" w:hAnsi="Garamond" w:cs="Arial"/>
          <w:sz w:val="24"/>
          <w:szCs w:val="24"/>
          <w:lang w:val="sq-AL"/>
        </w:rPr>
        <w:t>, nevojitet mbështetje për investime në asete fikse dhe marketing të bizneseve ekzistuese rurale ose bizneseve rurale, që nisin aktivitetin e tyre</w:t>
      </w:r>
      <w:r w:rsidR="007172E7">
        <w:rPr>
          <w:rFonts w:ascii="Garamond" w:hAnsi="Garamond" w:cs="Arial"/>
          <w:sz w:val="24"/>
          <w:szCs w:val="24"/>
          <w:lang w:val="sq-AL"/>
        </w:rPr>
        <w:t>,</w:t>
      </w:r>
      <w:r w:rsidRPr="0058349C">
        <w:rPr>
          <w:rFonts w:ascii="Garamond" w:hAnsi="Garamond" w:cs="Arial"/>
          <w:sz w:val="24"/>
          <w:szCs w:val="24"/>
          <w:lang w:val="sq-AL"/>
        </w:rPr>
        <w:t xml:space="preserve"> në lidhje me produktet</w:t>
      </w:r>
      <w:r w:rsidR="00797859">
        <w:rPr>
          <w:rFonts w:ascii="Garamond" w:hAnsi="Garamond" w:cs="Arial"/>
          <w:sz w:val="24"/>
          <w:szCs w:val="24"/>
          <w:lang w:val="sq-AL"/>
        </w:rPr>
        <w:t>/</w:t>
      </w:r>
      <w:r w:rsidRPr="0058349C">
        <w:rPr>
          <w:rFonts w:ascii="Garamond" w:hAnsi="Garamond" w:cs="Arial"/>
          <w:sz w:val="24"/>
          <w:szCs w:val="24"/>
          <w:lang w:val="sq-AL"/>
        </w:rPr>
        <w:t>nënsektorët premtues</w:t>
      </w:r>
      <w:r w:rsidR="007172E7">
        <w:rPr>
          <w:rFonts w:ascii="Garamond" w:hAnsi="Garamond" w:cs="Arial"/>
          <w:sz w:val="24"/>
          <w:szCs w:val="24"/>
          <w:lang w:val="sq-AL"/>
        </w:rPr>
        <w:t>,</w:t>
      </w:r>
      <w:r w:rsidRPr="0058349C">
        <w:rPr>
          <w:rFonts w:ascii="Garamond" w:hAnsi="Garamond" w:cs="Arial"/>
          <w:sz w:val="24"/>
          <w:szCs w:val="24"/>
          <w:lang w:val="sq-AL"/>
        </w:rPr>
        <w:t xml:space="preserve"> si</w:t>
      </w:r>
      <w:r w:rsidR="007172E7">
        <w:rPr>
          <w:rFonts w:ascii="Garamond" w:hAnsi="Garamond" w:cs="Arial"/>
          <w:sz w:val="24"/>
          <w:szCs w:val="24"/>
          <w:lang w:val="sq-AL"/>
        </w:rPr>
        <w:t>: BAM, produktet jo</w:t>
      </w:r>
      <w:r w:rsidRPr="0058349C">
        <w:rPr>
          <w:rFonts w:ascii="Garamond" w:hAnsi="Garamond" w:cs="Arial"/>
          <w:sz w:val="24"/>
          <w:szCs w:val="24"/>
          <w:lang w:val="sq-AL"/>
        </w:rPr>
        <w:t xml:space="preserve">drusore të pyllit, produktet e bletarisë, produktet e akuakulturës (shih </w:t>
      </w:r>
      <w:r w:rsidR="00103109" w:rsidRPr="0058349C">
        <w:rPr>
          <w:rFonts w:ascii="Garamond" w:hAnsi="Garamond" w:cs="Arial"/>
          <w:sz w:val="24"/>
          <w:szCs w:val="24"/>
          <w:lang w:val="sq-AL"/>
        </w:rPr>
        <w:t xml:space="preserve">kapitullin </w:t>
      </w:r>
      <w:r w:rsidR="00103109">
        <w:rPr>
          <w:rFonts w:ascii="Garamond" w:hAnsi="Garamond" w:cs="Arial"/>
          <w:sz w:val="24"/>
          <w:szCs w:val="24"/>
          <w:lang w:val="sq-AL"/>
        </w:rPr>
        <w:t>3.2.2), produktet jo</w:t>
      </w:r>
      <w:r w:rsidRPr="0058349C">
        <w:rPr>
          <w:rFonts w:ascii="Garamond" w:hAnsi="Garamond" w:cs="Arial"/>
          <w:sz w:val="24"/>
          <w:szCs w:val="24"/>
          <w:lang w:val="sq-AL"/>
        </w:rPr>
        <w:t>tipike bujqësore, aktivitetet në sektorin e shërbimeve. Këto aktivitete</w:t>
      </w:r>
      <w:r w:rsidRPr="0058349C">
        <w:rPr>
          <w:rFonts w:ascii="Garamond" w:hAnsi="Garamond" w:cs="Arial"/>
          <w:b/>
          <w:sz w:val="24"/>
          <w:szCs w:val="24"/>
          <w:lang w:val="sq-AL"/>
        </w:rPr>
        <w:t xml:space="preserve"> janë të favorshme për sipërmarrësit e rinj dhe ato gra, bizneset që nisin aktivitetin e tyre </w:t>
      </w:r>
      <w:r w:rsidRPr="00103109">
        <w:rPr>
          <w:rFonts w:ascii="Garamond" w:hAnsi="Garamond" w:cs="Arial"/>
          <w:b/>
          <w:i/>
          <w:iCs/>
          <w:sz w:val="24"/>
          <w:szCs w:val="24"/>
          <w:lang w:val="sq-AL"/>
        </w:rPr>
        <w:t>(start-up)</w:t>
      </w:r>
      <w:r w:rsidRPr="0058349C">
        <w:rPr>
          <w:rFonts w:ascii="Garamond" w:hAnsi="Garamond" w:cs="Arial"/>
          <w:b/>
          <w:sz w:val="24"/>
          <w:szCs w:val="24"/>
          <w:lang w:val="sq-AL"/>
        </w:rPr>
        <w:t xml:space="preserve"> ose aktivitetet e lidhura drejtpërdrejt me sektorin bujqësor ose të turizmit rural, </w:t>
      </w:r>
      <w:r w:rsidRPr="0058349C">
        <w:rPr>
          <w:rFonts w:ascii="Garamond" w:hAnsi="Garamond" w:cs="Arial"/>
          <w:sz w:val="24"/>
          <w:szCs w:val="24"/>
          <w:lang w:val="sq-AL"/>
        </w:rPr>
        <w:t>si p.sh. punimet artizanale.</w:t>
      </w:r>
    </w:p>
    <w:p w14:paraId="0773AEE0" w14:textId="77777777" w:rsidR="00DF7A00" w:rsidRPr="0058349C" w:rsidRDefault="00B63E83" w:rsidP="00B63E83">
      <w:pPr>
        <w:pStyle w:val="TEKSTIIII"/>
        <w:rPr>
          <w:b/>
          <w:lang w:val="sq-AL"/>
        </w:rPr>
      </w:pPr>
      <w:r w:rsidRPr="0058349C">
        <w:rPr>
          <w:b/>
          <w:lang w:val="sq-AL"/>
        </w:rPr>
        <w:t xml:space="preserve">3.4 </w:t>
      </w:r>
      <w:r w:rsidR="00DF7A00" w:rsidRPr="0058349C">
        <w:rPr>
          <w:b/>
          <w:lang w:val="sq-AL"/>
        </w:rPr>
        <w:t>Mbështetje e sistemeve të qëndrueshme pyjore</w:t>
      </w:r>
    </w:p>
    <w:p w14:paraId="0773AEE1" w14:textId="77777777"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Investimet në </w:t>
      </w:r>
      <w:r w:rsidRPr="0058349C">
        <w:rPr>
          <w:rFonts w:ascii="Garamond" w:eastAsia="Arial" w:hAnsi="Garamond" w:cs="Arial"/>
          <w:b/>
          <w:sz w:val="24"/>
          <w:szCs w:val="24"/>
          <w:lang w:val="sq-AL"/>
        </w:rPr>
        <w:t xml:space="preserve">pyllëzime </w:t>
      </w:r>
      <w:r w:rsidRPr="0058349C">
        <w:rPr>
          <w:rFonts w:ascii="Garamond" w:eastAsia="Arial" w:hAnsi="Garamond" w:cs="Arial"/>
          <w:sz w:val="24"/>
          <w:szCs w:val="24"/>
          <w:lang w:val="sq-AL"/>
        </w:rPr>
        <w:t>do të konsistojnë në pyllëzimin e tokave bujqësore, të tokave jobujqësore dhe t</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tokave të braktisura nga fermer</w:t>
      </w:r>
      <w:r w:rsidRPr="0058349C">
        <w:rPr>
          <w:rFonts w:ascii="Garamond" w:hAnsi="Garamond" w:cs="Arial"/>
          <w:sz w:val="24"/>
          <w:szCs w:val="24"/>
          <w:lang w:val="sq-AL"/>
        </w:rPr>
        <w:t>ët, të cilat</w:t>
      </w:r>
      <w:r w:rsidRPr="0058349C">
        <w:rPr>
          <w:rFonts w:ascii="Garamond" w:eastAsia="Arial" w:hAnsi="Garamond" w:cs="Arial"/>
          <w:sz w:val="24"/>
          <w:szCs w:val="24"/>
          <w:lang w:val="sq-AL"/>
        </w:rPr>
        <w:t xml:space="preserve"> do të nxisin diversifikimin e ekonomisë rurale dhe do të gjenerojnë të ardhura.</w:t>
      </w:r>
    </w:p>
    <w:p w14:paraId="0773AEE2" w14:textId="77777777"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Promovimi </w:t>
      </w:r>
      <w:r w:rsidRPr="0058349C">
        <w:rPr>
          <w:rFonts w:ascii="Garamond" w:eastAsia="Arial" w:hAnsi="Garamond" w:cs="Arial"/>
          <w:b/>
          <w:sz w:val="24"/>
          <w:szCs w:val="24"/>
          <w:lang w:val="sq-AL"/>
        </w:rPr>
        <w:t>i sistemeve të agropylltarisë</w:t>
      </w:r>
      <w:r w:rsidRPr="0058349C">
        <w:rPr>
          <w:rFonts w:ascii="Garamond" w:eastAsia="Arial" w:hAnsi="Garamond" w:cs="Arial"/>
          <w:sz w:val="24"/>
          <w:szCs w:val="24"/>
          <w:lang w:val="sq-AL"/>
        </w:rPr>
        <w:t xml:space="preserve"> së qëndrueshme, që kombinojnë pylltarinë me praktikat ekstensive bujqësore, të njohura për rëndësinë e tyre për mir</w:t>
      </w:r>
      <w:r w:rsidRPr="0058349C">
        <w:rPr>
          <w:rFonts w:ascii="Garamond" w:hAnsi="Garamond" w:cs="Arial"/>
          <w:sz w:val="24"/>
          <w:szCs w:val="24"/>
          <w:lang w:val="sq-AL"/>
        </w:rPr>
        <w:t>ëmbajtjen</w:t>
      </w:r>
      <w:r w:rsidRPr="0058349C">
        <w:rPr>
          <w:rFonts w:ascii="Garamond" w:eastAsia="Arial" w:hAnsi="Garamond" w:cs="Arial"/>
          <w:sz w:val="24"/>
          <w:szCs w:val="24"/>
          <w:lang w:val="sq-AL"/>
        </w:rPr>
        <w:t xml:space="preserve"> e biodiversitetit dhe për përshtatjen e tyre në zonat me ndjeshmëri të lartë ndaj shkretëtirëzimit t</w:t>
      </w:r>
      <w:r w:rsidRPr="0058349C">
        <w:rPr>
          <w:rFonts w:ascii="Garamond" w:hAnsi="Garamond" w:cs="Arial"/>
          <w:sz w:val="24"/>
          <w:szCs w:val="24"/>
          <w:lang w:val="sq-AL"/>
        </w:rPr>
        <w:t>ë tokës</w:t>
      </w:r>
      <w:r w:rsidRPr="0058349C">
        <w:rPr>
          <w:rFonts w:ascii="Garamond" w:eastAsia="Arial" w:hAnsi="Garamond" w:cs="Arial"/>
          <w:sz w:val="24"/>
          <w:szCs w:val="24"/>
          <w:lang w:val="sq-AL"/>
        </w:rPr>
        <w:t>.</w:t>
      </w:r>
    </w:p>
    <w:p w14:paraId="0773AEE3" w14:textId="1FBB88D8"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Nevojitet një studim fizibiliteti</w:t>
      </w:r>
      <w:r w:rsidR="00124234">
        <w:rPr>
          <w:rFonts w:ascii="Garamond" w:eastAsia="Arial" w:hAnsi="Garamond" w:cs="Arial"/>
          <w:sz w:val="24"/>
          <w:szCs w:val="24"/>
          <w:lang w:val="sq-AL"/>
        </w:rPr>
        <w:t>,</w:t>
      </w:r>
      <w:r w:rsidRPr="0058349C">
        <w:rPr>
          <w:rFonts w:ascii="Garamond" w:eastAsia="Arial" w:hAnsi="Garamond" w:cs="Arial"/>
          <w:sz w:val="24"/>
          <w:szCs w:val="24"/>
          <w:lang w:val="sq-AL"/>
        </w:rPr>
        <w:t xml:space="preserve"> në lidhje me rrugët rurale dhe pyjore</w:t>
      </w:r>
      <w:r w:rsidR="00124234">
        <w:rPr>
          <w:rFonts w:ascii="Garamond" w:eastAsia="Arial" w:hAnsi="Garamond" w:cs="Arial"/>
          <w:sz w:val="24"/>
          <w:szCs w:val="24"/>
          <w:lang w:val="sq-AL"/>
        </w:rPr>
        <w:t>,</w:t>
      </w:r>
      <w:r w:rsidRPr="0058349C">
        <w:rPr>
          <w:rFonts w:ascii="Garamond" w:eastAsia="Arial" w:hAnsi="Garamond" w:cs="Arial"/>
          <w:sz w:val="24"/>
          <w:szCs w:val="24"/>
          <w:lang w:val="sq-AL"/>
        </w:rPr>
        <w:t xml:space="preserve"> për të vlerësuar rrjetin rrugor pyjor dhe për të vendosur mbi nevojat prioritare për investime, të tilla si toka pyjore e klasifikuar si me rrezik të lartë për zjarret pyjore për të parandaluar dëmtimet nga zjarret e përsëritura në pyje.</w:t>
      </w:r>
    </w:p>
    <w:p w14:paraId="0773AEE4" w14:textId="77777777" w:rsidR="00DF7A00" w:rsidRPr="0058349C" w:rsidRDefault="00B63E83" w:rsidP="00B63E83">
      <w:pPr>
        <w:pStyle w:val="TEKSTIIII"/>
        <w:rPr>
          <w:b/>
          <w:lang w:val="sq-AL"/>
        </w:rPr>
      </w:pPr>
      <w:r w:rsidRPr="0058349C">
        <w:rPr>
          <w:b/>
          <w:lang w:val="sq-AL"/>
        </w:rPr>
        <w:lastRenderedPageBreak/>
        <w:t xml:space="preserve">3.5 </w:t>
      </w:r>
      <w:r w:rsidR="00DF7A00" w:rsidRPr="0058349C">
        <w:rPr>
          <w:b/>
          <w:lang w:val="sq-AL"/>
        </w:rPr>
        <w:t>Investimet publike në ndërtimin dhe rehabilitimin e infrastrukturës publike rurale dhe prodhimin e energjisë së rinovueshme</w:t>
      </w:r>
    </w:p>
    <w:p w14:paraId="0773AEE5" w14:textId="0C437158"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Investimet publike në rrugët rurale, rrugët pyjore, shëndetësi, ujërat e zeza dhe menaxhimin e mbetjeve, duke përfshirë mbetjet bujqësore në zonat rurale janë të domosdoshme për të përmirësuar aksesin në shërbimet kryesore publike. Këto investime mundësojnë rritjen e standardeve mjedisore dhe i shërbejnë sektorit të turizmit rural, që ndodhet në zhvillim e sipër. Këtu përfshihen edhe investimet në prodhimin e decentralizuar të energjisë elektrike dhe të ngrohjes së ndërtesave publike në komunat rurale nga burimet e rinovueshme si p.sh</w:t>
      </w:r>
      <w:r w:rsidR="00D51D48">
        <w:rPr>
          <w:rFonts w:ascii="Garamond" w:hAnsi="Garamond" w:cs="Arial"/>
          <w:sz w:val="24"/>
          <w:szCs w:val="24"/>
          <w:lang w:val="sq-AL"/>
        </w:rPr>
        <w:t>.</w:t>
      </w:r>
      <w:r w:rsidRPr="0058349C">
        <w:rPr>
          <w:rFonts w:ascii="Garamond" w:hAnsi="Garamond" w:cs="Arial"/>
          <w:sz w:val="24"/>
          <w:szCs w:val="24"/>
          <w:lang w:val="sq-AL"/>
        </w:rPr>
        <w:t xml:space="preserve"> energjia diellore.</w:t>
      </w:r>
    </w:p>
    <w:p w14:paraId="0773AEE6" w14:textId="048CC31E" w:rsidR="00DF7A00" w:rsidRPr="0058349C" w:rsidRDefault="00DF7A00" w:rsidP="00D51D48">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Përmirësimi i cilësisë së infrastrukturës rrugore rurale është tashmë një prioritet kombëtar</w:t>
      </w:r>
      <w:r w:rsidR="00D51D48">
        <w:rPr>
          <w:rFonts w:ascii="Garamond" w:hAnsi="Garamond" w:cs="Arial"/>
          <w:sz w:val="24"/>
          <w:szCs w:val="24"/>
          <w:lang w:val="sq-AL"/>
        </w:rPr>
        <w:t>.</w:t>
      </w:r>
      <w:r w:rsidRPr="0058349C">
        <w:rPr>
          <w:rFonts w:ascii="Garamond" w:hAnsi="Garamond" w:cs="Arial"/>
          <w:sz w:val="24"/>
          <w:szCs w:val="24"/>
          <w:lang w:val="sq-AL"/>
        </w:rPr>
        <w:t xml:space="preserve"> </w:t>
      </w:r>
    </w:p>
    <w:p w14:paraId="0773AEE7" w14:textId="31178570"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MBZHR</w:t>
      </w:r>
      <w:r w:rsidR="00FA2E58">
        <w:rPr>
          <w:rFonts w:ascii="Garamond" w:hAnsi="Garamond" w:cs="Arial"/>
          <w:sz w:val="24"/>
          <w:szCs w:val="24"/>
          <w:lang w:val="sq-AL"/>
        </w:rPr>
        <w:t>-ja</w:t>
      </w:r>
      <w:r w:rsidRPr="0058349C">
        <w:rPr>
          <w:rFonts w:ascii="Garamond" w:hAnsi="Garamond" w:cs="Arial"/>
          <w:sz w:val="24"/>
          <w:szCs w:val="24"/>
          <w:lang w:val="sq-AL"/>
        </w:rPr>
        <w:t xml:space="preserve"> do ta trajtojë këtë nevojë në kuadër të programit IPARD III, masa e infrastrukturës publike rurale.</w:t>
      </w:r>
    </w:p>
    <w:p w14:paraId="0773AEE8" w14:textId="77777777" w:rsidR="00DF7A00" w:rsidRPr="0058349C" w:rsidRDefault="00DF7A00" w:rsidP="00DF7A00">
      <w:pPr>
        <w:spacing w:after="0" w:line="240" w:lineRule="auto"/>
        <w:ind w:firstLine="284"/>
        <w:jc w:val="both"/>
        <w:rPr>
          <w:rFonts w:ascii="Garamond" w:eastAsia="TimesNewRomanPSMT" w:hAnsi="Garamond" w:cs="Arial"/>
          <w:sz w:val="24"/>
          <w:szCs w:val="24"/>
          <w:lang w:val="sq-AL"/>
        </w:rPr>
      </w:pPr>
      <w:r w:rsidRPr="0058349C">
        <w:rPr>
          <w:rFonts w:ascii="Garamond" w:eastAsia="TimesNewRomanPSMT" w:hAnsi="Garamond" w:cs="Arial"/>
          <w:bCs/>
          <w:sz w:val="24"/>
          <w:szCs w:val="24"/>
          <w:lang w:val="sq-AL"/>
        </w:rPr>
        <w:t xml:space="preserve">Nevojitet </w:t>
      </w:r>
      <w:r w:rsidRPr="0058349C">
        <w:rPr>
          <w:rFonts w:ascii="Garamond" w:eastAsia="TimesNewRomanPSMT" w:hAnsi="Garamond" w:cs="Arial"/>
          <w:b/>
          <w:bCs/>
          <w:sz w:val="24"/>
          <w:szCs w:val="24"/>
          <w:lang w:val="sq-AL"/>
        </w:rPr>
        <w:t xml:space="preserve">përmirësimi i aksesit në brezin e gjerë </w:t>
      </w:r>
      <w:r w:rsidRPr="0058349C">
        <w:rPr>
          <w:rFonts w:ascii="Garamond" w:eastAsia="TimesNewRomanPSMT" w:hAnsi="Garamond" w:cs="Arial"/>
          <w:bCs/>
          <w:sz w:val="24"/>
          <w:szCs w:val="24"/>
          <w:lang w:val="sq-AL"/>
        </w:rPr>
        <w:t>në zonat rurale, i cili parashikohet të zhvillohet në programe të tjera sektoriale të QSH-së dhe është i lidhur me investimet në infrastrukturën publike të telekomunikacionit</w:t>
      </w:r>
      <w:r w:rsidRPr="0058349C">
        <w:rPr>
          <w:rFonts w:ascii="Garamond" w:eastAsia="TimesNewRomanPSMT" w:hAnsi="Garamond" w:cs="Arial"/>
          <w:sz w:val="24"/>
          <w:szCs w:val="24"/>
          <w:lang w:val="sq-AL"/>
        </w:rPr>
        <w:t>.</w:t>
      </w:r>
    </w:p>
    <w:p w14:paraId="0773AEE9" w14:textId="6E66DD6C" w:rsidR="00DF7A00" w:rsidRPr="0058349C" w:rsidRDefault="00B63E83" w:rsidP="00FA2E58">
      <w:pPr>
        <w:pStyle w:val="TEKSTIIII"/>
        <w:rPr>
          <w:b/>
          <w:lang w:val="sq-AL"/>
        </w:rPr>
      </w:pPr>
      <w:r w:rsidRPr="0058349C">
        <w:rPr>
          <w:b/>
          <w:lang w:val="sq-AL"/>
        </w:rPr>
        <w:t xml:space="preserve">3.6 </w:t>
      </w:r>
      <w:r w:rsidR="00DF7A00" w:rsidRPr="0058349C">
        <w:rPr>
          <w:b/>
          <w:lang w:val="sq-AL"/>
        </w:rPr>
        <w:t>Zhvillimi i zinxhirëve të vlerës së bioekonomisë</w:t>
      </w:r>
    </w:p>
    <w:p w14:paraId="0773AEEA" w14:textId="48096733" w:rsidR="00DF7A00" w:rsidRPr="0058349C" w:rsidRDefault="00DF7A00" w:rsidP="00DF7A00">
      <w:pPr>
        <w:spacing w:after="0" w:line="240" w:lineRule="auto"/>
        <w:ind w:firstLine="284"/>
        <w:jc w:val="both"/>
        <w:rPr>
          <w:rFonts w:ascii="Garamond" w:eastAsia="TimesNewRomanPSMT" w:hAnsi="Garamond" w:cs="Arial"/>
          <w:sz w:val="24"/>
          <w:szCs w:val="24"/>
          <w:lang w:val="sq-AL"/>
        </w:rPr>
      </w:pPr>
      <w:r w:rsidRPr="0058349C">
        <w:rPr>
          <w:rFonts w:ascii="Garamond" w:hAnsi="Garamond" w:cs="Arial"/>
          <w:sz w:val="24"/>
          <w:szCs w:val="24"/>
          <w:lang w:val="sq-AL"/>
        </w:rPr>
        <w:t>P</w:t>
      </w:r>
      <w:r w:rsidRPr="0058349C">
        <w:rPr>
          <w:rFonts w:ascii="Garamond" w:eastAsia="TimesNewRomanPSMT" w:hAnsi="Garamond" w:cs="Arial"/>
          <w:sz w:val="24"/>
          <w:szCs w:val="24"/>
          <w:lang w:val="sq-AL"/>
        </w:rPr>
        <w:t>rogramet e financimit publik, bazuar në vlerësime paraprake, duhet të mbështesin aktivitete brenda zinxhirëve të vlerës t</w:t>
      </w:r>
      <w:r w:rsidR="00FA2E58">
        <w:rPr>
          <w:rFonts w:ascii="Garamond" w:eastAsia="TimesNewRomanPSMT" w:hAnsi="Garamond" w:cs="Arial"/>
          <w:sz w:val="24"/>
          <w:szCs w:val="24"/>
          <w:lang w:val="sq-AL"/>
        </w:rPr>
        <w:t>ë bio</w:t>
      </w:r>
      <w:r w:rsidRPr="0058349C">
        <w:rPr>
          <w:rFonts w:ascii="Garamond" w:eastAsia="TimesNewRomanPSMT" w:hAnsi="Garamond" w:cs="Arial"/>
          <w:sz w:val="24"/>
          <w:szCs w:val="24"/>
          <w:lang w:val="sq-AL"/>
        </w:rPr>
        <w:t>ekonomisë rurale, duke përfshirë dhe energjinë e rinovueshme me bazë bujqësinë dhe pyjet, të cilat mund të ofrojnë edhe përfitime klimatike dhe mjedisore.</w:t>
      </w:r>
    </w:p>
    <w:p w14:paraId="0773AEEB" w14:textId="77777777" w:rsidR="00DF7A00" w:rsidRPr="0058349C" w:rsidRDefault="00B63E83" w:rsidP="00B63E83">
      <w:pPr>
        <w:pStyle w:val="TEKSTIIII"/>
        <w:rPr>
          <w:b/>
          <w:lang w:val="sq-AL"/>
        </w:rPr>
      </w:pPr>
      <w:r w:rsidRPr="0058349C">
        <w:rPr>
          <w:b/>
          <w:lang w:val="sq-AL"/>
        </w:rPr>
        <w:t xml:space="preserve">3.7 </w:t>
      </w:r>
      <w:r w:rsidR="00DF7A00" w:rsidRPr="0058349C">
        <w:rPr>
          <w:b/>
          <w:lang w:val="sq-AL"/>
        </w:rPr>
        <w:t>Mbështetja e zhvillimit të territorit në bazë të Strategjive të Zhvillimit Lokal (SZHL)</w:t>
      </w:r>
    </w:p>
    <w:p w14:paraId="0773AEEC" w14:textId="6EBD3C17" w:rsidR="00DF7A00" w:rsidRPr="0058349C" w:rsidRDefault="00DF7A00" w:rsidP="00DF7A00">
      <w:pPr>
        <w:spacing w:after="0" w:line="240" w:lineRule="auto"/>
        <w:ind w:firstLine="284"/>
        <w:jc w:val="both"/>
        <w:rPr>
          <w:rFonts w:ascii="Garamond" w:hAnsi="Garamond" w:cs="Arial"/>
          <w:bCs/>
          <w:sz w:val="24"/>
          <w:szCs w:val="24"/>
          <w:lang w:val="sq-AL"/>
        </w:rPr>
      </w:pPr>
      <w:r w:rsidRPr="0058349C">
        <w:rPr>
          <w:rFonts w:ascii="Garamond" w:hAnsi="Garamond" w:cs="Arial"/>
          <w:b/>
          <w:bCs/>
          <w:sz w:val="24"/>
          <w:szCs w:val="24"/>
          <w:lang w:val="sq-AL"/>
        </w:rPr>
        <w:t>Kapitali social dhe qeverisja vendore</w:t>
      </w:r>
      <w:r w:rsidRPr="0058349C">
        <w:rPr>
          <w:rFonts w:ascii="Garamond" w:hAnsi="Garamond" w:cs="Arial"/>
          <w:bCs/>
          <w:sz w:val="24"/>
          <w:szCs w:val="24"/>
          <w:lang w:val="sq-AL"/>
        </w:rPr>
        <w:t xml:space="preserve"> n</w:t>
      </w:r>
      <w:r w:rsidRPr="0058349C">
        <w:rPr>
          <w:rFonts w:ascii="Garamond" w:hAnsi="Garamond" w:cs="Arial"/>
          <w:sz w:val="24"/>
          <w:szCs w:val="24"/>
          <w:lang w:val="sq-AL"/>
        </w:rPr>
        <w:t xml:space="preserve">ë zonat rurale </w:t>
      </w:r>
      <w:r w:rsidRPr="0058349C">
        <w:rPr>
          <w:rFonts w:ascii="Garamond" w:hAnsi="Garamond" w:cs="Arial"/>
          <w:bCs/>
          <w:sz w:val="24"/>
          <w:szCs w:val="24"/>
          <w:lang w:val="sq-AL"/>
        </w:rPr>
        <w:t>mund të përmirësohen nëpërmjet institucionalizimit të partneriteteve zhvillimore lokale ndërmjet aktorëve vendorë privatë, publikë dhe t</w:t>
      </w:r>
      <w:r w:rsidRPr="0058349C">
        <w:rPr>
          <w:rFonts w:ascii="Garamond" w:hAnsi="Garamond" w:cs="Arial"/>
          <w:sz w:val="24"/>
          <w:szCs w:val="24"/>
          <w:lang w:val="sq-AL"/>
        </w:rPr>
        <w:t>ë shoqërisë civile</w:t>
      </w:r>
      <w:r w:rsidRPr="0058349C">
        <w:rPr>
          <w:rFonts w:ascii="Garamond" w:hAnsi="Garamond" w:cs="Arial"/>
          <w:bCs/>
          <w:sz w:val="24"/>
          <w:szCs w:val="24"/>
          <w:lang w:val="sq-AL"/>
        </w:rPr>
        <w:t xml:space="preserve"> për të zbatuar SZHL-të e bazuar në territore t</w:t>
      </w:r>
      <w:r w:rsidRPr="0058349C">
        <w:rPr>
          <w:rFonts w:ascii="Garamond" w:hAnsi="Garamond" w:cs="Arial"/>
          <w:sz w:val="24"/>
          <w:szCs w:val="24"/>
          <w:lang w:val="sq-AL"/>
        </w:rPr>
        <w:t>ë caktuara (të GVV</w:t>
      </w:r>
      <w:r w:rsidR="00506FF2">
        <w:rPr>
          <w:rFonts w:ascii="Garamond" w:hAnsi="Garamond" w:cs="Arial"/>
          <w:sz w:val="24"/>
          <w:szCs w:val="24"/>
          <w:lang w:val="sq-AL"/>
        </w:rPr>
        <w:t>-së</w:t>
      </w:r>
      <w:r w:rsidRPr="0058349C">
        <w:rPr>
          <w:rFonts w:ascii="Garamond" w:hAnsi="Garamond" w:cs="Arial"/>
          <w:sz w:val="24"/>
          <w:szCs w:val="24"/>
          <w:lang w:val="sq-AL"/>
        </w:rPr>
        <w:t>)</w:t>
      </w:r>
      <w:r w:rsidRPr="0058349C">
        <w:rPr>
          <w:rFonts w:ascii="Garamond" w:hAnsi="Garamond" w:cs="Arial"/>
          <w:bCs/>
          <w:sz w:val="24"/>
          <w:szCs w:val="24"/>
          <w:lang w:val="sq-AL"/>
        </w:rPr>
        <w:t>. Kjo nënkupton</w:t>
      </w:r>
      <w:r w:rsidR="008822BF">
        <w:rPr>
          <w:rFonts w:ascii="Garamond" w:hAnsi="Garamond" w:cs="Arial"/>
          <w:bCs/>
          <w:sz w:val="24"/>
          <w:szCs w:val="24"/>
          <w:lang w:val="sq-AL"/>
        </w:rPr>
        <w:t>,</w:t>
      </w:r>
      <w:r w:rsidRPr="0058349C">
        <w:rPr>
          <w:rFonts w:ascii="Garamond" w:hAnsi="Garamond" w:cs="Arial"/>
          <w:bCs/>
          <w:sz w:val="24"/>
          <w:szCs w:val="24"/>
          <w:lang w:val="sq-AL"/>
        </w:rPr>
        <w:t xml:space="preserve"> gjithashtu</w:t>
      </w:r>
      <w:r w:rsidR="008822BF">
        <w:rPr>
          <w:rFonts w:ascii="Garamond" w:hAnsi="Garamond" w:cs="Arial"/>
          <w:bCs/>
          <w:sz w:val="24"/>
          <w:szCs w:val="24"/>
          <w:lang w:val="sq-AL"/>
        </w:rPr>
        <w:t>,</w:t>
      </w:r>
      <w:r w:rsidRPr="0058349C">
        <w:rPr>
          <w:rFonts w:ascii="Garamond" w:hAnsi="Garamond" w:cs="Arial"/>
          <w:bCs/>
          <w:sz w:val="24"/>
          <w:szCs w:val="24"/>
          <w:lang w:val="sq-AL"/>
        </w:rPr>
        <w:t xml:space="preserve"> kapitalizimin e kapitalit social dhe t</w:t>
      </w:r>
      <w:r w:rsidRPr="0058349C">
        <w:rPr>
          <w:rFonts w:ascii="Garamond" w:hAnsi="Garamond" w:cs="Arial"/>
          <w:sz w:val="24"/>
          <w:szCs w:val="24"/>
          <w:lang w:val="sq-AL"/>
        </w:rPr>
        <w:t xml:space="preserve">ë </w:t>
      </w:r>
      <w:r w:rsidRPr="0058349C">
        <w:rPr>
          <w:rFonts w:ascii="Garamond" w:hAnsi="Garamond" w:cs="Arial"/>
          <w:bCs/>
          <w:sz w:val="24"/>
          <w:szCs w:val="24"/>
          <w:lang w:val="sq-AL"/>
        </w:rPr>
        <w:t>partneriteteve lokale dhe nismave komunitare q</w:t>
      </w:r>
      <w:r w:rsidRPr="0058349C">
        <w:rPr>
          <w:rFonts w:ascii="Garamond" w:hAnsi="Garamond" w:cs="Arial"/>
          <w:sz w:val="24"/>
          <w:szCs w:val="24"/>
          <w:lang w:val="sq-AL"/>
        </w:rPr>
        <w:t xml:space="preserve">ë </w:t>
      </w:r>
      <w:r w:rsidRPr="0058349C">
        <w:rPr>
          <w:rFonts w:ascii="Garamond" w:hAnsi="Garamond" w:cs="Arial"/>
          <w:bCs/>
          <w:sz w:val="24"/>
          <w:szCs w:val="24"/>
          <w:lang w:val="sq-AL"/>
        </w:rPr>
        <w:t>ekzistojn</w:t>
      </w:r>
      <w:r w:rsidRPr="0058349C">
        <w:rPr>
          <w:rFonts w:ascii="Garamond" w:hAnsi="Garamond" w:cs="Arial"/>
          <w:sz w:val="24"/>
          <w:szCs w:val="24"/>
          <w:lang w:val="sq-AL"/>
        </w:rPr>
        <w:t>ë</w:t>
      </w:r>
      <w:r w:rsidRPr="0058349C">
        <w:rPr>
          <w:rFonts w:ascii="Garamond" w:hAnsi="Garamond" w:cs="Arial"/>
          <w:bCs/>
          <w:sz w:val="24"/>
          <w:szCs w:val="24"/>
          <w:lang w:val="sq-AL"/>
        </w:rPr>
        <w:t xml:space="preserve"> tashm</w:t>
      </w:r>
      <w:r w:rsidRPr="0058349C">
        <w:rPr>
          <w:rFonts w:ascii="Garamond" w:hAnsi="Garamond" w:cs="Arial"/>
          <w:sz w:val="24"/>
          <w:szCs w:val="24"/>
          <w:lang w:val="sq-AL"/>
        </w:rPr>
        <w:t>ë</w:t>
      </w:r>
      <w:r w:rsidRPr="0058349C">
        <w:rPr>
          <w:rFonts w:ascii="Garamond" w:hAnsi="Garamond" w:cs="Arial"/>
          <w:bCs/>
          <w:sz w:val="24"/>
          <w:szCs w:val="24"/>
          <w:lang w:val="sq-AL"/>
        </w:rPr>
        <w:t>.</w:t>
      </w:r>
    </w:p>
    <w:p w14:paraId="0773AEED" w14:textId="77777777" w:rsidR="00DF7A00" w:rsidRPr="0058349C" w:rsidRDefault="00DF7A00" w:rsidP="00DF7A00">
      <w:pPr>
        <w:spacing w:after="0" w:line="240" w:lineRule="auto"/>
        <w:ind w:firstLine="284"/>
        <w:jc w:val="both"/>
        <w:rPr>
          <w:rFonts w:ascii="Garamond" w:hAnsi="Garamond" w:cs="Arial"/>
          <w:bCs/>
          <w:sz w:val="24"/>
          <w:szCs w:val="24"/>
          <w:lang w:val="sq-AL"/>
        </w:rPr>
      </w:pPr>
      <w:r w:rsidRPr="0058349C">
        <w:rPr>
          <w:rFonts w:ascii="Garamond" w:hAnsi="Garamond" w:cs="Arial"/>
          <w:bCs/>
          <w:sz w:val="24"/>
          <w:szCs w:val="24"/>
          <w:lang w:val="sq-AL"/>
        </w:rPr>
        <w:t>Nëpërmjet hartimit t</w:t>
      </w:r>
      <w:r w:rsidRPr="0058349C">
        <w:rPr>
          <w:rFonts w:ascii="Garamond" w:hAnsi="Garamond" w:cs="Arial"/>
          <w:sz w:val="24"/>
          <w:szCs w:val="24"/>
          <w:lang w:val="sq-AL"/>
        </w:rPr>
        <w:t xml:space="preserve">ë </w:t>
      </w:r>
      <w:r w:rsidRPr="0058349C">
        <w:rPr>
          <w:rFonts w:ascii="Garamond" w:hAnsi="Garamond" w:cs="Arial"/>
          <w:bCs/>
          <w:sz w:val="24"/>
          <w:szCs w:val="24"/>
          <w:lang w:val="sq-AL"/>
        </w:rPr>
        <w:t>bazuar n</w:t>
      </w:r>
      <w:r w:rsidRPr="0058349C">
        <w:rPr>
          <w:rFonts w:ascii="Garamond" w:hAnsi="Garamond" w:cs="Arial"/>
          <w:sz w:val="24"/>
          <w:szCs w:val="24"/>
          <w:lang w:val="sq-AL"/>
        </w:rPr>
        <w:t>ë qasjen</w:t>
      </w:r>
      <w:r w:rsidRPr="0058349C">
        <w:rPr>
          <w:rFonts w:ascii="Garamond" w:hAnsi="Garamond" w:cs="Arial"/>
          <w:bCs/>
          <w:sz w:val="24"/>
          <w:szCs w:val="24"/>
          <w:lang w:val="sq-AL"/>
        </w:rPr>
        <w:t xml:space="preserve"> nga poshtë-lart të SZHL-së të bazuara në territor, që përmban nevojat dhe potencialet e identifikuara sociale, ekonomike dhe mjedisore, duhet të zbatohen veprimet dhe investimet prioritare.</w:t>
      </w:r>
    </w:p>
    <w:p w14:paraId="0773AEEE" w14:textId="77777777" w:rsidR="00DF7A00" w:rsidRPr="0058349C" w:rsidRDefault="00DF7A00" w:rsidP="00DF7A00">
      <w:pPr>
        <w:spacing w:after="0" w:line="240" w:lineRule="auto"/>
        <w:ind w:firstLine="284"/>
        <w:jc w:val="both"/>
        <w:rPr>
          <w:rFonts w:ascii="Garamond" w:hAnsi="Garamond" w:cs="Arial"/>
          <w:bCs/>
          <w:sz w:val="24"/>
          <w:szCs w:val="24"/>
          <w:lang w:val="sq-AL"/>
        </w:rPr>
      </w:pPr>
      <w:r w:rsidRPr="0058349C">
        <w:rPr>
          <w:rFonts w:ascii="Garamond" w:hAnsi="Garamond" w:cs="Arial"/>
          <w:bCs/>
          <w:sz w:val="24"/>
          <w:szCs w:val="24"/>
          <w:lang w:val="sq-AL"/>
        </w:rPr>
        <w:t>Për të pasur akses në financim të qëndrueshëm, nevojitet forcimi i kapaciteteve financiare-administrative, menaxhuese dhe komunikuese të koordinatorëve të tanishëm dhe të ardhshëm të GVV-ve.</w:t>
      </w:r>
    </w:p>
    <w:p w14:paraId="0773AEEF" w14:textId="14F27E6E"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Cs/>
          <w:sz w:val="24"/>
          <w:szCs w:val="24"/>
          <w:lang w:val="sq-AL"/>
        </w:rPr>
        <w:t xml:space="preserve">Sigurimi i financimit dhe </w:t>
      </w:r>
      <w:r w:rsidR="008822BF">
        <w:rPr>
          <w:rFonts w:ascii="Garamond" w:hAnsi="Garamond" w:cs="Arial"/>
          <w:bCs/>
          <w:sz w:val="24"/>
          <w:szCs w:val="24"/>
          <w:lang w:val="sq-AL"/>
        </w:rPr>
        <w:t xml:space="preserve">i </w:t>
      </w:r>
      <w:r w:rsidRPr="0058349C">
        <w:rPr>
          <w:rFonts w:ascii="Garamond" w:hAnsi="Garamond" w:cs="Arial"/>
          <w:bCs/>
          <w:sz w:val="24"/>
          <w:szCs w:val="24"/>
          <w:lang w:val="sq-AL"/>
        </w:rPr>
        <w:t>mbështetjes afatgjatë kërkon</w:t>
      </w:r>
      <w:r w:rsidR="00AA2D34">
        <w:rPr>
          <w:rFonts w:ascii="Garamond" w:hAnsi="Garamond" w:cs="Arial"/>
          <w:bCs/>
          <w:sz w:val="24"/>
          <w:szCs w:val="24"/>
          <w:lang w:val="sq-AL"/>
        </w:rPr>
        <w:t>,</w:t>
      </w:r>
      <w:r w:rsidRPr="0058349C">
        <w:rPr>
          <w:rFonts w:ascii="Garamond" w:hAnsi="Garamond" w:cs="Arial"/>
          <w:bCs/>
          <w:sz w:val="24"/>
          <w:szCs w:val="24"/>
          <w:lang w:val="sq-AL"/>
        </w:rPr>
        <w:t xml:space="preserve"> gjithashtu</w:t>
      </w:r>
      <w:r w:rsidR="00AA2D34">
        <w:rPr>
          <w:rFonts w:ascii="Garamond" w:hAnsi="Garamond" w:cs="Arial"/>
          <w:bCs/>
          <w:sz w:val="24"/>
          <w:szCs w:val="24"/>
          <w:lang w:val="sq-AL"/>
        </w:rPr>
        <w:t>,</w:t>
      </w:r>
      <w:r w:rsidRPr="0058349C">
        <w:rPr>
          <w:rFonts w:ascii="Garamond" w:hAnsi="Garamond" w:cs="Arial"/>
          <w:bCs/>
          <w:sz w:val="24"/>
          <w:szCs w:val="24"/>
          <w:lang w:val="sq-AL"/>
        </w:rPr>
        <w:t xml:space="preserve"> burime dhe rritje të ndërgjegjësimit të bashkëpunimit midis bashkive (aktor</w:t>
      </w:r>
      <w:r w:rsidRPr="0058349C">
        <w:rPr>
          <w:rFonts w:ascii="Garamond" w:hAnsi="Garamond" w:cs="Arial"/>
          <w:sz w:val="24"/>
          <w:szCs w:val="24"/>
          <w:lang w:val="sq-AL"/>
        </w:rPr>
        <w:t>ëve publikë).</w:t>
      </w:r>
    </w:p>
    <w:p w14:paraId="0773AEF0" w14:textId="11EDE041" w:rsidR="00DF7A00" w:rsidRPr="0058349C" w:rsidRDefault="00B63E83" w:rsidP="00AA2D34">
      <w:pPr>
        <w:pStyle w:val="TEKSTIIII"/>
        <w:rPr>
          <w:b/>
          <w:lang w:val="sq-AL"/>
        </w:rPr>
      </w:pPr>
      <w:r w:rsidRPr="0058349C">
        <w:rPr>
          <w:b/>
          <w:lang w:val="sq-AL"/>
        </w:rPr>
        <w:t xml:space="preserve">3.8 </w:t>
      </w:r>
      <w:r w:rsidR="00DF7A00" w:rsidRPr="0058349C">
        <w:rPr>
          <w:b/>
          <w:lang w:val="sq-AL"/>
        </w:rPr>
        <w:t xml:space="preserve">Forcimi i kapaciteteve të rrjetëzimit dhe </w:t>
      </w:r>
      <w:r w:rsidR="00AA2D34">
        <w:rPr>
          <w:b/>
          <w:lang w:val="sq-AL"/>
        </w:rPr>
        <w:t xml:space="preserve">të </w:t>
      </w:r>
      <w:r w:rsidR="00DF7A00" w:rsidRPr="0058349C">
        <w:rPr>
          <w:b/>
          <w:lang w:val="sq-AL"/>
        </w:rPr>
        <w:t>kapaciteteve mbështetëse</w:t>
      </w:r>
    </w:p>
    <w:p w14:paraId="0773AEF1" w14:textId="372E3DBE"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Zbatimi i qasjes LEADER (zhvillimi i një territori të caktuar që mbulon një GVV) do të hapte një dritare financimi afatgjatë për GVV-të. Kjo qasje do të zbatohet qoftë me mbështetjen përmes fondeve kombëtare (buxhetet komunale, programet kombëtare), ashtu edhe në kuadër t</w:t>
      </w:r>
      <w:r w:rsidR="00730295">
        <w:rPr>
          <w:rFonts w:ascii="Garamond" w:hAnsi="Garamond" w:cs="Arial"/>
          <w:sz w:val="24"/>
          <w:szCs w:val="24"/>
          <w:lang w:val="sq-AL"/>
        </w:rPr>
        <w:t>ë programit IPARD III të bashkë</w:t>
      </w:r>
      <w:r w:rsidRPr="0058349C">
        <w:rPr>
          <w:rFonts w:ascii="Garamond" w:hAnsi="Garamond" w:cs="Arial"/>
          <w:sz w:val="24"/>
          <w:szCs w:val="24"/>
          <w:lang w:val="sq-AL"/>
        </w:rPr>
        <w:t>financuar nga BE</w:t>
      </w:r>
      <w:r w:rsidR="00730295">
        <w:rPr>
          <w:rFonts w:ascii="Garamond" w:hAnsi="Garamond" w:cs="Arial"/>
          <w:sz w:val="24"/>
          <w:szCs w:val="24"/>
          <w:lang w:val="sq-AL"/>
        </w:rPr>
        <w:t>-ja</w:t>
      </w:r>
      <w:r w:rsidRPr="0058349C">
        <w:rPr>
          <w:rFonts w:ascii="Garamond" w:hAnsi="Garamond" w:cs="Arial"/>
          <w:sz w:val="24"/>
          <w:szCs w:val="24"/>
          <w:lang w:val="sq-AL"/>
        </w:rPr>
        <w:t>. Kjo nënkupton një kapitalizim efektiv të kapitalit tashmë ekzistues social (OSHC-ve dhe rrjetit aktiv në zhvillimin rural RRSHZHR-ja) të aktorëve</w:t>
      </w:r>
      <w:r w:rsidR="00FC6F54">
        <w:rPr>
          <w:rFonts w:ascii="Garamond" w:hAnsi="Garamond" w:cs="Arial"/>
          <w:sz w:val="24"/>
          <w:szCs w:val="24"/>
          <w:lang w:val="sq-AL"/>
        </w:rPr>
        <w:t>,</w:t>
      </w:r>
      <w:r w:rsidRPr="0058349C">
        <w:rPr>
          <w:rFonts w:ascii="Garamond" w:hAnsi="Garamond" w:cs="Arial"/>
          <w:sz w:val="24"/>
          <w:szCs w:val="24"/>
          <w:lang w:val="sq-AL"/>
        </w:rPr>
        <w:t xml:space="preserve"> që jetojnë dhe ushtrojnë aktivitet në zonat rurale.</w:t>
      </w:r>
    </w:p>
    <w:p w14:paraId="0773AEF2" w14:textId="040379C5"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Qasja LEADER, meqenëse është një qasje e re dhe që përmban sfida në zbatimin e saj, është planifikuar që të financohet me një buxhet mbështetjeje</w:t>
      </w:r>
      <w:r w:rsidR="00FC6F54">
        <w:rPr>
          <w:rFonts w:ascii="Garamond" w:hAnsi="Garamond" w:cs="Arial"/>
          <w:sz w:val="24"/>
          <w:szCs w:val="24"/>
          <w:lang w:val="sq-AL"/>
        </w:rPr>
        <w:t>,</w:t>
      </w:r>
      <w:r w:rsidRPr="0058349C">
        <w:rPr>
          <w:rFonts w:ascii="Garamond" w:hAnsi="Garamond" w:cs="Arial"/>
          <w:sz w:val="24"/>
          <w:szCs w:val="24"/>
          <w:lang w:val="sq-AL"/>
        </w:rPr>
        <w:t xml:space="preserve"> i cili synon përgjigjen ndaj kërkesës që mund të shfaqin GVV-të në të ardhmen afatmesme. </w:t>
      </w:r>
    </w:p>
    <w:p w14:paraId="0773AEF3" w14:textId="0094C267" w:rsidR="00DF7A00" w:rsidRPr="0058349C" w:rsidRDefault="00DF7A00" w:rsidP="00FC6F54">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Zbatimi i kësaj qasje do të kontribuojë edhe në forcimin e rrjetëzimit dhe të </w:t>
      </w:r>
      <w:r w:rsidRPr="0058349C">
        <w:rPr>
          <w:rFonts w:ascii="Garamond" w:hAnsi="Garamond" w:cs="Arial"/>
          <w:b/>
          <w:sz w:val="24"/>
          <w:szCs w:val="24"/>
          <w:lang w:val="sq-AL"/>
        </w:rPr>
        <w:t>veprimeve të përbashkëta të aktorëve ruralë të zhvillimit mjedisor dhe rural</w:t>
      </w:r>
      <w:r w:rsidR="00FC6F54">
        <w:rPr>
          <w:rFonts w:ascii="Garamond" w:hAnsi="Garamond" w:cs="Arial"/>
          <w:b/>
          <w:sz w:val="24"/>
          <w:szCs w:val="24"/>
          <w:lang w:val="sq-AL"/>
        </w:rPr>
        <w:t>,</w:t>
      </w:r>
      <w:r w:rsidRPr="0058349C">
        <w:rPr>
          <w:rFonts w:ascii="Garamond" w:hAnsi="Garamond" w:cs="Arial"/>
          <w:sz w:val="24"/>
          <w:szCs w:val="24"/>
          <w:lang w:val="sq-AL"/>
        </w:rPr>
        <w:t xml:space="preserve"> në lidhje me zbatimin e masave agromjedisore dhe klimatike, të skemave eko ose për masat në zonat e mbrojtura</w:t>
      </w:r>
      <w:r w:rsidR="00FC6F54">
        <w:rPr>
          <w:rFonts w:ascii="Garamond" w:hAnsi="Garamond" w:cs="Arial"/>
          <w:sz w:val="24"/>
          <w:szCs w:val="24"/>
          <w:lang w:val="sq-AL"/>
        </w:rPr>
        <w:t>,</w:t>
      </w:r>
      <w:r w:rsidRPr="0058349C">
        <w:rPr>
          <w:rFonts w:ascii="Garamond" w:hAnsi="Garamond" w:cs="Arial"/>
          <w:sz w:val="24"/>
          <w:szCs w:val="24"/>
          <w:lang w:val="sq-AL"/>
        </w:rPr>
        <w:t xml:space="preserve"> pasi palët e tyre të interesit janë</w:t>
      </w:r>
      <w:r w:rsidR="00FC6F54">
        <w:rPr>
          <w:rFonts w:ascii="Garamond" w:hAnsi="Garamond" w:cs="Arial"/>
          <w:sz w:val="24"/>
          <w:szCs w:val="24"/>
          <w:lang w:val="sq-AL"/>
        </w:rPr>
        <w:t>,</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gjithashtu</w:t>
      </w:r>
      <w:r w:rsidR="00FC6F54">
        <w:rPr>
          <w:rFonts w:ascii="Garamond" w:hAnsi="Garamond" w:cs="Arial"/>
          <w:sz w:val="24"/>
          <w:szCs w:val="24"/>
          <w:lang w:val="sq-AL"/>
        </w:rPr>
        <w:t>,</w:t>
      </w:r>
      <w:r w:rsidRPr="0058349C">
        <w:rPr>
          <w:rFonts w:ascii="Garamond" w:hAnsi="Garamond" w:cs="Arial"/>
          <w:sz w:val="24"/>
          <w:szCs w:val="24"/>
          <w:lang w:val="sq-AL"/>
        </w:rPr>
        <w:t xml:space="preserve"> fermerët dhe popullsia rurale.</w:t>
      </w:r>
    </w:p>
    <w:p w14:paraId="0773AEF4" w14:textId="77777777" w:rsidR="00DF7A00" w:rsidRPr="0058349C" w:rsidRDefault="00B63E83" w:rsidP="00B63E83">
      <w:pPr>
        <w:pStyle w:val="TEKSTIIII"/>
        <w:rPr>
          <w:b/>
          <w:lang w:val="sq-AL"/>
        </w:rPr>
      </w:pPr>
      <w:r w:rsidRPr="0058349C">
        <w:rPr>
          <w:b/>
          <w:lang w:val="sq-AL"/>
        </w:rPr>
        <w:t xml:space="preserve">3.9 </w:t>
      </w:r>
      <w:r w:rsidR="00DF7A00" w:rsidRPr="0058349C">
        <w:rPr>
          <w:b/>
          <w:lang w:val="sq-AL"/>
        </w:rPr>
        <w:t>Forcimi i kapaciteteve institucionale të MBZHR-së dhe organeve të saj teknike</w:t>
      </w:r>
    </w:p>
    <w:p w14:paraId="0773AEF5" w14:textId="1E7697EE" w:rsidR="00DF7A00" w:rsidRPr="0058349C" w:rsidRDefault="00DF7A00" w:rsidP="00DF7A00">
      <w:pPr>
        <w:spacing w:after="0" w:line="240" w:lineRule="auto"/>
        <w:ind w:firstLine="284"/>
        <w:jc w:val="both"/>
        <w:rPr>
          <w:rFonts w:ascii="Garamond" w:eastAsia="Arial" w:hAnsi="Garamond" w:cs="Arial"/>
          <w:sz w:val="24"/>
          <w:szCs w:val="24"/>
          <w:lang w:val="sq-AL"/>
        </w:rPr>
      </w:pPr>
      <w:r w:rsidRPr="00CC2F79">
        <w:rPr>
          <w:rFonts w:ascii="Garamond" w:eastAsia="Arial" w:hAnsi="Garamond" w:cs="Arial"/>
          <w:b/>
          <w:bCs/>
          <w:sz w:val="24"/>
          <w:szCs w:val="24"/>
          <w:lang w:val="sq-AL"/>
        </w:rPr>
        <w:lastRenderedPageBreak/>
        <w:t>Nd</w:t>
      </w:r>
      <w:r w:rsidRPr="00CC2F79">
        <w:rPr>
          <w:rFonts w:ascii="Garamond" w:hAnsi="Garamond"/>
          <w:b/>
          <w:bCs/>
          <w:sz w:val="24"/>
          <w:szCs w:val="24"/>
          <w:lang w:val="sq-AL"/>
        </w:rPr>
        <w:t>ë</w:t>
      </w:r>
      <w:r w:rsidRPr="0058349C">
        <w:rPr>
          <w:rFonts w:ascii="Garamond" w:hAnsi="Garamond"/>
          <w:b/>
          <w:sz w:val="24"/>
          <w:szCs w:val="24"/>
          <w:lang w:val="sq-AL"/>
        </w:rPr>
        <w:t xml:space="preserve">rhyrjet sipas </w:t>
      </w:r>
      <w:r w:rsidRPr="00CC2F79">
        <w:rPr>
          <w:rFonts w:ascii="Garamond" w:hAnsi="Garamond"/>
          <w:bCs/>
          <w:sz w:val="24"/>
          <w:szCs w:val="24"/>
          <w:lang w:val="sq-AL"/>
        </w:rPr>
        <w:t>n</w:t>
      </w:r>
      <w:r w:rsidRPr="0058349C">
        <w:rPr>
          <w:rFonts w:ascii="Garamond" w:eastAsia="Arial" w:hAnsi="Garamond" w:cs="Arial"/>
          <w:sz w:val="24"/>
          <w:szCs w:val="24"/>
          <w:lang w:val="sq-AL"/>
        </w:rPr>
        <w:t xml:space="preserve">evojave janë të lidhura drejtpërdrejt me </w:t>
      </w:r>
      <w:r w:rsidRPr="0058349C">
        <w:rPr>
          <w:rFonts w:ascii="Garamond" w:eastAsia="Arial" w:hAnsi="Garamond" w:cs="Arial"/>
          <w:b/>
          <w:sz w:val="24"/>
          <w:szCs w:val="24"/>
          <w:lang w:val="sq-AL"/>
        </w:rPr>
        <w:t xml:space="preserve">procesin e përafrimit me EU </w:t>
      </w:r>
      <w:r w:rsidR="00B25257" w:rsidRPr="00B25257">
        <w:rPr>
          <w:rFonts w:ascii="Garamond" w:eastAsia="Arial" w:hAnsi="Garamond" w:cs="Arial"/>
          <w:b/>
          <w:i/>
          <w:iCs/>
          <w:sz w:val="24"/>
          <w:szCs w:val="24"/>
          <w:lang w:val="sq-AL"/>
        </w:rPr>
        <w:t>acquis</w:t>
      </w:r>
      <w:r w:rsidRPr="0058349C">
        <w:rPr>
          <w:rFonts w:ascii="Garamond" w:eastAsia="Arial" w:hAnsi="Garamond" w:cs="Arial"/>
          <w:b/>
          <w:sz w:val="24"/>
          <w:szCs w:val="24"/>
          <w:lang w:val="sq-AL"/>
        </w:rPr>
        <w:t xml:space="preserve"> të BE-së për PPB, respektivisht me negocimin e </w:t>
      </w:r>
      <w:r w:rsidR="00CC2F79" w:rsidRPr="0058349C">
        <w:rPr>
          <w:rFonts w:ascii="Garamond" w:eastAsia="Arial" w:hAnsi="Garamond" w:cs="Arial"/>
          <w:b/>
          <w:sz w:val="24"/>
          <w:szCs w:val="24"/>
          <w:lang w:val="sq-AL"/>
        </w:rPr>
        <w:t xml:space="preserve">kapitujve </w:t>
      </w:r>
      <w:r w:rsidRPr="0058349C">
        <w:rPr>
          <w:rFonts w:ascii="Garamond" w:eastAsia="Arial" w:hAnsi="Garamond" w:cs="Arial"/>
          <w:b/>
          <w:sz w:val="24"/>
          <w:szCs w:val="24"/>
          <w:lang w:val="sq-AL"/>
        </w:rPr>
        <w:t>11 dhe 12.</w:t>
      </w:r>
      <w:r w:rsidRPr="0058349C">
        <w:rPr>
          <w:rFonts w:ascii="Garamond" w:eastAsia="Arial" w:hAnsi="Garamond" w:cs="Arial"/>
          <w:sz w:val="24"/>
          <w:szCs w:val="24"/>
          <w:lang w:val="sq-AL"/>
        </w:rPr>
        <w:t xml:space="preserve"> Nevojat n</w:t>
      </w:r>
      <w:r w:rsidRPr="0058349C">
        <w:rPr>
          <w:rFonts w:ascii="Garamond" w:hAnsi="Garamond" w:cs="Arial"/>
          <w:sz w:val="24"/>
          <w:szCs w:val="24"/>
          <w:lang w:val="sq-AL"/>
        </w:rPr>
        <w:t>ë mënyrë më të detajuar</w:t>
      </w:r>
      <w:r w:rsidRPr="0058349C">
        <w:rPr>
          <w:rFonts w:ascii="Garamond" w:eastAsia="Arial" w:hAnsi="Garamond" w:cs="Arial"/>
          <w:sz w:val="24"/>
          <w:szCs w:val="24"/>
          <w:lang w:val="sq-AL"/>
        </w:rPr>
        <w:t xml:space="preserve"> janë përshkruar m</w:t>
      </w:r>
      <w:r w:rsidRPr="0058349C">
        <w:rPr>
          <w:rFonts w:ascii="Garamond" w:hAnsi="Garamond" w:cs="Arial"/>
          <w:sz w:val="24"/>
          <w:szCs w:val="24"/>
          <w:lang w:val="sq-AL"/>
        </w:rPr>
        <w:t>ë poshtë</w:t>
      </w:r>
      <w:r w:rsidRPr="0058349C">
        <w:rPr>
          <w:rFonts w:ascii="Garamond" w:eastAsia="Arial" w:hAnsi="Garamond" w:cs="Arial"/>
          <w:sz w:val="24"/>
          <w:szCs w:val="24"/>
          <w:lang w:val="sq-AL"/>
        </w:rPr>
        <w:t xml:space="preserve"> në kuad</w:t>
      </w:r>
      <w:r w:rsidRPr="0058349C">
        <w:rPr>
          <w:rFonts w:ascii="Garamond" w:hAnsi="Garamond" w:cs="Arial"/>
          <w:sz w:val="24"/>
          <w:szCs w:val="24"/>
          <w:lang w:val="sq-AL"/>
        </w:rPr>
        <w:t>ër të</w:t>
      </w:r>
      <w:r w:rsidRPr="0058349C">
        <w:rPr>
          <w:rFonts w:ascii="Garamond" w:eastAsia="Arial" w:hAnsi="Garamond" w:cs="Arial"/>
          <w:sz w:val="24"/>
          <w:szCs w:val="24"/>
          <w:lang w:val="sq-AL"/>
        </w:rPr>
        <w:t xml:space="preserve"> </w:t>
      </w:r>
      <w:r w:rsidR="00CC2F79" w:rsidRPr="0058349C">
        <w:rPr>
          <w:rFonts w:ascii="Garamond" w:eastAsia="Arial" w:hAnsi="Garamond" w:cs="Arial"/>
          <w:sz w:val="24"/>
          <w:szCs w:val="24"/>
          <w:lang w:val="sq-AL"/>
        </w:rPr>
        <w:t xml:space="preserve">objektivit ndërsektorial </w:t>
      </w:r>
      <w:r w:rsidRPr="0058349C">
        <w:rPr>
          <w:rFonts w:ascii="Garamond" w:eastAsia="Arial" w:hAnsi="Garamond" w:cs="Arial"/>
          <w:sz w:val="24"/>
          <w:szCs w:val="24"/>
          <w:lang w:val="sq-AL"/>
        </w:rPr>
        <w:t xml:space="preserve">2, </w:t>
      </w:r>
      <w:r w:rsidR="00CC2F79" w:rsidRPr="0058349C">
        <w:rPr>
          <w:rFonts w:ascii="Garamond" w:eastAsia="Arial" w:hAnsi="Garamond" w:cs="Arial"/>
          <w:sz w:val="24"/>
          <w:szCs w:val="24"/>
          <w:lang w:val="sq-AL"/>
        </w:rPr>
        <w:t xml:space="preserve">kapitulli </w:t>
      </w:r>
      <w:r w:rsidRPr="0058349C">
        <w:rPr>
          <w:rFonts w:ascii="Garamond" w:eastAsia="Arial" w:hAnsi="Garamond" w:cs="Arial"/>
          <w:sz w:val="24"/>
          <w:szCs w:val="24"/>
          <w:lang w:val="sq-AL"/>
        </w:rPr>
        <w:t>3.5.1).</w:t>
      </w:r>
    </w:p>
    <w:p w14:paraId="0773AEF6" w14:textId="5D07FCA8" w:rsidR="00DF7A00" w:rsidRPr="0058349C" w:rsidRDefault="00B63E83" w:rsidP="00CC2F79">
      <w:pPr>
        <w:pStyle w:val="TEKSTIIII"/>
        <w:rPr>
          <w:b/>
          <w:lang w:val="sq-AL"/>
        </w:rPr>
      </w:pPr>
      <w:bookmarkStart w:id="34" w:name="_Ref88973623"/>
      <w:bookmarkStart w:id="35" w:name="_Toc103838830"/>
      <w:r w:rsidRPr="0058349C">
        <w:rPr>
          <w:rStyle w:val="Heading2Char"/>
          <w:rFonts w:ascii="Garamond" w:hAnsi="Garamond"/>
          <w:color w:val="auto"/>
          <w:sz w:val="24"/>
          <w:szCs w:val="24"/>
          <w:lang w:val="sq-AL"/>
        </w:rPr>
        <w:t xml:space="preserve">3.2.4 </w:t>
      </w:r>
      <w:r w:rsidR="00DF7A00" w:rsidRPr="0058349C">
        <w:rPr>
          <w:rStyle w:val="Heading2Char"/>
          <w:rFonts w:ascii="Garamond" w:hAnsi="Garamond"/>
          <w:color w:val="auto"/>
          <w:sz w:val="24"/>
          <w:szCs w:val="24"/>
          <w:lang w:val="sq-AL"/>
        </w:rPr>
        <w:t>Politika 2</w:t>
      </w:r>
      <w:r w:rsidR="00CC2F79">
        <w:rPr>
          <w:rStyle w:val="Heading2Char"/>
          <w:rFonts w:ascii="Garamond" w:hAnsi="Garamond"/>
          <w:color w:val="auto"/>
          <w:sz w:val="24"/>
          <w:szCs w:val="24"/>
          <w:lang w:val="sq-AL"/>
        </w:rPr>
        <w:t>.</w:t>
      </w:r>
      <w:r w:rsidR="00DF7A00" w:rsidRPr="0058349C">
        <w:rPr>
          <w:rStyle w:val="Heading2Char"/>
          <w:rFonts w:ascii="Garamond" w:hAnsi="Garamond"/>
          <w:color w:val="auto"/>
          <w:sz w:val="24"/>
          <w:szCs w:val="24"/>
          <w:lang w:val="sq-AL"/>
        </w:rPr>
        <w:t xml:space="preserve"> Objektivi i përgjithshëm 4: Nxitja e zhvillimit të qëndrueshëm të </w:t>
      </w:r>
      <w:r w:rsidR="00CC2F79" w:rsidRPr="0058349C">
        <w:rPr>
          <w:rStyle w:val="Heading2Char"/>
          <w:rFonts w:ascii="Garamond" w:hAnsi="Garamond"/>
          <w:color w:val="auto"/>
          <w:sz w:val="24"/>
          <w:szCs w:val="24"/>
          <w:lang w:val="sq-AL"/>
        </w:rPr>
        <w:t xml:space="preserve">peshkimit </w:t>
      </w:r>
      <w:r w:rsidR="00DF7A00" w:rsidRPr="0058349C">
        <w:rPr>
          <w:rStyle w:val="Heading2Char"/>
          <w:rFonts w:ascii="Garamond" w:hAnsi="Garamond"/>
          <w:color w:val="auto"/>
          <w:sz w:val="24"/>
          <w:szCs w:val="24"/>
          <w:lang w:val="sq-AL"/>
        </w:rPr>
        <w:t>detar dhe të ujërave të brendshme</w:t>
      </w:r>
      <w:bookmarkEnd w:id="34"/>
      <w:bookmarkEnd w:id="35"/>
    </w:p>
    <w:p w14:paraId="0773AEF7" w14:textId="123BBACA"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Objektivat e strategjisë shqiptare të peshkimit janë në përputhje me PPP-në të BE-së</w:t>
      </w:r>
      <w:r w:rsidR="00CC2F79">
        <w:rPr>
          <w:rFonts w:ascii="Garamond" w:hAnsi="Garamond" w:cs="Arial"/>
          <w:sz w:val="24"/>
          <w:szCs w:val="24"/>
          <w:lang w:val="sq-AL"/>
        </w:rPr>
        <w:t>,</w:t>
      </w:r>
      <w:r w:rsidRPr="0058349C">
        <w:rPr>
          <w:rFonts w:ascii="Garamond" w:hAnsi="Garamond" w:cs="Arial"/>
          <w:sz w:val="24"/>
          <w:szCs w:val="24"/>
          <w:lang w:val="sq-AL"/>
        </w:rPr>
        <w:t xml:space="preserve"> që përcakton rregullat për menaxhimin e peshkimit, mbron burimet e gjalla të detit dhe kufizon ndikimin mjedisor të peshkimit. Kjo përfshin përcaktimin e kuotave të kapjes, menaxhimin e kapacitetit të flotës, rregullat për tregjet dhe akuakulturën, si dhe mbështetjen për peshkimin dhe komunitetet bregdetare. Ky objektiv synon</w:t>
      </w:r>
      <w:r w:rsidR="00CC2F79">
        <w:rPr>
          <w:rFonts w:ascii="Garamond" w:hAnsi="Garamond" w:cs="Arial"/>
          <w:sz w:val="24"/>
          <w:szCs w:val="24"/>
          <w:lang w:val="sq-AL"/>
        </w:rPr>
        <w:t>,</w:t>
      </w:r>
      <w:r w:rsidRPr="0058349C">
        <w:rPr>
          <w:rFonts w:ascii="Garamond" w:hAnsi="Garamond" w:cs="Arial"/>
          <w:sz w:val="24"/>
          <w:szCs w:val="24"/>
          <w:lang w:val="sq-AL"/>
        </w:rPr>
        <w:t xml:space="preserve"> gjithashtu:</w:t>
      </w:r>
    </w:p>
    <w:p w14:paraId="0773AEF8" w14:textId="0D87E4FA" w:rsidR="00DF7A00" w:rsidRPr="0058349C" w:rsidRDefault="00B63E83" w:rsidP="00B63E83">
      <w:pPr>
        <w:pStyle w:val="TEKSTIIII"/>
        <w:rPr>
          <w:lang w:val="sq-AL"/>
        </w:rPr>
      </w:pPr>
      <w:r w:rsidRPr="0058349C">
        <w:rPr>
          <w:lang w:val="sq-AL"/>
        </w:rPr>
        <w:t>-</w:t>
      </w:r>
      <w:r w:rsidR="00167C37" w:rsidRPr="0058349C">
        <w:rPr>
          <w:lang w:val="sq-AL"/>
        </w:rPr>
        <w:t xml:space="preserve"> </w:t>
      </w:r>
      <w:r w:rsidR="00DF7A00" w:rsidRPr="0058349C">
        <w:rPr>
          <w:lang w:val="sq-AL"/>
        </w:rPr>
        <w:t>Ruajtjen e rezervave të peshkut dhe reduktimin e</w:t>
      </w:r>
      <w:r w:rsidR="00CF7694" w:rsidRPr="0058349C">
        <w:rPr>
          <w:lang w:val="sq-AL"/>
        </w:rPr>
        <w:t xml:space="preserve"> </w:t>
      </w:r>
      <w:r w:rsidR="00DF7A00" w:rsidRPr="0058349C">
        <w:rPr>
          <w:lang w:val="sq-AL"/>
        </w:rPr>
        <w:t>mbi peshkimit në mënyrë që t'u ofrohet qytetarëve një furnizim afatgjatë i qëndrueshëm, i sigurt dhe i shëndetshëm me ushqim;</w:t>
      </w:r>
    </w:p>
    <w:p w14:paraId="0773AEF9" w14:textId="3167FB26" w:rsidR="00DF7A00" w:rsidRPr="0058349C" w:rsidRDefault="00B63E83" w:rsidP="00B63E83">
      <w:pPr>
        <w:pStyle w:val="TEKSTIIII"/>
        <w:rPr>
          <w:lang w:val="sq-AL"/>
        </w:rPr>
      </w:pPr>
      <w:r w:rsidRPr="0058349C">
        <w:rPr>
          <w:lang w:val="sq-AL"/>
        </w:rPr>
        <w:t>-</w:t>
      </w:r>
      <w:r w:rsidR="00167C37" w:rsidRPr="0058349C">
        <w:rPr>
          <w:lang w:val="sq-AL"/>
        </w:rPr>
        <w:t xml:space="preserve"> </w:t>
      </w:r>
      <w:r w:rsidR="00DF7A00" w:rsidRPr="0058349C">
        <w:rPr>
          <w:lang w:val="sq-AL"/>
        </w:rPr>
        <w:t>Mbështetjen e përpunimit dhe tregtimit të produkteve të peshkimit për ofrimin e ushqimit me cilësi të lartë, të sigurt, ushqyes dhe të qëndrueshëm, si dhe informacion për konsumatorin;</w:t>
      </w:r>
    </w:p>
    <w:p w14:paraId="0773AEFA" w14:textId="7D1AC0B6" w:rsidR="00DF7A00" w:rsidRPr="0058349C" w:rsidRDefault="00B63E83" w:rsidP="00B63E83">
      <w:pPr>
        <w:pStyle w:val="TEKSTIIII"/>
        <w:rPr>
          <w:lang w:val="sq-AL"/>
        </w:rPr>
      </w:pPr>
      <w:r w:rsidRPr="0058349C">
        <w:rPr>
          <w:lang w:val="sq-AL"/>
        </w:rPr>
        <w:t>-</w:t>
      </w:r>
      <w:r w:rsidR="00167C37" w:rsidRPr="0058349C">
        <w:rPr>
          <w:lang w:val="sq-AL"/>
        </w:rPr>
        <w:t xml:space="preserve"> </w:t>
      </w:r>
      <w:r w:rsidR="00DF7A00" w:rsidRPr="0058349C">
        <w:rPr>
          <w:lang w:val="sq-AL"/>
        </w:rPr>
        <w:t>Mbështetjen e peshkimit në shkallë të vogël dhe shfrytëzimin racional të burimeve të rinovueshme, si dhe qëndrueshmërinë e tyre afatgjatë;</w:t>
      </w:r>
    </w:p>
    <w:p w14:paraId="0773AEFB" w14:textId="065FF324" w:rsidR="00DF7A00" w:rsidRPr="0058349C" w:rsidRDefault="00B63E83" w:rsidP="00B63E83">
      <w:pPr>
        <w:pStyle w:val="TEKSTIIII"/>
        <w:rPr>
          <w:lang w:val="sq-AL"/>
        </w:rPr>
      </w:pPr>
      <w:r w:rsidRPr="0058349C">
        <w:rPr>
          <w:lang w:val="sq-AL"/>
        </w:rPr>
        <w:t>-</w:t>
      </w:r>
      <w:r w:rsidR="00167C37" w:rsidRPr="0058349C">
        <w:rPr>
          <w:lang w:val="sq-AL"/>
        </w:rPr>
        <w:t xml:space="preserve"> </w:t>
      </w:r>
      <w:r w:rsidR="00DF7A00" w:rsidRPr="0058349C">
        <w:rPr>
          <w:lang w:val="sq-AL"/>
        </w:rPr>
        <w:t>Mbështetjen për zhvillimin e kapaciteteve të strukturave institucionale dhe administrative;</w:t>
      </w:r>
    </w:p>
    <w:p w14:paraId="0773AEFC" w14:textId="29FF6AA5" w:rsidR="00DF7A00" w:rsidRPr="0058349C" w:rsidRDefault="00B63E83" w:rsidP="00B63E83">
      <w:pPr>
        <w:pStyle w:val="TEKSTIIII"/>
        <w:rPr>
          <w:lang w:val="sq-AL"/>
        </w:rPr>
      </w:pPr>
      <w:r w:rsidRPr="0058349C">
        <w:rPr>
          <w:lang w:val="sq-AL"/>
        </w:rPr>
        <w:t>-</w:t>
      </w:r>
      <w:r w:rsidR="00167C37" w:rsidRPr="0058349C">
        <w:rPr>
          <w:lang w:val="sq-AL"/>
        </w:rPr>
        <w:t xml:space="preserve"> </w:t>
      </w:r>
      <w:r w:rsidR="00DF7A00" w:rsidRPr="0058349C">
        <w:rPr>
          <w:lang w:val="sq-AL"/>
        </w:rPr>
        <w:t>Mbështetjen e mbikëqyrjes, kontrollit, zbatimit, shkëmbimit të informacionit dhe aktiviteteve të bashkëpunimit në peshkim në detin Adriatik;</w:t>
      </w:r>
    </w:p>
    <w:p w14:paraId="0773AEFD" w14:textId="29DFA371" w:rsidR="00DF7A00" w:rsidRPr="0058349C" w:rsidRDefault="00B63E83" w:rsidP="00E27A86">
      <w:pPr>
        <w:pStyle w:val="TEKSTIIII"/>
        <w:rPr>
          <w:lang w:val="sq-AL"/>
        </w:rPr>
      </w:pPr>
      <w:r w:rsidRPr="0058349C">
        <w:rPr>
          <w:lang w:val="sq-AL"/>
        </w:rPr>
        <w:t>-</w:t>
      </w:r>
      <w:r w:rsidR="00167C37" w:rsidRPr="0058349C">
        <w:rPr>
          <w:lang w:val="sq-AL"/>
        </w:rPr>
        <w:t xml:space="preserve"> </w:t>
      </w:r>
      <w:r w:rsidR="00DF7A00" w:rsidRPr="0058349C">
        <w:rPr>
          <w:lang w:val="sq-AL"/>
        </w:rPr>
        <w:t>Mbrojtjen dhe rivendosjen e biodiversitetit dhe ekosistemeve detare dhe bregdetare, e cila është një sfidë kryesore për të pasur dete dhe oqeane të shëndetshme</w:t>
      </w:r>
      <w:r w:rsidR="00E27A86">
        <w:rPr>
          <w:lang w:val="sq-AL"/>
        </w:rPr>
        <w:t>;</w:t>
      </w:r>
    </w:p>
    <w:p w14:paraId="0773AEFE" w14:textId="4F77EF33" w:rsidR="00DF7A00" w:rsidRPr="0058349C" w:rsidRDefault="00566FD4" w:rsidP="00B63E83">
      <w:pPr>
        <w:pStyle w:val="TEKSTIIII"/>
        <w:rPr>
          <w:lang w:val="sq-AL"/>
        </w:rPr>
      </w:pPr>
      <w:r>
        <w:rPr>
          <w:lang w:val="sq-AL"/>
        </w:rPr>
        <w:t xml:space="preserve">- </w:t>
      </w:r>
      <w:r w:rsidR="00DF7A00" w:rsidRPr="0058349C">
        <w:rPr>
          <w:lang w:val="sq-AL"/>
        </w:rPr>
        <w:t xml:space="preserve">Mbështetjen për përafrimin me </w:t>
      </w:r>
      <w:r w:rsidR="00B25257" w:rsidRPr="00B25257">
        <w:rPr>
          <w:i/>
          <w:iCs/>
          <w:lang w:val="sq-AL"/>
        </w:rPr>
        <w:t>acquis</w:t>
      </w:r>
      <w:r w:rsidR="00DF7A00" w:rsidRPr="0058349C">
        <w:rPr>
          <w:lang w:val="sq-AL"/>
        </w:rPr>
        <w:t xml:space="preserve"> të BE-së (kapitulli 13) në peshkim dhe PPP.</w:t>
      </w:r>
    </w:p>
    <w:p w14:paraId="0773AEFF" w14:textId="6DA3F8B1" w:rsidR="00DF7A00" w:rsidRPr="0058349C" w:rsidRDefault="00B63E83" w:rsidP="00ED4F79">
      <w:pPr>
        <w:pStyle w:val="TEKSTIIII"/>
        <w:rPr>
          <w:lang w:val="sq-AL"/>
        </w:rPr>
      </w:pPr>
      <w:bookmarkStart w:id="36" w:name="_Toc103838831"/>
      <w:r w:rsidRPr="0058349C">
        <w:rPr>
          <w:rStyle w:val="Heading3Char"/>
          <w:rFonts w:ascii="Garamond" w:hAnsi="Garamond"/>
          <w:color w:val="auto"/>
        </w:rPr>
        <w:t xml:space="preserve">3.2.4.1 </w:t>
      </w:r>
      <w:r w:rsidR="00DF7A00" w:rsidRPr="0058349C">
        <w:rPr>
          <w:rStyle w:val="Heading3Char"/>
          <w:rFonts w:ascii="Garamond" w:hAnsi="Garamond"/>
          <w:color w:val="auto"/>
        </w:rPr>
        <w:t>Politika 2</w:t>
      </w:r>
      <w:r w:rsidR="00ED4F79">
        <w:rPr>
          <w:rStyle w:val="Heading3Char"/>
          <w:rFonts w:ascii="Garamond" w:hAnsi="Garamond"/>
          <w:color w:val="auto"/>
        </w:rPr>
        <w:t>.</w:t>
      </w:r>
      <w:r w:rsidR="00DF7A00" w:rsidRPr="0058349C">
        <w:rPr>
          <w:rStyle w:val="Heading3Char"/>
          <w:rFonts w:ascii="Garamond" w:hAnsi="Garamond"/>
          <w:color w:val="auto"/>
        </w:rPr>
        <w:t xml:space="preserve"> Objektivi specifik 9: Forcimi i akuakulturës dhe tregjeve konkurruese dhe të qëndrueshme, si dhe komuniteteve bregdetare të qëndrueshme</w:t>
      </w:r>
      <w:bookmarkEnd w:id="36"/>
    </w:p>
    <w:p w14:paraId="0773AF00" w14:textId="77777777" w:rsidR="00DF7A00" w:rsidRPr="0058349C" w:rsidRDefault="00DF7A00" w:rsidP="00DF7A00">
      <w:pPr>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Struktura e fermave të akuakulturës</w:t>
      </w:r>
    </w:p>
    <w:p w14:paraId="0773AF01" w14:textId="2A741A56" w:rsidR="00DF7A00" w:rsidRPr="0058349C" w:rsidRDefault="00DF7A00" w:rsidP="00DF7A00">
      <w:pPr>
        <w:spacing w:after="0" w:line="240" w:lineRule="auto"/>
        <w:ind w:firstLine="284"/>
        <w:jc w:val="both"/>
        <w:rPr>
          <w:rFonts w:ascii="Garamond" w:eastAsia="TimesNewRomanPSMT" w:hAnsi="Garamond" w:cs="Arial"/>
          <w:sz w:val="24"/>
          <w:szCs w:val="24"/>
          <w:lang w:val="sq-AL"/>
        </w:rPr>
      </w:pPr>
      <w:r w:rsidRPr="0058349C">
        <w:rPr>
          <w:rFonts w:ascii="Garamond" w:eastAsia="TimesNewRomanPSMT" w:hAnsi="Garamond" w:cs="Arial"/>
          <w:sz w:val="24"/>
          <w:szCs w:val="24"/>
          <w:lang w:val="sq-AL"/>
        </w:rPr>
        <w:t xml:space="preserve">Në Shqipëri janë të regjistruara </w:t>
      </w:r>
      <w:r w:rsidRPr="0058349C">
        <w:rPr>
          <w:rFonts w:ascii="Garamond" w:eastAsia="TimesNewRomanPSMT" w:hAnsi="Garamond" w:cs="Arial"/>
          <w:b/>
          <w:sz w:val="24"/>
          <w:szCs w:val="24"/>
          <w:lang w:val="sq-AL"/>
        </w:rPr>
        <w:t>82 ferma akuakulture</w:t>
      </w:r>
      <w:r w:rsidRPr="0058349C">
        <w:rPr>
          <w:rFonts w:ascii="Garamond" w:eastAsia="TimesNewRomanPSMT" w:hAnsi="Garamond" w:cs="Arial"/>
          <w:sz w:val="24"/>
          <w:szCs w:val="24"/>
          <w:lang w:val="sq-AL"/>
        </w:rPr>
        <w:t xml:space="preserve"> (MBZHR, 2021), nga të cilat 78.05% operojnë në ujërat detare dhe lagunat bregdetare (32 ferma t</w:t>
      </w:r>
      <w:r w:rsidRPr="0058349C">
        <w:rPr>
          <w:rFonts w:ascii="Garamond" w:hAnsi="Garamond" w:cs="Arial"/>
          <w:sz w:val="24"/>
          <w:szCs w:val="24"/>
          <w:lang w:val="sq-AL"/>
        </w:rPr>
        <w:t xml:space="preserve">ë </w:t>
      </w:r>
      <w:r w:rsidRPr="0058349C">
        <w:rPr>
          <w:rFonts w:ascii="Garamond" w:eastAsia="TimesNewRomanPSMT" w:hAnsi="Garamond" w:cs="Arial"/>
          <w:sz w:val="24"/>
          <w:szCs w:val="24"/>
          <w:lang w:val="sq-AL"/>
        </w:rPr>
        <w:t>peshqve bregdetar</w:t>
      </w:r>
      <w:r w:rsidRPr="0058349C">
        <w:rPr>
          <w:rFonts w:ascii="Garamond" w:hAnsi="Garamond" w:cs="Arial"/>
          <w:sz w:val="24"/>
          <w:szCs w:val="24"/>
          <w:lang w:val="sq-AL"/>
        </w:rPr>
        <w:t>ë</w:t>
      </w:r>
      <w:r w:rsidRPr="0058349C">
        <w:rPr>
          <w:rFonts w:ascii="Garamond" w:eastAsia="TimesNewRomanPSMT" w:hAnsi="Garamond" w:cs="Arial"/>
          <w:sz w:val="24"/>
          <w:szCs w:val="24"/>
          <w:lang w:val="sq-AL"/>
        </w:rPr>
        <w:t xml:space="preserve"> dhe 32 ferma p</w:t>
      </w:r>
      <w:r w:rsidRPr="0058349C">
        <w:rPr>
          <w:rFonts w:ascii="Garamond" w:hAnsi="Garamond" w:cs="Arial"/>
          <w:sz w:val="24"/>
          <w:szCs w:val="24"/>
          <w:lang w:val="sq-AL"/>
        </w:rPr>
        <w:t xml:space="preserve">ër </w:t>
      </w:r>
      <w:r w:rsidRPr="0058349C">
        <w:rPr>
          <w:rFonts w:ascii="Garamond" w:eastAsia="TimesNewRomanPSMT" w:hAnsi="Garamond" w:cs="Arial"/>
          <w:sz w:val="24"/>
          <w:szCs w:val="24"/>
          <w:lang w:val="sq-AL"/>
        </w:rPr>
        <w:t>kultivim midhjesh</w:t>
      </w:r>
      <w:r w:rsidRPr="0058349C">
        <w:rPr>
          <w:rFonts w:ascii="Garamond" w:eastAsia="TimesNewRomanPSMT" w:hAnsi="Garamond" w:cs="Arial"/>
          <w:position w:val="6"/>
          <w:sz w:val="24"/>
          <w:szCs w:val="24"/>
          <w:lang w:val="sq-AL"/>
        </w:rPr>
        <w:footnoteReference w:id="39"/>
      </w:r>
      <w:r w:rsidRPr="0058349C">
        <w:rPr>
          <w:rFonts w:ascii="Garamond" w:eastAsia="TimesNewRomanPSMT" w:hAnsi="Garamond" w:cs="Arial"/>
          <w:sz w:val="24"/>
          <w:szCs w:val="24"/>
          <w:lang w:val="sq-AL"/>
        </w:rPr>
        <w:t xml:space="preserve">) dhe 21.95% janë ferma akuakulture të ujërave të ëmbla në </w:t>
      </w:r>
      <w:r w:rsidR="000F35FE">
        <w:rPr>
          <w:rFonts w:ascii="Garamond" w:eastAsia="TimesNewRomanPSMT" w:hAnsi="Garamond" w:cs="Arial"/>
          <w:sz w:val="24"/>
          <w:szCs w:val="24"/>
          <w:lang w:val="sq-AL"/>
        </w:rPr>
        <w:t>ujërat e brendshme</w:t>
      </w:r>
      <w:r w:rsidRPr="0058349C">
        <w:rPr>
          <w:rFonts w:ascii="Garamond" w:eastAsia="TimesNewRomanPSMT" w:hAnsi="Garamond" w:cs="Arial"/>
          <w:sz w:val="24"/>
          <w:szCs w:val="24"/>
          <w:lang w:val="sq-AL"/>
        </w:rPr>
        <w:t xml:space="preserve"> (14 ferma për peshkun troftë dhe 4 ferma për peshkun krap).</w:t>
      </w:r>
    </w:p>
    <w:p w14:paraId="0773AF02" w14:textId="28779617" w:rsidR="00DF7A00" w:rsidRPr="0058349C" w:rsidRDefault="00DF7A00" w:rsidP="00DF7A00">
      <w:pPr>
        <w:spacing w:after="0" w:line="240" w:lineRule="auto"/>
        <w:ind w:firstLine="284"/>
        <w:jc w:val="both"/>
        <w:rPr>
          <w:rFonts w:ascii="Garamond" w:eastAsia="TimesNewRomanPSMT" w:hAnsi="Garamond" w:cs="Arial"/>
          <w:sz w:val="24"/>
          <w:szCs w:val="24"/>
          <w:lang w:val="sq-AL"/>
        </w:rPr>
      </w:pPr>
      <w:r w:rsidRPr="0058349C">
        <w:rPr>
          <w:rFonts w:ascii="Garamond" w:eastAsia="TimesNewRomanPSMT" w:hAnsi="Garamond" w:cs="Arial"/>
          <w:sz w:val="24"/>
          <w:szCs w:val="24"/>
          <w:lang w:val="sq-AL"/>
        </w:rPr>
        <w:t xml:space="preserve">Falë progresit të bërë dhe potencialit ekzistues në </w:t>
      </w:r>
      <w:r w:rsidRPr="0058349C">
        <w:rPr>
          <w:rFonts w:ascii="Garamond" w:eastAsia="TimesNewRomanPSMT" w:hAnsi="Garamond" w:cs="Arial"/>
          <w:b/>
          <w:sz w:val="24"/>
          <w:szCs w:val="24"/>
          <w:lang w:val="sq-AL"/>
        </w:rPr>
        <w:t>akuakulturën e pes</w:t>
      </w:r>
      <w:r w:rsidRPr="00ED4F79">
        <w:rPr>
          <w:rFonts w:ascii="Garamond" w:eastAsia="TimesNewRomanPSMT" w:hAnsi="Garamond" w:cs="Arial"/>
          <w:b/>
          <w:sz w:val="24"/>
          <w:szCs w:val="24"/>
          <w:lang w:val="sq-AL"/>
        </w:rPr>
        <w:t>hq</w:t>
      </w:r>
      <w:r w:rsidRPr="00ED4F79">
        <w:rPr>
          <w:rFonts w:ascii="Garamond" w:hAnsi="Garamond" w:cs="Arial"/>
          <w:b/>
          <w:sz w:val="24"/>
          <w:szCs w:val="24"/>
          <w:lang w:val="sq-AL"/>
        </w:rPr>
        <w:t>ve</w:t>
      </w:r>
      <w:r w:rsidRPr="00ED4F79">
        <w:rPr>
          <w:rFonts w:ascii="Garamond" w:eastAsia="TimesNewRomanPSMT" w:hAnsi="Garamond" w:cs="Arial"/>
          <w:b/>
          <w:sz w:val="24"/>
          <w:szCs w:val="24"/>
          <w:lang w:val="sq-AL"/>
        </w:rPr>
        <w:t xml:space="preserve"> </w:t>
      </w:r>
      <w:r w:rsidRPr="0058349C">
        <w:rPr>
          <w:rFonts w:ascii="Garamond" w:eastAsia="TimesNewRomanPSMT" w:hAnsi="Garamond" w:cs="Arial"/>
          <w:b/>
          <w:sz w:val="24"/>
          <w:szCs w:val="24"/>
          <w:lang w:val="sq-AL"/>
        </w:rPr>
        <w:t>detarë dhe t</w:t>
      </w:r>
      <w:r w:rsidRPr="00ED4F79">
        <w:rPr>
          <w:rFonts w:ascii="Garamond" w:hAnsi="Garamond" w:cs="Arial"/>
          <w:b/>
          <w:bCs/>
          <w:sz w:val="24"/>
          <w:szCs w:val="24"/>
          <w:lang w:val="sq-AL"/>
        </w:rPr>
        <w:t>ë</w:t>
      </w:r>
      <w:r w:rsidRPr="0058349C">
        <w:rPr>
          <w:rFonts w:ascii="Garamond" w:hAnsi="Garamond" w:cs="Arial"/>
          <w:sz w:val="24"/>
          <w:szCs w:val="24"/>
          <w:lang w:val="sq-AL"/>
        </w:rPr>
        <w:t xml:space="preserve"> </w:t>
      </w:r>
      <w:r w:rsidRPr="0058349C">
        <w:rPr>
          <w:rFonts w:ascii="Garamond" w:eastAsia="TimesNewRomanPSMT" w:hAnsi="Garamond" w:cs="Arial"/>
          <w:b/>
          <w:sz w:val="24"/>
          <w:szCs w:val="24"/>
          <w:lang w:val="sq-AL"/>
        </w:rPr>
        <w:t>molusqeve</w:t>
      </w:r>
      <w:r w:rsidRPr="0058349C">
        <w:rPr>
          <w:rFonts w:ascii="Garamond" w:eastAsia="TimesNewRomanPSMT" w:hAnsi="Garamond" w:cs="Arial"/>
          <w:sz w:val="24"/>
          <w:szCs w:val="24"/>
          <w:lang w:val="sq-AL"/>
        </w:rPr>
        <w:t>, deri në vitin 2017 janë dhënë dy licenca për objekte t</w:t>
      </w:r>
      <w:r w:rsidRPr="0058349C">
        <w:rPr>
          <w:rFonts w:ascii="Garamond" w:hAnsi="Garamond" w:cs="Arial"/>
          <w:sz w:val="24"/>
          <w:szCs w:val="24"/>
          <w:lang w:val="sq-AL"/>
        </w:rPr>
        <w:t>ë</w:t>
      </w:r>
      <w:r w:rsidRPr="0058349C">
        <w:rPr>
          <w:rFonts w:ascii="Garamond" w:eastAsia="TimesNewRomanPSMT" w:hAnsi="Garamond" w:cs="Arial"/>
          <w:sz w:val="24"/>
          <w:szCs w:val="24"/>
          <w:lang w:val="sq-AL"/>
        </w:rPr>
        <w:t xml:space="preserve"> reja të akuakulturës. Licenca të reja priten që të jepen pas </w:t>
      </w:r>
      <w:r w:rsidRPr="0058349C">
        <w:rPr>
          <w:rFonts w:ascii="Garamond" w:eastAsia="TimesNewRomanPSMT" w:hAnsi="Garamond" w:cs="Arial"/>
          <w:b/>
          <w:sz w:val="24"/>
          <w:szCs w:val="24"/>
          <w:lang w:val="sq-AL"/>
        </w:rPr>
        <w:t xml:space="preserve">miratimit </w:t>
      </w:r>
      <w:r w:rsidRPr="0058349C">
        <w:rPr>
          <w:rFonts w:ascii="Garamond" w:eastAsia="TimesNewRomanPSMT" w:hAnsi="Garamond" w:cs="Arial"/>
          <w:sz w:val="24"/>
          <w:szCs w:val="24"/>
          <w:lang w:val="sq-AL"/>
        </w:rPr>
        <w:t xml:space="preserve">nga Këshilli i Ministrave të studimit të MBZHR-së për përcaktimin e </w:t>
      </w:r>
      <w:r w:rsidRPr="0058349C">
        <w:rPr>
          <w:rFonts w:ascii="Garamond" w:eastAsia="TimesNewRomanPSMT" w:hAnsi="Garamond" w:cs="Arial"/>
          <w:b/>
          <w:sz w:val="24"/>
          <w:szCs w:val="24"/>
          <w:lang w:val="sq-AL"/>
        </w:rPr>
        <w:t xml:space="preserve">Zonës </w:t>
      </w:r>
      <w:r w:rsidRPr="0058349C">
        <w:rPr>
          <w:rFonts w:ascii="Garamond" w:eastAsia="TimesNewRomanPSMT" w:hAnsi="Garamond" w:cs="Arial"/>
          <w:sz w:val="24"/>
          <w:szCs w:val="24"/>
          <w:lang w:val="sq-AL"/>
        </w:rPr>
        <w:t>potenciale</w:t>
      </w:r>
      <w:r w:rsidRPr="0058349C">
        <w:rPr>
          <w:rFonts w:ascii="Garamond" w:eastAsia="TimesNewRomanPSMT" w:hAnsi="Garamond" w:cs="Arial"/>
          <w:b/>
          <w:sz w:val="24"/>
          <w:szCs w:val="24"/>
          <w:lang w:val="sq-AL"/>
        </w:rPr>
        <w:t xml:space="preserve"> të Përcaktuar për Akuakulturën</w:t>
      </w:r>
      <w:r w:rsidRPr="0058349C">
        <w:rPr>
          <w:rFonts w:ascii="Garamond" w:eastAsia="TimesNewRomanPSMT" w:hAnsi="Garamond" w:cs="Arial"/>
          <w:sz w:val="24"/>
          <w:szCs w:val="24"/>
          <w:lang w:val="sq-AL"/>
        </w:rPr>
        <w:t xml:space="preserve"> (ZPA) për ujërat detare dhe të brendshme</w:t>
      </w:r>
      <w:r w:rsidRPr="00ED4F79">
        <w:rPr>
          <w:rFonts w:ascii="Garamond" w:hAnsi="Garamond"/>
          <w:sz w:val="24"/>
          <w:szCs w:val="24"/>
          <w:vertAlign w:val="superscript"/>
        </w:rPr>
        <w:footnoteReference w:id="40"/>
      </w:r>
      <w:r w:rsidR="00ED4F79">
        <w:rPr>
          <w:rFonts w:ascii="Garamond" w:eastAsia="TimesNewRomanPSMT" w:hAnsi="Garamond" w:cs="Arial"/>
          <w:sz w:val="24"/>
          <w:szCs w:val="24"/>
          <w:lang w:val="sq-AL"/>
        </w:rPr>
        <w:t>,</w:t>
      </w:r>
      <w:r w:rsidRPr="0058349C">
        <w:rPr>
          <w:rFonts w:ascii="Garamond" w:eastAsia="TimesNewRomanPSMT" w:hAnsi="Garamond" w:cs="Arial"/>
          <w:sz w:val="24"/>
          <w:szCs w:val="24"/>
          <w:lang w:val="sq-AL"/>
        </w:rPr>
        <w:t xml:space="preserve"> me synimin për të përmirësuar zhvillimin e qëndrueshëm të akuakulturës detare. Përcaktimi i ZPA-së vjen pas një procesi me pjesëmarrje t</w:t>
      </w:r>
      <w:r w:rsidRPr="0058349C">
        <w:rPr>
          <w:rFonts w:ascii="Garamond" w:hAnsi="Garamond" w:cs="Arial"/>
          <w:sz w:val="24"/>
          <w:szCs w:val="24"/>
          <w:lang w:val="sq-AL"/>
        </w:rPr>
        <w:t>ë aktorëve</w:t>
      </w:r>
      <w:r w:rsidRPr="0058349C">
        <w:rPr>
          <w:rFonts w:ascii="Garamond" w:eastAsia="TimesNewRomanPSMT" w:hAnsi="Garamond" w:cs="Arial"/>
          <w:sz w:val="24"/>
          <w:szCs w:val="24"/>
          <w:lang w:val="sq-AL"/>
        </w:rPr>
        <w:t xml:space="preserve"> në kuadrin e hartimit t</w:t>
      </w:r>
      <w:r w:rsidRPr="0058349C">
        <w:rPr>
          <w:rFonts w:ascii="Garamond" w:hAnsi="Garamond" w:cs="Arial"/>
          <w:sz w:val="24"/>
          <w:szCs w:val="24"/>
          <w:lang w:val="sq-AL"/>
        </w:rPr>
        <w:t xml:space="preserve">ë </w:t>
      </w:r>
      <w:r w:rsidRPr="0058349C">
        <w:rPr>
          <w:rFonts w:ascii="Garamond" w:eastAsia="TimesNewRomanPSMT" w:hAnsi="Garamond" w:cs="Arial"/>
          <w:sz w:val="24"/>
          <w:szCs w:val="24"/>
          <w:lang w:val="sq-AL"/>
        </w:rPr>
        <w:t>planeve të menaxhimit të integruar të zonës bregdetare, për të nxitur investimet për fermat e vogla dhe të mesme të akuakulturës dhe për të shfrytëzuar plotësisht kapacitetet prodhuese të fermave ekzistuese, të cilat në disa raste shfrytëzojnë vetëm një të katërtën e kapacitetit të tyre në Shqipëri. Kjo do të krijojë mundësi punësimi, por</w:t>
      </w:r>
      <w:r w:rsidR="00ED4F79">
        <w:rPr>
          <w:rFonts w:ascii="Garamond" w:eastAsia="TimesNewRomanPSMT" w:hAnsi="Garamond" w:cs="Arial"/>
          <w:sz w:val="24"/>
          <w:szCs w:val="24"/>
          <w:lang w:val="sq-AL"/>
        </w:rPr>
        <w:t>,</w:t>
      </w:r>
      <w:r w:rsidRPr="0058349C">
        <w:rPr>
          <w:rFonts w:ascii="Garamond" w:eastAsia="TimesNewRomanPSMT" w:hAnsi="Garamond" w:cs="Arial"/>
          <w:sz w:val="24"/>
          <w:szCs w:val="24"/>
          <w:lang w:val="sq-AL"/>
        </w:rPr>
        <w:t xml:space="preserve"> gjithashtu</w:t>
      </w:r>
      <w:r w:rsidR="00ED4F79">
        <w:rPr>
          <w:rFonts w:ascii="Garamond" w:eastAsia="TimesNewRomanPSMT" w:hAnsi="Garamond" w:cs="Arial"/>
          <w:sz w:val="24"/>
          <w:szCs w:val="24"/>
          <w:lang w:val="sq-AL"/>
        </w:rPr>
        <w:t>,</w:t>
      </w:r>
      <w:r w:rsidRPr="0058349C">
        <w:rPr>
          <w:rFonts w:ascii="Garamond" w:eastAsia="TimesNewRomanPSMT" w:hAnsi="Garamond" w:cs="Arial"/>
          <w:sz w:val="24"/>
          <w:szCs w:val="24"/>
          <w:lang w:val="sq-AL"/>
        </w:rPr>
        <w:t xml:space="preserve"> do të ndihmojë sektorin të sigurojë kontributin e tij në sigurimin e ushqimit dhe të mbështesë tranzicionin e gjelbër.</w:t>
      </w:r>
    </w:p>
    <w:p w14:paraId="0773AF03" w14:textId="4F8CBB28" w:rsidR="00DF7A00" w:rsidRPr="0058349C" w:rsidRDefault="00DF7A00" w:rsidP="00DF7A00">
      <w:pPr>
        <w:spacing w:after="0" w:line="240" w:lineRule="auto"/>
        <w:ind w:firstLine="284"/>
        <w:jc w:val="both"/>
        <w:rPr>
          <w:rFonts w:ascii="Garamond" w:eastAsia="TimesNewRomanPSMT" w:hAnsi="Garamond" w:cs="Arial"/>
          <w:b/>
          <w:sz w:val="24"/>
          <w:szCs w:val="24"/>
          <w:lang w:val="sq-AL"/>
        </w:rPr>
      </w:pPr>
      <w:r w:rsidRPr="0058349C">
        <w:rPr>
          <w:rFonts w:ascii="Garamond" w:eastAsia="TimesNewRomanPSMT" w:hAnsi="Garamond" w:cs="Arial"/>
          <w:sz w:val="24"/>
          <w:szCs w:val="24"/>
          <w:lang w:val="sq-AL"/>
        </w:rPr>
        <w:t xml:space="preserve">Shumica e </w:t>
      </w:r>
      <w:r w:rsidRPr="0058349C">
        <w:rPr>
          <w:rFonts w:ascii="Garamond" w:eastAsia="TimesNewRomanPSMT" w:hAnsi="Garamond" w:cs="Arial"/>
          <w:b/>
          <w:sz w:val="24"/>
          <w:szCs w:val="24"/>
          <w:lang w:val="sq-AL"/>
        </w:rPr>
        <w:t>fermave të akuakulturës së peshqve detar</w:t>
      </w:r>
      <w:r w:rsidRPr="00ED4F79">
        <w:rPr>
          <w:rFonts w:ascii="Garamond" w:hAnsi="Garamond" w:cs="Arial"/>
          <w:b/>
          <w:bCs/>
          <w:sz w:val="24"/>
          <w:szCs w:val="24"/>
          <w:lang w:val="sq-AL"/>
        </w:rPr>
        <w:t>ë</w:t>
      </w:r>
      <w:r w:rsidRPr="0058349C">
        <w:rPr>
          <w:rFonts w:ascii="Garamond" w:eastAsia="TimesNewRomanPSMT" w:hAnsi="Garamond" w:cs="Arial"/>
          <w:sz w:val="24"/>
          <w:szCs w:val="24"/>
          <w:lang w:val="sq-AL"/>
        </w:rPr>
        <w:t xml:space="preserve"> janë të vendosura në zonat bregdetare jugore të Shqipë</w:t>
      </w:r>
      <w:r w:rsidR="00ED4F79">
        <w:rPr>
          <w:rFonts w:ascii="Garamond" w:eastAsia="TimesNewRomanPSMT" w:hAnsi="Garamond" w:cs="Arial"/>
          <w:sz w:val="24"/>
          <w:szCs w:val="24"/>
          <w:lang w:val="sq-AL"/>
        </w:rPr>
        <w:t>risë (Vlorë, Sarandë dhe Himarë</w:t>
      </w:r>
      <w:r w:rsidR="00797859">
        <w:rPr>
          <w:rFonts w:ascii="Garamond" w:eastAsia="TimesNewRomanPSMT" w:hAnsi="Garamond" w:cs="Arial"/>
          <w:sz w:val="24"/>
          <w:szCs w:val="24"/>
          <w:lang w:val="sq-AL"/>
        </w:rPr>
        <w:t>/</w:t>
      </w:r>
      <w:r w:rsidRPr="0058349C">
        <w:rPr>
          <w:rFonts w:ascii="Garamond" w:eastAsia="TimesNewRomanPSMT" w:hAnsi="Garamond" w:cs="Arial"/>
          <w:sz w:val="24"/>
          <w:szCs w:val="24"/>
          <w:lang w:val="sq-AL"/>
        </w:rPr>
        <w:t>Porto Palermo).</w:t>
      </w:r>
      <w:r w:rsidRPr="0058349C">
        <w:rPr>
          <w:vertAlign w:val="superscript"/>
          <w:lang w:val="sq-AL"/>
        </w:rPr>
        <w:footnoteReference w:id="41"/>
      </w:r>
      <w:r w:rsidRPr="0058349C">
        <w:rPr>
          <w:rFonts w:ascii="Garamond" w:eastAsia="TimesNewRomanPSMT" w:hAnsi="Garamond" w:cs="Arial"/>
          <w:sz w:val="24"/>
          <w:szCs w:val="24"/>
          <w:lang w:val="sq-AL"/>
        </w:rPr>
        <w:t xml:space="preserve"> Sistemi kryesor i prodhimit të akuakulturës bazohet në sistemin e kultivimit n</w:t>
      </w:r>
      <w:r w:rsidRPr="0058349C">
        <w:rPr>
          <w:rFonts w:ascii="Garamond" w:hAnsi="Garamond" w:cs="Arial"/>
          <w:sz w:val="24"/>
          <w:szCs w:val="24"/>
          <w:lang w:val="sq-AL"/>
        </w:rPr>
        <w:t>ë</w:t>
      </w:r>
      <w:r w:rsidRPr="0058349C">
        <w:rPr>
          <w:rFonts w:ascii="Garamond" w:eastAsia="TimesNewRomanPSMT" w:hAnsi="Garamond" w:cs="Arial"/>
          <w:sz w:val="24"/>
          <w:szCs w:val="24"/>
          <w:lang w:val="sq-AL"/>
        </w:rPr>
        <w:t xml:space="preserve"> kafaz lundrues detarë. </w:t>
      </w:r>
      <w:r w:rsidRPr="0058349C">
        <w:rPr>
          <w:rFonts w:ascii="Garamond" w:eastAsia="TimesNewRomanPSMT" w:hAnsi="Garamond" w:cs="Arial"/>
          <w:b/>
          <w:sz w:val="24"/>
          <w:szCs w:val="24"/>
          <w:lang w:val="sq-AL"/>
        </w:rPr>
        <w:t>Madhësitë e fermave të akuakulturës ndryshojnë nga 2 deri në 38 kafaze.</w:t>
      </w:r>
    </w:p>
    <w:p w14:paraId="0773AF04" w14:textId="14D68CDF"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eastAsia="TimesNewRomanPSMT" w:hAnsi="Garamond" w:cs="Arial"/>
          <w:b/>
          <w:sz w:val="24"/>
          <w:szCs w:val="24"/>
          <w:lang w:val="sq-AL"/>
        </w:rPr>
        <w:lastRenderedPageBreak/>
        <w:t>Fermat e akuakulturës së molusqeve</w:t>
      </w:r>
      <w:r w:rsidRPr="0058349C">
        <w:rPr>
          <w:rFonts w:ascii="Garamond" w:eastAsia="TimesNewRomanPSMT" w:hAnsi="Garamond" w:cs="Arial"/>
          <w:sz w:val="24"/>
          <w:szCs w:val="24"/>
          <w:lang w:val="sq-AL"/>
        </w:rPr>
        <w:t xml:space="preserve"> ekzistojnë</w:t>
      </w:r>
      <w:r w:rsidR="000C0253">
        <w:rPr>
          <w:rFonts w:ascii="Garamond" w:eastAsia="TimesNewRomanPSMT" w:hAnsi="Garamond" w:cs="Arial"/>
          <w:sz w:val="24"/>
          <w:szCs w:val="24"/>
          <w:lang w:val="sq-AL"/>
        </w:rPr>
        <w:t>,</w:t>
      </w:r>
      <w:r w:rsidRPr="0058349C">
        <w:rPr>
          <w:rFonts w:ascii="Garamond" w:eastAsia="TimesNewRomanPSMT" w:hAnsi="Garamond" w:cs="Arial"/>
          <w:sz w:val="24"/>
          <w:szCs w:val="24"/>
          <w:lang w:val="sq-AL"/>
        </w:rPr>
        <w:t xml:space="preserve"> si në ujërat e brendshme (laguna me uj</w:t>
      </w:r>
      <w:r w:rsidRPr="0058349C">
        <w:rPr>
          <w:rFonts w:ascii="Garamond" w:hAnsi="Garamond" w:cs="Arial"/>
          <w:sz w:val="24"/>
          <w:szCs w:val="24"/>
          <w:lang w:val="sq-AL"/>
        </w:rPr>
        <w:t>ë të</w:t>
      </w:r>
      <w:r w:rsidRPr="0058349C">
        <w:rPr>
          <w:rFonts w:ascii="Garamond" w:eastAsia="TimesNewRomanPSMT" w:hAnsi="Garamond" w:cs="Arial"/>
          <w:sz w:val="24"/>
          <w:szCs w:val="24"/>
          <w:lang w:val="sq-AL"/>
        </w:rPr>
        <w:t xml:space="preserve"> kripur)</w:t>
      </w:r>
      <w:r w:rsidR="000C0253">
        <w:rPr>
          <w:rFonts w:ascii="Garamond" w:eastAsia="TimesNewRomanPSMT" w:hAnsi="Garamond" w:cs="Arial"/>
          <w:sz w:val="24"/>
          <w:szCs w:val="24"/>
          <w:lang w:val="sq-AL"/>
        </w:rPr>
        <w:t>,</w:t>
      </w:r>
      <w:r w:rsidRPr="0058349C">
        <w:rPr>
          <w:rFonts w:ascii="Garamond" w:eastAsia="TimesNewRomanPSMT" w:hAnsi="Garamond" w:cs="Arial"/>
          <w:sz w:val="24"/>
          <w:szCs w:val="24"/>
          <w:lang w:val="sq-AL"/>
        </w:rPr>
        <w:t xml:space="preserve"> ashtu edhe në det të hapur, gj</w:t>
      </w:r>
      <w:r w:rsidRPr="0058349C">
        <w:rPr>
          <w:rFonts w:ascii="Garamond" w:hAnsi="Garamond" w:cs="Arial"/>
          <w:sz w:val="24"/>
          <w:szCs w:val="24"/>
          <w:lang w:val="sq-AL"/>
        </w:rPr>
        <w:t xml:space="preserve">ë </w:t>
      </w:r>
      <w:r w:rsidRPr="0058349C">
        <w:rPr>
          <w:rFonts w:ascii="Garamond" w:eastAsia="TimesNewRomanPSMT" w:hAnsi="Garamond" w:cs="Arial"/>
          <w:sz w:val="24"/>
          <w:szCs w:val="24"/>
          <w:lang w:val="sq-AL"/>
        </w:rPr>
        <w:t>që ka avantazhin se produktet janë të larmishme dhe jan</w:t>
      </w:r>
      <w:r w:rsidRPr="0058349C">
        <w:rPr>
          <w:rFonts w:ascii="Garamond" w:hAnsi="Garamond" w:cs="Arial"/>
          <w:sz w:val="24"/>
          <w:szCs w:val="24"/>
          <w:lang w:val="sq-AL"/>
        </w:rPr>
        <w:t>ë të pranishme për një kohë</w:t>
      </w:r>
      <w:r w:rsidRPr="0058349C">
        <w:rPr>
          <w:rFonts w:ascii="Garamond" w:eastAsia="TimesNewRomanPSMT" w:hAnsi="Garamond" w:cs="Arial"/>
          <w:sz w:val="24"/>
          <w:szCs w:val="24"/>
          <w:lang w:val="sq-AL"/>
        </w:rPr>
        <w:t xml:space="preserve"> më të gjatë në treg</w:t>
      </w:r>
      <w:r w:rsidR="000C0253">
        <w:rPr>
          <w:rFonts w:ascii="Garamond" w:eastAsia="TimesNewRomanPSMT" w:hAnsi="Garamond" w:cs="Arial"/>
          <w:sz w:val="24"/>
          <w:szCs w:val="24"/>
          <w:lang w:val="sq-AL"/>
        </w:rPr>
        <w:t>,</w:t>
      </w:r>
      <w:r w:rsidRPr="0058349C">
        <w:rPr>
          <w:rFonts w:ascii="Garamond" w:eastAsia="TimesNewRomanPSMT" w:hAnsi="Garamond" w:cs="Arial"/>
          <w:sz w:val="24"/>
          <w:szCs w:val="24"/>
          <w:lang w:val="sq-AL"/>
        </w:rPr>
        <w:t xml:space="preserve"> për shkak të periudhave të ndryshme të vjeljes s</w:t>
      </w:r>
      <w:r w:rsidRPr="0058349C">
        <w:rPr>
          <w:rFonts w:ascii="Garamond" w:hAnsi="Garamond" w:cs="Arial"/>
          <w:sz w:val="24"/>
          <w:szCs w:val="24"/>
          <w:lang w:val="sq-AL"/>
        </w:rPr>
        <w:t>ë tyre</w:t>
      </w:r>
      <w:r w:rsidRPr="0058349C">
        <w:rPr>
          <w:rFonts w:ascii="Garamond" w:eastAsia="TimesNewRomanPSMT" w:hAnsi="Garamond" w:cs="Arial"/>
          <w:sz w:val="24"/>
          <w:szCs w:val="24"/>
          <w:lang w:val="sq-AL"/>
        </w:rPr>
        <w:t>. Nga 32 fermat e licencuara të molusqeve në ujërat e brendshme, rreth dy të tretat janë ferma aktive që ndodhen në zonën historike të prodhimit të lagunës së Butrintit</w:t>
      </w:r>
      <w:r w:rsidRPr="008823B8">
        <w:rPr>
          <w:rFonts w:ascii="Garamond" w:hAnsi="Garamond"/>
          <w:sz w:val="24"/>
          <w:szCs w:val="24"/>
          <w:vertAlign w:val="superscript"/>
        </w:rPr>
        <w:footnoteReference w:id="42"/>
      </w:r>
      <w:r w:rsidRPr="0058349C">
        <w:rPr>
          <w:rFonts w:ascii="Garamond" w:eastAsia="TimesNewRomanPSMT" w:hAnsi="Garamond" w:cs="Arial"/>
          <w:sz w:val="24"/>
          <w:szCs w:val="24"/>
          <w:lang w:val="sq-AL"/>
        </w:rPr>
        <w:t>, të cilat të gjitha përdorin objekte betoni. Pesë fermat kryesore të licencuara të akuakulturës së molusqeve detare (në Sarandë, Shëngjin dhe Durrës) përdorin sisteme të litar</w:t>
      </w:r>
      <w:r w:rsidRPr="0058349C">
        <w:rPr>
          <w:rFonts w:ascii="Garamond" w:hAnsi="Garamond" w:cs="Arial"/>
          <w:sz w:val="24"/>
          <w:szCs w:val="24"/>
          <w:lang w:val="sq-AL"/>
        </w:rPr>
        <w:t>ëve të</w:t>
      </w:r>
      <w:r w:rsidRPr="0058349C">
        <w:rPr>
          <w:rFonts w:ascii="Garamond" w:eastAsia="TimesNewRomanPSMT" w:hAnsi="Garamond" w:cs="Arial"/>
          <w:sz w:val="24"/>
          <w:szCs w:val="24"/>
          <w:lang w:val="sq-AL"/>
        </w:rPr>
        <w:t xml:space="preserve"> gjatë.</w:t>
      </w:r>
    </w:p>
    <w:p w14:paraId="0773AF05" w14:textId="5112DE76" w:rsidR="00DF7A00" w:rsidRPr="0058349C" w:rsidRDefault="00DF7A00" w:rsidP="00857F69">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Në të gjithë vendin përdoren 184 pellgje ujore dhe RUB</w:t>
      </w:r>
      <w:r w:rsidRPr="0058349C">
        <w:rPr>
          <w:vertAlign w:val="superscript"/>
          <w:lang w:val="sq-AL"/>
        </w:rPr>
        <w:footnoteReference w:id="43"/>
      </w:r>
      <w:r w:rsidRPr="0058349C">
        <w:rPr>
          <w:rFonts w:ascii="Garamond" w:eastAsia="Arial" w:hAnsi="Garamond" w:cs="Arial"/>
          <w:sz w:val="24"/>
          <w:szCs w:val="24"/>
          <w:lang w:val="sq-AL"/>
        </w:rPr>
        <w:t xml:space="preserve"> për </w:t>
      </w:r>
      <w:r w:rsidRPr="0058349C">
        <w:rPr>
          <w:rFonts w:ascii="Garamond" w:eastAsia="Arial" w:hAnsi="Garamond" w:cs="Arial"/>
          <w:b/>
          <w:sz w:val="24"/>
          <w:szCs w:val="24"/>
          <w:lang w:val="sq-AL"/>
        </w:rPr>
        <w:t xml:space="preserve">akuakulturën e peshqve të ujërave të ëmbla dhe </w:t>
      </w:r>
      <w:r w:rsidR="008052C2">
        <w:rPr>
          <w:rFonts w:ascii="Garamond" w:eastAsia="Arial" w:hAnsi="Garamond" w:cs="Arial"/>
          <w:b/>
          <w:sz w:val="24"/>
          <w:szCs w:val="24"/>
          <w:lang w:val="sq-AL"/>
        </w:rPr>
        <w:t xml:space="preserve">për </w:t>
      </w:r>
      <w:r w:rsidRPr="0058349C">
        <w:rPr>
          <w:rFonts w:ascii="Garamond" w:eastAsia="Arial" w:hAnsi="Garamond" w:cs="Arial"/>
          <w:b/>
          <w:sz w:val="24"/>
          <w:szCs w:val="24"/>
          <w:lang w:val="sq-AL"/>
        </w:rPr>
        <w:t>peshkim</w:t>
      </w:r>
      <w:r w:rsidR="008052C2">
        <w:rPr>
          <w:rFonts w:ascii="Garamond" w:eastAsia="Arial" w:hAnsi="Garamond" w:cs="Arial"/>
          <w:b/>
          <w:sz w:val="24"/>
          <w:szCs w:val="24"/>
          <w:lang w:val="sq-AL"/>
        </w:rPr>
        <w:t>,</w:t>
      </w:r>
      <w:r w:rsidRPr="0058349C">
        <w:rPr>
          <w:rFonts w:ascii="Garamond" w:eastAsia="Arial" w:hAnsi="Garamond" w:cs="Arial"/>
          <w:sz w:val="24"/>
          <w:szCs w:val="24"/>
          <w:lang w:val="sq-AL"/>
        </w:rPr>
        <w:t xml:space="preserve"> si një lloj a</w:t>
      </w:r>
      <w:r w:rsidR="008052C2">
        <w:rPr>
          <w:rFonts w:ascii="Garamond" w:eastAsia="Arial" w:hAnsi="Garamond" w:cs="Arial"/>
          <w:sz w:val="24"/>
          <w:szCs w:val="24"/>
          <w:lang w:val="sq-AL"/>
        </w:rPr>
        <w:t xml:space="preserve">kuakulture ekstensive ose </w:t>
      </w:r>
      <w:r w:rsidR="008052C2" w:rsidRPr="001338E7">
        <w:rPr>
          <w:rFonts w:ascii="Garamond" w:eastAsia="Arial" w:hAnsi="Garamond" w:cs="Arial"/>
          <w:sz w:val="24"/>
          <w:szCs w:val="24"/>
          <w:lang w:val="sq-AL"/>
        </w:rPr>
        <w:t>gjysmë</w:t>
      </w:r>
      <w:r w:rsidR="001338E7" w:rsidRPr="001338E7">
        <w:rPr>
          <w:rFonts w:ascii="Garamond" w:eastAsia="Arial" w:hAnsi="Garamond" w:cs="Arial"/>
          <w:sz w:val="24"/>
          <w:szCs w:val="24"/>
          <w:lang w:val="sq-AL"/>
        </w:rPr>
        <w:t xml:space="preserve"> </w:t>
      </w:r>
      <w:r w:rsidRPr="001338E7">
        <w:rPr>
          <w:rFonts w:ascii="Garamond" w:eastAsia="Arial" w:hAnsi="Garamond" w:cs="Arial"/>
          <w:sz w:val="24"/>
          <w:szCs w:val="24"/>
          <w:lang w:val="sq-AL"/>
        </w:rPr>
        <w:t xml:space="preserve">intensive </w:t>
      </w:r>
      <w:r w:rsidRPr="0058349C">
        <w:rPr>
          <w:rFonts w:ascii="Garamond" w:eastAsia="Arial" w:hAnsi="Garamond" w:cs="Arial"/>
          <w:sz w:val="24"/>
          <w:szCs w:val="24"/>
          <w:lang w:val="sq-AL"/>
        </w:rPr>
        <w:t>t</w:t>
      </w:r>
      <w:r w:rsidRPr="0058349C">
        <w:rPr>
          <w:rFonts w:ascii="Garamond" w:hAnsi="Garamond" w:cs="Arial"/>
          <w:sz w:val="24"/>
          <w:szCs w:val="24"/>
          <w:lang w:val="sq-AL"/>
        </w:rPr>
        <w:t>ë pellgjeve</w:t>
      </w:r>
      <w:r w:rsidRPr="0058349C">
        <w:rPr>
          <w:rFonts w:ascii="Garamond" w:eastAsia="Arial" w:hAnsi="Garamond" w:cs="Arial"/>
          <w:sz w:val="24"/>
          <w:szCs w:val="24"/>
          <w:lang w:val="sq-AL"/>
        </w:rPr>
        <w:t>. Gjashtë liqenet më të mëdh</w:t>
      </w:r>
      <w:r w:rsidR="008052C2">
        <w:rPr>
          <w:rFonts w:ascii="Garamond" w:eastAsia="Arial" w:hAnsi="Garamond" w:cs="Arial"/>
          <w:sz w:val="24"/>
          <w:szCs w:val="24"/>
          <w:lang w:val="sq-AL"/>
        </w:rPr>
        <w:t>a</w:t>
      </w:r>
      <w:r w:rsidRPr="0058349C">
        <w:rPr>
          <w:rFonts w:ascii="Garamond" w:eastAsia="Arial" w:hAnsi="Garamond" w:cs="Arial"/>
          <w:sz w:val="24"/>
          <w:szCs w:val="24"/>
          <w:lang w:val="sq-AL"/>
        </w:rPr>
        <w:t xml:space="preserve"> natyror</w:t>
      </w:r>
      <w:r w:rsidR="008052C2">
        <w:rPr>
          <w:rFonts w:ascii="Garamond" w:eastAsia="Arial" w:hAnsi="Garamond" w:cs="Arial"/>
          <w:sz w:val="24"/>
          <w:szCs w:val="24"/>
          <w:lang w:val="sq-AL"/>
        </w:rPr>
        <w:t>e</w:t>
      </w:r>
      <w:r w:rsidRPr="0058349C">
        <w:rPr>
          <w:rFonts w:ascii="Garamond" w:eastAsia="Arial" w:hAnsi="Garamond" w:cs="Arial"/>
          <w:sz w:val="24"/>
          <w:szCs w:val="24"/>
          <w:lang w:val="sq-AL"/>
        </w:rPr>
        <w:t>, ku përfshihen edhe ato të hidrocentraleve të mëdh</w:t>
      </w:r>
      <w:r w:rsidR="00857F69">
        <w:rPr>
          <w:rFonts w:ascii="Garamond" w:eastAsia="Arial" w:hAnsi="Garamond" w:cs="Arial"/>
          <w:sz w:val="24"/>
          <w:szCs w:val="24"/>
          <w:lang w:val="sq-AL"/>
        </w:rPr>
        <w:t>a</w:t>
      </w:r>
      <w:r w:rsidRPr="0058349C">
        <w:rPr>
          <w:rFonts w:ascii="Garamond" w:eastAsia="Arial" w:hAnsi="Garamond" w:cs="Arial"/>
          <w:sz w:val="24"/>
          <w:szCs w:val="24"/>
          <w:lang w:val="sq-AL"/>
        </w:rPr>
        <w:t xml:space="preserve"> dhe disa nga 103 liqenet më të v</w:t>
      </w:r>
      <w:r w:rsidR="00857F69">
        <w:rPr>
          <w:rFonts w:ascii="Garamond" w:eastAsia="Arial" w:hAnsi="Garamond" w:cs="Arial"/>
          <w:sz w:val="24"/>
          <w:szCs w:val="24"/>
          <w:lang w:val="sq-AL"/>
        </w:rPr>
        <w:t>ogla</w:t>
      </w:r>
      <w:r w:rsidRPr="0058349C">
        <w:rPr>
          <w:rFonts w:ascii="Garamond" w:eastAsia="Arial" w:hAnsi="Garamond" w:cs="Arial"/>
          <w:sz w:val="24"/>
          <w:szCs w:val="24"/>
          <w:lang w:val="sq-AL"/>
        </w:rPr>
        <w:t xml:space="preserve"> natyror</w:t>
      </w:r>
      <w:r w:rsidR="00857F69">
        <w:rPr>
          <w:rFonts w:ascii="Garamond" w:eastAsia="Arial" w:hAnsi="Garamond" w:cs="Arial"/>
          <w:sz w:val="24"/>
          <w:szCs w:val="24"/>
          <w:lang w:val="sq-AL"/>
        </w:rPr>
        <w:t>e</w:t>
      </w:r>
      <w:r w:rsidRPr="0058349C">
        <w:rPr>
          <w:rFonts w:ascii="Garamond" w:eastAsia="Arial" w:hAnsi="Garamond" w:cs="Arial"/>
          <w:sz w:val="24"/>
          <w:szCs w:val="24"/>
          <w:lang w:val="sq-AL"/>
        </w:rPr>
        <w:t xml:space="preserve"> shfrytëzohen për akuakulturë dhe peshkim. Shumica e RUB-ve kanë potencialin për t</w:t>
      </w:r>
      <w:r w:rsidR="00857F69">
        <w:rPr>
          <w:rFonts w:ascii="Garamond" w:eastAsia="Arial" w:hAnsi="Garamond" w:cs="Arial"/>
          <w:sz w:val="24"/>
          <w:szCs w:val="24"/>
          <w:lang w:val="sq-AL"/>
        </w:rPr>
        <w:t>’</w:t>
      </w:r>
      <w:r w:rsidRPr="0058349C">
        <w:rPr>
          <w:rFonts w:ascii="Garamond" w:eastAsia="Arial" w:hAnsi="Garamond" w:cs="Arial"/>
          <w:sz w:val="24"/>
          <w:szCs w:val="24"/>
          <w:lang w:val="sq-AL"/>
        </w:rPr>
        <w:t>u përdorur si pellgje p</w:t>
      </w:r>
      <w:r w:rsidRPr="0058349C">
        <w:rPr>
          <w:rFonts w:ascii="Garamond" w:hAnsi="Garamond" w:cs="Arial"/>
          <w:sz w:val="24"/>
          <w:szCs w:val="24"/>
          <w:lang w:val="sq-AL"/>
        </w:rPr>
        <w:t>ër akuakulturë dhe peshkim</w:t>
      </w:r>
      <w:r w:rsidRPr="0058349C">
        <w:rPr>
          <w:rFonts w:ascii="Garamond" w:eastAsia="Arial" w:hAnsi="Garamond" w:cs="Arial"/>
          <w:sz w:val="24"/>
          <w:szCs w:val="24"/>
          <w:lang w:val="sq-AL"/>
        </w:rPr>
        <w:t>. Potenciali vjetor i prodhimit të peshkut të RUB-ve është mbi 1500 ton</w:t>
      </w:r>
      <w:r w:rsidR="00857F69">
        <w:rPr>
          <w:rFonts w:ascii="Garamond" w:eastAsia="Arial" w:hAnsi="Garamond" w:cs="Arial"/>
          <w:sz w:val="24"/>
          <w:szCs w:val="24"/>
          <w:lang w:val="sq-AL"/>
        </w:rPr>
        <w:t>ë</w:t>
      </w:r>
      <w:r w:rsidRPr="0058349C">
        <w:rPr>
          <w:rFonts w:ascii="Garamond" w:eastAsia="Arial" w:hAnsi="Garamond" w:cs="Arial"/>
          <w:sz w:val="24"/>
          <w:szCs w:val="24"/>
          <w:lang w:val="sq-AL"/>
        </w:rPr>
        <w:t>. Fauna e peshkut në ujërat e brendshme shpesh është e ekspozuar ndaj ndotjes urbane, industriale dhe bujqësore dhe efektit t</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uljes së nivelit të ujit në liqenet artificiale</w:t>
      </w:r>
      <w:r w:rsidR="00857F69">
        <w:rPr>
          <w:rFonts w:ascii="Garamond" w:eastAsia="Arial" w:hAnsi="Garamond" w:cs="Arial"/>
          <w:sz w:val="24"/>
          <w:szCs w:val="24"/>
          <w:lang w:val="sq-AL"/>
        </w:rPr>
        <w:t>,</w:t>
      </w:r>
      <w:r w:rsidRPr="0058349C">
        <w:rPr>
          <w:rFonts w:ascii="Garamond" w:eastAsia="Arial" w:hAnsi="Garamond" w:cs="Arial"/>
          <w:sz w:val="24"/>
          <w:szCs w:val="24"/>
          <w:lang w:val="sq-AL"/>
        </w:rPr>
        <w:t xml:space="preserve"> si pasojë e prodhimit të energjisë së hidrocentraleve me luhatje ditore dhe sezonale.</w:t>
      </w:r>
    </w:p>
    <w:p w14:paraId="0773AF06" w14:textId="39061976" w:rsidR="00DF7A00" w:rsidRPr="0058349C" w:rsidRDefault="00DF7A00" w:rsidP="009A6D91">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b/>
          <w:sz w:val="24"/>
          <w:szCs w:val="24"/>
          <w:lang w:val="sq-AL"/>
        </w:rPr>
        <w:t>Akuakultura e peshqve të ujërave të brendsh</w:t>
      </w:r>
      <w:r w:rsidR="00857F69">
        <w:rPr>
          <w:rFonts w:ascii="Garamond" w:eastAsia="Arial" w:hAnsi="Garamond" w:cs="Arial"/>
          <w:b/>
          <w:sz w:val="24"/>
          <w:szCs w:val="24"/>
          <w:lang w:val="sq-AL"/>
        </w:rPr>
        <w:t>me</w:t>
      </w:r>
      <w:r w:rsidRPr="0058349C">
        <w:rPr>
          <w:rFonts w:ascii="Garamond" w:eastAsia="Arial" w:hAnsi="Garamond" w:cs="Arial"/>
          <w:sz w:val="24"/>
          <w:szCs w:val="24"/>
          <w:lang w:val="sq-AL"/>
        </w:rPr>
        <w:t xml:space="preserve"> përfshin kultivimin e troftës në sisteme vaskash me përqendrim në juglindje të Shqipërisë. Lloji i akuakulturës së pellgjeve është kryesisht ekstensiv deri në </w:t>
      </w:r>
      <w:r w:rsidRPr="001338E7">
        <w:rPr>
          <w:rFonts w:ascii="Garamond" w:eastAsia="Arial" w:hAnsi="Garamond" w:cs="Arial"/>
          <w:sz w:val="24"/>
          <w:szCs w:val="24"/>
          <w:lang w:val="sq-AL"/>
        </w:rPr>
        <w:t>gjysmë intensiv</w:t>
      </w:r>
      <w:r w:rsidRPr="0058349C">
        <w:rPr>
          <w:rFonts w:ascii="Garamond" w:eastAsia="Arial" w:hAnsi="Garamond" w:cs="Arial"/>
          <w:sz w:val="24"/>
          <w:szCs w:val="24"/>
          <w:lang w:val="sq-AL"/>
        </w:rPr>
        <w:t xml:space="preserve">, duke u ofruar mundësi familjeve rurale për të zgjeruar të ardhurat e tyre. Kultivimi i peshkut endemik koran </w:t>
      </w:r>
      <w:r w:rsidRPr="009A6D91">
        <w:rPr>
          <w:rFonts w:ascii="Garamond" w:eastAsia="Arial" w:hAnsi="Garamond" w:cs="Arial"/>
          <w:i/>
          <w:iCs/>
          <w:sz w:val="24"/>
          <w:szCs w:val="24"/>
          <w:lang w:val="sq-AL"/>
        </w:rPr>
        <w:t>(salmo letnica)</w:t>
      </w:r>
      <w:r w:rsidRPr="0058349C">
        <w:rPr>
          <w:rFonts w:ascii="Garamond" w:eastAsia="Arial" w:hAnsi="Garamond" w:cs="Arial"/>
          <w:sz w:val="24"/>
          <w:szCs w:val="24"/>
          <w:lang w:val="sq-AL"/>
        </w:rPr>
        <w:t xml:space="preserve"> është i kufizuar në liqenin e Ohrit, ku edhe një fermë mbarështimi është e specializuar në prodhimin e rasateve të koranit për rimbushjen e liqenit. Janë të paktën 57 ferma familjare të akuakulturës së troftës në të gjithë Shqipërinë</w:t>
      </w:r>
      <w:r w:rsidRPr="009A6D91">
        <w:rPr>
          <w:rFonts w:ascii="Garamond" w:hAnsi="Garamond"/>
          <w:sz w:val="24"/>
          <w:szCs w:val="24"/>
          <w:vertAlign w:val="superscript"/>
        </w:rPr>
        <w:footnoteReference w:id="44"/>
      </w:r>
      <w:r w:rsidRPr="0058349C">
        <w:rPr>
          <w:rFonts w:ascii="Garamond" w:eastAsia="Arial" w:hAnsi="Garamond" w:cs="Arial"/>
          <w:sz w:val="24"/>
          <w:szCs w:val="24"/>
          <w:lang w:val="sq-AL"/>
        </w:rPr>
        <w:t>, nga të cilat një e treta kanë edhe fermë mbarështimi. Katër inkubator</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privat</w:t>
      </w:r>
      <w:r w:rsidR="009A6D91">
        <w:rPr>
          <w:rFonts w:ascii="Garamond" w:eastAsia="Arial" w:hAnsi="Garamond" w:cs="Arial"/>
          <w:sz w:val="24"/>
          <w:szCs w:val="24"/>
          <w:lang w:val="sq-AL"/>
        </w:rPr>
        <w:t>ë</w:t>
      </w:r>
      <w:r w:rsidRPr="0058349C">
        <w:rPr>
          <w:rFonts w:ascii="Garamond" w:eastAsia="Arial" w:hAnsi="Garamond" w:cs="Arial"/>
          <w:sz w:val="24"/>
          <w:szCs w:val="24"/>
          <w:lang w:val="sq-AL"/>
        </w:rPr>
        <w:t xml:space="preserve"> kultivojnë krapin e zakonshëm, krapin e barit, krapin ballëgje</w:t>
      </w:r>
      <w:r w:rsidRPr="0058349C">
        <w:rPr>
          <w:rFonts w:ascii="Garamond" w:hAnsi="Garamond" w:cs="Arial"/>
          <w:sz w:val="24"/>
          <w:szCs w:val="24"/>
          <w:lang w:val="sq-AL"/>
        </w:rPr>
        <w:t>rë</w:t>
      </w:r>
      <w:r w:rsidRPr="0058349C">
        <w:rPr>
          <w:rFonts w:ascii="Garamond" w:eastAsia="Arial" w:hAnsi="Garamond" w:cs="Arial"/>
          <w:sz w:val="24"/>
          <w:szCs w:val="24"/>
          <w:lang w:val="sq-AL"/>
        </w:rPr>
        <w:t xml:space="preserve"> dhe krapin e argjendtë për qëllime rimbushjeje, por vetëm dy (në Elbasan dhe Fier) janë funksionale.</w:t>
      </w:r>
    </w:p>
    <w:p w14:paraId="0773AF07" w14:textId="77777777" w:rsidR="00DF7A00" w:rsidRPr="0058349C" w:rsidRDefault="00DF7A00" w:rsidP="00DF7A00">
      <w:pPr>
        <w:spacing w:after="0" w:line="240" w:lineRule="auto"/>
        <w:ind w:firstLine="284"/>
        <w:jc w:val="both"/>
        <w:rPr>
          <w:rFonts w:ascii="Garamond" w:eastAsia="Arial" w:hAnsi="Garamond" w:cs="Arial"/>
          <w:b/>
          <w:sz w:val="24"/>
          <w:szCs w:val="24"/>
          <w:lang w:val="sq-AL"/>
        </w:rPr>
      </w:pPr>
      <w:r w:rsidRPr="0058349C">
        <w:rPr>
          <w:rFonts w:ascii="Garamond" w:eastAsia="Arial" w:hAnsi="Garamond" w:cs="Arial"/>
          <w:b/>
          <w:sz w:val="24"/>
          <w:szCs w:val="24"/>
          <w:lang w:val="sq-AL"/>
        </w:rPr>
        <w:t>Operatorët në sektorin e peshkimit</w:t>
      </w:r>
    </w:p>
    <w:p w14:paraId="0773AF08" w14:textId="389A5ECC" w:rsidR="00DF7A00" w:rsidRPr="0058349C" w:rsidRDefault="00DF7A00" w:rsidP="009A6D91">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b/>
          <w:sz w:val="24"/>
          <w:szCs w:val="24"/>
          <w:lang w:val="sq-AL"/>
        </w:rPr>
        <w:t>Peshkimi tregtar përbëhet nga peshkimi tregtar profesional dhe artizanal</w:t>
      </w:r>
      <w:r w:rsidRPr="0058349C">
        <w:rPr>
          <w:rFonts w:ascii="Garamond" w:eastAsia="Arial" w:hAnsi="Garamond" w:cs="Arial"/>
          <w:sz w:val="24"/>
          <w:szCs w:val="24"/>
          <w:lang w:val="sq-AL"/>
        </w:rPr>
        <w:t xml:space="preserve"> i p</w:t>
      </w:r>
      <w:r w:rsidR="00167C37" w:rsidRPr="0058349C">
        <w:rPr>
          <w:rFonts w:ascii="Garamond" w:eastAsia="Arial" w:hAnsi="Garamond" w:cs="Arial"/>
          <w:sz w:val="24"/>
          <w:szCs w:val="24"/>
          <w:lang w:val="sq-AL"/>
        </w:rPr>
        <w:t xml:space="preserve">ërcaktuar në ligjin </w:t>
      </w:r>
      <w:r w:rsidR="009A6D91" w:rsidRPr="0058349C">
        <w:rPr>
          <w:rFonts w:ascii="Garamond" w:eastAsia="Arial" w:hAnsi="Garamond" w:cs="Arial"/>
          <w:sz w:val="24"/>
          <w:szCs w:val="24"/>
          <w:lang w:val="sq-AL"/>
        </w:rPr>
        <w:t>nr</w:t>
      </w:r>
      <w:r w:rsidR="00167C37" w:rsidRPr="0058349C">
        <w:rPr>
          <w:rFonts w:ascii="Garamond" w:eastAsia="Arial" w:hAnsi="Garamond" w:cs="Arial"/>
          <w:sz w:val="24"/>
          <w:szCs w:val="24"/>
          <w:lang w:val="sq-AL"/>
        </w:rPr>
        <w:t>. 64/2012</w:t>
      </w:r>
      <w:r w:rsidR="00D56192" w:rsidRPr="0058349C">
        <w:rPr>
          <w:rFonts w:ascii="Garamond" w:eastAsia="Arial" w:hAnsi="Garamond" w:cs="Arial"/>
          <w:sz w:val="24"/>
          <w:szCs w:val="24"/>
          <w:lang w:val="sq-AL"/>
        </w:rPr>
        <w:t xml:space="preserve">, </w:t>
      </w:r>
      <w:r w:rsidR="00664693" w:rsidRPr="0058349C">
        <w:rPr>
          <w:rFonts w:ascii="Garamond" w:eastAsia="Arial" w:hAnsi="Garamond" w:cs="Arial"/>
          <w:sz w:val="24"/>
          <w:szCs w:val="24"/>
          <w:lang w:val="sq-AL"/>
        </w:rPr>
        <w:t>“</w:t>
      </w:r>
      <w:r w:rsidR="00D56192" w:rsidRPr="0058349C">
        <w:rPr>
          <w:rFonts w:ascii="Garamond" w:eastAsia="Arial" w:hAnsi="Garamond" w:cs="Arial"/>
          <w:sz w:val="24"/>
          <w:szCs w:val="24"/>
          <w:lang w:val="sq-AL"/>
        </w:rPr>
        <w:t>Për</w:t>
      </w:r>
      <w:r w:rsidRPr="0058349C">
        <w:rPr>
          <w:rFonts w:ascii="Garamond" w:eastAsia="Arial" w:hAnsi="Garamond" w:cs="Arial"/>
          <w:sz w:val="24"/>
          <w:szCs w:val="24"/>
          <w:lang w:val="sq-AL"/>
        </w:rPr>
        <w:t xml:space="preserve"> peshkimin</w:t>
      </w:r>
      <w:r w:rsidR="00664693" w:rsidRPr="0058349C">
        <w:rPr>
          <w:rFonts w:ascii="Garamond" w:eastAsia="Arial" w:hAnsi="Garamond" w:cs="Arial"/>
          <w:sz w:val="24"/>
          <w:szCs w:val="24"/>
          <w:lang w:val="sq-AL"/>
        </w:rPr>
        <w:t>”</w:t>
      </w:r>
      <w:r w:rsidRPr="0058349C">
        <w:rPr>
          <w:rFonts w:ascii="Garamond" w:eastAsia="Arial" w:hAnsi="Garamond" w:cs="Arial"/>
          <w:sz w:val="24"/>
          <w:szCs w:val="24"/>
          <w:lang w:val="sq-AL"/>
        </w:rPr>
        <w:t>. Peshkimi tregtar profesional përfshin anije me gjatësi më t</w:t>
      </w:r>
      <w:r w:rsidRPr="0058349C">
        <w:rPr>
          <w:rFonts w:ascii="Garamond" w:hAnsi="Garamond" w:cs="Arial"/>
          <w:sz w:val="24"/>
          <w:szCs w:val="24"/>
          <w:lang w:val="sq-AL"/>
        </w:rPr>
        <w:t>ë madhe</w:t>
      </w:r>
      <w:r w:rsidRPr="0058349C">
        <w:rPr>
          <w:rFonts w:ascii="Garamond" w:eastAsia="Arial" w:hAnsi="Garamond" w:cs="Arial"/>
          <w:sz w:val="24"/>
          <w:szCs w:val="24"/>
          <w:lang w:val="sq-AL"/>
        </w:rPr>
        <w:t xml:space="preserve"> se 12 metra dhe fuqi motorike më të madhe ose të barabartë me 56 k</w:t>
      </w:r>
      <w:r w:rsidR="009A6D91">
        <w:rPr>
          <w:rFonts w:ascii="Garamond" w:eastAsia="Arial" w:hAnsi="Garamond" w:cs="Arial"/>
          <w:sz w:val="24"/>
          <w:szCs w:val="24"/>
          <w:lang w:val="sq-AL"/>
        </w:rPr>
        <w:t>w</w:t>
      </w:r>
      <w:r w:rsidRPr="0058349C">
        <w:rPr>
          <w:rFonts w:ascii="Garamond" w:eastAsia="Arial" w:hAnsi="Garamond" w:cs="Arial"/>
          <w:sz w:val="24"/>
          <w:szCs w:val="24"/>
          <w:lang w:val="sq-AL"/>
        </w:rPr>
        <w:t>, ndërsa peshkimi artizanal tregtar ose artizanal bregdetar kryhet me varka me gjatësi më të vogël se 12 metra dhe që nuk përdorin vegla peshkimi fundore, me ose pa timon, vegla peshkimi me tërheqje të peshkimit pelagjik me timon ose çift pelagjik, rrjeta binjake me timon dhe draga hidraulike.</w:t>
      </w:r>
    </w:p>
    <w:p w14:paraId="0773AF09" w14:textId="15337EB2"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eastAsia="Arial" w:hAnsi="Garamond" w:cs="Arial"/>
          <w:b/>
          <w:sz w:val="24"/>
          <w:szCs w:val="24"/>
          <w:lang w:val="sq-AL"/>
        </w:rPr>
        <w:t>Peshkimi bregdetar</w:t>
      </w:r>
      <w:r w:rsidRPr="0058349C">
        <w:rPr>
          <w:rFonts w:ascii="Garamond" w:eastAsia="Arial" w:hAnsi="Garamond" w:cs="Arial"/>
          <w:sz w:val="24"/>
          <w:szCs w:val="24"/>
          <w:lang w:val="sq-AL"/>
        </w:rPr>
        <w:t xml:space="preserve"> (bregdeti, laguna) përfshin </w:t>
      </w:r>
      <w:r w:rsidRPr="0058349C">
        <w:rPr>
          <w:rFonts w:ascii="Garamond" w:eastAsia="Arial" w:hAnsi="Garamond" w:cs="Arial"/>
          <w:b/>
          <w:sz w:val="24"/>
          <w:szCs w:val="24"/>
          <w:lang w:val="sq-AL"/>
        </w:rPr>
        <w:t>peshkimin artizanal në shkallë të vogël</w:t>
      </w:r>
      <w:r w:rsidRPr="0058349C">
        <w:rPr>
          <w:rFonts w:ascii="Garamond" w:eastAsia="Arial" w:hAnsi="Garamond" w:cs="Arial"/>
          <w:sz w:val="24"/>
          <w:szCs w:val="24"/>
          <w:lang w:val="sq-AL"/>
        </w:rPr>
        <w:t>, i cili është një burim i rëndësishëm të ardhurash për komunitetet lokale bregdetare. Peshkimi në laguna ndjek metodat tradicionale si rrjetat (e varura) dhe barrierat (dajlanët) e peshkimit. Ky sistem fiks peshkimi i bazuar në parimin e kurtheve në formë V b</w:t>
      </w:r>
      <w:r w:rsidRPr="0058349C">
        <w:rPr>
          <w:rFonts w:ascii="Garamond" w:hAnsi="Garamond" w:cs="Arial"/>
          <w:sz w:val="24"/>
          <w:szCs w:val="24"/>
          <w:lang w:val="sq-AL"/>
        </w:rPr>
        <w:t>ëhet</w:t>
      </w:r>
      <w:r w:rsidRPr="0058349C">
        <w:rPr>
          <w:rFonts w:ascii="Garamond" w:eastAsia="Arial" w:hAnsi="Garamond" w:cs="Arial"/>
          <w:sz w:val="24"/>
          <w:szCs w:val="24"/>
          <w:lang w:val="sq-AL"/>
        </w:rPr>
        <w:t xml:space="preserve"> me tuba plastikë në kanalet që lidhin lagunat me detin. Përgjatë bregdetit shqiptar ka tetë laguna bregdetare, me një sipërfaqe totale rreth 10.000 ha, thellësi mesatare 1 metër, ku maksimumi mund të arrijë 5 metra. Më të rëndësishmet janë: Velipoja; Patoku, Vaini, Karavasta, Narta dhe Butrinti. Speciet kryesore janë ato shtegtare të detit: barbuni, levreku, krapi dhe ngjala evropiane. Të tetë sistemet lagunore janë pak të kërcënuara nga sedimentimi, llumëzimi i kanaleve që i lidhin me detin, episodet e anoksisë hipertrofike dhe nga ndotja shtëpiake dhe industriale. Menaxhimi i integruar duhet të optimizohet</w:t>
      </w:r>
      <w:r w:rsidR="009A6D91">
        <w:rPr>
          <w:rFonts w:ascii="Garamond" w:eastAsia="Arial" w:hAnsi="Garamond" w:cs="Arial"/>
          <w:sz w:val="24"/>
          <w:szCs w:val="24"/>
          <w:lang w:val="sq-AL"/>
        </w:rPr>
        <w:t>,</w:t>
      </w:r>
      <w:r w:rsidRPr="0058349C">
        <w:rPr>
          <w:rFonts w:ascii="Garamond" w:eastAsia="Arial" w:hAnsi="Garamond" w:cs="Arial"/>
          <w:sz w:val="24"/>
          <w:szCs w:val="24"/>
          <w:lang w:val="sq-AL"/>
        </w:rPr>
        <w:t xml:space="preserve"> duke përmirësuar bashkëpunimin ndërmjet komuniteteve lokale, kërkueseve shkencorë dhe qeverisë.</w:t>
      </w:r>
    </w:p>
    <w:p w14:paraId="0773AF0A" w14:textId="39D2D484" w:rsidR="00DF7A00" w:rsidRPr="0058349C" w:rsidRDefault="00DF7A00" w:rsidP="00DF7A00">
      <w:pPr>
        <w:spacing w:after="0" w:line="240" w:lineRule="auto"/>
        <w:ind w:firstLine="284"/>
        <w:jc w:val="both"/>
        <w:rPr>
          <w:rFonts w:ascii="Garamond" w:hAnsi="Garamond" w:cs="Arial"/>
          <w:bCs/>
          <w:sz w:val="24"/>
          <w:szCs w:val="24"/>
          <w:lang w:val="sq-AL"/>
        </w:rPr>
      </w:pPr>
      <w:r w:rsidRPr="0058349C">
        <w:rPr>
          <w:rFonts w:ascii="Garamond" w:hAnsi="Garamond" w:cs="Arial"/>
          <w:b/>
          <w:bCs/>
          <w:sz w:val="24"/>
          <w:szCs w:val="24"/>
          <w:lang w:val="sq-AL"/>
        </w:rPr>
        <w:lastRenderedPageBreak/>
        <w:t>Aktivitetet e peshkimit në shkallë të vogël (PSHV)</w:t>
      </w:r>
      <w:r w:rsidRPr="0058349C">
        <w:rPr>
          <w:rFonts w:ascii="Garamond" w:hAnsi="Garamond" w:cs="Arial"/>
          <w:bCs/>
          <w:sz w:val="24"/>
          <w:szCs w:val="24"/>
          <w:lang w:val="sq-AL"/>
        </w:rPr>
        <w:t xml:space="preserve"> është forma më e vjetër e aktivitetit të peshkimit në ujërat detare dhe të brendshme në Shqipëri dhe përfshin numrin më të madh të anijeve dhe peshkatarëve </w:t>
      </w:r>
      <w:r w:rsidR="00BC084C">
        <w:rPr>
          <w:rFonts w:ascii="Garamond" w:hAnsi="Garamond" w:cs="Arial"/>
          <w:bCs/>
          <w:sz w:val="24"/>
          <w:szCs w:val="24"/>
          <w:lang w:val="sq-AL"/>
        </w:rPr>
        <w:t>vendës</w:t>
      </w:r>
      <w:r w:rsidRPr="0058349C">
        <w:rPr>
          <w:rFonts w:ascii="Garamond" w:hAnsi="Garamond" w:cs="Arial"/>
          <w:bCs/>
          <w:sz w:val="24"/>
          <w:szCs w:val="24"/>
          <w:lang w:val="sq-AL"/>
        </w:rPr>
        <w:t>. Mungojnë të dhënat gjithëpërfshirëse për PSHV-në. Prej disa vitesh, qeveria ka ndërmarrë përpjekje të rëndësishme për një rregullim gradual të PSHV-së për të stabilizuar kapacitetin e tyre të peshkimit dhe për të reduktuar peshkimin e paligjshëm, të pa-raportuar dhe të parregulluar (PPPP), i cili varfëron rezervat e peshkut, shkatërron habitatet detare, shtrembëron konkurrencën, vendos në disavantazh peshkatarët e ndershëm dhe dobëson komunitetet bregdetare.</w:t>
      </w:r>
    </w:p>
    <w:p w14:paraId="0773AF0B" w14:textId="77777777" w:rsidR="00DF7A00" w:rsidRPr="0058349C" w:rsidRDefault="00DF7A00" w:rsidP="00DF7A00">
      <w:pPr>
        <w:keepNext/>
        <w:keepLines/>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Organizatat profesionale të peshkimit</w:t>
      </w:r>
    </w:p>
    <w:p w14:paraId="0773AF0C"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Që nga viti 2002, në Shqipëri janë krijuar</w:t>
      </w:r>
      <w:r w:rsidRPr="0058349C">
        <w:rPr>
          <w:rFonts w:ascii="Garamond" w:hAnsi="Garamond" w:cs="Arial"/>
          <w:b/>
          <w:sz w:val="24"/>
          <w:szCs w:val="24"/>
          <w:lang w:val="sq-AL"/>
        </w:rPr>
        <w:t xml:space="preserve"> Organizatat e Menaxhimit të Peshkimit (OMP)</w:t>
      </w:r>
      <w:r w:rsidRPr="0058349C">
        <w:rPr>
          <w:rFonts w:ascii="Garamond" w:hAnsi="Garamond" w:cs="Arial"/>
          <w:sz w:val="24"/>
          <w:szCs w:val="24"/>
          <w:lang w:val="sq-AL"/>
        </w:rPr>
        <w:t xml:space="preserve"> si subjekte juridike private, në përputhje me ligjin Nr. 8870/2016, bazuar në ndryshimet në Ligjin për Peshkimin dhe Akuakulturën (2020), i cili është në përputhje me konceptet përkatëse të BE-së.</w:t>
      </w:r>
    </w:p>
    <w:p w14:paraId="0773AF0D" w14:textId="35FE0ABB" w:rsidR="00DF7A00" w:rsidRPr="00296CAB" w:rsidRDefault="00DF7A00" w:rsidP="00296CAB">
      <w:pPr>
        <w:pStyle w:val="Caption"/>
        <w:spacing w:after="0"/>
        <w:jc w:val="center"/>
        <w:rPr>
          <w:rFonts w:ascii="Garamond" w:hAnsi="Garamond"/>
          <w:b w:val="0"/>
          <w:bCs w:val="0"/>
          <w:i/>
          <w:iCs/>
          <w:color w:val="auto"/>
          <w:sz w:val="20"/>
          <w:szCs w:val="20"/>
        </w:rPr>
      </w:pPr>
      <w:bookmarkStart w:id="37" w:name="_Ref88491241"/>
      <w:bookmarkStart w:id="38" w:name="_Toc79164038"/>
      <w:bookmarkStart w:id="39" w:name="_Toc103777366"/>
      <w:r w:rsidRPr="00296CAB">
        <w:rPr>
          <w:rFonts w:ascii="Garamond" w:hAnsi="Garamond"/>
          <w:i/>
          <w:iCs/>
          <w:color w:val="auto"/>
          <w:sz w:val="20"/>
          <w:szCs w:val="20"/>
        </w:rPr>
        <w:t>Tabela 3-</w:t>
      </w:r>
      <w:bookmarkEnd w:id="37"/>
      <w:r w:rsidR="00296CAB" w:rsidRPr="00296CAB">
        <w:rPr>
          <w:rFonts w:ascii="Garamond" w:hAnsi="Garamond"/>
          <w:i/>
          <w:iCs/>
          <w:color w:val="auto"/>
          <w:sz w:val="20"/>
          <w:szCs w:val="20"/>
        </w:rPr>
        <w:t>9</w:t>
      </w:r>
      <w:r w:rsidRPr="00296CAB">
        <w:rPr>
          <w:rFonts w:ascii="Garamond" w:hAnsi="Garamond"/>
          <w:b w:val="0"/>
          <w:i/>
          <w:iCs/>
          <w:color w:val="auto"/>
          <w:sz w:val="20"/>
          <w:szCs w:val="20"/>
        </w:rPr>
        <w:t>:</w:t>
      </w:r>
      <w:bookmarkEnd w:id="38"/>
      <w:r w:rsidR="00296CAB" w:rsidRPr="00296CAB">
        <w:rPr>
          <w:rFonts w:ascii="Garamond" w:hAnsi="Garamond"/>
          <w:b w:val="0"/>
          <w:i/>
          <w:iCs/>
          <w:color w:val="auto"/>
          <w:sz w:val="20"/>
          <w:szCs w:val="20"/>
        </w:rPr>
        <w:t xml:space="preserve"> </w:t>
      </w:r>
      <w:r w:rsidRPr="00296CAB">
        <w:rPr>
          <w:rFonts w:ascii="Garamond" w:hAnsi="Garamond"/>
          <w:b w:val="0"/>
          <w:bCs w:val="0"/>
          <w:i/>
          <w:iCs/>
          <w:color w:val="auto"/>
          <w:sz w:val="20"/>
          <w:szCs w:val="20"/>
        </w:rPr>
        <w:t>Shpërndarja e OMP-ve në Shqipëri viti 2020</w:t>
      </w:r>
      <w:bookmarkEnd w:id="39"/>
    </w:p>
    <w:tbl>
      <w:tblPr>
        <w:tblW w:w="5000" w:type="pct"/>
        <w:jc w:val="center"/>
        <w:tblCellMar>
          <w:left w:w="70" w:type="dxa"/>
          <w:right w:w="70" w:type="dxa"/>
        </w:tblCellMar>
        <w:tblLook w:val="04A0" w:firstRow="1" w:lastRow="0" w:firstColumn="1" w:lastColumn="0" w:noHBand="0" w:noVBand="1"/>
      </w:tblPr>
      <w:tblGrid>
        <w:gridCol w:w="1063"/>
        <w:gridCol w:w="894"/>
        <w:gridCol w:w="887"/>
        <w:gridCol w:w="679"/>
        <w:gridCol w:w="747"/>
        <w:gridCol w:w="1591"/>
        <w:gridCol w:w="1186"/>
        <w:gridCol w:w="1186"/>
        <w:gridCol w:w="978"/>
      </w:tblGrid>
      <w:tr w:rsidR="00167C37" w:rsidRPr="0058349C" w14:paraId="0773AF15" w14:textId="77777777" w:rsidTr="00167C37">
        <w:trPr>
          <w:trHeight w:val="300"/>
          <w:jc w:val="center"/>
        </w:trPr>
        <w:tc>
          <w:tcPr>
            <w:tcW w:w="581" w:type="pct"/>
            <w:vMerge w:val="restart"/>
            <w:tcBorders>
              <w:top w:val="single" w:sz="8" w:space="0" w:color="auto"/>
              <w:left w:val="single" w:sz="8" w:space="0" w:color="auto"/>
              <w:bottom w:val="single" w:sz="8" w:space="0" w:color="000000"/>
              <w:right w:val="single" w:sz="8" w:space="0" w:color="auto"/>
            </w:tcBorders>
            <w:shd w:val="clear" w:color="auto" w:fill="D4E3F3"/>
            <w:vAlign w:val="center"/>
            <w:hideMark/>
          </w:tcPr>
          <w:p w14:paraId="0773AF0E" w14:textId="77777777" w:rsidR="00DF7A00" w:rsidRPr="0058349C" w:rsidRDefault="00DF7A00" w:rsidP="00167C37">
            <w:pPr>
              <w:spacing w:after="0" w:line="240" w:lineRule="auto"/>
              <w:jc w:val="center"/>
              <w:rPr>
                <w:rFonts w:ascii="Garamond" w:hAnsi="Garamond" w:cs="Arial"/>
                <w:b/>
                <w:bCs/>
                <w:sz w:val="20"/>
                <w:szCs w:val="20"/>
                <w:lang w:val="sq-AL"/>
              </w:rPr>
            </w:pPr>
            <w:r w:rsidRPr="0058349C">
              <w:rPr>
                <w:rFonts w:ascii="Garamond" w:hAnsi="Garamond" w:cs="Arial"/>
                <w:b/>
                <w:bCs/>
                <w:sz w:val="20"/>
                <w:szCs w:val="20"/>
                <w:lang w:val="sq-AL"/>
              </w:rPr>
              <w:t>Emri i OMP</w:t>
            </w:r>
          </w:p>
        </w:tc>
        <w:tc>
          <w:tcPr>
            <w:tcW w:w="974" w:type="pct"/>
            <w:gridSpan w:val="2"/>
            <w:tcBorders>
              <w:top w:val="single" w:sz="8" w:space="0" w:color="auto"/>
              <w:left w:val="nil"/>
              <w:bottom w:val="single" w:sz="8" w:space="0" w:color="auto"/>
              <w:right w:val="single" w:sz="8" w:space="0" w:color="000000"/>
            </w:tcBorders>
            <w:shd w:val="clear" w:color="auto" w:fill="D4E3F3"/>
            <w:vAlign w:val="center"/>
            <w:hideMark/>
          </w:tcPr>
          <w:p w14:paraId="0773AF0F" w14:textId="77777777" w:rsidR="00DF7A00" w:rsidRPr="0058349C" w:rsidRDefault="00DF7A00" w:rsidP="00167C37">
            <w:pPr>
              <w:spacing w:after="0" w:line="240" w:lineRule="auto"/>
              <w:jc w:val="center"/>
              <w:rPr>
                <w:rFonts w:ascii="Garamond" w:hAnsi="Garamond" w:cs="Arial"/>
                <w:b/>
                <w:bCs/>
                <w:sz w:val="20"/>
                <w:szCs w:val="20"/>
                <w:lang w:val="sq-AL"/>
              </w:rPr>
            </w:pPr>
            <w:r w:rsidRPr="0058349C">
              <w:rPr>
                <w:rFonts w:ascii="Garamond" w:hAnsi="Garamond" w:cs="Arial"/>
                <w:b/>
                <w:bCs/>
                <w:sz w:val="20"/>
                <w:szCs w:val="20"/>
                <w:lang w:val="sq-AL"/>
              </w:rPr>
              <w:t>Ujërat e menaxhuara</w:t>
            </w:r>
          </w:p>
        </w:tc>
        <w:tc>
          <w:tcPr>
            <w:tcW w:w="750" w:type="pct"/>
            <w:gridSpan w:val="2"/>
            <w:tcBorders>
              <w:top w:val="single" w:sz="8" w:space="0" w:color="auto"/>
              <w:left w:val="nil"/>
              <w:bottom w:val="single" w:sz="8" w:space="0" w:color="auto"/>
              <w:right w:val="single" w:sz="8" w:space="0" w:color="000000"/>
            </w:tcBorders>
            <w:shd w:val="clear" w:color="auto" w:fill="D4E3F3"/>
            <w:vAlign w:val="center"/>
            <w:hideMark/>
          </w:tcPr>
          <w:p w14:paraId="0773AF10" w14:textId="49F49F6E" w:rsidR="00DF7A00" w:rsidRPr="0058349C" w:rsidRDefault="00DF7A00" w:rsidP="00167C37">
            <w:pPr>
              <w:spacing w:after="0" w:line="240" w:lineRule="auto"/>
              <w:jc w:val="center"/>
              <w:rPr>
                <w:rFonts w:ascii="Garamond" w:hAnsi="Garamond" w:cs="Arial"/>
                <w:b/>
                <w:bCs/>
                <w:sz w:val="20"/>
                <w:szCs w:val="20"/>
                <w:lang w:val="sq-AL"/>
              </w:rPr>
            </w:pPr>
            <w:r w:rsidRPr="0058349C">
              <w:rPr>
                <w:rFonts w:ascii="Garamond" w:hAnsi="Garamond" w:cs="Arial"/>
                <w:b/>
                <w:bCs/>
                <w:sz w:val="20"/>
                <w:szCs w:val="20"/>
                <w:lang w:val="sq-AL"/>
              </w:rPr>
              <w:t xml:space="preserve">Varkë </w:t>
            </w:r>
            <w:r w:rsidR="00296CAB" w:rsidRPr="0058349C">
              <w:rPr>
                <w:rFonts w:ascii="Garamond" w:hAnsi="Garamond" w:cs="Arial"/>
                <w:b/>
                <w:bCs/>
                <w:sz w:val="20"/>
                <w:szCs w:val="20"/>
                <w:lang w:val="sq-AL"/>
              </w:rPr>
              <w:t>peshkimi</w:t>
            </w:r>
          </w:p>
        </w:tc>
        <w:tc>
          <w:tcPr>
            <w:tcW w:w="867" w:type="pct"/>
            <w:tcBorders>
              <w:top w:val="single" w:sz="8" w:space="0" w:color="auto"/>
              <w:left w:val="nil"/>
              <w:bottom w:val="single" w:sz="8" w:space="0" w:color="000000"/>
              <w:right w:val="single" w:sz="8" w:space="0" w:color="auto"/>
            </w:tcBorders>
            <w:shd w:val="clear" w:color="auto" w:fill="D4E3F3"/>
            <w:vAlign w:val="center"/>
            <w:hideMark/>
          </w:tcPr>
          <w:p w14:paraId="0773AF11" w14:textId="77777777" w:rsidR="00DF7A00" w:rsidRPr="0058349C" w:rsidRDefault="00DF7A00" w:rsidP="00167C37">
            <w:pPr>
              <w:spacing w:after="0" w:line="240" w:lineRule="auto"/>
              <w:jc w:val="center"/>
              <w:rPr>
                <w:rFonts w:ascii="Garamond" w:hAnsi="Garamond" w:cs="Arial"/>
                <w:b/>
                <w:bCs/>
                <w:sz w:val="20"/>
                <w:szCs w:val="20"/>
                <w:lang w:val="sq-AL"/>
              </w:rPr>
            </w:pPr>
            <w:r w:rsidRPr="0058349C">
              <w:rPr>
                <w:rFonts w:ascii="Garamond" w:hAnsi="Garamond" w:cs="Arial"/>
                <w:b/>
                <w:bCs/>
                <w:sz w:val="20"/>
                <w:szCs w:val="20"/>
                <w:lang w:val="sq-AL"/>
              </w:rPr>
              <w:t>Varkat</w:t>
            </w:r>
          </w:p>
          <w:p w14:paraId="0773AF12" w14:textId="3AFC2EFA" w:rsidR="00DF7A00" w:rsidRPr="0058349C" w:rsidRDefault="00DF7A00" w:rsidP="00167C37">
            <w:pPr>
              <w:spacing w:after="0" w:line="240" w:lineRule="auto"/>
              <w:jc w:val="center"/>
              <w:rPr>
                <w:rFonts w:ascii="Garamond" w:hAnsi="Garamond" w:cs="Arial"/>
                <w:b/>
                <w:bCs/>
                <w:sz w:val="20"/>
                <w:szCs w:val="20"/>
                <w:lang w:val="sq-AL"/>
              </w:rPr>
            </w:pPr>
            <w:r w:rsidRPr="0058349C">
              <w:rPr>
                <w:rFonts w:ascii="Garamond" w:hAnsi="Garamond" w:cs="Arial"/>
                <w:b/>
                <w:bCs/>
                <w:sz w:val="20"/>
                <w:szCs w:val="20"/>
                <w:lang w:val="sq-AL"/>
              </w:rPr>
              <w:t>(</w:t>
            </w:r>
            <w:r w:rsidR="00296CAB" w:rsidRPr="0058349C">
              <w:rPr>
                <w:rFonts w:ascii="Garamond" w:hAnsi="Garamond" w:cs="Arial"/>
                <w:b/>
                <w:bCs/>
                <w:sz w:val="20"/>
                <w:szCs w:val="20"/>
                <w:lang w:val="sq-AL"/>
              </w:rPr>
              <w:t>nr</w:t>
            </w:r>
            <w:r w:rsidRPr="0058349C">
              <w:rPr>
                <w:rFonts w:ascii="Garamond" w:hAnsi="Garamond" w:cs="Arial"/>
                <w:b/>
                <w:bCs/>
                <w:sz w:val="20"/>
                <w:szCs w:val="20"/>
                <w:lang w:val="sq-AL"/>
              </w:rPr>
              <w:t>.)</w:t>
            </w:r>
          </w:p>
        </w:tc>
        <w:tc>
          <w:tcPr>
            <w:tcW w:w="1294" w:type="pct"/>
            <w:gridSpan w:val="2"/>
            <w:tcBorders>
              <w:top w:val="single" w:sz="8" w:space="0" w:color="auto"/>
              <w:left w:val="single" w:sz="8" w:space="0" w:color="auto"/>
              <w:bottom w:val="single" w:sz="8" w:space="0" w:color="000000"/>
              <w:right w:val="single" w:sz="8" w:space="0" w:color="000000"/>
            </w:tcBorders>
            <w:shd w:val="clear" w:color="auto" w:fill="D4E3F3"/>
            <w:vAlign w:val="center"/>
            <w:hideMark/>
          </w:tcPr>
          <w:p w14:paraId="0773AF13" w14:textId="77777777" w:rsidR="00DF7A00" w:rsidRPr="0058349C" w:rsidRDefault="00DF7A00" w:rsidP="00D50688">
            <w:pPr>
              <w:spacing w:after="0" w:line="240" w:lineRule="auto"/>
              <w:jc w:val="right"/>
              <w:rPr>
                <w:rFonts w:ascii="Garamond" w:hAnsi="Garamond" w:cs="Arial"/>
                <w:b/>
                <w:bCs/>
                <w:sz w:val="20"/>
                <w:szCs w:val="20"/>
                <w:lang w:val="sq-AL"/>
              </w:rPr>
            </w:pPr>
            <w:r w:rsidRPr="0058349C">
              <w:rPr>
                <w:rFonts w:ascii="Garamond" w:hAnsi="Garamond" w:cs="Arial"/>
                <w:b/>
                <w:bCs/>
                <w:sz w:val="20"/>
                <w:szCs w:val="20"/>
                <w:lang w:val="sq-AL"/>
              </w:rPr>
              <w:t>Peshku i kapur për peshkatar (kg)</w:t>
            </w:r>
          </w:p>
        </w:tc>
        <w:tc>
          <w:tcPr>
            <w:tcW w:w="534" w:type="pct"/>
            <w:tcBorders>
              <w:top w:val="single" w:sz="8" w:space="0" w:color="auto"/>
              <w:left w:val="single" w:sz="8" w:space="0" w:color="auto"/>
              <w:bottom w:val="single" w:sz="8" w:space="0" w:color="000000"/>
              <w:right w:val="single" w:sz="8" w:space="0" w:color="auto"/>
            </w:tcBorders>
            <w:shd w:val="clear" w:color="auto" w:fill="D4E3F3"/>
            <w:vAlign w:val="center"/>
            <w:hideMark/>
          </w:tcPr>
          <w:p w14:paraId="0773AF14" w14:textId="77777777" w:rsidR="00DF7A00" w:rsidRPr="0058349C" w:rsidRDefault="00DF7A00" w:rsidP="00167C37">
            <w:pPr>
              <w:spacing w:after="0" w:line="240" w:lineRule="auto"/>
              <w:jc w:val="center"/>
              <w:rPr>
                <w:rFonts w:ascii="Garamond" w:hAnsi="Garamond" w:cs="Arial"/>
                <w:b/>
                <w:bCs/>
                <w:sz w:val="20"/>
                <w:szCs w:val="20"/>
                <w:lang w:val="sq-AL"/>
              </w:rPr>
            </w:pPr>
            <w:r w:rsidRPr="0058349C">
              <w:rPr>
                <w:rFonts w:ascii="Garamond" w:hAnsi="Garamond" w:cs="Arial"/>
                <w:b/>
                <w:bCs/>
                <w:sz w:val="20"/>
                <w:szCs w:val="20"/>
                <w:lang w:val="sq-AL"/>
              </w:rPr>
              <w:t>Licenca</w:t>
            </w:r>
          </w:p>
        </w:tc>
      </w:tr>
      <w:tr w:rsidR="00167C37" w:rsidRPr="0058349C" w14:paraId="0773AF1F" w14:textId="77777777" w:rsidTr="00167C37">
        <w:trPr>
          <w:trHeight w:val="373"/>
          <w:jc w:val="center"/>
        </w:trPr>
        <w:tc>
          <w:tcPr>
            <w:tcW w:w="581" w:type="pct"/>
            <w:vMerge/>
            <w:tcBorders>
              <w:top w:val="single" w:sz="8" w:space="0" w:color="auto"/>
              <w:left w:val="single" w:sz="8" w:space="0" w:color="auto"/>
              <w:bottom w:val="single" w:sz="8" w:space="0" w:color="000000"/>
              <w:right w:val="single" w:sz="8" w:space="0" w:color="auto"/>
            </w:tcBorders>
            <w:shd w:val="clear" w:color="auto" w:fill="D4E3F3"/>
            <w:vAlign w:val="center"/>
            <w:hideMark/>
          </w:tcPr>
          <w:p w14:paraId="0773AF16" w14:textId="77777777" w:rsidR="00DF7A00" w:rsidRPr="0058349C" w:rsidRDefault="00DF7A00" w:rsidP="00167C37">
            <w:pPr>
              <w:spacing w:after="0" w:line="240" w:lineRule="auto"/>
              <w:jc w:val="center"/>
              <w:rPr>
                <w:rFonts w:ascii="Garamond" w:hAnsi="Garamond" w:cs="Arial"/>
                <w:b/>
                <w:bCs/>
                <w:sz w:val="20"/>
                <w:szCs w:val="20"/>
                <w:lang w:val="sq-AL"/>
              </w:rPr>
            </w:pPr>
          </w:p>
        </w:tc>
        <w:tc>
          <w:tcPr>
            <w:tcW w:w="489" w:type="pct"/>
            <w:vMerge w:val="restart"/>
            <w:tcBorders>
              <w:top w:val="nil"/>
              <w:left w:val="single" w:sz="8" w:space="0" w:color="auto"/>
              <w:bottom w:val="single" w:sz="8" w:space="0" w:color="000000"/>
              <w:right w:val="single" w:sz="8" w:space="0" w:color="auto"/>
            </w:tcBorders>
            <w:shd w:val="clear" w:color="auto" w:fill="D4E3F3"/>
            <w:vAlign w:val="center"/>
            <w:hideMark/>
          </w:tcPr>
          <w:p w14:paraId="0773AF17" w14:textId="77777777" w:rsidR="00DF7A00" w:rsidRPr="0058349C" w:rsidRDefault="00DF7A00" w:rsidP="00167C37">
            <w:pPr>
              <w:spacing w:after="0" w:line="240" w:lineRule="auto"/>
              <w:jc w:val="center"/>
              <w:rPr>
                <w:rFonts w:ascii="Garamond" w:hAnsi="Garamond" w:cs="Arial"/>
                <w:b/>
                <w:bCs/>
                <w:sz w:val="20"/>
                <w:szCs w:val="20"/>
                <w:lang w:val="sq-AL"/>
              </w:rPr>
            </w:pPr>
            <w:r w:rsidRPr="0058349C">
              <w:rPr>
                <w:rFonts w:ascii="Garamond" w:hAnsi="Garamond" w:cs="Arial"/>
                <w:b/>
                <w:bCs/>
                <w:sz w:val="20"/>
                <w:szCs w:val="20"/>
                <w:lang w:val="sq-AL"/>
              </w:rPr>
              <w:t>Emri</w:t>
            </w:r>
          </w:p>
        </w:tc>
        <w:tc>
          <w:tcPr>
            <w:tcW w:w="485" w:type="pct"/>
            <w:vMerge w:val="restart"/>
            <w:tcBorders>
              <w:top w:val="nil"/>
              <w:left w:val="single" w:sz="8" w:space="0" w:color="auto"/>
              <w:bottom w:val="single" w:sz="8" w:space="0" w:color="000000"/>
              <w:right w:val="single" w:sz="8" w:space="0" w:color="auto"/>
            </w:tcBorders>
            <w:shd w:val="clear" w:color="auto" w:fill="D4E3F3"/>
            <w:vAlign w:val="center"/>
            <w:hideMark/>
          </w:tcPr>
          <w:p w14:paraId="0773AF18" w14:textId="77777777" w:rsidR="00DF7A00" w:rsidRPr="0058349C" w:rsidRDefault="00DF7A00" w:rsidP="00167C37">
            <w:pPr>
              <w:spacing w:after="0" w:line="240" w:lineRule="auto"/>
              <w:jc w:val="center"/>
              <w:rPr>
                <w:rFonts w:ascii="Garamond" w:hAnsi="Garamond" w:cs="Arial"/>
                <w:b/>
                <w:bCs/>
                <w:sz w:val="20"/>
                <w:szCs w:val="20"/>
                <w:lang w:val="sq-AL"/>
              </w:rPr>
            </w:pPr>
            <w:r w:rsidRPr="0058349C">
              <w:rPr>
                <w:rFonts w:ascii="Garamond" w:hAnsi="Garamond" w:cs="Arial"/>
                <w:b/>
                <w:bCs/>
                <w:sz w:val="20"/>
                <w:szCs w:val="20"/>
                <w:lang w:val="sq-AL"/>
              </w:rPr>
              <w:t>(ha)</w:t>
            </w:r>
          </w:p>
        </w:tc>
        <w:tc>
          <w:tcPr>
            <w:tcW w:w="372" w:type="pct"/>
            <w:vMerge w:val="restart"/>
            <w:tcBorders>
              <w:top w:val="nil"/>
              <w:left w:val="single" w:sz="8" w:space="0" w:color="auto"/>
              <w:bottom w:val="single" w:sz="8" w:space="0" w:color="000000"/>
              <w:right w:val="single" w:sz="8" w:space="0" w:color="auto"/>
            </w:tcBorders>
            <w:shd w:val="clear" w:color="auto" w:fill="D4E3F3"/>
            <w:vAlign w:val="center"/>
            <w:hideMark/>
          </w:tcPr>
          <w:p w14:paraId="0773AF19" w14:textId="77777777" w:rsidR="00DF7A00" w:rsidRPr="0058349C" w:rsidRDefault="00DF7A00" w:rsidP="00167C37">
            <w:pPr>
              <w:spacing w:after="0" w:line="240" w:lineRule="auto"/>
              <w:jc w:val="center"/>
              <w:rPr>
                <w:rFonts w:ascii="Garamond" w:hAnsi="Garamond" w:cs="Arial"/>
                <w:b/>
                <w:bCs/>
                <w:sz w:val="20"/>
                <w:szCs w:val="20"/>
                <w:lang w:val="sq-AL"/>
              </w:rPr>
            </w:pPr>
            <w:r w:rsidRPr="0058349C">
              <w:rPr>
                <w:rFonts w:ascii="Garamond" w:hAnsi="Garamond" w:cs="Arial"/>
                <w:b/>
                <w:bCs/>
                <w:sz w:val="20"/>
                <w:szCs w:val="20"/>
                <w:lang w:val="sq-AL"/>
              </w:rPr>
              <w:t>Nr.</w:t>
            </w:r>
          </w:p>
        </w:tc>
        <w:tc>
          <w:tcPr>
            <w:tcW w:w="378" w:type="pct"/>
            <w:vMerge w:val="restart"/>
            <w:tcBorders>
              <w:top w:val="nil"/>
              <w:left w:val="single" w:sz="8" w:space="0" w:color="auto"/>
              <w:bottom w:val="single" w:sz="8" w:space="0" w:color="000000"/>
              <w:right w:val="single" w:sz="8" w:space="0" w:color="auto"/>
            </w:tcBorders>
            <w:shd w:val="clear" w:color="auto" w:fill="D4E3F3"/>
            <w:vAlign w:val="center"/>
            <w:hideMark/>
          </w:tcPr>
          <w:p w14:paraId="0773AF1A" w14:textId="4D1D1B6F" w:rsidR="00DF7A00" w:rsidRPr="0058349C" w:rsidRDefault="00DF7A00" w:rsidP="00167C37">
            <w:pPr>
              <w:spacing w:after="0" w:line="240" w:lineRule="auto"/>
              <w:jc w:val="center"/>
              <w:rPr>
                <w:rFonts w:ascii="Garamond" w:hAnsi="Garamond" w:cs="Arial"/>
                <w:b/>
                <w:bCs/>
                <w:sz w:val="20"/>
                <w:szCs w:val="20"/>
                <w:lang w:val="sq-AL"/>
              </w:rPr>
            </w:pPr>
            <w:r w:rsidRPr="0058349C">
              <w:rPr>
                <w:rFonts w:ascii="Garamond" w:hAnsi="Garamond" w:cs="Arial"/>
                <w:b/>
                <w:bCs/>
                <w:sz w:val="20"/>
                <w:szCs w:val="20"/>
                <w:lang w:val="sq-AL"/>
              </w:rPr>
              <w:t>Nr.</w:t>
            </w:r>
            <w:r w:rsidR="00797859">
              <w:rPr>
                <w:rFonts w:ascii="Garamond" w:hAnsi="Garamond" w:cs="Arial"/>
                <w:b/>
                <w:bCs/>
                <w:sz w:val="20"/>
                <w:szCs w:val="20"/>
                <w:lang w:val="sq-AL"/>
              </w:rPr>
              <w:t>/</w:t>
            </w:r>
            <w:r w:rsidRPr="0058349C">
              <w:rPr>
                <w:rFonts w:ascii="Garamond" w:hAnsi="Garamond" w:cs="Arial"/>
                <w:b/>
                <w:bCs/>
                <w:sz w:val="20"/>
                <w:szCs w:val="20"/>
                <w:lang w:val="sq-AL"/>
              </w:rPr>
              <w:t>ha</w:t>
            </w:r>
          </w:p>
        </w:tc>
        <w:tc>
          <w:tcPr>
            <w:tcW w:w="867" w:type="pct"/>
            <w:vMerge w:val="restart"/>
            <w:tcBorders>
              <w:top w:val="single" w:sz="8" w:space="0" w:color="000000"/>
              <w:left w:val="nil"/>
              <w:right w:val="single" w:sz="8" w:space="0" w:color="auto"/>
            </w:tcBorders>
            <w:shd w:val="clear" w:color="auto" w:fill="D4E3F3"/>
            <w:vAlign w:val="center"/>
            <w:hideMark/>
          </w:tcPr>
          <w:p w14:paraId="0773AF1B" w14:textId="77777777" w:rsidR="00DF7A00" w:rsidRPr="0058349C" w:rsidRDefault="00DF7A00" w:rsidP="00167C37">
            <w:pPr>
              <w:spacing w:after="0" w:line="240" w:lineRule="auto"/>
              <w:jc w:val="center"/>
              <w:rPr>
                <w:rFonts w:ascii="Garamond" w:hAnsi="Garamond" w:cs="Arial"/>
                <w:b/>
                <w:bCs/>
                <w:sz w:val="20"/>
                <w:szCs w:val="20"/>
                <w:lang w:val="sq-AL"/>
              </w:rPr>
            </w:pPr>
          </w:p>
        </w:tc>
        <w:tc>
          <w:tcPr>
            <w:tcW w:w="647" w:type="pct"/>
            <w:vMerge w:val="restart"/>
            <w:tcBorders>
              <w:top w:val="single" w:sz="8" w:space="0" w:color="000000"/>
              <w:left w:val="single" w:sz="8" w:space="0" w:color="auto"/>
              <w:right w:val="single" w:sz="8" w:space="0" w:color="000000"/>
            </w:tcBorders>
            <w:shd w:val="clear" w:color="auto" w:fill="D4E3F3"/>
            <w:vAlign w:val="center"/>
            <w:hideMark/>
          </w:tcPr>
          <w:p w14:paraId="0773AF1C" w14:textId="77777777" w:rsidR="00DF7A00" w:rsidRPr="0058349C" w:rsidRDefault="00DF7A00" w:rsidP="00D50688">
            <w:pPr>
              <w:spacing w:after="0" w:line="240" w:lineRule="auto"/>
              <w:jc w:val="right"/>
              <w:rPr>
                <w:rFonts w:ascii="Garamond" w:hAnsi="Garamond" w:cs="Arial"/>
                <w:b/>
                <w:bCs/>
                <w:sz w:val="20"/>
                <w:szCs w:val="20"/>
                <w:lang w:val="sq-AL"/>
              </w:rPr>
            </w:pPr>
            <w:r w:rsidRPr="0058349C">
              <w:rPr>
                <w:rFonts w:ascii="Garamond" w:hAnsi="Garamond" w:cs="Arial"/>
                <w:b/>
                <w:bCs/>
                <w:sz w:val="20"/>
                <w:szCs w:val="20"/>
                <w:lang w:val="sq-AL"/>
              </w:rPr>
              <w:t>Aktualisht</w:t>
            </w:r>
          </w:p>
        </w:tc>
        <w:tc>
          <w:tcPr>
            <w:tcW w:w="647" w:type="pct"/>
            <w:vMerge w:val="restart"/>
            <w:tcBorders>
              <w:top w:val="single" w:sz="8" w:space="0" w:color="000000"/>
              <w:left w:val="single" w:sz="8" w:space="0" w:color="auto"/>
              <w:right w:val="single" w:sz="8" w:space="0" w:color="000000"/>
            </w:tcBorders>
            <w:shd w:val="clear" w:color="auto" w:fill="D4E3F3"/>
            <w:vAlign w:val="center"/>
          </w:tcPr>
          <w:p w14:paraId="0773AF1D" w14:textId="77777777" w:rsidR="00DF7A00" w:rsidRPr="0058349C" w:rsidRDefault="00DF7A00" w:rsidP="00D50688">
            <w:pPr>
              <w:spacing w:after="0" w:line="240" w:lineRule="auto"/>
              <w:jc w:val="right"/>
              <w:rPr>
                <w:rFonts w:ascii="Garamond" w:hAnsi="Garamond" w:cs="Arial"/>
                <w:b/>
                <w:bCs/>
                <w:sz w:val="20"/>
                <w:szCs w:val="20"/>
                <w:lang w:val="sq-AL"/>
              </w:rPr>
            </w:pPr>
            <w:r w:rsidRPr="0058349C">
              <w:rPr>
                <w:rFonts w:ascii="Garamond" w:hAnsi="Garamond" w:cs="Arial"/>
                <w:b/>
                <w:bCs/>
                <w:sz w:val="20"/>
                <w:szCs w:val="20"/>
                <w:lang w:val="sq-AL"/>
              </w:rPr>
              <w:t>Potencial</w:t>
            </w:r>
          </w:p>
        </w:tc>
        <w:tc>
          <w:tcPr>
            <w:tcW w:w="534" w:type="pct"/>
            <w:tcBorders>
              <w:top w:val="single" w:sz="8" w:space="0" w:color="000000"/>
              <w:left w:val="single" w:sz="8" w:space="0" w:color="000000"/>
              <w:right w:val="single" w:sz="8" w:space="0" w:color="auto"/>
            </w:tcBorders>
            <w:shd w:val="clear" w:color="auto" w:fill="D4E3F3"/>
            <w:vAlign w:val="center"/>
            <w:hideMark/>
          </w:tcPr>
          <w:p w14:paraId="0773AF1E" w14:textId="77777777" w:rsidR="00DF7A00" w:rsidRPr="0058349C" w:rsidRDefault="00DF7A00" w:rsidP="00167C37">
            <w:pPr>
              <w:spacing w:after="0" w:line="240" w:lineRule="auto"/>
              <w:jc w:val="center"/>
              <w:rPr>
                <w:rFonts w:ascii="Garamond" w:hAnsi="Garamond" w:cs="Arial"/>
                <w:b/>
                <w:bCs/>
                <w:sz w:val="20"/>
                <w:szCs w:val="20"/>
                <w:lang w:val="sq-AL"/>
              </w:rPr>
            </w:pPr>
          </w:p>
        </w:tc>
      </w:tr>
      <w:tr w:rsidR="00167C37" w:rsidRPr="0058349C" w14:paraId="0773AF29" w14:textId="77777777" w:rsidTr="00167C37">
        <w:trPr>
          <w:trHeight w:val="44"/>
          <w:jc w:val="center"/>
        </w:trPr>
        <w:tc>
          <w:tcPr>
            <w:tcW w:w="581" w:type="pct"/>
            <w:vMerge/>
            <w:tcBorders>
              <w:top w:val="single" w:sz="8" w:space="0" w:color="auto"/>
              <w:left w:val="single" w:sz="8" w:space="0" w:color="auto"/>
              <w:bottom w:val="single" w:sz="8" w:space="0" w:color="000000"/>
              <w:right w:val="single" w:sz="8" w:space="0" w:color="auto"/>
            </w:tcBorders>
            <w:shd w:val="clear" w:color="auto" w:fill="D4E3F3"/>
            <w:vAlign w:val="center"/>
            <w:hideMark/>
          </w:tcPr>
          <w:p w14:paraId="0773AF20" w14:textId="77777777" w:rsidR="00DF7A00" w:rsidRPr="0058349C" w:rsidRDefault="00DF7A00" w:rsidP="003D28A7">
            <w:pPr>
              <w:spacing w:after="0" w:line="240" w:lineRule="auto"/>
              <w:jc w:val="both"/>
              <w:rPr>
                <w:rFonts w:ascii="Garamond" w:hAnsi="Garamond" w:cs="Arial"/>
                <w:b/>
                <w:bCs/>
                <w:sz w:val="20"/>
                <w:szCs w:val="20"/>
                <w:lang w:val="sq-AL"/>
              </w:rPr>
            </w:pPr>
          </w:p>
        </w:tc>
        <w:tc>
          <w:tcPr>
            <w:tcW w:w="489" w:type="pct"/>
            <w:vMerge/>
            <w:tcBorders>
              <w:top w:val="nil"/>
              <w:left w:val="single" w:sz="8" w:space="0" w:color="auto"/>
              <w:bottom w:val="single" w:sz="8" w:space="0" w:color="000000"/>
              <w:right w:val="single" w:sz="8" w:space="0" w:color="auto"/>
            </w:tcBorders>
            <w:shd w:val="clear" w:color="auto" w:fill="D4E3F3"/>
            <w:vAlign w:val="center"/>
            <w:hideMark/>
          </w:tcPr>
          <w:p w14:paraId="0773AF21" w14:textId="77777777" w:rsidR="00DF7A00" w:rsidRPr="0058349C" w:rsidRDefault="00DF7A00" w:rsidP="003D28A7">
            <w:pPr>
              <w:spacing w:after="0" w:line="240" w:lineRule="auto"/>
              <w:jc w:val="both"/>
              <w:rPr>
                <w:rFonts w:ascii="Garamond" w:hAnsi="Garamond" w:cs="Arial"/>
                <w:b/>
                <w:bCs/>
                <w:sz w:val="20"/>
                <w:szCs w:val="20"/>
                <w:lang w:val="sq-AL"/>
              </w:rPr>
            </w:pPr>
          </w:p>
        </w:tc>
        <w:tc>
          <w:tcPr>
            <w:tcW w:w="485" w:type="pct"/>
            <w:vMerge/>
            <w:tcBorders>
              <w:top w:val="nil"/>
              <w:left w:val="single" w:sz="8" w:space="0" w:color="auto"/>
              <w:bottom w:val="single" w:sz="8" w:space="0" w:color="000000"/>
              <w:right w:val="single" w:sz="8" w:space="0" w:color="auto"/>
            </w:tcBorders>
            <w:shd w:val="clear" w:color="auto" w:fill="D4E3F3"/>
            <w:vAlign w:val="center"/>
            <w:hideMark/>
          </w:tcPr>
          <w:p w14:paraId="0773AF22" w14:textId="77777777" w:rsidR="00DF7A00" w:rsidRPr="0058349C" w:rsidRDefault="00DF7A00" w:rsidP="003D28A7">
            <w:pPr>
              <w:spacing w:after="0" w:line="240" w:lineRule="auto"/>
              <w:jc w:val="both"/>
              <w:rPr>
                <w:rFonts w:ascii="Garamond" w:hAnsi="Garamond" w:cs="Arial"/>
                <w:b/>
                <w:bCs/>
                <w:sz w:val="20"/>
                <w:szCs w:val="20"/>
                <w:lang w:val="sq-AL"/>
              </w:rPr>
            </w:pPr>
          </w:p>
        </w:tc>
        <w:tc>
          <w:tcPr>
            <w:tcW w:w="372" w:type="pct"/>
            <w:vMerge/>
            <w:tcBorders>
              <w:top w:val="nil"/>
              <w:left w:val="single" w:sz="8" w:space="0" w:color="auto"/>
              <w:bottom w:val="single" w:sz="8" w:space="0" w:color="000000"/>
              <w:right w:val="single" w:sz="8" w:space="0" w:color="auto"/>
            </w:tcBorders>
            <w:shd w:val="clear" w:color="auto" w:fill="D4E3F3"/>
            <w:vAlign w:val="center"/>
            <w:hideMark/>
          </w:tcPr>
          <w:p w14:paraId="0773AF23" w14:textId="77777777" w:rsidR="00DF7A00" w:rsidRPr="0058349C" w:rsidRDefault="00DF7A00" w:rsidP="003D28A7">
            <w:pPr>
              <w:spacing w:after="0" w:line="240" w:lineRule="auto"/>
              <w:jc w:val="both"/>
              <w:rPr>
                <w:rFonts w:ascii="Garamond" w:hAnsi="Garamond" w:cs="Arial"/>
                <w:b/>
                <w:bCs/>
                <w:sz w:val="20"/>
                <w:szCs w:val="20"/>
                <w:lang w:val="sq-AL"/>
              </w:rPr>
            </w:pPr>
          </w:p>
        </w:tc>
        <w:tc>
          <w:tcPr>
            <w:tcW w:w="378" w:type="pct"/>
            <w:vMerge/>
            <w:tcBorders>
              <w:top w:val="nil"/>
              <w:left w:val="single" w:sz="8" w:space="0" w:color="auto"/>
              <w:bottom w:val="single" w:sz="8" w:space="0" w:color="000000"/>
              <w:right w:val="single" w:sz="8" w:space="0" w:color="auto"/>
            </w:tcBorders>
            <w:shd w:val="clear" w:color="auto" w:fill="D4E3F3"/>
            <w:vAlign w:val="center"/>
            <w:hideMark/>
          </w:tcPr>
          <w:p w14:paraId="0773AF24" w14:textId="77777777" w:rsidR="00DF7A00" w:rsidRPr="0058349C" w:rsidRDefault="00DF7A00" w:rsidP="003D28A7">
            <w:pPr>
              <w:spacing w:after="0" w:line="240" w:lineRule="auto"/>
              <w:jc w:val="both"/>
              <w:rPr>
                <w:rFonts w:ascii="Garamond" w:hAnsi="Garamond" w:cs="Arial"/>
                <w:b/>
                <w:bCs/>
                <w:sz w:val="20"/>
                <w:szCs w:val="20"/>
                <w:lang w:val="sq-AL"/>
              </w:rPr>
            </w:pPr>
          </w:p>
        </w:tc>
        <w:tc>
          <w:tcPr>
            <w:tcW w:w="867" w:type="pct"/>
            <w:vMerge/>
            <w:tcBorders>
              <w:left w:val="nil"/>
              <w:bottom w:val="single" w:sz="8" w:space="0" w:color="auto"/>
              <w:right w:val="single" w:sz="8" w:space="0" w:color="auto"/>
            </w:tcBorders>
            <w:shd w:val="clear" w:color="auto" w:fill="D4E3F3"/>
            <w:vAlign w:val="center"/>
            <w:hideMark/>
          </w:tcPr>
          <w:p w14:paraId="0773AF25" w14:textId="77777777" w:rsidR="00DF7A00" w:rsidRPr="0058349C" w:rsidRDefault="00DF7A00" w:rsidP="003D28A7">
            <w:pPr>
              <w:spacing w:after="0" w:line="240" w:lineRule="auto"/>
              <w:jc w:val="both"/>
              <w:rPr>
                <w:rFonts w:ascii="Garamond" w:hAnsi="Garamond" w:cs="Arial"/>
                <w:b/>
                <w:bCs/>
                <w:sz w:val="20"/>
                <w:szCs w:val="20"/>
                <w:lang w:val="sq-AL"/>
              </w:rPr>
            </w:pPr>
          </w:p>
        </w:tc>
        <w:tc>
          <w:tcPr>
            <w:tcW w:w="647" w:type="pct"/>
            <w:vMerge/>
            <w:tcBorders>
              <w:left w:val="single" w:sz="8" w:space="0" w:color="auto"/>
              <w:bottom w:val="single" w:sz="8" w:space="0" w:color="auto"/>
              <w:right w:val="single" w:sz="8" w:space="0" w:color="auto"/>
            </w:tcBorders>
            <w:shd w:val="clear" w:color="auto" w:fill="D4E3F3"/>
            <w:vAlign w:val="center"/>
            <w:hideMark/>
          </w:tcPr>
          <w:p w14:paraId="0773AF26" w14:textId="77777777" w:rsidR="00DF7A00" w:rsidRPr="0058349C" w:rsidRDefault="00DF7A00" w:rsidP="00D50688">
            <w:pPr>
              <w:spacing w:after="0" w:line="240" w:lineRule="auto"/>
              <w:jc w:val="right"/>
              <w:rPr>
                <w:rFonts w:ascii="Garamond" w:hAnsi="Garamond" w:cs="Arial"/>
                <w:b/>
                <w:bCs/>
                <w:sz w:val="20"/>
                <w:szCs w:val="20"/>
                <w:lang w:val="sq-AL"/>
              </w:rPr>
            </w:pPr>
          </w:p>
        </w:tc>
        <w:tc>
          <w:tcPr>
            <w:tcW w:w="647" w:type="pct"/>
            <w:vMerge/>
            <w:tcBorders>
              <w:left w:val="single" w:sz="8" w:space="0" w:color="auto"/>
              <w:bottom w:val="single" w:sz="8" w:space="0" w:color="auto"/>
              <w:right w:val="single" w:sz="8" w:space="0" w:color="000000"/>
            </w:tcBorders>
            <w:shd w:val="clear" w:color="auto" w:fill="D4E3F3"/>
            <w:vAlign w:val="center"/>
            <w:hideMark/>
          </w:tcPr>
          <w:p w14:paraId="0773AF27" w14:textId="77777777" w:rsidR="00DF7A00" w:rsidRPr="0058349C" w:rsidRDefault="00DF7A00" w:rsidP="00D50688">
            <w:pPr>
              <w:spacing w:after="0" w:line="240" w:lineRule="auto"/>
              <w:jc w:val="right"/>
              <w:rPr>
                <w:rFonts w:ascii="Garamond" w:hAnsi="Garamond" w:cs="Arial"/>
                <w:b/>
                <w:bCs/>
                <w:sz w:val="20"/>
                <w:szCs w:val="20"/>
                <w:lang w:val="sq-AL"/>
              </w:rPr>
            </w:pPr>
          </w:p>
        </w:tc>
        <w:tc>
          <w:tcPr>
            <w:tcW w:w="534" w:type="pct"/>
            <w:tcBorders>
              <w:left w:val="single" w:sz="8" w:space="0" w:color="000000"/>
              <w:bottom w:val="single" w:sz="8" w:space="0" w:color="000000"/>
              <w:right w:val="single" w:sz="8" w:space="0" w:color="auto"/>
            </w:tcBorders>
            <w:shd w:val="clear" w:color="auto" w:fill="D4E3F3"/>
            <w:vAlign w:val="center"/>
            <w:hideMark/>
          </w:tcPr>
          <w:p w14:paraId="0773AF28" w14:textId="77777777" w:rsidR="00DF7A00" w:rsidRPr="0058349C" w:rsidRDefault="00DF7A00" w:rsidP="003D28A7">
            <w:pPr>
              <w:spacing w:after="0" w:line="240" w:lineRule="auto"/>
              <w:jc w:val="both"/>
              <w:rPr>
                <w:rFonts w:ascii="Garamond" w:hAnsi="Garamond" w:cs="Arial"/>
                <w:b/>
                <w:bCs/>
                <w:sz w:val="20"/>
                <w:szCs w:val="20"/>
                <w:lang w:val="sq-AL"/>
              </w:rPr>
            </w:pPr>
          </w:p>
        </w:tc>
      </w:tr>
      <w:tr w:rsidR="00167C37" w:rsidRPr="0058349C" w14:paraId="0773AF33" w14:textId="77777777" w:rsidTr="00167C37">
        <w:trPr>
          <w:trHeight w:val="223"/>
          <w:jc w:val="center"/>
        </w:trPr>
        <w:tc>
          <w:tcPr>
            <w:tcW w:w="581" w:type="pct"/>
            <w:tcBorders>
              <w:top w:val="nil"/>
              <w:left w:val="single" w:sz="8" w:space="0" w:color="auto"/>
              <w:bottom w:val="single" w:sz="8" w:space="0" w:color="auto"/>
              <w:right w:val="single" w:sz="8" w:space="0" w:color="auto"/>
            </w:tcBorders>
            <w:shd w:val="clear" w:color="auto" w:fill="auto"/>
            <w:vAlign w:val="center"/>
            <w:hideMark/>
          </w:tcPr>
          <w:p w14:paraId="0773AF2A"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Kukës</w:t>
            </w:r>
          </w:p>
        </w:tc>
        <w:tc>
          <w:tcPr>
            <w:tcW w:w="489" w:type="pct"/>
            <w:tcBorders>
              <w:top w:val="nil"/>
              <w:left w:val="nil"/>
              <w:bottom w:val="single" w:sz="8" w:space="0" w:color="auto"/>
              <w:right w:val="single" w:sz="8" w:space="0" w:color="auto"/>
            </w:tcBorders>
            <w:shd w:val="clear" w:color="auto" w:fill="auto"/>
            <w:vAlign w:val="center"/>
            <w:hideMark/>
          </w:tcPr>
          <w:p w14:paraId="0773AF2B"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Fierza</w:t>
            </w:r>
          </w:p>
        </w:tc>
        <w:tc>
          <w:tcPr>
            <w:tcW w:w="485" w:type="pct"/>
            <w:tcBorders>
              <w:top w:val="nil"/>
              <w:left w:val="nil"/>
              <w:bottom w:val="single" w:sz="8" w:space="0" w:color="auto"/>
              <w:right w:val="single" w:sz="8" w:space="0" w:color="auto"/>
            </w:tcBorders>
            <w:shd w:val="clear" w:color="auto" w:fill="auto"/>
            <w:vAlign w:val="center"/>
            <w:hideMark/>
          </w:tcPr>
          <w:p w14:paraId="0773AF2C"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5,000</w:t>
            </w:r>
          </w:p>
        </w:tc>
        <w:tc>
          <w:tcPr>
            <w:tcW w:w="372" w:type="pct"/>
            <w:tcBorders>
              <w:top w:val="nil"/>
              <w:left w:val="nil"/>
              <w:bottom w:val="single" w:sz="8" w:space="0" w:color="auto"/>
              <w:right w:val="single" w:sz="8" w:space="0" w:color="auto"/>
            </w:tcBorders>
            <w:shd w:val="clear" w:color="auto" w:fill="auto"/>
            <w:vAlign w:val="center"/>
            <w:hideMark/>
          </w:tcPr>
          <w:p w14:paraId="0773AF2D"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40</w:t>
            </w:r>
          </w:p>
        </w:tc>
        <w:tc>
          <w:tcPr>
            <w:tcW w:w="378" w:type="pct"/>
            <w:tcBorders>
              <w:top w:val="nil"/>
              <w:left w:val="nil"/>
              <w:bottom w:val="single" w:sz="8" w:space="0" w:color="auto"/>
              <w:right w:val="single" w:sz="8" w:space="0" w:color="auto"/>
            </w:tcBorders>
            <w:shd w:val="clear" w:color="auto" w:fill="auto"/>
            <w:vAlign w:val="center"/>
            <w:hideMark/>
          </w:tcPr>
          <w:p w14:paraId="0773AF2E"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17</w:t>
            </w:r>
          </w:p>
        </w:tc>
        <w:tc>
          <w:tcPr>
            <w:tcW w:w="867" w:type="pct"/>
            <w:tcBorders>
              <w:top w:val="nil"/>
              <w:left w:val="nil"/>
              <w:bottom w:val="single" w:sz="8" w:space="0" w:color="auto"/>
              <w:right w:val="single" w:sz="8" w:space="0" w:color="auto"/>
            </w:tcBorders>
            <w:shd w:val="clear" w:color="auto" w:fill="auto"/>
            <w:vAlign w:val="center"/>
            <w:hideMark/>
          </w:tcPr>
          <w:p w14:paraId="0773AF2F"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40</w:t>
            </w:r>
          </w:p>
        </w:tc>
        <w:tc>
          <w:tcPr>
            <w:tcW w:w="647" w:type="pct"/>
            <w:tcBorders>
              <w:top w:val="nil"/>
              <w:left w:val="nil"/>
              <w:bottom w:val="single" w:sz="8" w:space="0" w:color="auto"/>
              <w:right w:val="single" w:sz="8" w:space="0" w:color="auto"/>
            </w:tcBorders>
            <w:shd w:val="clear" w:color="auto" w:fill="auto"/>
            <w:vAlign w:val="center"/>
            <w:hideMark/>
          </w:tcPr>
          <w:p w14:paraId="0773AF30" w14:textId="77777777" w:rsidR="00DF7A00" w:rsidRPr="0058349C" w:rsidRDefault="00DF7A00" w:rsidP="00D50688">
            <w:pPr>
              <w:spacing w:after="0" w:line="240" w:lineRule="auto"/>
              <w:jc w:val="center"/>
              <w:rPr>
                <w:rFonts w:ascii="Garamond" w:hAnsi="Garamond" w:cs="Arial"/>
                <w:sz w:val="20"/>
                <w:szCs w:val="20"/>
                <w:lang w:val="sq-AL"/>
              </w:rPr>
            </w:pPr>
            <w:r w:rsidRPr="0058349C">
              <w:rPr>
                <w:rFonts w:ascii="Garamond" w:hAnsi="Garamond" w:cs="Arial"/>
                <w:sz w:val="20"/>
                <w:szCs w:val="20"/>
                <w:lang w:val="sq-AL"/>
              </w:rPr>
              <w:t>0.7</w:t>
            </w:r>
          </w:p>
        </w:tc>
        <w:tc>
          <w:tcPr>
            <w:tcW w:w="647" w:type="pct"/>
            <w:tcBorders>
              <w:top w:val="nil"/>
              <w:left w:val="nil"/>
              <w:bottom w:val="single" w:sz="8" w:space="0" w:color="auto"/>
              <w:right w:val="single" w:sz="8" w:space="0" w:color="auto"/>
            </w:tcBorders>
            <w:shd w:val="clear" w:color="auto" w:fill="auto"/>
            <w:vAlign w:val="center"/>
            <w:hideMark/>
          </w:tcPr>
          <w:p w14:paraId="0773AF31" w14:textId="6B9C5237" w:rsidR="00DF7A00" w:rsidRPr="0058349C" w:rsidRDefault="00DF7A00" w:rsidP="00D50688">
            <w:pPr>
              <w:spacing w:after="0" w:line="240" w:lineRule="auto"/>
              <w:jc w:val="right"/>
              <w:rPr>
                <w:rFonts w:ascii="Garamond" w:hAnsi="Garamond" w:cs="Arial"/>
                <w:sz w:val="20"/>
                <w:szCs w:val="20"/>
                <w:lang w:val="sq-AL"/>
              </w:rPr>
            </w:pPr>
            <w:r w:rsidRPr="0058349C">
              <w:rPr>
                <w:rFonts w:ascii="Garamond" w:hAnsi="Garamond" w:cs="Arial"/>
                <w:sz w:val="20"/>
                <w:szCs w:val="20"/>
                <w:lang w:val="sq-AL"/>
              </w:rPr>
              <w:t>1.7</w:t>
            </w:r>
            <w:r w:rsidR="00296CAB">
              <w:rPr>
                <w:rFonts w:ascii="Garamond" w:hAnsi="Garamond" w:cs="Arial"/>
                <w:sz w:val="20"/>
                <w:szCs w:val="20"/>
                <w:lang w:val="sq-AL"/>
              </w:rPr>
              <w:t>–</w:t>
            </w:r>
            <w:r w:rsidRPr="0058349C">
              <w:rPr>
                <w:rFonts w:ascii="Garamond" w:hAnsi="Garamond" w:cs="Arial"/>
                <w:sz w:val="20"/>
                <w:szCs w:val="20"/>
                <w:lang w:val="sq-AL"/>
              </w:rPr>
              <w:t>2.0</w:t>
            </w:r>
          </w:p>
        </w:tc>
        <w:tc>
          <w:tcPr>
            <w:tcW w:w="534" w:type="pct"/>
            <w:tcBorders>
              <w:top w:val="nil"/>
              <w:left w:val="nil"/>
              <w:bottom w:val="single" w:sz="8" w:space="0" w:color="auto"/>
              <w:right w:val="single" w:sz="8" w:space="0" w:color="auto"/>
            </w:tcBorders>
            <w:shd w:val="clear" w:color="auto" w:fill="auto"/>
            <w:vAlign w:val="center"/>
            <w:hideMark/>
          </w:tcPr>
          <w:p w14:paraId="0773AF32"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Jo</w:t>
            </w:r>
          </w:p>
        </w:tc>
      </w:tr>
      <w:tr w:rsidR="00167C37" w:rsidRPr="0058349C" w14:paraId="0773AF3D" w14:textId="77777777" w:rsidTr="00167C37">
        <w:trPr>
          <w:trHeight w:val="203"/>
          <w:jc w:val="center"/>
        </w:trPr>
        <w:tc>
          <w:tcPr>
            <w:tcW w:w="581" w:type="pct"/>
            <w:vMerge w:val="restart"/>
            <w:tcBorders>
              <w:top w:val="nil"/>
              <w:left w:val="single" w:sz="8" w:space="0" w:color="auto"/>
              <w:bottom w:val="single" w:sz="8" w:space="0" w:color="000000"/>
              <w:right w:val="single" w:sz="8" w:space="0" w:color="auto"/>
            </w:tcBorders>
            <w:shd w:val="clear" w:color="auto" w:fill="auto"/>
            <w:vAlign w:val="center"/>
            <w:hideMark/>
          </w:tcPr>
          <w:p w14:paraId="0773AF34"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 xml:space="preserve">Ulza </w:t>
            </w:r>
          </w:p>
        </w:tc>
        <w:tc>
          <w:tcPr>
            <w:tcW w:w="489" w:type="pct"/>
            <w:tcBorders>
              <w:top w:val="nil"/>
              <w:left w:val="nil"/>
              <w:bottom w:val="single" w:sz="8" w:space="0" w:color="auto"/>
              <w:right w:val="single" w:sz="8" w:space="0" w:color="auto"/>
            </w:tcBorders>
            <w:shd w:val="clear" w:color="auto" w:fill="auto"/>
            <w:vAlign w:val="center"/>
            <w:hideMark/>
          </w:tcPr>
          <w:p w14:paraId="0773AF35"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Ulza</w:t>
            </w:r>
          </w:p>
        </w:tc>
        <w:tc>
          <w:tcPr>
            <w:tcW w:w="485" w:type="pct"/>
            <w:tcBorders>
              <w:top w:val="nil"/>
              <w:left w:val="nil"/>
              <w:bottom w:val="single" w:sz="8" w:space="0" w:color="auto"/>
              <w:right w:val="single" w:sz="8" w:space="0" w:color="auto"/>
            </w:tcBorders>
            <w:shd w:val="clear" w:color="auto" w:fill="auto"/>
            <w:vAlign w:val="center"/>
            <w:hideMark/>
          </w:tcPr>
          <w:p w14:paraId="0773AF36"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1,250</w:t>
            </w:r>
          </w:p>
        </w:tc>
        <w:tc>
          <w:tcPr>
            <w:tcW w:w="372" w:type="pct"/>
            <w:tcBorders>
              <w:top w:val="nil"/>
              <w:left w:val="nil"/>
              <w:bottom w:val="single" w:sz="8" w:space="0" w:color="auto"/>
              <w:right w:val="single" w:sz="8" w:space="0" w:color="auto"/>
            </w:tcBorders>
            <w:shd w:val="clear" w:color="auto" w:fill="auto"/>
            <w:vAlign w:val="center"/>
            <w:hideMark/>
          </w:tcPr>
          <w:p w14:paraId="0773AF37"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20</w:t>
            </w:r>
          </w:p>
        </w:tc>
        <w:tc>
          <w:tcPr>
            <w:tcW w:w="378" w:type="pct"/>
            <w:tcBorders>
              <w:top w:val="nil"/>
              <w:left w:val="nil"/>
              <w:bottom w:val="single" w:sz="8" w:space="0" w:color="auto"/>
              <w:right w:val="single" w:sz="8" w:space="0" w:color="auto"/>
            </w:tcBorders>
            <w:shd w:val="clear" w:color="auto" w:fill="auto"/>
            <w:vAlign w:val="center"/>
            <w:hideMark/>
          </w:tcPr>
          <w:p w14:paraId="0773AF38"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63</w:t>
            </w:r>
          </w:p>
        </w:tc>
        <w:tc>
          <w:tcPr>
            <w:tcW w:w="867" w:type="pct"/>
            <w:tcBorders>
              <w:top w:val="nil"/>
              <w:left w:val="nil"/>
              <w:bottom w:val="single" w:sz="8" w:space="0" w:color="auto"/>
              <w:right w:val="single" w:sz="8" w:space="0" w:color="auto"/>
            </w:tcBorders>
            <w:shd w:val="clear" w:color="auto" w:fill="auto"/>
            <w:vAlign w:val="center"/>
            <w:hideMark/>
          </w:tcPr>
          <w:p w14:paraId="0773AF39"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10</w:t>
            </w:r>
          </w:p>
        </w:tc>
        <w:tc>
          <w:tcPr>
            <w:tcW w:w="647" w:type="pct"/>
            <w:tcBorders>
              <w:top w:val="nil"/>
              <w:left w:val="nil"/>
              <w:bottom w:val="single" w:sz="8" w:space="0" w:color="auto"/>
              <w:right w:val="single" w:sz="8" w:space="0" w:color="auto"/>
            </w:tcBorders>
            <w:shd w:val="clear" w:color="auto" w:fill="auto"/>
            <w:vAlign w:val="center"/>
            <w:hideMark/>
          </w:tcPr>
          <w:p w14:paraId="0773AF3A" w14:textId="77777777" w:rsidR="00DF7A00" w:rsidRPr="0058349C" w:rsidRDefault="00DF7A00" w:rsidP="00D50688">
            <w:pPr>
              <w:spacing w:after="0" w:line="240" w:lineRule="auto"/>
              <w:jc w:val="center"/>
              <w:rPr>
                <w:rFonts w:ascii="Garamond" w:hAnsi="Garamond" w:cs="Arial"/>
                <w:sz w:val="20"/>
                <w:szCs w:val="20"/>
                <w:lang w:val="sq-AL"/>
              </w:rPr>
            </w:pPr>
            <w:r w:rsidRPr="0058349C">
              <w:rPr>
                <w:rFonts w:ascii="Garamond" w:hAnsi="Garamond" w:cs="Arial"/>
                <w:sz w:val="20"/>
                <w:szCs w:val="20"/>
                <w:lang w:val="sq-AL"/>
              </w:rPr>
              <w:t>NA</w:t>
            </w:r>
          </w:p>
        </w:tc>
        <w:tc>
          <w:tcPr>
            <w:tcW w:w="647" w:type="pct"/>
            <w:tcBorders>
              <w:top w:val="nil"/>
              <w:left w:val="nil"/>
              <w:bottom w:val="single" w:sz="8" w:space="0" w:color="auto"/>
              <w:right w:val="single" w:sz="8" w:space="0" w:color="auto"/>
            </w:tcBorders>
            <w:shd w:val="clear" w:color="auto" w:fill="auto"/>
            <w:vAlign w:val="center"/>
            <w:hideMark/>
          </w:tcPr>
          <w:p w14:paraId="0773AF3B" w14:textId="3FA8B009" w:rsidR="00DF7A00" w:rsidRPr="0058349C" w:rsidRDefault="00DF7A00" w:rsidP="00D50688">
            <w:pPr>
              <w:spacing w:after="0" w:line="240" w:lineRule="auto"/>
              <w:jc w:val="right"/>
              <w:rPr>
                <w:rFonts w:ascii="Garamond" w:hAnsi="Garamond" w:cs="Arial"/>
                <w:sz w:val="20"/>
                <w:szCs w:val="20"/>
                <w:lang w:val="sq-AL"/>
              </w:rPr>
            </w:pPr>
            <w:r w:rsidRPr="0058349C">
              <w:rPr>
                <w:rFonts w:ascii="Garamond" w:hAnsi="Garamond" w:cs="Arial"/>
                <w:sz w:val="20"/>
                <w:szCs w:val="20"/>
                <w:lang w:val="sq-AL"/>
              </w:rPr>
              <w:t>5.0</w:t>
            </w:r>
            <w:r w:rsidR="00296CAB">
              <w:rPr>
                <w:rFonts w:ascii="Garamond" w:hAnsi="Garamond" w:cs="Arial"/>
                <w:sz w:val="20"/>
                <w:szCs w:val="20"/>
                <w:lang w:val="sq-AL"/>
              </w:rPr>
              <w:t>–</w:t>
            </w:r>
            <w:r w:rsidRPr="0058349C">
              <w:rPr>
                <w:rFonts w:ascii="Garamond" w:hAnsi="Garamond" w:cs="Arial"/>
                <w:sz w:val="20"/>
                <w:szCs w:val="20"/>
                <w:lang w:val="sq-AL"/>
              </w:rPr>
              <w:t>6.3</w:t>
            </w:r>
          </w:p>
        </w:tc>
        <w:tc>
          <w:tcPr>
            <w:tcW w:w="534" w:type="pct"/>
            <w:tcBorders>
              <w:top w:val="nil"/>
              <w:left w:val="nil"/>
              <w:bottom w:val="single" w:sz="8" w:space="0" w:color="auto"/>
              <w:right w:val="single" w:sz="8" w:space="0" w:color="auto"/>
            </w:tcBorders>
            <w:shd w:val="clear" w:color="auto" w:fill="auto"/>
            <w:vAlign w:val="center"/>
            <w:hideMark/>
          </w:tcPr>
          <w:p w14:paraId="0773AF3C"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Jo</w:t>
            </w:r>
          </w:p>
        </w:tc>
      </w:tr>
      <w:tr w:rsidR="00167C37" w:rsidRPr="0058349C" w14:paraId="0773AF47" w14:textId="77777777" w:rsidTr="00167C37">
        <w:trPr>
          <w:trHeight w:val="40"/>
          <w:jc w:val="center"/>
        </w:trPr>
        <w:tc>
          <w:tcPr>
            <w:tcW w:w="581" w:type="pct"/>
            <w:vMerge/>
            <w:tcBorders>
              <w:top w:val="nil"/>
              <w:left w:val="single" w:sz="8" w:space="0" w:color="auto"/>
              <w:bottom w:val="single" w:sz="8" w:space="0" w:color="000000"/>
              <w:right w:val="single" w:sz="8" w:space="0" w:color="auto"/>
            </w:tcBorders>
            <w:vAlign w:val="center"/>
            <w:hideMark/>
          </w:tcPr>
          <w:p w14:paraId="0773AF3E" w14:textId="77777777" w:rsidR="00DF7A00" w:rsidRPr="0058349C" w:rsidRDefault="00DF7A00" w:rsidP="003D28A7">
            <w:pPr>
              <w:spacing w:after="0" w:line="240" w:lineRule="auto"/>
              <w:jc w:val="both"/>
              <w:rPr>
                <w:rFonts w:ascii="Garamond" w:hAnsi="Garamond" w:cs="Arial"/>
                <w:bCs/>
                <w:sz w:val="20"/>
                <w:szCs w:val="20"/>
                <w:lang w:val="sq-AL"/>
              </w:rPr>
            </w:pPr>
          </w:p>
        </w:tc>
        <w:tc>
          <w:tcPr>
            <w:tcW w:w="489" w:type="pct"/>
            <w:tcBorders>
              <w:top w:val="nil"/>
              <w:left w:val="nil"/>
              <w:bottom w:val="single" w:sz="8" w:space="0" w:color="auto"/>
              <w:right w:val="single" w:sz="8" w:space="0" w:color="auto"/>
            </w:tcBorders>
            <w:shd w:val="clear" w:color="auto" w:fill="auto"/>
            <w:vAlign w:val="center"/>
            <w:hideMark/>
          </w:tcPr>
          <w:p w14:paraId="0773AF3F"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Shkopeti</w:t>
            </w:r>
          </w:p>
        </w:tc>
        <w:tc>
          <w:tcPr>
            <w:tcW w:w="485" w:type="pct"/>
            <w:tcBorders>
              <w:top w:val="nil"/>
              <w:left w:val="nil"/>
              <w:bottom w:val="single" w:sz="8" w:space="0" w:color="auto"/>
              <w:right w:val="single" w:sz="8" w:space="0" w:color="auto"/>
            </w:tcBorders>
            <w:shd w:val="clear" w:color="auto" w:fill="auto"/>
            <w:vAlign w:val="center"/>
            <w:hideMark/>
          </w:tcPr>
          <w:p w14:paraId="0773AF40"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80</w:t>
            </w:r>
          </w:p>
        </w:tc>
        <w:tc>
          <w:tcPr>
            <w:tcW w:w="372" w:type="pct"/>
            <w:tcBorders>
              <w:top w:val="nil"/>
              <w:left w:val="nil"/>
              <w:bottom w:val="single" w:sz="8" w:space="0" w:color="auto"/>
              <w:right w:val="single" w:sz="8" w:space="0" w:color="auto"/>
            </w:tcBorders>
            <w:shd w:val="clear" w:color="auto" w:fill="auto"/>
            <w:vAlign w:val="center"/>
            <w:hideMark/>
          </w:tcPr>
          <w:p w14:paraId="0773AF41"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5</w:t>
            </w:r>
          </w:p>
        </w:tc>
        <w:tc>
          <w:tcPr>
            <w:tcW w:w="378" w:type="pct"/>
            <w:tcBorders>
              <w:top w:val="nil"/>
              <w:left w:val="nil"/>
              <w:bottom w:val="single" w:sz="8" w:space="0" w:color="auto"/>
              <w:right w:val="single" w:sz="8" w:space="0" w:color="auto"/>
            </w:tcBorders>
            <w:shd w:val="clear" w:color="auto" w:fill="auto"/>
            <w:vAlign w:val="center"/>
            <w:hideMark/>
          </w:tcPr>
          <w:p w14:paraId="0773AF42"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16</w:t>
            </w:r>
          </w:p>
        </w:tc>
        <w:tc>
          <w:tcPr>
            <w:tcW w:w="867" w:type="pct"/>
            <w:tcBorders>
              <w:top w:val="nil"/>
              <w:left w:val="nil"/>
              <w:bottom w:val="single" w:sz="8" w:space="0" w:color="auto"/>
              <w:right w:val="single" w:sz="8" w:space="0" w:color="auto"/>
            </w:tcBorders>
            <w:shd w:val="clear" w:color="auto" w:fill="auto"/>
            <w:hideMark/>
          </w:tcPr>
          <w:p w14:paraId="0773AF43"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bCs/>
                <w:sz w:val="20"/>
                <w:szCs w:val="20"/>
                <w:lang w:val="sq-AL"/>
              </w:rPr>
              <w:t>Nuk ka tregues</w:t>
            </w:r>
          </w:p>
        </w:tc>
        <w:tc>
          <w:tcPr>
            <w:tcW w:w="647" w:type="pct"/>
            <w:tcBorders>
              <w:top w:val="nil"/>
              <w:left w:val="nil"/>
              <w:bottom w:val="single" w:sz="8" w:space="0" w:color="auto"/>
              <w:right w:val="single" w:sz="8" w:space="0" w:color="auto"/>
            </w:tcBorders>
            <w:shd w:val="clear" w:color="auto" w:fill="auto"/>
            <w:vAlign w:val="center"/>
            <w:hideMark/>
          </w:tcPr>
          <w:p w14:paraId="0773AF44" w14:textId="77777777" w:rsidR="00DF7A00" w:rsidRPr="0058349C" w:rsidRDefault="00DF7A00" w:rsidP="00D50688">
            <w:pPr>
              <w:spacing w:after="0" w:line="240" w:lineRule="auto"/>
              <w:jc w:val="center"/>
              <w:rPr>
                <w:rFonts w:ascii="Garamond" w:hAnsi="Garamond" w:cs="Arial"/>
                <w:sz w:val="20"/>
                <w:szCs w:val="20"/>
                <w:lang w:val="sq-AL"/>
              </w:rPr>
            </w:pPr>
            <w:r w:rsidRPr="0058349C">
              <w:rPr>
                <w:rFonts w:ascii="Garamond" w:hAnsi="Garamond" w:cs="Arial"/>
                <w:sz w:val="20"/>
                <w:szCs w:val="20"/>
                <w:lang w:val="sq-AL"/>
              </w:rPr>
              <w:t>NA</w:t>
            </w:r>
          </w:p>
        </w:tc>
        <w:tc>
          <w:tcPr>
            <w:tcW w:w="647" w:type="pct"/>
            <w:tcBorders>
              <w:top w:val="nil"/>
              <w:left w:val="nil"/>
              <w:bottom w:val="single" w:sz="8" w:space="0" w:color="auto"/>
              <w:right w:val="single" w:sz="8" w:space="0" w:color="auto"/>
            </w:tcBorders>
            <w:shd w:val="clear" w:color="auto" w:fill="auto"/>
            <w:vAlign w:val="center"/>
            <w:hideMark/>
          </w:tcPr>
          <w:p w14:paraId="0773AF45" w14:textId="21109D88" w:rsidR="00DF7A00" w:rsidRPr="0058349C" w:rsidRDefault="00DF7A00" w:rsidP="00D50688">
            <w:pPr>
              <w:spacing w:after="0" w:line="240" w:lineRule="auto"/>
              <w:jc w:val="right"/>
              <w:rPr>
                <w:rFonts w:ascii="Garamond" w:hAnsi="Garamond" w:cs="Arial"/>
                <w:sz w:val="20"/>
                <w:szCs w:val="20"/>
                <w:lang w:val="sq-AL"/>
              </w:rPr>
            </w:pPr>
            <w:r w:rsidRPr="0058349C">
              <w:rPr>
                <w:rFonts w:ascii="Garamond" w:hAnsi="Garamond" w:cs="Arial"/>
                <w:sz w:val="20"/>
                <w:szCs w:val="20"/>
                <w:lang w:val="sq-AL"/>
              </w:rPr>
              <w:t>1.2</w:t>
            </w:r>
            <w:r w:rsidR="00296CAB">
              <w:rPr>
                <w:rFonts w:ascii="Garamond" w:hAnsi="Garamond" w:cs="Arial"/>
                <w:sz w:val="20"/>
                <w:szCs w:val="20"/>
                <w:lang w:val="sq-AL"/>
              </w:rPr>
              <w:t>–</w:t>
            </w:r>
            <w:r w:rsidRPr="0058349C">
              <w:rPr>
                <w:rFonts w:ascii="Garamond" w:hAnsi="Garamond" w:cs="Arial"/>
                <w:sz w:val="20"/>
                <w:szCs w:val="20"/>
                <w:lang w:val="sq-AL"/>
              </w:rPr>
              <w:t>1.6</w:t>
            </w:r>
          </w:p>
        </w:tc>
        <w:tc>
          <w:tcPr>
            <w:tcW w:w="534" w:type="pct"/>
            <w:tcBorders>
              <w:top w:val="nil"/>
              <w:left w:val="nil"/>
              <w:bottom w:val="single" w:sz="8" w:space="0" w:color="auto"/>
              <w:right w:val="single" w:sz="8" w:space="0" w:color="auto"/>
            </w:tcBorders>
            <w:shd w:val="clear" w:color="auto" w:fill="auto"/>
            <w:vAlign w:val="center"/>
            <w:hideMark/>
          </w:tcPr>
          <w:p w14:paraId="0773AF46"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Jo</w:t>
            </w:r>
          </w:p>
        </w:tc>
      </w:tr>
      <w:tr w:rsidR="00167C37" w:rsidRPr="0058349C" w14:paraId="0773AF51" w14:textId="77777777" w:rsidTr="00167C37">
        <w:trPr>
          <w:trHeight w:val="300"/>
          <w:jc w:val="center"/>
        </w:trPr>
        <w:tc>
          <w:tcPr>
            <w:tcW w:w="581" w:type="pct"/>
            <w:vMerge/>
            <w:tcBorders>
              <w:top w:val="nil"/>
              <w:left w:val="single" w:sz="8" w:space="0" w:color="auto"/>
              <w:bottom w:val="single" w:sz="8" w:space="0" w:color="000000"/>
              <w:right w:val="single" w:sz="8" w:space="0" w:color="auto"/>
            </w:tcBorders>
            <w:vAlign w:val="center"/>
            <w:hideMark/>
          </w:tcPr>
          <w:p w14:paraId="0773AF48" w14:textId="77777777" w:rsidR="00DF7A00" w:rsidRPr="0058349C" w:rsidRDefault="00DF7A00" w:rsidP="003D28A7">
            <w:pPr>
              <w:spacing w:after="0" w:line="240" w:lineRule="auto"/>
              <w:jc w:val="both"/>
              <w:rPr>
                <w:rFonts w:ascii="Garamond" w:hAnsi="Garamond" w:cs="Arial"/>
                <w:bCs/>
                <w:sz w:val="20"/>
                <w:szCs w:val="20"/>
                <w:lang w:val="sq-AL"/>
              </w:rPr>
            </w:pPr>
          </w:p>
        </w:tc>
        <w:tc>
          <w:tcPr>
            <w:tcW w:w="489" w:type="pct"/>
            <w:tcBorders>
              <w:top w:val="nil"/>
              <w:left w:val="nil"/>
              <w:bottom w:val="single" w:sz="8" w:space="0" w:color="auto"/>
              <w:right w:val="single" w:sz="8" w:space="0" w:color="auto"/>
            </w:tcBorders>
            <w:shd w:val="clear" w:color="auto" w:fill="auto"/>
            <w:vAlign w:val="center"/>
            <w:hideMark/>
          </w:tcPr>
          <w:p w14:paraId="0773AF49"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Total</w:t>
            </w:r>
          </w:p>
        </w:tc>
        <w:tc>
          <w:tcPr>
            <w:tcW w:w="485" w:type="pct"/>
            <w:tcBorders>
              <w:top w:val="nil"/>
              <w:left w:val="nil"/>
              <w:bottom w:val="single" w:sz="8" w:space="0" w:color="auto"/>
              <w:right w:val="single" w:sz="8" w:space="0" w:color="auto"/>
            </w:tcBorders>
            <w:shd w:val="clear" w:color="auto" w:fill="auto"/>
            <w:vAlign w:val="center"/>
            <w:hideMark/>
          </w:tcPr>
          <w:p w14:paraId="0773AF4A"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6,330</w:t>
            </w:r>
          </w:p>
        </w:tc>
        <w:tc>
          <w:tcPr>
            <w:tcW w:w="372" w:type="pct"/>
            <w:tcBorders>
              <w:top w:val="nil"/>
              <w:left w:val="nil"/>
              <w:bottom w:val="single" w:sz="8" w:space="0" w:color="auto"/>
              <w:right w:val="single" w:sz="8" w:space="0" w:color="auto"/>
            </w:tcBorders>
            <w:shd w:val="clear" w:color="auto" w:fill="auto"/>
            <w:vAlign w:val="center"/>
            <w:hideMark/>
          </w:tcPr>
          <w:p w14:paraId="0773AF4B"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65</w:t>
            </w:r>
          </w:p>
        </w:tc>
        <w:tc>
          <w:tcPr>
            <w:tcW w:w="378" w:type="pct"/>
            <w:tcBorders>
              <w:top w:val="nil"/>
              <w:left w:val="nil"/>
              <w:bottom w:val="single" w:sz="8" w:space="0" w:color="auto"/>
              <w:right w:val="single" w:sz="8" w:space="0" w:color="auto"/>
            </w:tcBorders>
            <w:shd w:val="clear" w:color="auto" w:fill="auto"/>
            <w:vAlign w:val="center"/>
            <w:hideMark/>
          </w:tcPr>
          <w:p w14:paraId="0773AF4C"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19</w:t>
            </w:r>
          </w:p>
        </w:tc>
        <w:tc>
          <w:tcPr>
            <w:tcW w:w="867" w:type="pct"/>
            <w:tcBorders>
              <w:top w:val="nil"/>
              <w:left w:val="nil"/>
              <w:bottom w:val="single" w:sz="8" w:space="0" w:color="auto"/>
              <w:right w:val="single" w:sz="8" w:space="0" w:color="auto"/>
            </w:tcBorders>
            <w:shd w:val="clear" w:color="auto" w:fill="auto"/>
            <w:hideMark/>
          </w:tcPr>
          <w:p w14:paraId="0773AF4D"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bCs/>
                <w:sz w:val="20"/>
                <w:szCs w:val="20"/>
                <w:lang w:val="sq-AL"/>
              </w:rPr>
              <w:t>Nuk ka tregues</w:t>
            </w:r>
          </w:p>
        </w:tc>
        <w:tc>
          <w:tcPr>
            <w:tcW w:w="647" w:type="pct"/>
            <w:tcBorders>
              <w:top w:val="nil"/>
              <w:left w:val="nil"/>
              <w:bottom w:val="single" w:sz="8" w:space="0" w:color="auto"/>
              <w:right w:val="single" w:sz="8" w:space="0" w:color="auto"/>
            </w:tcBorders>
            <w:shd w:val="clear" w:color="auto" w:fill="auto"/>
            <w:vAlign w:val="center"/>
            <w:hideMark/>
          </w:tcPr>
          <w:p w14:paraId="0773AF4E" w14:textId="77777777" w:rsidR="00DF7A00" w:rsidRPr="0058349C" w:rsidRDefault="00DF7A00" w:rsidP="00D50688">
            <w:pPr>
              <w:spacing w:after="0" w:line="240" w:lineRule="auto"/>
              <w:jc w:val="center"/>
              <w:rPr>
                <w:rFonts w:ascii="Garamond" w:hAnsi="Garamond" w:cs="Arial"/>
                <w:bCs/>
                <w:sz w:val="20"/>
                <w:szCs w:val="20"/>
                <w:lang w:val="sq-AL"/>
              </w:rPr>
            </w:pPr>
            <w:r w:rsidRPr="0058349C">
              <w:rPr>
                <w:rFonts w:ascii="Garamond" w:hAnsi="Garamond" w:cs="Arial"/>
                <w:bCs/>
                <w:sz w:val="20"/>
                <w:szCs w:val="20"/>
                <w:lang w:val="sq-AL"/>
              </w:rPr>
              <w:t>NA</w:t>
            </w:r>
          </w:p>
        </w:tc>
        <w:tc>
          <w:tcPr>
            <w:tcW w:w="647" w:type="pct"/>
            <w:tcBorders>
              <w:top w:val="nil"/>
              <w:left w:val="nil"/>
              <w:bottom w:val="single" w:sz="8" w:space="0" w:color="auto"/>
              <w:right w:val="single" w:sz="8" w:space="0" w:color="auto"/>
            </w:tcBorders>
            <w:shd w:val="clear" w:color="auto" w:fill="auto"/>
            <w:vAlign w:val="center"/>
            <w:hideMark/>
          </w:tcPr>
          <w:p w14:paraId="0773AF4F" w14:textId="7125A823" w:rsidR="00DF7A00" w:rsidRPr="0058349C" w:rsidRDefault="00DF7A00" w:rsidP="00D50688">
            <w:pPr>
              <w:spacing w:after="0" w:line="240" w:lineRule="auto"/>
              <w:jc w:val="right"/>
              <w:rPr>
                <w:rFonts w:ascii="Garamond" w:hAnsi="Garamond" w:cs="Arial"/>
                <w:bCs/>
                <w:sz w:val="20"/>
                <w:szCs w:val="20"/>
                <w:lang w:val="sq-AL"/>
              </w:rPr>
            </w:pPr>
            <w:r w:rsidRPr="0058349C">
              <w:rPr>
                <w:rFonts w:ascii="Garamond" w:hAnsi="Garamond" w:cs="Arial"/>
                <w:bCs/>
                <w:sz w:val="20"/>
                <w:szCs w:val="20"/>
                <w:lang w:val="sq-AL"/>
              </w:rPr>
              <w:t>1.9</w:t>
            </w:r>
            <w:r w:rsidR="00296CAB">
              <w:rPr>
                <w:rFonts w:ascii="Garamond" w:hAnsi="Garamond" w:cs="Arial"/>
                <w:sz w:val="20"/>
                <w:szCs w:val="20"/>
                <w:lang w:val="sq-AL"/>
              </w:rPr>
              <w:t>–</w:t>
            </w:r>
            <w:r w:rsidRPr="0058349C">
              <w:rPr>
                <w:rFonts w:ascii="Garamond" w:hAnsi="Garamond" w:cs="Arial"/>
                <w:bCs/>
                <w:sz w:val="20"/>
                <w:szCs w:val="20"/>
                <w:lang w:val="sq-AL"/>
              </w:rPr>
              <w:t>2.3</w:t>
            </w:r>
          </w:p>
        </w:tc>
        <w:tc>
          <w:tcPr>
            <w:tcW w:w="534" w:type="pct"/>
            <w:tcBorders>
              <w:top w:val="nil"/>
              <w:left w:val="nil"/>
              <w:bottom w:val="single" w:sz="8" w:space="0" w:color="auto"/>
              <w:right w:val="single" w:sz="8" w:space="0" w:color="auto"/>
            </w:tcBorders>
            <w:shd w:val="clear" w:color="auto" w:fill="auto"/>
            <w:vAlign w:val="center"/>
            <w:hideMark/>
          </w:tcPr>
          <w:p w14:paraId="0773AF50"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w:t>
            </w:r>
          </w:p>
        </w:tc>
      </w:tr>
      <w:tr w:rsidR="00167C37" w:rsidRPr="0058349C" w14:paraId="0773AF5B" w14:textId="77777777" w:rsidTr="00167C37">
        <w:trPr>
          <w:trHeight w:val="300"/>
          <w:jc w:val="center"/>
        </w:trPr>
        <w:tc>
          <w:tcPr>
            <w:tcW w:w="581" w:type="pct"/>
            <w:vMerge w:val="restart"/>
            <w:tcBorders>
              <w:top w:val="nil"/>
              <w:left w:val="single" w:sz="8" w:space="0" w:color="auto"/>
              <w:bottom w:val="single" w:sz="8" w:space="0" w:color="000000"/>
              <w:right w:val="single" w:sz="8" w:space="0" w:color="auto"/>
            </w:tcBorders>
            <w:shd w:val="clear" w:color="auto" w:fill="auto"/>
            <w:vAlign w:val="center"/>
            <w:hideMark/>
          </w:tcPr>
          <w:p w14:paraId="0773AF52"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 xml:space="preserve">Narta </w:t>
            </w:r>
          </w:p>
        </w:tc>
        <w:tc>
          <w:tcPr>
            <w:tcW w:w="489" w:type="pct"/>
            <w:tcBorders>
              <w:top w:val="nil"/>
              <w:left w:val="nil"/>
              <w:bottom w:val="single" w:sz="8" w:space="0" w:color="auto"/>
              <w:right w:val="single" w:sz="8" w:space="0" w:color="auto"/>
            </w:tcBorders>
            <w:shd w:val="clear" w:color="auto" w:fill="auto"/>
            <w:vAlign w:val="center"/>
            <w:hideMark/>
          </w:tcPr>
          <w:p w14:paraId="0773AF53"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Narta</w:t>
            </w:r>
          </w:p>
        </w:tc>
        <w:tc>
          <w:tcPr>
            <w:tcW w:w="485" w:type="pct"/>
            <w:tcBorders>
              <w:top w:val="nil"/>
              <w:left w:val="nil"/>
              <w:bottom w:val="single" w:sz="8" w:space="0" w:color="auto"/>
              <w:right w:val="single" w:sz="8" w:space="0" w:color="auto"/>
            </w:tcBorders>
            <w:shd w:val="clear" w:color="auto" w:fill="auto"/>
            <w:vAlign w:val="center"/>
            <w:hideMark/>
          </w:tcPr>
          <w:p w14:paraId="0773AF54"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2,600</w:t>
            </w:r>
          </w:p>
        </w:tc>
        <w:tc>
          <w:tcPr>
            <w:tcW w:w="372" w:type="pct"/>
            <w:tcBorders>
              <w:top w:val="nil"/>
              <w:left w:val="nil"/>
              <w:bottom w:val="single" w:sz="8" w:space="0" w:color="auto"/>
              <w:right w:val="single" w:sz="8" w:space="0" w:color="auto"/>
            </w:tcBorders>
            <w:shd w:val="clear" w:color="auto" w:fill="auto"/>
            <w:vAlign w:val="center"/>
            <w:hideMark/>
          </w:tcPr>
          <w:p w14:paraId="0773AF55"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35</w:t>
            </w:r>
          </w:p>
        </w:tc>
        <w:tc>
          <w:tcPr>
            <w:tcW w:w="378" w:type="pct"/>
            <w:tcBorders>
              <w:top w:val="nil"/>
              <w:left w:val="nil"/>
              <w:bottom w:val="single" w:sz="8" w:space="0" w:color="auto"/>
              <w:right w:val="single" w:sz="8" w:space="0" w:color="auto"/>
            </w:tcBorders>
            <w:shd w:val="clear" w:color="auto" w:fill="auto"/>
            <w:vAlign w:val="center"/>
            <w:hideMark/>
          </w:tcPr>
          <w:p w14:paraId="0773AF56"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74</w:t>
            </w:r>
          </w:p>
        </w:tc>
        <w:tc>
          <w:tcPr>
            <w:tcW w:w="867" w:type="pct"/>
            <w:tcBorders>
              <w:top w:val="nil"/>
              <w:left w:val="nil"/>
              <w:bottom w:val="single" w:sz="8" w:space="0" w:color="auto"/>
              <w:right w:val="single" w:sz="8" w:space="0" w:color="auto"/>
            </w:tcBorders>
            <w:shd w:val="clear" w:color="auto" w:fill="auto"/>
            <w:hideMark/>
          </w:tcPr>
          <w:p w14:paraId="0773AF57"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bCs/>
                <w:sz w:val="20"/>
                <w:szCs w:val="20"/>
                <w:lang w:val="sq-AL"/>
              </w:rPr>
              <w:t>Nuk ka tregues</w:t>
            </w:r>
          </w:p>
        </w:tc>
        <w:tc>
          <w:tcPr>
            <w:tcW w:w="647" w:type="pct"/>
            <w:tcBorders>
              <w:top w:val="nil"/>
              <w:left w:val="nil"/>
              <w:bottom w:val="single" w:sz="8" w:space="0" w:color="auto"/>
              <w:right w:val="single" w:sz="8" w:space="0" w:color="auto"/>
            </w:tcBorders>
            <w:shd w:val="clear" w:color="auto" w:fill="auto"/>
            <w:vAlign w:val="center"/>
            <w:hideMark/>
          </w:tcPr>
          <w:p w14:paraId="0773AF58" w14:textId="77777777" w:rsidR="00DF7A00" w:rsidRPr="0058349C" w:rsidRDefault="00DF7A00" w:rsidP="00D50688">
            <w:pPr>
              <w:spacing w:after="0" w:line="240" w:lineRule="auto"/>
              <w:jc w:val="center"/>
              <w:rPr>
                <w:rFonts w:ascii="Garamond" w:hAnsi="Garamond" w:cs="Arial"/>
                <w:sz w:val="20"/>
                <w:szCs w:val="20"/>
                <w:lang w:val="sq-AL"/>
              </w:rPr>
            </w:pPr>
            <w:r w:rsidRPr="0058349C">
              <w:rPr>
                <w:rFonts w:ascii="Garamond" w:hAnsi="Garamond" w:cs="Arial"/>
                <w:sz w:val="20"/>
                <w:szCs w:val="20"/>
                <w:lang w:val="sq-AL"/>
              </w:rPr>
              <w:t>0.6</w:t>
            </w:r>
          </w:p>
        </w:tc>
        <w:tc>
          <w:tcPr>
            <w:tcW w:w="647" w:type="pct"/>
            <w:tcBorders>
              <w:top w:val="nil"/>
              <w:left w:val="nil"/>
              <w:bottom w:val="single" w:sz="8" w:space="0" w:color="auto"/>
              <w:right w:val="single" w:sz="8" w:space="0" w:color="auto"/>
            </w:tcBorders>
            <w:shd w:val="clear" w:color="auto" w:fill="auto"/>
            <w:vAlign w:val="center"/>
            <w:hideMark/>
          </w:tcPr>
          <w:p w14:paraId="0773AF59" w14:textId="68992618" w:rsidR="00DF7A00" w:rsidRPr="0058349C" w:rsidRDefault="00DF7A00" w:rsidP="00D50688">
            <w:pPr>
              <w:spacing w:after="0" w:line="240" w:lineRule="auto"/>
              <w:jc w:val="right"/>
              <w:rPr>
                <w:rFonts w:ascii="Garamond" w:hAnsi="Garamond" w:cs="Arial"/>
                <w:sz w:val="20"/>
                <w:szCs w:val="20"/>
                <w:lang w:val="sq-AL"/>
              </w:rPr>
            </w:pPr>
            <w:r w:rsidRPr="0058349C">
              <w:rPr>
                <w:rFonts w:ascii="Garamond" w:hAnsi="Garamond" w:cs="Arial"/>
                <w:sz w:val="20"/>
                <w:szCs w:val="20"/>
                <w:lang w:val="sq-AL"/>
              </w:rPr>
              <w:t>4.9</w:t>
            </w:r>
            <w:r w:rsidR="00296CAB">
              <w:rPr>
                <w:rFonts w:ascii="Garamond" w:hAnsi="Garamond" w:cs="Arial"/>
                <w:sz w:val="20"/>
                <w:szCs w:val="20"/>
                <w:lang w:val="sq-AL"/>
              </w:rPr>
              <w:t>–</w:t>
            </w:r>
            <w:r w:rsidRPr="0058349C">
              <w:rPr>
                <w:rFonts w:ascii="Garamond" w:hAnsi="Garamond" w:cs="Arial"/>
                <w:sz w:val="20"/>
                <w:szCs w:val="20"/>
                <w:lang w:val="sq-AL"/>
              </w:rPr>
              <w:t>9.7</w:t>
            </w:r>
          </w:p>
        </w:tc>
        <w:tc>
          <w:tcPr>
            <w:tcW w:w="534" w:type="pct"/>
            <w:tcBorders>
              <w:top w:val="nil"/>
              <w:left w:val="nil"/>
              <w:bottom w:val="single" w:sz="8" w:space="0" w:color="auto"/>
              <w:right w:val="single" w:sz="8" w:space="0" w:color="auto"/>
            </w:tcBorders>
            <w:shd w:val="clear" w:color="auto" w:fill="auto"/>
            <w:vAlign w:val="center"/>
            <w:hideMark/>
          </w:tcPr>
          <w:p w14:paraId="0773AF5A"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Po</w:t>
            </w:r>
          </w:p>
        </w:tc>
      </w:tr>
      <w:tr w:rsidR="00167C37" w:rsidRPr="0058349C" w14:paraId="0773AF65" w14:textId="77777777" w:rsidTr="00167C37">
        <w:trPr>
          <w:trHeight w:val="300"/>
          <w:jc w:val="center"/>
        </w:trPr>
        <w:tc>
          <w:tcPr>
            <w:tcW w:w="581" w:type="pct"/>
            <w:vMerge/>
            <w:tcBorders>
              <w:top w:val="nil"/>
              <w:left w:val="single" w:sz="8" w:space="0" w:color="auto"/>
              <w:bottom w:val="single" w:sz="8" w:space="0" w:color="000000"/>
              <w:right w:val="single" w:sz="8" w:space="0" w:color="auto"/>
            </w:tcBorders>
            <w:vAlign w:val="center"/>
            <w:hideMark/>
          </w:tcPr>
          <w:p w14:paraId="0773AF5C" w14:textId="77777777" w:rsidR="00DF7A00" w:rsidRPr="0058349C" w:rsidRDefault="00DF7A00" w:rsidP="003D28A7">
            <w:pPr>
              <w:spacing w:after="0" w:line="240" w:lineRule="auto"/>
              <w:jc w:val="both"/>
              <w:rPr>
                <w:rFonts w:ascii="Garamond" w:hAnsi="Garamond" w:cs="Arial"/>
                <w:bCs/>
                <w:sz w:val="20"/>
                <w:szCs w:val="20"/>
                <w:lang w:val="sq-AL"/>
              </w:rPr>
            </w:pPr>
          </w:p>
        </w:tc>
        <w:tc>
          <w:tcPr>
            <w:tcW w:w="489" w:type="pct"/>
            <w:tcBorders>
              <w:top w:val="nil"/>
              <w:left w:val="nil"/>
              <w:bottom w:val="single" w:sz="8" w:space="0" w:color="auto"/>
              <w:right w:val="single" w:sz="8" w:space="0" w:color="auto"/>
            </w:tcBorders>
            <w:shd w:val="clear" w:color="auto" w:fill="auto"/>
            <w:vAlign w:val="center"/>
            <w:hideMark/>
          </w:tcPr>
          <w:p w14:paraId="0773AF5D"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Orikum</w:t>
            </w:r>
          </w:p>
        </w:tc>
        <w:tc>
          <w:tcPr>
            <w:tcW w:w="485" w:type="pct"/>
            <w:tcBorders>
              <w:top w:val="nil"/>
              <w:left w:val="nil"/>
              <w:bottom w:val="single" w:sz="8" w:space="0" w:color="auto"/>
              <w:right w:val="single" w:sz="8" w:space="0" w:color="auto"/>
            </w:tcBorders>
            <w:shd w:val="clear" w:color="auto" w:fill="auto"/>
            <w:vAlign w:val="center"/>
            <w:hideMark/>
          </w:tcPr>
          <w:p w14:paraId="0773AF5E"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130</w:t>
            </w:r>
          </w:p>
        </w:tc>
        <w:tc>
          <w:tcPr>
            <w:tcW w:w="372" w:type="pct"/>
            <w:tcBorders>
              <w:top w:val="nil"/>
              <w:left w:val="nil"/>
              <w:bottom w:val="single" w:sz="8" w:space="0" w:color="auto"/>
              <w:right w:val="single" w:sz="8" w:space="0" w:color="auto"/>
            </w:tcBorders>
            <w:shd w:val="clear" w:color="auto" w:fill="auto"/>
            <w:vAlign w:val="center"/>
            <w:hideMark/>
          </w:tcPr>
          <w:p w14:paraId="0773AF5F"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6</w:t>
            </w:r>
          </w:p>
        </w:tc>
        <w:tc>
          <w:tcPr>
            <w:tcW w:w="378" w:type="pct"/>
            <w:tcBorders>
              <w:top w:val="nil"/>
              <w:left w:val="nil"/>
              <w:bottom w:val="single" w:sz="8" w:space="0" w:color="auto"/>
              <w:right w:val="single" w:sz="8" w:space="0" w:color="auto"/>
            </w:tcBorders>
            <w:shd w:val="clear" w:color="auto" w:fill="auto"/>
            <w:vAlign w:val="center"/>
            <w:hideMark/>
          </w:tcPr>
          <w:p w14:paraId="0773AF60"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22</w:t>
            </w:r>
          </w:p>
        </w:tc>
        <w:tc>
          <w:tcPr>
            <w:tcW w:w="867" w:type="pct"/>
            <w:tcBorders>
              <w:top w:val="nil"/>
              <w:left w:val="nil"/>
              <w:bottom w:val="single" w:sz="8" w:space="0" w:color="auto"/>
              <w:right w:val="single" w:sz="8" w:space="0" w:color="auto"/>
            </w:tcBorders>
            <w:shd w:val="clear" w:color="auto" w:fill="auto"/>
            <w:hideMark/>
          </w:tcPr>
          <w:p w14:paraId="0773AF61"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bCs/>
                <w:sz w:val="20"/>
                <w:szCs w:val="20"/>
                <w:lang w:val="sq-AL"/>
              </w:rPr>
              <w:t>Nuk ka tregues</w:t>
            </w:r>
          </w:p>
        </w:tc>
        <w:tc>
          <w:tcPr>
            <w:tcW w:w="647" w:type="pct"/>
            <w:tcBorders>
              <w:top w:val="nil"/>
              <w:left w:val="nil"/>
              <w:bottom w:val="single" w:sz="8" w:space="0" w:color="auto"/>
              <w:right w:val="single" w:sz="8" w:space="0" w:color="auto"/>
            </w:tcBorders>
            <w:shd w:val="clear" w:color="auto" w:fill="auto"/>
            <w:vAlign w:val="center"/>
            <w:hideMark/>
          </w:tcPr>
          <w:p w14:paraId="0773AF62" w14:textId="77777777" w:rsidR="00DF7A00" w:rsidRPr="0058349C" w:rsidRDefault="00DF7A00" w:rsidP="00D50688">
            <w:pPr>
              <w:spacing w:after="0" w:line="240" w:lineRule="auto"/>
              <w:jc w:val="center"/>
              <w:rPr>
                <w:rFonts w:ascii="Garamond" w:hAnsi="Garamond" w:cs="Arial"/>
                <w:sz w:val="20"/>
                <w:szCs w:val="20"/>
                <w:lang w:val="sq-AL"/>
              </w:rPr>
            </w:pPr>
            <w:r w:rsidRPr="0058349C">
              <w:rPr>
                <w:rFonts w:ascii="Garamond" w:hAnsi="Garamond" w:cs="Arial"/>
                <w:sz w:val="20"/>
                <w:szCs w:val="20"/>
                <w:lang w:val="sq-AL"/>
              </w:rPr>
              <w:t>0.3</w:t>
            </w:r>
          </w:p>
        </w:tc>
        <w:tc>
          <w:tcPr>
            <w:tcW w:w="647" w:type="pct"/>
            <w:tcBorders>
              <w:top w:val="nil"/>
              <w:left w:val="nil"/>
              <w:bottom w:val="single" w:sz="8" w:space="0" w:color="auto"/>
              <w:right w:val="single" w:sz="8" w:space="0" w:color="auto"/>
            </w:tcBorders>
            <w:shd w:val="clear" w:color="auto" w:fill="auto"/>
            <w:vAlign w:val="center"/>
            <w:hideMark/>
          </w:tcPr>
          <w:p w14:paraId="0773AF63" w14:textId="77777777" w:rsidR="00DF7A00" w:rsidRPr="0058349C" w:rsidRDefault="00DF7A00" w:rsidP="00D50688">
            <w:pPr>
              <w:spacing w:after="0" w:line="240" w:lineRule="auto"/>
              <w:jc w:val="right"/>
              <w:rPr>
                <w:rFonts w:ascii="Garamond" w:hAnsi="Garamond" w:cs="Arial"/>
                <w:sz w:val="20"/>
                <w:szCs w:val="20"/>
                <w:lang w:val="sq-AL"/>
              </w:rPr>
            </w:pPr>
            <w:r w:rsidRPr="0058349C">
              <w:rPr>
                <w:rFonts w:ascii="Garamond" w:hAnsi="Garamond" w:cs="Arial"/>
                <w:sz w:val="20"/>
                <w:szCs w:val="20"/>
                <w:lang w:val="sq-AL"/>
              </w:rPr>
              <w:t>0.3</w:t>
            </w:r>
          </w:p>
        </w:tc>
        <w:tc>
          <w:tcPr>
            <w:tcW w:w="534" w:type="pct"/>
            <w:tcBorders>
              <w:top w:val="nil"/>
              <w:left w:val="nil"/>
              <w:bottom w:val="single" w:sz="8" w:space="0" w:color="auto"/>
              <w:right w:val="single" w:sz="8" w:space="0" w:color="auto"/>
            </w:tcBorders>
            <w:shd w:val="clear" w:color="auto" w:fill="auto"/>
            <w:vAlign w:val="center"/>
            <w:hideMark/>
          </w:tcPr>
          <w:p w14:paraId="0773AF64"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Po</w:t>
            </w:r>
          </w:p>
        </w:tc>
      </w:tr>
      <w:tr w:rsidR="00167C37" w:rsidRPr="0058349C" w14:paraId="0773AF6F" w14:textId="77777777" w:rsidTr="00167C37">
        <w:trPr>
          <w:trHeight w:val="300"/>
          <w:jc w:val="center"/>
        </w:trPr>
        <w:tc>
          <w:tcPr>
            <w:tcW w:w="581" w:type="pct"/>
            <w:vMerge/>
            <w:tcBorders>
              <w:top w:val="nil"/>
              <w:left w:val="single" w:sz="8" w:space="0" w:color="auto"/>
              <w:bottom w:val="single" w:sz="8" w:space="0" w:color="000000"/>
              <w:right w:val="single" w:sz="8" w:space="0" w:color="auto"/>
            </w:tcBorders>
            <w:vAlign w:val="center"/>
            <w:hideMark/>
          </w:tcPr>
          <w:p w14:paraId="0773AF66" w14:textId="77777777" w:rsidR="00DF7A00" w:rsidRPr="0058349C" w:rsidRDefault="00DF7A00" w:rsidP="003D28A7">
            <w:pPr>
              <w:spacing w:after="0" w:line="240" w:lineRule="auto"/>
              <w:jc w:val="both"/>
              <w:rPr>
                <w:rFonts w:ascii="Garamond" w:hAnsi="Garamond" w:cs="Arial"/>
                <w:bCs/>
                <w:sz w:val="20"/>
                <w:szCs w:val="20"/>
                <w:lang w:val="sq-AL"/>
              </w:rPr>
            </w:pPr>
          </w:p>
        </w:tc>
        <w:tc>
          <w:tcPr>
            <w:tcW w:w="489" w:type="pct"/>
            <w:tcBorders>
              <w:top w:val="nil"/>
              <w:left w:val="nil"/>
              <w:bottom w:val="single" w:sz="8" w:space="0" w:color="auto"/>
              <w:right w:val="single" w:sz="8" w:space="0" w:color="auto"/>
            </w:tcBorders>
            <w:shd w:val="clear" w:color="auto" w:fill="auto"/>
            <w:vAlign w:val="center"/>
            <w:hideMark/>
          </w:tcPr>
          <w:p w14:paraId="0773AF67"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Total</w:t>
            </w:r>
          </w:p>
        </w:tc>
        <w:tc>
          <w:tcPr>
            <w:tcW w:w="485" w:type="pct"/>
            <w:tcBorders>
              <w:top w:val="nil"/>
              <w:left w:val="nil"/>
              <w:bottom w:val="single" w:sz="8" w:space="0" w:color="auto"/>
              <w:right w:val="single" w:sz="8" w:space="0" w:color="auto"/>
            </w:tcBorders>
            <w:shd w:val="clear" w:color="auto" w:fill="auto"/>
            <w:vAlign w:val="center"/>
            <w:hideMark/>
          </w:tcPr>
          <w:p w14:paraId="0773AF68"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2,730</w:t>
            </w:r>
          </w:p>
        </w:tc>
        <w:tc>
          <w:tcPr>
            <w:tcW w:w="372" w:type="pct"/>
            <w:tcBorders>
              <w:top w:val="nil"/>
              <w:left w:val="nil"/>
              <w:bottom w:val="single" w:sz="8" w:space="0" w:color="auto"/>
              <w:right w:val="single" w:sz="8" w:space="0" w:color="auto"/>
            </w:tcBorders>
            <w:shd w:val="clear" w:color="auto" w:fill="auto"/>
            <w:vAlign w:val="center"/>
            <w:hideMark/>
          </w:tcPr>
          <w:p w14:paraId="0773AF69"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41</w:t>
            </w:r>
          </w:p>
        </w:tc>
        <w:tc>
          <w:tcPr>
            <w:tcW w:w="378" w:type="pct"/>
            <w:tcBorders>
              <w:top w:val="nil"/>
              <w:left w:val="nil"/>
              <w:bottom w:val="single" w:sz="8" w:space="0" w:color="auto"/>
              <w:right w:val="single" w:sz="8" w:space="0" w:color="auto"/>
            </w:tcBorders>
            <w:shd w:val="clear" w:color="auto" w:fill="auto"/>
            <w:vAlign w:val="center"/>
            <w:hideMark/>
          </w:tcPr>
          <w:p w14:paraId="0773AF6A"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67</w:t>
            </w:r>
          </w:p>
        </w:tc>
        <w:tc>
          <w:tcPr>
            <w:tcW w:w="867" w:type="pct"/>
            <w:tcBorders>
              <w:top w:val="nil"/>
              <w:left w:val="nil"/>
              <w:bottom w:val="single" w:sz="8" w:space="0" w:color="auto"/>
              <w:right w:val="single" w:sz="8" w:space="0" w:color="auto"/>
            </w:tcBorders>
            <w:shd w:val="clear" w:color="auto" w:fill="auto"/>
            <w:hideMark/>
          </w:tcPr>
          <w:p w14:paraId="0773AF6B"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bCs/>
                <w:sz w:val="20"/>
                <w:szCs w:val="20"/>
                <w:lang w:val="sq-AL"/>
              </w:rPr>
              <w:t>Nuk ka tregues</w:t>
            </w:r>
          </w:p>
        </w:tc>
        <w:tc>
          <w:tcPr>
            <w:tcW w:w="647" w:type="pct"/>
            <w:tcBorders>
              <w:top w:val="nil"/>
              <w:left w:val="nil"/>
              <w:bottom w:val="single" w:sz="8" w:space="0" w:color="auto"/>
              <w:right w:val="single" w:sz="8" w:space="0" w:color="auto"/>
            </w:tcBorders>
            <w:shd w:val="clear" w:color="auto" w:fill="auto"/>
            <w:vAlign w:val="center"/>
            <w:hideMark/>
          </w:tcPr>
          <w:p w14:paraId="0773AF6C" w14:textId="77777777" w:rsidR="00DF7A00" w:rsidRPr="0058349C" w:rsidRDefault="00DF7A00" w:rsidP="00D50688">
            <w:pPr>
              <w:spacing w:after="0" w:line="240" w:lineRule="auto"/>
              <w:jc w:val="center"/>
              <w:rPr>
                <w:rFonts w:ascii="Garamond" w:hAnsi="Garamond" w:cs="Arial"/>
                <w:bCs/>
                <w:sz w:val="20"/>
                <w:szCs w:val="20"/>
                <w:lang w:val="sq-AL"/>
              </w:rPr>
            </w:pPr>
            <w:r w:rsidRPr="0058349C">
              <w:rPr>
                <w:rFonts w:ascii="Garamond" w:hAnsi="Garamond" w:cs="Arial"/>
                <w:bCs/>
                <w:sz w:val="20"/>
                <w:szCs w:val="20"/>
                <w:lang w:val="sq-AL"/>
              </w:rPr>
              <w:t>0.5</w:t>
            </w:r>
          </w:p>
        </w:tc>
        <w:tc>
          <w:tcPr>
            <w:tcW w:w="647" w:type="pct"/>
            <w:tcBorders>
              <w:top w:val="nil"/>
              <w:left w:val="nil"/>
              <w:bottom w:val="single" w:sz="8" w:space="0" w:color="auto"/>
              <w:right w:val="single" w:sz="8" w:space="0" w:color="auto"/>
            </w:tcBorders>
            <w:shd w:val="clear" w:color="auto" w:fill="auto"/>
            <w:vAlign w:val="center"/>
            <w:hideMark/>
          </w:tcPr>
          <w:p w14:paraId="0773AF6D" w14:textId="56F6C132" w:rsidR="00DF7A00" w:rsidRPr="0058349C" w:rsidRDefault="00DF7A00" w:rsidP="00D50688">
            <w:pPr>
              <w:spacing w:after="0" w:line="240" w:lineRule="auto"/>
              <w:jc w:val="right"/>
              <w:rPr>
                <w:rFonts w:ascii="Garamond" w:hAnsi="Garamond" w:cs="Arial"/>
                <w:bCs/>
                <w:sz w:val="20"/>
                <w:szCs w:val="20"/>
                <w:lang w:val="sq-AL"/>
              </w:rPr>
            </w:pPr>
            <w:r w:rsidRPr="0058349C">
              <w:rPr>
                <w:rFonts w:ascii="Garamond" w:hAnsi="Garamond" w:cs="Arial"/>
                <w:bCs/>
                <w:sz w:val="20"/>
                <w:szCs w:val="20"/>
                <w:lang w:val="sq-AL"/>
              </w:rPr>
              <w:t>4.2</w:t>
            </w:r>
            <w:r w:rsidR="00296CAB">
              <w:rPr>
                <w:rFonts w:ascii="Garamond" w:hAnsi="Garamond" w:cs="Arial"/>
                <w:sz w:val="20"/>
                <w:szCs w:val="20"/>
                <w:lang w:val="sq-AL"/>
              </w:rPr>
              <w:t>–</w:t>
            </w:r>
            <w:r w:rsidRPr="0058349C">
              <w:rPr>
                <w:rFonts w:ascii="Garamond" w:hAnsi="Garamond" w:cs="Arial"/>
                <w:bCs/>
                <w:sz w:val="20"/>
                <w:szCs w:val="20"/>
                <w:lang w:val="sq-AL"/>
              </w:rPr>
              <w:t>8.3</w:t>
            </w:r>
          </w:p>
        </w:tc>
        <w:tc>
          <w:tcPr>
            <w:tcW w:w="534" w:type="pct"/>
            <w:tcBorders>
              <w:top w:val="nil"/>
              <w:left w:val="nil"/>
              <w:bottom w:val="single" w:sz="8" w:space="0" w:color="auto"/>
              <w:right w:val="single" w:sz="8" w:space="0" w:color="auto"/>
            </w:tcBorders>
            <w:shd w:val="clear" w:color="auto" w:fill="auto"/>
            <w:vAlign w:val="center"/>
            <w:hideMark/>
          </w:tcPr>
          <w:p w14:paraId="0773AF6E" w14:textId="77777777" w:rsidR="00DF7A00" w:rsidRPr="0058349C" w:rsidRDefault="00DF7A00" w:rsidP="003D28A7">
            <w:pPr>
              <w:spacing w:after="0" w:line="240" w:lineRule="auto"/>
              <w:jc w:val="both"/>
              <w:rPr>
                <w:rFonts w:ascii="Garamond" w:hAnsi="Garamond" w:cs="Arial"/>
                <w:sz w:val="20"/>
                <w:szCs w:val="20"/>
                <w:lang w:val="sq-AL"/>
              </w:rPr>
            </w:pPr>
          </w:p>
        </w:tc>
      </w:tr>
      <w:tr w:rsidR="00167C37" w:rsidRPr="0058349C" w14:paraId="0773AF79" w14:textId="77777777" w:rsidTr="00167C37">
        <w:trPr>
          <w:trHeight w:val="300"/>
          <w:jc w:val="center"/>
        </w:trPr>
        <w:tc>
          <w:tcPr>
            <w:tcW w:w="581" w:type="pct"/>
            <w:tcBorders>
              <w:top w:val="nil"/>
              <w:left w:val="single" w:sz="8" w:space="0" w:color="auto"/>
              <w:bottom w:val="single" w:sz="8" w:space="0" w:color="auto"/>
              <w:right w:val="single" w:sz="8" w:space="0" w:color="auto"/>
            </w:tcBorders>
            <w:shd w:val="clear" w:color="auto" w:fill="auto"/>
            <w:vAlign w:val="center"/>
            <w:hideMark/>
          </w:tcPr>
          <w:p w14:paraId="0773AF70"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 xml:space="preserve">Ohër </w:t>
            </w:r>
          </w:p>
        </w:tc>
        <w:tc>
          <w:tcPr>
            <w:tcW w:w="489" w:type="pct"/>
            <w:tcBorders>
              <w:top w:val="nil"/>
              <w:left w:val="nil"/>
              <w:bottom w:val="single" w:sz="8" w:space="0" w:color="auto"/>
              <w:right w:val="single" w:sz="8" w:space="0" w:color="auto"/>
            </w:tcBorders>
            <w:shd w:val="clear" w:color="auto" w:fill="auto"/>
            <w:vAlign w:val="center"/>
            <w:hideMark/>
          </w:tcPr>
          <w:p w14:paraId="0773AF71"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Total</w:t>
            </w:r>
          </w:p>
        </w:tc>
        <w:tc>
          <w:tcPr>
            <w:tcW w:w="485" w:type="pct"/>
            <w:tcBorders>
              <w:top w:val="nil"/>
              <w:left w:val="nil"/>
              <w:bottom w:val="single" w:sz="8" w:space="0" w:color="auto"/>
              <w:right w:val="single" w:sz="8" w:space="0" w:color="auto"/>
            </w:tcBorders>
            <w:shd w:val="clear" w:color="auto" w:fill="auto"/>
            <w:vAlign w:val="center"/>
            <w:hideMark/>
          </w:tcPr>
          <w:p w14:paraId="0773AF72"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11,890</w:t>
            </w:r>
          </w:p>
        </w:tc>
        <w:tc>
          <w:tcPr>
            <w:tcW w:w="372" w:type="pct"/>
            <w:tcBorders>
              <w:top w:val="nil"/>
              <w:left w:val="nil"/>
              <w:bottom w:val="single" w:sz="8" w:space="0" w:color="auto"/>
              <w:right w:val="single" w:sz="8" w:space="0" w:color="auto"/>
            </w:tcBorders>
            <w:shd w:val="clear" w:color="auto" w:fill="auto"/>
            <w:vAlign w:val="center"/>
            <w:hideMark/>
          </w:tcPr>
          <w:p w14:paraId="0773AF73"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300</w:t>
            </w:r>
          </w:p>
        </w:tc>
        <w:tc>
          <w:tcPr>
            <w:tcW w:w="378" w:type="pct"/>
            <w:tcBorders>
              <w:top w:val="nil"/>
              <w:left w:val="nil"/>
              <w:bottom w:val="single" w:sz="8" w:space="0" w:color="auto"/>
              <w:right w:val="single" w:sz="8" w:space="0" w:color="auto"/>
            </w:tcBorders>
            <w:shd w:val="clear" w:color="auto" w:fill="auto"/>
            <w:vAlign w:val="center"/>
            <w:hideMark/>
          </w:tcPr>
          <w:p w14:paraId="0773AF74"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40</w:t>
            </w:r>
          </w:p>
        </w:tc>
        <w:tc>
          <w:tcPr>
            <w:tcW w:w="867" w:type="pct"/>
            <w:tcBorders>
              <w:top w:val="nil"/>
              <w:left w:val="nil"/>
              <w:bottom w:val="single" w:sz="8" w:space="0" w:color="auto"/>
              <w:right w:val="single" w:sz="8" w:space="0" w:color="auto"/>
            </w:tcBorders>
            <w:shd w:val="clear" w:color="auto" w:fill="auto"/>
            <w:vAlign w:val="center"/>
            <w:hideMark/>
          </w:tcPr>
          <w:p w14:paraId="0773AF75"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150</w:t>
            </w:r>
          </w:p>
        </w:tc>
        <w:tc>
          <w:tcPr>
            <w:tcW w:w="647" w:type="pct"/>
            <w:tcBorders>
              <w:top w:val="nil"/>
              <w:left w:val="nil"/>
              <w:bottom w:val="single" w:sz="8" w:space="0" w:color="auto"/>
              <w:right w:val="single" w:sz="8" w:space="0" w:color="auto"/>
            </w:tcBorders>
            <w:shd w:val="clear" w:color="auto" w:fill="auto"/>
            <w:vAlign w:val="center"/>
            <w:hideMark/>
          </w:tcPr>
          <w:p w14:paraId="0773AF76" w14:textId="77777777" w:rsidR="00DF7A00" w:rsidRPr="0058349C" w:rsidRDefault="00DF7A00" w:rsidP="00D50688">
            <w:pPr>
              <w:spacing w:after="0" w:line="240" w:lineRule="auto"/>
              <w:jc w:val="center"/>
              <w:rPr>
                <w:rFonts w:ascii="Garamond" w:hAnsi="Garamond" w:cs="Arial"/>
                <w:bCs/>
                <w:sz w:val="20"/>
                <w:szCs w:val="20"/>
                <w:lang w:val="sq-AL"/>
              </w:rPr>
            </w:pPr>
            <w:r w:rsidRPr="0058349C">
              <w:rPr>
                <w:rFonts w:ascii="Garamond" w:hAnsi="Garamond" w:cs="Arial"/>
                <w:bCs/>
                <w:sz w:val="20"/>
                <w:szCs w:val="20"/>
                <w:lang w:val="sq-AL"/>
              </w:rPr>
              <w:t>0.3</w:t>
            </w:r>
          </w:p>
        </w:tc>
        <w:tc>
          <w:tcPr>
            <w:tcW w:w="647" w:type="pct"/>
            <w:tcBorders>
              <w:top w:val="nil"/>
              <w:left w:val="nil"/>
              <w:bottom w:val="single" w:sz="8" w:space="0" w:color="auto"/>
              <w:right w:val="single" w:sz="8" w:space="0" w:color="auto"/>
            </w:tcBorders>
            <w:shd w:val="clear" w:color="auto" w:fill="auto"/>
            <w:vAlign w:val="center"/>
            <w:hideMark/>
          </w:tcPr>
          <w:p w14:paraId="0773AF77" w14:textId="77777777" w:rsidR="00DF7A00" w:rsidRPr="0058349C" w:rsidRDefault="00DF7A00" w:rsidP="00D50688">
            <w:pPr>
              <w:spacing w:after="0" w:line="240" w:lineRule="auto"/>
              <w:jc w:val="right"/>
              <w:rPr>
                <w:rFonts w:ascii="Garamond" w:hAnsi="Garamond" w:cs="Arial"/>
                <w:bCs/>
                <w:sz w:val="20"/>
                <w:szCs w:val="20"/>
                <w:lang w:val="sq-AL"/>
              </w:rPr>
            </w:pPr>
            <w:r w:rsidRPr="0058349C">
              <w:rPr>
                <w:rFonts w:ascii="Garamond" w:hAnsi="Garamond" w:cs="Arial"/>
                <w:bCs/>
                <w:sz w:val="20"/>
                <w:szCs w:val="20"/>
                <w:lang w:val="sq-AL"/>
              </w:rPr>
              <w:t>0.5</w:t>
            </w:r>
          </w:p>
        </w:tc>
        <w:tc>
          <w:tcPr>
            <w:tcW w:w="534" w:type="pct"/>
            <w:tcBorders>
              <w:top w:val="nil"/>
              <w:left w:val="nil"/>
              <w:bottom w:val="single" w:sz="8" w:space="0" w:color="auto"/>
              <w:right w:val="single" w:sz="8" w:space="0" w:color="auto"/>
            </w:tcBorders>
            <w:shd w:val="clear" w:color="auto" w:fill="auto"/>
            <w:vAlign w:val="center"/>
            <w:hideMark/>
          </w:tcPr>
          <w:p w14:paraId="0773AF78"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Po</w:t>
            </w:r>
          </w:p>
        </w:tc>
      </w:tr>
      <w:tr w:rsidR="00167C37" w:rsidRPr="0058349C" w14:paraId="0773AF83" w14:textId="77777777" w:rsidTr="00167C37">
        <w:trPr>
          <w:trHeight w:val="300"/>
          <w:jc w:val="center"/>
        </w:trPr>
        <w:tc>
          <w:tcPr>
            <w:tcW w:w="581" w:type="pct"/>
            <w:vMerge w:val="restart"/>
            <w:tcBorders>
              <w:top w:val="nil"/>
              <w:left w:val="single" w:sz="8" w:space="0" w:color="auto"/>
              <w:bottom w:val="single" w:sz="8" w:space="0" w:color="000000"/>
              <w:right w:val="single" w:sz="8" w:space="0" w:color="auto"/>
            </w:tcBorders>
            <w:shd w:val="clear" w:color="auto" w:fill="auto"/>
            <w:vAlign w:val="center"/>
            <w:hideMark/>
          </w:tcPr>
          <w:p w14:paraId="0773AF7A"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Shkodër</w:t>
            </w:r>
          </w:p>
        </w:tc>
        <w:tc>
          <w:tcPr>
            <w:tcW w:w="489" w:type="pct"/>
            <w:tcBorders>
              <w:top w:val="nil"/>
              <w:left w:val="nil"/>
              <w:bottom w:val="single" w:sz="8" w:space="0" w:color="auto"/>
              <w:right w:val="single" w:sz="8" w:space="0" w:color="auto"/>
            </w:tcBorders>
            <w:shd w:val="clear" w:color="auto" w:fill="auto"/>
            <w:vAlign w:val="center"/>
            <w:hideMark/>
          </w:tcPr>
          <w:p w14:paraId="0773AF7B"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Shkodër</w:t>
            </w:r>
          </w:p>
        </w:tc>
        <w:tc>
          <w:tcPr>
            <w:tcW w:w="485" w:type="pct"/>
            <w:tcBorders>
              <w:top w:val="nil"/>
              <w:left w:val="nil"/>
              <w:bottom w:val="single" w:sz="8" w:space="0" w:color="auto"/>
              <w:right w:val="single" w:sz="8" w:space="0" w:color="auto"/>
            </w:tcBorders>
            <w:shd w:val="clear" w:color="auto" w:fill="auto"/>
            <w:vAlign w:val="center"/>
            <w:hideMark/>
          </w:tcPr>
          <w:p w14:paraId="0773AF7C"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14,790</w:t>
            </w:r>
          </w:p>
        </w:tc>
        <w:tc>
          <w:tcPr>
            <w:tcW w:w="372" w:type="pct"/>
            <w:tcBorders>
              <w:top w:val="nil"/>
              <w:left w:val="nil"/>
              <w:bottom w:val="single" w:sz="8" w:space="0" w:color="auto"/>
              <w:right w:val="single" w:sz="8" w:space="0" w:color="auto"/>
            </w:tcBorders>
            <w:shd w:val="clear" w:color="auto" w:fill="auto"/>
            <w:vAlign w:val="center"/>
            <w:hideMark/>
          </w:tcPr>
          <w:p w14:paraId="0773AF7D"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420</w:t>
            </w:r>
          </w:p>
        </w:tc>
        <w:tc>
          <w:tcPr>
            <w:tcW w:w="378" w:type="pct"/>
            <w:tcBorders>
              <w:top w:val="nil"/>
              <w:left w:val="nil"/>
              <w:bottom w:val="single" w:sz="8" w:space="0" w:color="auto"/>
              <w:right w:val="single" w:sz="8" w:space="0" w:color="auto"/>
            </w:tcBorders>
            <w:shd w:val="clear" w:color="auto" w:fill="auto"/>
            <w:vAlign w:val="center"/>
            <w:hideMark/>
          </w:tcPr>
          <w:p w14:paraId="0773AF7E"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35</w:t>
            </w:r>
          </w:p>
        </w:tc>
        <w:tc>
          <w:tcPr>
            <w:tcW w:w="867" w:type="pct"/>
            <w:tcBorders>
              <w:top w:val="nil"/>
              <w:left w:val="nil"/>
              <w:bottom w:val="single" w:sz="8" w:space="0" w:color="auto"/>
              <w:right w:val="single" w:sz="8" w:space="0" w:color="auto"/>
            </w:tcBorders>
            <w:shd w:val="clear" w:color="auto" w:fill="auto"/>
            <w:vAlign w:val="center"/>
            <w:hideMark/>
          </w:tcPr>
          <w:p w14:paraId="0773AF7F"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210</w:t>
            </w:r>
          </w:p>
        </w:tc>
        <w:tc>
          <w:tcPr>
            <w:tcW w:w="647" w:type="pct"/>
            <w:tcBorders>
              <w:top w:val="nil"/>
              <w:left w:val="nil"/>
              <w:bottom w:val="single" w:sz="8" w:space="0" w:color="auto"/>
              <w:right w:val="single" w:sz="8" w:space="0" w:color="auto"/>
            </w:tcBorders>
            <w:shd w:val="clear" w:color="auto" w:fill="auto"/>
            <w:vAlign w:val="center"/>
            <w:hideMark/>
          </w:tcPr>
          <w:p w14:paraId="0773AF80" w14:textId="77777777" w:rsidR="00DF7A00" w:rsidRPr="0058349C" w:rsidRDefault="00DF7A00" w:rsidP="00D50688">
            <w:pPr>
              <w:spacing w:after="0" w:line="240" w:lineRule="auto"/>
              <w:jc w:val="center"/>
              <w:rPr>
                <w:rFonts w:ascii="Garamond" w:hAnsi="Garamond" w:cs="Arial"/>
                <w:sz w:val="20"/>
                <w:szCs w:val="20"/>
                <w:lang w:val="sq-AL"/>
              </w:rPr>
            </w:pPr>
            <w:r w:rsidRPr="0058349C">
              <w:rPr>
                <w:rFonts w:ascii="Garamond" w:hAnsi="Garamond" w:cs="Arial"/>
                <w:sz w:val="20"/>
                <w:szCs w:val="20"/>
                <w:lang w:val="sq-AL"/>
              </w:rPr>
              <w:t>0.7</w:t>
            </w:r>
          </w:p>
        </w:tc>
        <w:tc>
          <w:tcPr>
            <w:tcW w:w="647" w:type="pct"/>
            <w:tcBorders>
              <w:top w:val="nil"/>
              <w:left w:val="nil"/>
              <w:bottom w:val="single" w:sz="8" w:space="0" w:color="auto"/>
              <w:right w:val="single" w:sz="8" w:space="0" w:color="auto"/>
            </w:tcBorders>
            <w:shd w:val="clear" w:color="auto" w:fill="auto"/>
            <w:vAlign w:val="center"/>
            <w:hideMark/>
          </w:tcPr>
          <w:p w14:paraId="0773AF81" w14:textId="44BA29B3" w:rsidR="00DF7A00" w:rsidRPr="0058349C" w:rsidRDefault="00DF7A00" w:rsidP="00D50688">
            <w:pPr>
              <w:spacing w:after="0" w:line="240" w:lineRule="auto"/>
              <w:jc w:val="right"/>
              <w:rPr>
                <w:rFonts w:ascii="Garamond" w:hAnsi="Garamond" w:cs="Arial"/>
                <w:sz w:val="20"/>
                <w:szCs w:val="20"/>
                <w:lang w:val="sq-AL"/>
              </w:rPr>
            </w:pPr>
            <w:r w:rsidRPr="0058349C">
              <w:rPr>
                <w:rFonts w:ascii="Garamond" w:hAnsi="Garamond" w:cs="Arial"/>
                <w:sz w:val="20"/>
                <w:szCs w:val="20"/>
                <w:lang w:val="sq-AL"/>
              </w:rPr>
              <w:t>1.5</w:t>
            </w:r>
            <w:r w:rsidR="00296CAB">
              <w:rPr>
                <w:rFonts w:ascii="Garamond" w:hAnsi="Garamond" w:cs="Arial"/>
                <w:sz w:val="20"/>
                <w:szCs w:val="20"/>
                <w:lang w:val="sq-AL"/>
              </w:rPr>
              <w:t>–</w:t>
            </w:r>
            <w:r w:rsidRPr="0058349C">
              <w:rPr>
                <w:rFonts w:ascii="Garamond" w:hAnsi="Garamond" w:cs="Arial"/>
                <w:sz w:val="20"/>
                <w:szCs w:val="20"/>
                <w:lang w:val="sq-AL"/>
              </w:rPr>
              <w:t>2.0</w:t>
            </w:r>
          </w:p>
        </w:tc>
        <w:tc>
          <w:tcPr>
            <w:tcW w:w="534" w:type="pct"/>
            <w:tcBorders>
              <w:top w:val="nil"/>
              <w:left w:val="nil"/>
              <w:bottom w:val="single" w:sz="8" w:space="0" w:color="auto"/>
              <w:right w:val="single" w:sz="8" w:space="0" w:color="auto"/>
            </w:tcBorders>
            <w:shd w:val="clear" w:color="auto" w:fill="auto"/>
            <w:vAlign w:val="center"/>
            <w:hideMark/>
          </w:tcPr>
          <w:p w14:paraId="0773AF82"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Po</w:t>
            </w:r>
          </w:p>
        </w:tc>
      </w:tr>
      <w:tr w:rsidR="00167C37" w:rsidRPr="0058349C" w14:paraId="0773AF8D" w14:textId="77777777" w:rsidTr="00167C37">
        <w:trPr>
          <w:trHeight w:val="300"/>
          <w:jc w:val="center"/>
        </w:trPr>
        <w:tc>
          <w:tcPr>
            <w:tcW w:w="581" w:type="pct"/>
            <w:vMerge/>
            <w:tcBorders>
              <w:top w:val="nil"/>
              <w:left w:val="single" w:sz="8" w:space="0" w:color="auto"/>
              <w:bottom w:val="single" w:sz="4" w:space="0" w:color="auto"/>
              <w:right w:val="single" w:sz="8" w:space="0" w:color="auto"/>
            </w:tcBorders>
            <w:vAlign w:val="center"/>
            <w:hideMark/>
          </w:tcPr>
          <w:p w14:paraId="0773AF84" w14:textId="77777777" w:rsidR="00DF7A00" w:rsidRPr="0058349C" w:rsidRDefault="00DF7A00" w:rsidP="003D28A7">
            <w:pPr>
              <w:spacing w:after="0" w:line="240" w:lineRule="auto"/>
              <w:jc w:val="both"/>
              <w:rPr>
                <w:rFonts w:ascii="Garamond" w:hAnsi="Garamond" w:cs="Arial"/>
                <w:sz w:val="20"/>
                <w:szCs w:val="20"/>
                <w:lang w:val="sq-AL"/>
              </w:rPr>
            </w:pPr>
          </w:p>
        </w:tc>
        <w:tc>
          <w:tcPr>
            <w:tcW w:w="489" w:type="pct"/>
            <w:tcBorders>
              <w:top w:val="nil"/>
              <w:left w:val="nil"/>
              <w:bottom w:val="single" w:sz="4" w:space="0" w:color="auto"/>
              <w:right w:val="single" w:sz="8" w:space="0" w:color="auto"/>
            </w:tcBorders>
            <w:shd w:val="clear" w:color="auto" w:fill="auto"/>
            <w:vAlign w:val="center"/>
            <w:hideMark/>
          </w:tcPr>
          <w:p w14:paraId="0773AF85"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Komani</w:t>
            </w:r>
          </w:p>
        </w:tc>
        <w:tc>
          <w:tcPr>
            <w:tcW w:w="485" w:type="pct"/>
            <w:tcBorders>
              <w:top w:val="nil"/>
              <w:left w:val="nil"/>
              <w:bottom w:val="single" w:sz="4" w:space="0" w:color="auto"/>
              <w:right w:val="single" w:sz="8" w:space="0" w:color="auto"/>
            </w:tcBorders>
            <w:shd w:val="clear" w:color="auto" w:fill="auto"/>
            <w:vAlign w:val="center"/>
            <w:hideMark/>
          </w:tcPr>
          <w:p w14:paraId="0773AF86"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700</w:t>
            </w:r>
          </w:p>
        </w:tc>
        <w:tc>
          <w:tcPr>
            <w:tcW w:w="372" w:type="pct"/>
            <w:tcBorders>
              <w:top w:val="nil"/>
              <w:left w:val="nil"/>
              <w:bottom w:val="single" w:sz="4" w:space="0" w:color="auto"/>
              <w:right w:val="single" w:sz="8" w:space="0" w:color="auto"/>
            </w:tcBorders>
            <w:shd w:val="clear" w:color="auto" w:fill="auto"/>
            <w:vAlign w:val="center"/>
            <w:hideMark/>
          </w:tcPr>
          <w:p w14:paraId="0773AF87"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25</w:t>
            </w:r>
          </w:p>
        </w:tc>
        <w:tc>
          <w:tcPr>
            <w:tcW w:w="378" w:type="pct"/>
            <w:tcBorders>
              <w:top w:val="nil"/>
              <w:left w:val="nil"/>
              <w:bottom w:val="single" w:sz="4" w:space="0" w:color="auto"/>
              <w:right w:val="single" w:sz="8" w:space="0" w:color="auto"/>
            </w:tcBorders>
            <w:shd w:val="clear" w:color="auto" w:fill="auto"/>
            <w:vAlign w:val="center"/>
            <w:hideMark/>
          </w:tcPr>
          <w:p w14:paraId="0773AF88"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28</w:t>
            </w:r>
          </w:p>
        </w:tc>
        <w:tc>
          <w:tcPr>
            <w:tcW w:w="867" w:type="pct"/>
            <w:tcBorders>
              <w:top w:val="nil"/>
              <w:left w:val="nil"/>
              <w:bottom w:val="single" w:sz="4" w:space="0" w:color="auto"/>
              <w:right w:val="single" w:sz="8" w:space="0" w:color="auto"/>
            </w:tcBorders>
            <w:shd w:val="clear" w:color="auto" w:fill="auto"/>
            <w:hideMark/>
          </w:tcPr>
          <w:p w14:paraId="0773AF89"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bCs/>
                <w:sz w:val="20"/>
                <w:szCs w:val="20"/>
                <w:lang w:val="sq-AL"/>
              </w:rPr>
              <w:t>Nuk ka tregues</w:t>
            </w:r>
          </w:p>
        </w:tc>
        <w:tc>
          <w:tcPr>
            <w:tcW w:w="647" w:type="pct"/>
            <w:tcBorders>
              <w:top w:val="nil"/>
              <w:left w:val="nil"/>
              <w:bottom w:val="single" w:sz="4" w:space="0" w:color="auto"/>
              <w:right w:val="single" w:sz="8" w:space="0" w:color="auto"/>
            </w:tcBorders>
            <w:shd w:val="clear" w:color="auto" w:fill="auto"/>
            <w:vAlign w:val="center"/>
            <w:hideMark/>
          </w:tcPr>
          <w:p w14:paraId="0773AF8A" w14:textId="77777777" w:rsidR="00DF7A00" w:rsidRPr="0058349C" w:rsidRDefault="00DF7A00" w:rsidP="00D50688">
            <w:pPr>
              <w:spacing w:after="0" w:line="240" w:lineRule="auto"/>
              <w:jc w:val="center"/>
              <w:rPr>
                <w:rFonts w:ascii="Garamond" w:hAnsi="Garamond" w:cs="Arial"/>
                <w:sz w:val="20"/>
                <w:szCs w:val="20"/>
                <w:lang w:val="sq-AL"/>
              </w:rPr>
            </w:pPr>
            <w:r w:rsidRPr="0058349C">
              <w:rPr>
                <w:rFonts w:ascii="Garamond" w:hAnsi="Garamond" w:cs="Arial"/>
                <w:sz w:val="20"/>
                <w:szCs w:val="20"/>
                <w:lang w:val="sq-AL"/>
              </w:rPr>
              <w:t>NA</w:t>
            </w:r>
          </w:p>
        </w:tc>
        <w:tc>
          <w:tcPr>
            <w:tcW w:w="647" w:type="pct"/>
            <w:tcBorders>
              <w:top w:val="nil"/>
              <w:left w:val="nil"/>
              <w:bottom w:val="single" w:sz="4" w:space="0" w:color="auto"/>
              <w:right w:val="single" w:sz="8" w:space="0" w:color="auto"/>
            </w:tcBorders>
            <w:shd w:val="clear" w:color="auto" w:fill="auto"/>
            <w:vAlign w:val="center"/>
            <w:hideMark/>
          </w:tcPr>
          <w:p w14:paraId="0773AF8B" w14:textId="4BF9A4A1" w:rsidR="00DF7A00" w:rsidRPr="0058349C" w:rsidRDefault="00DF7A00" w:rsidP="00D50688">
            <w:pPr>
              <w:spacing w:after="0" w:line="240" w:lineRule="auto"/>
              <w:jc w:val="right"/>
              <w:rPr>
                <w:rFonts w:ascii="Garamond" w:hAnsi="Garamond" w:cs="Arial"/>
                <w:sz w:val="20"/>
                <w:szCs w:val="20"/>
                <w:lang w:val="sq-AL"/>
              </w:rPr>
            </w:pPr>
            <w:r w:rsidRPr="0058349C">
              <w:rPr>
                <w:rFonts w:ascii="Garamond" w:hAnsi="Garamond" w:cs="Arial"/>
                <w:sz w:val="20"/>
                <w:szCs w:val="20"/>
                <w:lang w:val="sq-AL"/>
              </w:rPr>
              <w:t>2.8</w:t>
            </w:r>
            <w:r w:rsidR="00296CAB">
              <w:rPr>
                <w:rFonts w:ascii="Garamond" w:hAnsi="Garamond" w:cs="Arial"/>
                <w:sz w:val="20"/>
                <w:szCs w:val="20"/>
                <w:lang w:val="sq-AL"/>
              </w:rPr>
              <w:t>–</w:t>
            </w:r>
            <w:r w:rsidRPr="0058349C">
              <w:rPr>
                <w:rFonts w:ascii="Garamond" w:hAnsi="Garamond" w:cs="Arial"/>
                <w:sz w:val="20"/>
                <w:szCs w:val="20"/>
                <w:lang w:val="sq-AL"/>
              </w:rPr>
              <w:t>3.4</w:t>
            </w:r>
          </w:p>
        </w:tc>
        <w:tc>
          <w:tcPr>
            <w:tcW w:w="534" w:type="pct"/>
            <w:tcBorders>
              <w:top w:val="nil"/>
              <w:left w:val="nil"/>
              <w:bottom w:val="single" w:sz="4" w:space="0" w:color="auto"/>
              <w:right w:val="single" w:sz="8" w:space="0" w:color="auto"/>
            </w:tcBorders>
            <w:shd w:val="clear" w:color="auto" w:fill="auto"/>
            <w:vAlign w:val="center"/>
            <w:hideMark/>
          </w:tcPr>
          <w:p w14:paraId="0773AF8C"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Po</w:t>
            </w:r>
          </w:p>
        </w:tc>
      </w:tr>
      <w:tr w:rsidR="00167C37" w:rsidRPr="0058349C" w14:paraId="0773AF97" w14:textId="77777777" w:rsidTr="00167C37">
        <w:trPr>
          <w:trHeight w:val="300"/>
          <w:jc w:val="center"/>
        </w:trPr>
        <w:tc>
          <w:tcPr>
            <w:tcW w:w="581" w:type="pct"/>
            <w:vMerge/>
            <w:tcBorders>
              <w:top w:val="single" w:sz="4" w:space="0" w:color="auto"/>
              <w:left w:val="single" w:sz="4" w:space="0" w:color="auto"/>
              <w:bottom w:val="single" w:sz="4" w:space="0" w:color="auto"/>
              <w:right w:val="single" w:sz="4" w:space="0" w:color="auto"/>
            </w:tcBorders>
            <w:vAlign w:val="center"/>
            <w:hideMark/>
          </w:tcPr>
          <w:p w14:paraId="0773AF8E" w14:textId="77777777" w:rsidR="00DF7A00" w:rsidRPr="0058349C" w:rsidRDefault="00DF7A00" w:rsidP="003D28A7">
            <w:pPr>
              <w:spacing w:after="0" w:line="240" w:lineRule="auto"/>
              <w:jc w:val="both"/>
              <w:rPr>
                <w:rFonts w:ascii="Garamond" w:hAnsi="Garamond" w:cs="Arial"/>
                <w:sz w:val="20"/>
                <w:szCs w:val="20"/>
                <w:lang w:val="sq-AL"/>
              </w:rPr>
            </w:pP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8F"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Vau i Dejës</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90"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1,000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91"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30</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92"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33</w:t>
            </w:r>
          </w:p>
        </w:tc>
        <w:tc>
          <w:tcPr>
            <w:tcW w:w="867" w:type="pct"/>
            <w:tcBorders>
              <w:top w:val="single" w:sz="4" w:space="0" w:color="auto"/>
              <w:left w:val="single" w:sz="4" w:space="0" w:color="auto"/>
              <w:bottom w:val="single" w:sz="4" w:space="0" w:color="auto"/>
              <w:right w:val="single" w:sz="4" w:space="0" w:color="auto"/>
            </w:tcBorders>
            <w:shd w:val="clear" w:color="auto" w:fill="auto"/>
            <w:hideMark/>
          </w:tcPr>
          <w:p w14:paraId="0773AF93"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bCs/>
                <w:sz w:val="20"/>
                <w:szCs w:val="20"/>
                <w:lang w:val="sq-AL"/>
              </w:rPr>
              <w:t>Nuk ka tregues</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94" w14:textId="77777777" w:rsidR="00DF7A00" w:rsidRPr="0058349C" w:rsidRDefault="00DF7A00" w:rsidP="00D50688">
            <w:pPr>
              <w:spacing w:after="0" w:line="240" w:lineRule="auto"/>
              <w:jc w:val="center"/>
              <w:rPr>
                <w:rFonts w:ascii="Garamond" w:hAnsi="Garamond" w:cs="Arial"/>
                <w:sz w:val="20"/>
                <w:szCs w:val="20"/>
                <w:lang w:val="sq-AL"/>
              </w:rPr>
            </w:pPr>
            <w:r w:rsidRPr="0058349C">
              <w:rPr>
                <w:rFonts w:ascii="Garamond" w:hAnsi="Garamond" w:cs="Arial"/>
                <w:sz w:val="20"/>
                <w:szCs w:val="20"/>
                <w:lang w:val="sq-AL"/>
              </w:rPr>
              <w:t>NA</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95" w14:textId="43B29EB4" w:rsidR="00DF7A00" w:rsidRPr="0058349C" w:rsidRDefault="00DF7A00" w:rsidP="00D50688">
            <w:pPr>
              <w:spacing w:after="0" w:line="240" w:lineRule="auto"/>
              <w:jc w:val="right"/>
              <w:rPr>
                <w:rFonts w:ascii="Garamond" w:hAnsi="Garamond" w:cs="Arial"/>
                <w:sz w:val="20"/>
                <w:szCs w:val="20"/>
                <w:lang w:val="sq-AL"/>
              </w:rPr>
            </w:pPr>
            <w:r w:rsidRPr="0058349C">
              <w:rPr>
                <w:rFonts w:ascii="Garamond" w:hAnsi="Garamond" w:cs="Arial"/>
                <w:sz w:val="20"/>
                <w:szCs w:val="20"/>
                <w:lang w:val="sq-AL"/>
              </w:rPr>
              <w:t>3.3</w:t>
            </w:r>
            <w:r w:rsidR="00296CAB">
              <w:rPr>
                <w:rFonts w:ascii="Garamond" w:hAnsi="Garamond" w:cs="Arial"/>
                <w:sz w:val="20"/>
                <w:szCs w:val="20"/>
                <w:lang w:val="sq-AL"/>
              </w:rPr>
              <w:t>–</w:t>
            </w:r>
            <w:r w:rsidRPr="0058349C">
              <w:rPr>
                <w:rFonts w:ascii="Garamond" w:hAnsi="Garamond" w:cs="Arial"/>
                <w:sz w:val="20"/>
                <w:szCs w:val="20"/>
                <w:lang w:val="sq-AL"/>
              </w:rPr>
              <w:t>4.0</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96"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Po</w:t>
            </w:r>
          </w:p>
        </w:tc>
      </w:tr>
      <w:tr w:rsidR="00167C37" w:rsidRPr="0058349C" w14:paraId="0773AFA1" w14:textId="77777777" w:rsidTr="00167C37">
        <w:trPr>
          <w:trHeight w:val="300"/>
          <w:jc w:val="center"/>
        </w:trPr>
        <w:tc>
          <w:tcPr>
            <w:tcW w:w="581" w:type="pct"/>
            <w:vMerge/>
            <w:tcBorders>
              <w:top w:val="single" w:sz="4" w:space="0" w:color="auto"/>
              <w:left w:val="single" w:sz="4" w:space="0" w:color="auto"/>
              <w:bottom w:val="single" w:sz="4" w:space="0" w:color="auto"/>
              <w:right w:val="single" w:sz="4" w:space="0" w:color="auto"/>
            </w:tcBorders>
            <w:vAlign w:val="center"/>
            <w:hideMark/>
          </w:tcPr>
          <w:p w14:paraId="0773AF98" w14:textId="77777777" w:rsidR="00DF7A00" w:rsidRPr="0058349C" w:rsidRDefault="00DF7A00" w:rsidP="003D28A7">
            <w:pPr>
              <w:spacing w:after="0" w:line="240" w:lineRule="auto"/>
              <w:jc w:val="both"/>
              <w:rPr>
                <w:rFonts w:ascii="Garamond" w:hAnsi="Garamond" w:cs="Arial"/>
                <w:sz w:val="20"/>
                <w:szCs w:val="20"/>
                <w:lang w:val="sq-AL"/>
              </w:rPr>
            </w:pP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99"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Vilun</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9A"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280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9B"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30</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9C"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9</w:t>
            </w:r>
          </w:p>
        </w:tc>
        <w:tc>
          <w:tcPr>
            <w:tcW w:w="8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9D"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15</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9E" w14:textId="77777777" w:rsidR="00DF7A00" w:rsidRPr="0058349C" w:rsidRDefault="00DF7A00" w:rsidP="00D50688">
            <w:pPr>
              <w:spacing w:after="0" w:line="240" w:lineRule="auto"/>
              <w:jc w:val="center"/>
              <w:rPr>
                <w:rFonts w:ascii="Garamond" w:hAnsi="Garamond" w:cs="Arial"/>
                <w:sz w:val="20"/>
                <w:szCs w:val="20"/>
                <w:lang w:val="sq-AL"/>
              </w:rPr>
            </w:pPr>
            <w:r w:rsidRPr="0058349C">
              <w:rPr>
                <w:rFonts w:ascii="Garamond" w:hAnsi="Garamond" w:cs="Arial"/>
                <w:sz w:val="20"/>
                <w:szCs w:val="20"/>
                <w:lang w:val="sq-AL"/>
              </w:rPr>
              <w:t>NA</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9F" w14:textId="4AD05FC7" w:rsidR="00DF7A00" w:rsidRPr="0058349C" w:rsidRDefault="00DF7A00" w:rsidP="00D50688">
            <w:pPr>
              <w:spacing w:after="0" w:line="240" w:lineRule="auto"/>
              <w:jc w:val="right"/>
              <w:rPr>
                <w:rFonts w:ascii="Garamond" w:hAnsi="Garamond" w:cs="Arial"/>
                <w:sz w:val="20"/>
                <w:szCs w:val="20"/>
                <w:lang w:val="sq-AL"/>
              </w:rPr>
            </w:pPr>
            <w:r w:rsidRPr="0058349C">
              <w:rPr>
                <w:rFonts w:ascii="Garamond" w:hAnsi="Garamond" w:cs="Arial"/>
                <w:sz w:val="20"/>
                <w:szCs w:val="20"/>
                <w:lang w:val="sq-AL"/>
              </w:rPr>
              <w:t>0.5</w:t>
            </w:r>
            <w:r w:rsidR="00296CAB">
              <w:rPr>
                <w:rFonts w:ascii="Garamond" w:hAnsi="Garamond" w:cs="Arial"/>
                <w:sz w:val="20"/>
                <w:szCs w:val="20"/>
                <w:lang w:val="sq-AL"/>
              </w:rPr>
              <w:t>–</w:t>
            </w:r>
            <w:r w:rsidRPr="0058349C">
              <w:rPr>
                <w:rFonts w:ascii="Garamond" w:hAnsi="Garamond" w:cs="Arial"/>
                <w:sz w:val="20"/>
                <w:szCs w:val="20"/>
                <w:lang w:val="sq-AL"/>
              </w:rPr>
              <w:t>1.1</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A0"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Po</w:t>
            </w:r>
          </w:p>
        </w:tc>
      </w:tr>
      <w:tr w:rsidR="00167C37" w:rsidRPr="0058349C" w14:paraId="0773AFAB" w14:textId="77777777" w:rsidTr="00167C37">
        <w:trPr>
          <w:trHeight w:val="300"/>
          <w:jc w:val="center"/>
        </w:trPr>
        <w:tc>
          <w:tcPr>
            <w:tcW w:w="581" w:type="pct"/>
            <w:vMerge/>
            <w:tcBorders>
              <w:top w:val="single" w:sz="4" w:space="0" w:color="auto"/>
              <w:left w:val="single" w:sz="4" w:space="0" w:color="auto"/>
              <w:bottom w:val="single" w:sz="4" w:space="0" w:color="auto"/>
              <w:right w:val="single" w:sz="4" w:space="0" w:color="auto"/>
            </w:tcBorders>
            <w:vAlign w:val="center"/>
            <w:hideMark/>
          </w:tcPr>
          <w:p w14:paraId="0773AFA2" w14:textId="77777777" w:rsidR="00DF7A00" w:rsidRPr="0058349C" w:rsidRDefault="00DF7A00" w:rsidP="003D28A7">
            <w:pPr>
              <w:spacing w:after="0" w:line="240" w:lineRule="auto"/>
              <w:jc w:val="both"/>
              <w:rPr>
                <w:rFonts w:ascii="Garamond" w:hAnsi="Garamond" w:cs="Arial"/>
                <w:sz w:val="20"/>
                <w:szCs w:val="20"/>
                <w:lang w:val="sq-AL"/>
              </w:rPr>
            </w:pP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A3"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Total</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A4"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30,260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A5"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955</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A6"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32</w:t>
            </w:r>
          </w:p>
        </w:tc>
        <w:tc>
          <w:tcPr>
            <w:tcW w:w="867" w:type="pct"/>
            <w:tcBorders>
              <w:top w:val="single" w:sz="4" w:space="0" w:color="auto"/>
              <w:left w:val="single" w:sz="4" w:space="0" w:color="auto"/>
              <w:bottom w:val="single" w:sz="4" w:space="0" w:color="auto"/>
              <w:right w:val="single" w:sz="4" w:space="0" w:color="auto"/>
            </w:tcBorders>
            <w:shd w:val="clear" w:color="auto" w:fill="auto"/>
            <w:hideMark/>
          </w:tcPr>
          <w:p w14:paraId="0773AFA7"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bCs/>
                <w:sz w:val="20"/>
                <w:szCs w:val="20"/>
                <w:lang w:val="sq-AL"/>
              </w:rPr>
              <w:t>Nuk ka tregues</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A8" w14:textId="77777777" w:rsidR="00DF7A00" w:rsidRPr="0058349C" w:rsidRDefault="00DF7A00" w:rsidP="00D50688">
            <w:pPr>
              <w:spacing w:after="0" w:line="240" w:lineRule="auto"/>
              <w:jc w:val="center"/>
              <w:rPr>
                <w:rFonts w:ascii="Garamond" w:hAnsi="Garamond" w:cs="Arial"/>
                <w:bCs/>
                <w:sz w:val="20"/>
                <w:szCs w:val="20"/>
                <w:lang w:val="sq-AL"/>
              </w:rPr>
            </w:pPr>
            <w:r w:rsidRPr="0058349C">
              <w:rPr>
                <w:rFonts w:ascii="Garamond" w:hAnsi="Garamond" w:cs="Arial"/>
                <w:bCs/>
                <w:sz w:val="20"/>
                <w:szCs w:val="20"/>
                <w:lang w:val="sq-AL"/>
              </w:rPr>
              <w:t>NA</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A9" w14:textId="75221AC4" w:rsidR="00DF7A00" w:rsidRPr="0058349C" w:rsidRDefault="00DF7A00" w:rsidP="00D50688">
            <w:pPr>
              <w:spacing w:after="0" w:line="240" w:lineRule="auto"/>
              <w:jc w:val="right"/>
              <w:rPr>
                <w:rFonts w:ascii="Garamond" w:hAnsi="Garamond" w:cs="Arial"/>
                <w:bCs/>
                <w:sz w:val="20"/>
                <w:szCs w:val="20"/>
                <w:lang w:val="sq-AL"/>
              </w:rPr>
            </w:pPr>
            <w:r w:rsidRPr="0058349C">
              <w:rPr>
                <w:rFonts w:ascii="Garamond" w:hAnsi="Garamond" w:cs="Arial"/>
                <w:bCs/>
                <w:sz w:val="20"/>
                <w:szCs w:val="20"/>
                <w:lang w:val="sq-AL"/>
              </w:rPr>
              <w:t>1.0</w:t>
            </w:r>
            <w:r w:rsidR="00296CAB">
              <w:rPr>
                <w:rFonts w:ascii="Garamond" w:hAnsi="Garamond" w:cs="Arial"/>
                <w:sz w:val="20"/>
                <w:szCs w:val="20"/>
                <w:lang w:val="sq-AL"/>
              </w:rPr>
              <w:t>–</w:t>
            </w:r>
            <w:r w:rsidRPr="0058349C">
              <w:rPr>
                <w:rFonts w:ascii="Garamond" w:hAnsi="Garamond" w:cs="Arial"/>
                <w:bCs/>
                <w:sz w:val="20"/>
                <w:szCs w:val="20"/>
                <w:lang w:val="sq-AL"/>
              </w:rPr>
              <w:t>1.3</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AA"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w:t>
            </w:r>
          </w:p>
        </w:tc>
      </w:tr>
      <w:tr w:rsidR="00167C37" w:rsidRPr="0058349C" w14:paraId="0773AFB5" w14:textId="77777777" w:rsidTr="00167C37">
        <w:trPr>
          <w:trHeight w:val="300"/>
          <w:jc w:val="center"/>
        </w:trPr>
        <w:tc>
          <w:tcPr>
            <w:tcW w:w="58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73AFAC"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Prespa</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AD"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Prespa e Madhe</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AE"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4,940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AF"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78</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B0"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63</w:t>
            </w:r>
          </w:p>
        </w:tc>
        <w:tc>
          <w:tcPr>
            <w:tcW w:w="867" w:type="pct"/>
            <w:tcBorders>
              <w:top w:val="single" w:sz="4" w:space="0" w:color="auto"/>
              <w:left w:val="single" w:sz="4" w:space="0" w:color="auto"/>
              <w:bottom w:val="single" w:sz="4" w:space="0" w:color="auto"/>
              <w:right w:val="single" w:sz="4" w:space="0" w:color="auto"/>
            </w:tcBorders>
            <w:shd w:val="clear" w:color="auto" w:fill="auto"/>
            <w:hideMark/>
          </w:tcPr>
          <w:p w14:paraId="0773AFB1"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bCs/>
                <w:sz w:val="20"/>
                <w:szCs w:val="20"/>
                <w:lang w:val="sq-AL"/>
              </w:rPr>
              <w:t>Nuk ka tregues</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B2" w14:textId="77777777" w:rsidR="00DF7A00" w:rsidRPr="0058349C" w:rsidRDefault="00DF7A00" w:rsidP="00D50688">
            <w:pPr>
              <w:spacing w:after="0" w:line="240" w:lineRule="auto"/>
              <w:jc w:val="center"/>
              <w:rPr>
                <w:rFonts w:ascii="Garamond" w:hAnsi="Garamond" w:cs="Arial"/>
                <w:sz w:val="20"/>
                <w:szCs w:val="20"/>
                <w:lang w:val="sq-AL"/>
              </w:rPr>
            </w:pPr>
            <w:r w:rsidRPr="0058349C">
              <w:rPr>
                <w:rFonts w:ascii="Garamond" w:hAnsi="Garamond" w:cs="Arial"/>
                <w:sz w:val="20"/>
                <w:szCs w:val="20"/>
                <w:lang w:val="sq-AL"/>
              </w:rPr>
              <w:t>0.7</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B3" w14:textId="10B9B61B" w:rsidR="00DF7A00" w:rsidRPr="0058349C" w:rsidRDefault="00DF7A00" w:rsidP="00D50688">
            <w:pPr>
              <w:spacing w:after="0" w:line="240" w:lineRule="auto"/>
              <w:jc w:val="right"/>
              <w:rPr>
                <w:rFonts w:ascii="Garamond" w:hAnsi="Garamond" w:cs="Arial"/>
                <w:sz w:val="20"/>
                <w:szCs w:val="20"/>
                <w:lang w:val="sq-AL"/>
              </w:rPr>
            </w:pPr>
            <w:r w:rsidRPr="0058349C">
              <w:rPr>
                <w:rFonts w:ascii="Garamond" w:hAnsi="Garamond" w:cs="Arial"/>
                <w:sz w:val="20"/>
                <w:szCs w:val="20"/>
                <w:lang w:val="sq-AL"/>
              </w:rPr>
              <w:t>1.0</w:t>
            </w:r>
            <w:r w:rsidR="00296CAB">
              <w:rPr>
                <w:rFonts w:ascii="Garamond" w:hAnsi="Garamond" w:cs="Arial"/>
                <w:sz w:val="20"/>
                <w:szCs w:val="20"/>
                <w:lang w:val="sq-AL"/>
              </w:rPr>
              <w:t>–</w:t>
            </w:r>
            <w:r w:rsidRPr="0058349C">
              <w:rPr>
                <w:rFonts w:ascii="Garamond" w:hAnsi="Garamond" w:cs="Arial"/>
                <w:sz w:val="20"/>
                <w:szCs w:val="20"/>
                <w:lang w:val="sq-AL"/>
              </w:rPr>
              <w:t>1.2</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B4"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Po</w:t>
            </w:r>
          </w:p>
        </w:tc>
      </w:tr>
      <w:tr w:rsidR="00167C37" w:rsidRPr="0058349C" w14:paraId="0773AFBF" w14:textId="77777777" w:rsidTr="00167C37">
        <w:trPr>
          <w:trHeight w:val="300"/>
          <w:jc w:val="center"/>
        </w:trPr>
        <w:tc>
          <w:tcPr>
            <w:tcW w:w="581" w:type="pct"/>
            <w:vMerge/>
            <w:tcBorders>
              <w:top w:val="single" w:sz="4" w:space="0" w:color="auto"/>
              <w:left w:val="single" w:sz="4" w:space="0" w:color="auto"/>
              <w:bottom w:val="single" w:sz="4" w:space="0" w:color="auto"/>
              <w:right w:val="single" w:sz="4" w:space="0" w:color="auto"/>
            </w:tcBorders>
            <w:vAlign w:val="center"/>
            <w:hideMark/>
          </w:tcPr>
          <w:p w14:paraId="0773AFB6" w14:textId="77777777" w:rsidR="00DF7A00" w:rsidRPr="0058349C" w:rsidRDefault="00DF7A00" w:rsidP="003D28A7">
            <w:pPr>
              <w:spacing w:after="0" w:line="240" w:lineRule="auto"/>
              <w:jc w:val="both"/>
              <w:rPr>
                <w:rFonts w:ascii="Garamond" w:hAnsi="Garamond" w:cs="Arial"/>
                <w:bCs/>
                <w:sz w:val="20"/>
                <w:szCs w:val="20"/>
                <w:lang w:val="sq-AL"/>
              </w:rPr>
            </w:pP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B7"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Prespa e Vogël</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B8"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400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B9"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10</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BA"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40</w:t>
            </w:r>
          </w:p>
        </w:tc>
        <w:tc>
          <w:tcPr>
            <w:tcW w:w="867" w:type="pct"/>
            <w:tcBorders>
              <w:top w:val="single" w:sz="4" w:space="0" w:color="auto"/>
              <w:left w:val="single" w:sz="4" w:space="0" w:color="auto"/>
              <w:bottom w:val="single" w:sz="4" w:space="0" w:color="auto"/>
              <w:right w:val="single" w:sz="4" w:space="0" w:color="auto"/>
            </w:tcBorders>
            <w:shd w:val="clear" w:color="auto" w:fill="auto"/>
            <w:hideMark/>
          </w:tcPr>
          <w:p w14:paraId="0773AFBB"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bCs/>
                <w:sz w:val="20"/>
                <w:szCs w:val="20"/>
                <w:lang w:val="sq-AL"/>
              </w:rPr>
              <w:t>Nuk ka tregues</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BC" w14:textId="77777777" w:rsidR="00DF7A00" w:rsidRPr="0058349C" w:rsidRDefault="00DF7A00" w:rsidP="00D50688">
            <w:pPr>
              <w:spacing w:after="0" w:line="240" w:lineRule="auto"/>
              <w:jc w:val="center"/>
              <w:rPr>
                <w:rFonts w:ascii="Garamond" w:hAnsi="Garamond" w:cs="Arial"/>
                <w:sz w:val="20"/>
                <w:szCs w:val="20"/>
                <w:lang w:val="sq-AL"/>
              </w:rPr>
            </w:pPr>
            <w:r w:rsidRPr="0058349C">
              <w:rPr>
                <w:rFonts w:ascii="Garamond" w:hAnsi="Garamond" w:cs="Arial"/>
                <w:sz w:val="20"/>
                <w:szCs w:val="20"/>
                <w:lang w:val="sq-AL"/>
              </w:rPr>
              <w:t>0.5</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BD" w14:textId="77777777" w:rsidR="00DF7A00" w:rsidRPr="0058349C" w:rsidRDefault="00DF7A00" w:rsidP="00D50688">
            <w:pPr>
              <w:spacing w:after="0" w:line="240" w:lineRule="auto"/>
              <w:jc w:val="right"/>
              <w:rPr>
                <w:rFonts w:ascii="Garamond" w:hAnsi="Garamond" w:cs="Arial"/>
                <w:sz w:val="20"/>
                <w:szCs w:val="20"/>
                <w:lang w:val="sq-AL"/>
              </w:rPr>
            </w:pPr>
            <w:r w:rsidRPr="0058349C">
              <w:rPr>
                <w:rFonts w:ascii="Garamond" w:hAnsi="Garamond" w:cs="Arial"/>
                <w:sz w:val="20"/>
                <w:szCs w:val="20"/>
                <w:lang w:val="sq-AL"/>
              </w:rPr>
              <w:t>1.0</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BE"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Po</w:t>
            </w:r>
          </w:p>
        </w:tc>
      </w:tr>
      <w:tr w:rsidR="00167C37" w:rsidRPr="0058349C" w14:paraId="0773AFCA" w14:textId="77777777" w:rsidTr="00167C37">
        <w:trPr>
          <w:trHeight w:val="300"/>
          <w:jc w:val="center"/>
        </w:trPr>
        <w:tc>
          <w:tcPr>
            <w:tcW w:w="5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C0"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Karavasta</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C1"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Divjaka</w:t>
            </w:r>
          </w:p>
          <w:p w14:paraId="0773AFC2"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Total</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C3"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4,100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C4"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40</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C5"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100</w:t>
            </w:r>
          </w:p>
        </w:tc>
        <w:tc>
          <w:tcPr>
            <w:tcW w:w="867" w:type="pct"/>
            <w:tcBorders>
              <w:top w:val="single" w:sz="4" w:space="0" w:color="auto"/>
              <w:left w:val="single" w:sz="4" w:space="0" w:color="auto"/>
              <w:bottom w:val="single" w:sz="4" w:space="0" w:color="auto"/>
              <w:right w:val="single" w:sz="4" w:space="0" w:color="auto"/>
            </w:tcBorders>
            <w:shd w:val="clear" w:color="auto" w:fill="auto"/>
            <w:hideMark/>
          </w:tcPr>
          <w:p w14:paraId="0773AFC6"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bCs/>
                <w:sz w:val="20"/>
                <w:szCs w:val="20"/>
                <w:lang w:val="sq-AL"/>
              </w:rPr>
              <w:t>Nuk ka tregues</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C7" w14:textId="77777777" w:rsidR="00DF7A00" w:rsidRPr="0058349C" w:rsidRDefault="00DF7A00" w:rsidP="00D50688">
            <w:pPr>
              <w:spacing w:after="0" w:line="240" w:lineRule="auto"/>
              <w:jc w:val="center"/>
              <w:rPr>
                <w:rFonts w:ascii="Garamond" w:hAnsi="Garamond" w:cs="Arial"/>
                <w:sz w:val="20"/>
                <w:szCs w:val="20"/>
                <w:lang w:val="sq-AL"/>
              </w:rPr>
            </w:pP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C8" w14:textId="77777777" w:rsidR="00DF7A00" w:rsidRPr="0058349C" w:rsidRDefault="00DF7A00" w:rsidP="00D50688">
            <w:pPr>
              <w:spacing w:after="0" w:line="240" w:lineRule="auto"/>
              <w:jc w:val="right"/>
              <w:rPr>
                <w:rFonts w:ascii="Garamond" w:hAnsi="Garamond" w:cs="Arial"/>
                <w:sz w:val="20"/>
                <w:szCs w:val="20"/>
                <w:lang w:val="sq-AL"/>
              </w:rPr>
            </w:pP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C9"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Po</w:t>
            </w:r>
          </w:p>
        </w:tc>
      </w:tr>
      <w:tr w:rsidR="00167C37" w:rsidRPr="0058349C" w14:paraId="0773AFD4" w14:textId="77777777" w:rsidTr="00167C37">
        <w:trPr>
          <w:trHeight w:val="300"/>
          <w:jc w:val="center"/>
        </w:trPr>
        <w:tc>
          <w:tcPr>
            <w:tcW w:w="5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CB"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Durrësi</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CC"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Total</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CD"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5,340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CE"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88</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CF"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61</w:t>
            </w:r>
          </w:p>
        </w:tc>
        <w:tc>
          <w:tcPr>
            <w:tcW w:w="867" w:type="pct"/>
            <w:tcBorders>
              <w:top w:val="single" w:sz="4" w:space="0" w:color="auto"/>
              <w:left w:val="single" w:sz="4" w:space="0" w:color="auto"/>
              <w:bottom w:val="single" w:sz="4" w:space="0" w:color="auto"/>
              <w:right w:val="single" w:sz="4" w:space="0" w:color="auto"/>
            </w:tcBorders>
            <w:shd w:val="clear" w:color="auto" w:fill="auto"/>
            <w:hideMark/>
          </w:tcPr>
          <w:p w14:paraId="0773AFD0"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bCs/>
                <w:sz w:val="20"/>
                <w:szCs w:val="20"/>
                <w:lang w:val="sq-AL"/>
              </w:rPr>
              <w:t>Nuk ka tregues</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D1" w14:textId="77777777" w:rsidR="00DF7A00" w:rsidRPr="0058349C" w:rsidRDefault="00DF7A00" w:rsidP="00D50688">
            <w:pPr>
              <w:spacing w:after="0" w:line="240" w:lineRule="auto"/>
              <w:jc w:val="center"/>
              <w:rPr>
                <w:rFonts w:ascii="Garamond" w:hAnsi="Garamond" w:cs="Arial"/>
                <w:bCs/>
                <w:sz w:val="20"/>
                <w:szCs w:val="20"/>
                <w:lang w:val="sq-AL"/>
              </w:rPr>
            </w:pPr>
            <w:r w:rsidRPr="0058349C">
              <w:rPr>
                <w:rFonts w:ascii="Garamond" w:hAnsi="Garamond" w:cs="Arial"/>
                <w:bCs/>
                <w:sz w:val="20"/>
                <w:szCs w:val="20"/>
                <w:lang w:val="sq-AL"/>
              </w:rPr>
              <w:t>0.7</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D2" w14:textId="758BE6CA" w:rsidR="00DF7A00" w:rsidRPr="0058349C" w:rsidRDefault="00DF7A00" w:rsidP="00D50688">
            <w:pPr>
              <w:spacing w:after="0" w:line="240" w:lineRule="auto"/>
              <w:jc w:val="right"/>
              <w:rPr>
                <w:rFonts w:ascii="Garamond" w:hAnsi="Garamond" w:cs="Arial"/>
                <w:bCs/>
                <w:sz w:val="20"/>
                <w:szCs w:val="20"/>
                <w:lang w:val="sq-AL"/>
              </w:rPr>
            </w:pPr>
            <w:r w:rsidRPr="0058349C">
              <w:rPr>
                <w:rFonts w:ascii="Garamond" w:hAnsi="Garamond" w:cs="Arial"/>
                <w:bCs/>
                <w:sz w:val="20"/>
                <w:szCs w:val="20"/>
                <w:lang w:val="sq-AL"/>
              </w:rPr>
              <w:t>1.0</w:t>
            </w:r>
            <w:r w:rsidR="00296CAB">
              <w:rPr>
                <w:rFonts w:ascii="Garamond" w:hAnsi="Garamond" w:cs="Arial"/>
                <w:sz w:val="20"/>
                <w:szCs w:val="20"/>
                <w:lang w:val="sq-AL"/>
              </w:rPr>
              <w:t>–</w:t>
            </w:r>
            <w:r w:rsidRPr="0058349C">
              <w:rPr>
                <w:rFonts w:ascii="Garamond" w:hAnsi="Garamond" w:cs="Arial"/>
                <w:bCs/>
                <w:sz w:val="20"/>
                <w:szCs w:val="20"/>
                <w:lang w:val="sq-AL"/>
              </w:rPr>
              <w:t>1.1</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D3"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w:t>
            </w:r>
          </w:p>
        </w:tc>
      </w:tr>
      <w:tr w:rsidR="00167C37" w:rsidRPr="0058349C" w14:paraId="0773AFDE" w14:textId="77777777" w:rsidTr="00167C37">
        <w:trPr>
          <w:trHeight w:val="298"/>
          <w:jc w:val="center"/>
        </w:trPr>
        <w:tc>
          <w:tcPr>
            <w:tcW w:w="5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D5"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Butrinti</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D6"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Total</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D7"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1,600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D8"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150</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D9" w14:textId="77777777" w:rsidR="00DF7A00" w:rsidRPr="0058349C" w:rsidRDefault="00DF7A00" w:rsidP="003D28A7">
            <w:pPr>
              <w:spacing w:after="0" w:line="240" w:lineRule="auto"/>
              <w:jc w:val="both"/>
              <w:rPr>
                <w:rFonts w:ascii="Garamond" w:hAnsi="Garamond" w:cs="Arial"/>
                <w:bCs/>
                <w:sz w:val="20"/>
                <w:szCs w:val="20"/>
                <w:lang w:val="sq-AL"/>
              </w:rPr>
            </w:pPr>
            <w:r w:rsidRPr="0058349C">
              <w:rPr>
                <w:rFonts w:ascii="Garamond" w:hAnsi="Garamond" w:cs="Arial"/>
                <w:bCs/>
                <w:sz w:val="20"/>
                <w:szCs w:val="20"/>
                <w:lang w:val="sq-AL"/>
              </w:rPr>
              <w:t>11</w:t>
            </w:r>
          </w:p>
        </w:tc>
        <w:tc>
          <w:tcPr>
            <w:tcW w:w="867" w:type="pct"/>
            <w:tcBorders>
              <w:top w:val="single" w:sz="4" w:space="0" w:color="auto"/>
              <w:left w:val="single" w:sz="4" w:space="0" w:color="auto"/>
              <w:bottom w:val="single" w:sz="4" w:space="0" w:color="auto"/>
              <w:right w:val="single" w:sz="4" w:space="0" w:color="auto"/>
            </w:tcBorders>
            <w:shd w:val="clear" w:color="auto" w:fill="auto"/>
            <w:hideMark/>
          </w:tcPr>
          <w:p w14:paraId="0773AFDA"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bCs/>
                <w:sz w:val="20"/>
                <w:szCs w:val="20"/>
                <w:lang w:val="sq-AL"/>
              </w:rPr>
              <w:t>Nuk ka tregues</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DB" w14:textId="77777777" w:rsidR="00DF7A00" w:rsidRPr="0058349C" w:rsidRDefault="00DF7A00" w:rsidP="00D50688">
            <w:pPr>
              <w:spacing w:after="0" w:line="240" w:lineRule="auto"/>
              <w:jc w:val="center"/>
              <w:rPr>
                <w:rFonts w:ascii="Garamond" w:hAnsi="Garamond" w:cs="Arial"/>
                <w:bCs/>
                <w:sz w:val="20"/>
                <w:szCs w:val="20"/>
                <w:lang w:val="sq-AL"/>
              </w:rPr>
            </w:pPr>
            <w:r w:rsidRPr="0058349C">
              <w:rPr>
                <w:rFonts w:ascii="Garamond" w:hAnsi="Garamond" w:cs="Arial"/>
                <w:bCs/>
                <w:sz w:val="20"/>
                <w:szCs w:val="20"/>
                <w:lang w:val="sq-AL"/>
              </w:rPr>
              <w:t>0.07</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DC" w14:textId="7717256B" w:rsidR="00DF7A00" w:rsidRPr="0058349C" w:rsidRDefault="00DF7A00" w:rsidP="00D50688">
            <w:pPr>
              <w:spacing w:after="0" w:line="240" w:lineRule="auto"/>
              <w:jc w:val="right"/>
              <w:rPr>
                <w:rFonts w:ascii="Garamond" w:hAnsi="Garamond" w:cs="Arial"/>
                <w:bCs/>
                <w:sz w:val="20"/>
                <w:szCs w:val="20"/>
                <w:lang w:val="sq-AL"/>
              </w:rPr>
            </w:pPr>
            <w:r w:rsidRPr="0058349C">
              <w:rPr>
                <w:rFonts w:ascii="Garamond" w:hAnsi="Garamond" w:cs="Arial"/>
                <w:bCs/>
                <w:sz w:val="20"/>
                <w:szCs w:val="20"/>
                <w:lang w:val="sq-AL"/>
              </w:rPr>
              <w:t>0.2</w:t>
            </w:r>
            <w:r w:rsidR="00296CAB">
              <w:rPr>
                <w:rFonts w:ascii="Garamond" w:hAnsi="Garamond" w:cs="Arial"/>
                <w:sz w:val="20"/>
                <w:szCs w:val="20"/>
                <w:lang w:val="sq-AL"/>
              </w:rPr>
              <w:t>–</w:t>
            </w:r>
            <w:r w:rsidRPr="0058349C">
              <w:rPr>
                <w:rFonts w:ascii="Garamond" w:hAnsi="Garamond" w:cs="Arial"/>
                <w:bCs/>
                <w:sz w:val="20"/>
                <w:szCs w:val="20"/>
                <w:lang w:val="sq-AL"/>
              </w:rPr>
              <w:t>0.4</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3AFDD" w14:textId="77777777" w:rsidR="00DF7A00" w:rsidRPr="0058349C" w:rsidRDefault="00DF7A00" w:rsidP="003D28A7">
            <w:pPr>
              <w:spacing w:after="0" w:line="240" w:lineRule="auto"/>
              <w:jc w:val="both"/>
              <w:rPr>
                <w:rFonts w:ascii="Garamond" w:hAnsi="Garamond" w:cs="Arial"/>
                <w:sz w:val="20"/>
                <w:szCs w:val="20"/>
                <w:lang w:val="sq-AL"/>
              </w:rPr>
            </w:pPr>
            <w:r w:rsidRPr="0058349C">
              <w:rPr>
                <w:rFonts w:ascii="Garamond" w:hAnsi="Garamond" w:cs="Arial"/>
                <w:sz w:val="20"/>
                <w:szCs w:val="20"/>
                <w:lang w:val="sq-AL"/>
              </w:rPr>
              <w:t>Jo</w:t>
            </w:r>
          </w:p>
        </w:tc>
      </w:tr>
    </w:tbl>
    <w:p w14:paraId="0773AFDF" w14:textId="77777777" w:rsidR="00DF7A00" w:rsidRPr="0058349C" w:rsidRDefault="00DF7A00" w:rsidP="00264AE4">
      <w:pPr>
        <w:spacing w:after="0" w:line="240" w:lineRule="auto"/>
        <w:jc w:val="center"/>
        <w:rPr>
          <w:rFonts w:ascii="Garamond" w:hAnsi="Garamond" w:cs="Arial"/>
          <w:sz w:val="24"/>
          <w:szCs w:val="24"/>
          <w:lang w:val="sq-AL"/>
        </w:rPr>
      </w:pPr>
      <w:r w:rsidRPr="0058349C">
        <w:rPr>
          <w:rFonts w:ascii="Garamond" w:hAnsi="Garamond" w:cs="Arial"/>
          <w:sz w:val="24"/>
          <w:szCs w:val="24"/>
          <w:lang w:val="sq-AL"/>
        </w:rPr>
        <w:t>Burimi: MBZHR (2020)</w:t>
      </w:r>
    </w:p>
    <w:p w14:paraId="0773AFE0" w14:textId="77777777" w:rsidR="003D28A7" w:rsidRPr="0058349C" w:rsidRDefault="003D28A7" w:rsidP="00DF7A00">
      <w:pPr>
        <w:spacing w:after="0" w:line="240" w:lineRule="auto"/>
        <w:ind w:firstLine="284"/>
        <w:jc w:val="both"/>
        <w:rPr>
          <w:rFonts w:ascii="Garamond" w:hAnsi="Garamond" w:cs="Arial"/>
          <w:sz w:val="24"/>
          <w:szCs w:val="24"/>
          <w:lang w:val="sq-AL"/>
        </w:rPr>
      </w:pPr>
    </w:p>
    <w:p w14:paraId="0773AFE1" w14:textId="64081360" w:rsidR="00DF7A00" w:rsidRPr="0058349C" w:rsidRDefault="00DF7A00" w:rsidP="00DF7A00">
      <w:pPr>
        <w:spacing w:after="0" w:line="240" w:lineRule="auto"/>
        <w:ind w:firstLine="284"/>
        <w:jc w:val="both"/>
        <w:rPr>
          <w:rFonts w:ascii="Garamond" w:hAnsi="Garamond" w:cs="Arial"/>
          <w:sz w:val="24"/>
          <w:szCs w:val="24"/>
          <w:lang w:val="sq-AL"/>
        </w:rPr>
      </w:pPr>
      <w:r w:rsidRPr="00A81FC0">
        <w:rPr>
          <w:rFonts w:ascii="Garamond" w:hAnsi="Garamond" w:cs="Arial"/>
          <w:sz w:val="24"/>
          <w:szCs w:val="24"/>
          <w:lang w:val="sq-AL"/>
        </w:rPr>
        <w:t xml:space="preserve">Janë dhjetë </w:t>
      </w:r>
      <w:r w:rsidRPr="00A81FC0">
        <w:rPr>
          <w:rFonts w:ascii="Garamond" w:hAnsi="Garamond" w:cs="Arial"/>
          <w:b/>
          <w:sz w:val="24"/>
          <w:szCs w:val="24"/>
          <w:lang w:val="sq-AL"/>
        </w:rPr>
        <w:t>OMP të licencuara nga MBZHR-ja</w:t>
      </w:r>
      <w:r w:rsidRPr="00A81FC0">
        <w:rPr>
          <w:rFonts w:ascii="Garamond" w:hAnsi="Garamond" w:cs="Arial"/>
          <w:sz w:val="24"/>
          <w:szCs w:val="24"/>
          <w:lang w:val="sq-AL"/>
        </w:rPr>
        <w:t xml:space="preserve"> (shih </w:t>
      </w:r>
      <w:r w:rsidR="00FD29DC" w:rsidRPr="00A81FC0">
        <w:rPr>
          <w:rFonts w:ascii="Garamond" w:hAnsi="Garamond" w:cs="Arial"/>
          <w:sz w:val="24"/>
          <w:szCs w:val="24"/>
          <w:lang w:val="sq-AL"/>
        </w:rPr>
        <w:t xml:space="preserve">tabelën </w:t>
      </w:r>
      <w:r w:rsidRPr="00A81FC0">
        <w:rPr>
          <w:rFonts w:ascii="Garamond" w:hAnsi="Garamond" w:cs="Arial"/>
          <w:sz w:val="24"/>
          <w:szCs w:val="24"/>
          <w:lang w:val="sq-AL"/>
        </w:rPr>
        <w:t>3-13), e cila është përgjegjëse për dhënien e lejeve për peshkatarët, mbikëqyrjen e aktiviteteve të tyre të përditshme dhe rregullimin e sezonalitetit të aktivitetit të peshkimit. Një licencë ka vlefshmëri nga 5 deri në 10 vjet. OMP-të lëshojnë leje vjetore për anëtarët e tyre, të cilët në këmbim paguajnë një tarifë vjetore. Liqeni i Shkodrës është më i madhi nga liqenet shqiptare dhe peshkimi menaxhohet nga OMP-ja lokale. Ajo ka 427 anëtarë të organizuar në 210 njësi të përbëra nga dy persona dhe një varkë. Anëtarëve u përcaktohet një pjesë e caktuar e liqenit ku lejohen të peshkojnë, por ata mund të aplikojnë në OMP për të ndryshuar zonën nëse duan të lëvizin në një pjesë tjetër.</w:t>
      </w:r>
    </w:p>
    <w:p w14:paraId="0773AFE2"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lastRenderedPageBreak/>
        <w:t>Detyrat kryesore të nivelit drejtues të OMP-ve përfshijnë rimbushjen e planifikuar të ujërave dhe patrullimin për identifikimin e gjuetarëve pa leje dhe peshkimit të paligjshëm. Kjo është në përputhje me rregullat e BE-së, pasi rimbushja e ujërave të dhëna me qira është detyra e vetme dhe në interesin e vetëm ekonomik të qiramarrësve dhe roli i qeverisë është i kufizuar në mbikëqyrjen dhe zbatimin e kontratave dhe ligjit.</w:t>
      </w:r>
    </w:p>
    <w:p w14:paraId="0773AFE3" w14:textId="520ACE3A" w:rsidR="00DF7A00" w:rsidRPr="0058349C" w:rsidRDefault="00DF7A00" w:rsidP="00A32FD9">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OMP-të e Shkodrës, Ohrit, Prespës dhe Kukësit janë të lidhura me Konfederatën e Organizatave të Peshkimit të Brendshëm (KOPUB) me seli në Shkodër. KOPUB</w:t>
      </w:r>
      <w:r w:rsidR="00521617">
        <w:rPr>
          <w:rFonts w:ascii="Garamond" w:hAnsi="Garamond" w:cs="Arial"/>
          <w:sz w:val="24"/>
          <w:szCs w:val="24"/>
          <w:lang w:val="sq-AL"/>
        </w:rPr>
        <w:t>-ja</w:t>
      </w:r>
      <w:r w:rsidRPr="0058349C">
        <w:rPr>
          <w:rFonts w:ascii="Garamond" w:hAnsi="Garamond" w:cs="Arial"/>
          <w:sz w:val="24"/>
          <w:szCs w:val="24"/>
          <w:lang w:val="sq-AL"/>
        </w:rPr>
        <w:t xml:space="preserve"> ofron një zë uniform, përfaqësim dhe lobim për nënsektorin e peshkimit në ujërat e brendshme. Ka dy organizata të tjera, Konfederata e Prodhuesve të Peshkimit dhe Akuakulturës dhe Shoqata e Investitorëve të Peshkimit në Durrës.</w:t>
      </w:r>
    </w:p>
    <w:p w14:paraId="0773AFE4" w14:textId="6C14D34E"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lang w:val="sq-AL"/>
        </w:rPr>
        <w:t xml:space="preserve">Kriteret </w:t>
      </w:r>
      <w:r w:rsidRPr="00482C6B">
        <w:rPr>
          <w:rFonts w:ascii="Garamond" w:hAnsi="Garamond" w:cs="Arial"/>
          <w:sz w:val="24"/>
          <w:szCs w:val="24"/>
          <w:lang w:val="sq-AL"/>
        </w:rPr>
        <w:t>që</w:t>
      </w:r>
      <w:r w:rsidRPr="0058349C">
        <w:rPr>
          <w:rFonts w:ascii="Garamond" w:hAnsi="Garamond" w:cs="Arial"/>
          <w:sz w:val="24"/>
          <w:szCs w:val="24"/>
          <w:lang w:val="sq-AL"/>
        </w:rPr>
        <w:t xml:space="preserve"> karakterizojnë </w:t>
      </w:r>
      <w:r w:rsidRPr="0058349C">
        <w:rPr>
          <w:rFonts w:ascii="Garamond" w:hAnsi="Garamond" w:cs="Arial"/>
          <w:b/>
          <w:bCs/>
          <w:sz w:val="24"/>
          <w:szCs w:val="24"/>
          <w:lang w:val="sq-AL"/>
        </w:rPr>
        <w:t xml:space="preserve">gatishmërinë </w:t>
      </w:r>
      <w:r w:rsidRPr="00F27FCE">
        <w:rPr>
          <w:rFonts w:ascii="Garamond" w:hAnsi="Garamond" w:cs="Arial"/>
          <w:sz w:val="24"/>
          <w:szCs w:val="24"/>
          <w:lang w:val="sq-AL"/>
        </w:rPr>
        <w:t>për</w:t>
      </w:r>
      <w:r w:rsidRPr="0058349C">
        <w:rPr>
          <w:rFonts w:ascii="Garamond" w:hAnsi="Garamond" w:cs="Arial"/>
          <w:sz w:val="24"/>
          <w:szCs w:val="24"/>
          <w:lang w:val="sq-AL"/>
        </w:rPr>
        <w:t xml:space="preserve"> t</w:t>
      </w:r>
      <w:r w:rsidR="00F27FCE">
        <w:rPr>
          <w:rFonts w:ascii="Garamond" w:hAnsi="Garamond" w:cs="Arial"/>
          <w:sz w:val="24"/>
          <w:szCs w:val="24"/>
          <w:lang w:val="sq-AL"/>
        </w:rPr>
        <w:t>’</w:t>
      </w:r>
      <w:r w:rsidRPr="0058349C">
        <w:rPr>
          <w:rFonts w:ascii="Garamond" w:hAnsi="Garamond" w:cs="Arial"/>
          <w:sz w:val="24"/>
          <w:szCs w:val="24"/>
          <w:lang w:val="sq-AL"/>
        </w:rPr>
        <w:t xml:space="preserve">u konvertuar </w:t>
      </w:r>
      <w:r w:rsidRPr="0058349C">
        <w:rPr>
          <w:rFonts w:ascii="Garamond" w:hAnsi="Garamond" w:cs="Arial"/>
          <w:b/>
          <w:bCs/>
          <w:sz w:val="24"/>
          <w:szCs w:val="24"/>
          <w:lang w:val="sq-AL"/>
        </w:rPr>
        <w:t xml:space="preserve">dhe rruga për konvertimin e OMP në Organizata Prodhuesish </w:t>
      </w:r>
      <w:r w:rsidRPr="0058349C">
        <w:rPr>
          <w:rFonts w:ascii="Garamond" w:hAnsi="Garamond" w:cs="Arial"/>
          <w:bCs/>
          <w:sz w:val="24"/>
          <w:szCs w:val="24"/>
          <w:lang w:val="sq-AL"/>
        </w:rPr>
        <w:t>(OP)</w:t>
      </w:r>
      <w:r w:rsidRPr="0058349C">
        <w:rPr>
          <w:rFonts w:ascii="Garamond" w:hAnsi="Garamond" w:cs="Arial"/>
          <w:b/>
          <w:bCs/>
          <w:sz w:val="24"/>
          <w:szCs w:val="24"/>
          <w:lang w:val="sq-AL"/>
        </w:rPr>
        <w:t xml:space="preserve"> </w:t>
      </w:r>
      <w:r w:rsidRPr="0058349C">
        <w:rPr>
          <w:rFonts w:ascii="Garamond" w:hAnsi="Garamond" w:cs="Arial"/>
          <w:bCs/>
          <w:sz w:val="24"/>
          <w:szCs w:val="24"/>
          <w:lang w:val="sq-AL"/>
        </w:rPr>
        <w:t>dhe Shoqata e Organizatave të Prodhuesve (SHOP) nuk janë përcaktuar ende, duke përfshirë instrumentet për të siguruar njohjen dhe funksionimin e tyre ligjor.</w:t>
      </w:r>
      <w:r w:rsidRPr="00B17E58">
        <w:rPr>
          <w:rFonts w:ascii="Garamond" w:hAnsi="Garamond"/>
          <w:sz w:val="24"/>
          <w:szCs w:val="24"/>
          <w:vertAlign w:val="superscript"/>
        </w:rPr>
        <w:footnoteReference w:id="45"/>
      </w:r>
      <w:r w:rsidRPr="0058349C">
        <w:rPr>
          <w:rFonts w:ascii="Garamond" w:hAnsi="Garamond" w:cs="Arial"/>
          <w:bCs/>
          <w:sz w:val="24"/>
          <w:szCs w:val="24"/>
          <w:lang w:val="sq-AL"/>
        </w:rPr>
        <w:t xml:space="preserve"> Rritja e numrit t</w:t>
      </w:r>
      <w:r w:rsidRPr="0058349C">
        <w:rPr>
          <w:rFonts w:ascii="Garamond" w:hAnsi="Garamond" w:cs="Arial"/>
          <w:sz w:val="24"/>
          <w:szCs w:val="24"/>
          <w:lang w:val="sq-AL"/>
        </w:rPr>
        <w:t>ë</w:t>
      </w:r>
      <w:r w:rsidRPr="0058349C">
        <w:rPr>
          <w:rFonts w:ascii="Garamond" w:hAnsi="Garamond" w:cs="Arial"/>
          <w:bCs/>
          <w:sz w:val="24"/>
          <w:szCs w:val="24"/>
          <w:lang w:val="sq-AL"/>
        </w:rPr>
        <w:t xml:space="preserve"> OP/SHOP</w:t>
      </w:r>
      <w:r w:rsidR="00B17E58">
        <w:rPr>
          <w:rFonts w:ascii="Garamond" w:hAnsi="Garamond" w:cs="Arial"/>
          <w:bCs/>
          <w:sz w:val="24"/>
          <w:szCs w:val="24"/>
          <w:lang w:val="sq-AL"/>
        </w:rPr>
        <w:t>-së</w:t>
      </w:r>
      <w:r w:rsidRPr="0058349C">
        <w:rPr>
          <w:rFonts w:ascii="Garamond" w:hAnsi="Garamond" w:cs="Arial"/>
          <w:bCs/>
          <w:sz w:val="24"/>
          <w:szCs w:val="24"/>
          <w:lang w:val="sq-AL"/>
        </w:rPr>
        <w:t xml:space="preserve"> shoq</w:t>
      </w:r>
      <w:r w:rsidRPr="0058349C">
        <w:rPr>
          <w:rFonts w:ascii="Garamond" w:hAnsi="Garamond" w:cs="Arial"/>
          <w:sz w:val="24"/>
          <w:szCs w:val="24"/>
          <w:lang w:val="sq-AL"/>
        </w:rPr>
        <w:t xml:space="preserve">ëruar </w:t>
      </w:r>
      <w:r w:rsidRPr="0058349C">
        <w:rPr>
          <w:rFonts w:ascii="Garamond" w:hAnsi="Garamond" w:cs="Arial"/>
          <w:bCs/>
          <w:sz w:val="24"/>
          <w:szCs w:val="24"/>
          <w:lang w:val="sq-AL"/>
        </w:rPr>
        <w:t>me kuadrin ligjor të duhur do të sillte efikasitet më të madh dhe menaxhim më të mirë për OMP-të, do të reduktonte kostot e transaksionit dhe do të forconte bashkëpunimin në përpunimin dhe tregtimin e produkteve të tyre</w:t>
      </w:r>
      <w:r w:rsidRPr="00B17E58">
        <w:rPr>
          <w:rFonts w:ascii="Garamond" w:hAnsi="Garamond" w:cs="Arial"/>
          <w:sz w:val="24"/>
          <w:szCs w:val="24"/>
          <w:lang w:val="sq-AL"/>
        </w:rPr>
        <w:t>.</w:t>
      </w:r>
    </w:p>
    <w:p w14:paraId="0773AFE5" w14:textId="583C706E" w:rsidR="00DF7A00" w:rsidRPr="0058349C" w:rsidRDefault="00DF7A00" w:rsidP="00FD719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b/>
          <w:sz w:val="24"/>
          <w:szCs w:val="24"/>
          <w:lang w:val="sq-AL"/>
        </w:rPr>
        <w:t>Peshkimi tregtar detar</w:t>
      </w:r>
      <w:r w:rsidRPr="0058349C">
        <w:rPr>
          <w:rFonts w:ascii="Garamond" w:eastAsia="Arial" w:hAnsi="Garamond" w:cs="Arial"/>
          <w:sz w:val="24"/>
          <w:szCs w:val="24"/>
          <w:lang w:val="sq-AL"/>
        </w:rPr>
        <w:t xml:space="preserve"> është një nga sektorët më të formalizuar të ekonomisë shqiptare, për shkak të skemës së subvencionimit të naftës së peshkimit. Anijet e peshkimit kanë të drejtë për naftë pa akcizë, pa taksë qarkullimi dhe taksë karboni. Gjithashtu</w:t>
      </w:r>
      <w:r w:rsidR="00FD719A">
        <w:rPr>
          <w:rFonts w:ascii="Garamond" w:eastAsia="Arial" w:hAnsi="Garamond" w:cs="Arial"/>
          <w:sz w:val="24"/>
          <w:szCs w:val="24"/>
          <w:lang w:val="sq-AL"/>
        </w:rPr>
        <w:t>,</w:t>
      </w:r>
      <w:r w:rsidRPr="0058349C">
        <w:rPr>
          <w:rFonts w:ascii="Garamond" w:eastAsia="Arial" w:hAnsi="Garamond" w:cs="Arial"/>
          <w:sz w:val="24"/>
          <w:szCs w:val="24"/>
          <w:lang w:val="sq-AL"/>
        </w:rPr>
        <w:t xml:space="preserve"> subjektet për të rimbursuar TVSH-në duhet të shesin prodhimin e tyre përmes faturave tatimore me TVSH</w:t>
      </w:r>
      <w:r w:rsidR="00FD719A">
        <w:rPr>
          <w:rFonts w:ascii="Garamond" w:eastAsia="Arial" w:hAnsi="Garamond" w:cs="Arial"/>
          <w:sz w:val="24"/>
          <w:szCs w:val="24"/>
          <w:lang w:val="sq-AL"/>
        </w:rPr>
        <w:t>-në</w:t>
      </w:r>
      <w:r w:rsidRPr="0058349C">
        <w:rPr>
          <w:rFonts w:ascii="Garamond" w:eastAsia="Arial" w:hAnsi="Garamond" w:cs="Arial"/>
          <w:sz w:val="24"/>
          <w:szCs w:val="24"/>
          <w:lang w:val="sq-AL"/>
        </w:rPr>
        <w:t xml:space="preserve">. Aktualisht </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shtë vendosur sistemi i lëshimit të certifikatave të peshkimit për produktet e peshkimit. Sistemi i Monitorimit të Anijeve me bazë satelitore (SMA) është riaktivizuar dhe është funksional që nga maji 2021. </w:t>
      </w:r>
      <w:r w:rsidRPr="0058349C">
        <w:rPr>
          <w:rFonts w:ascii="Garamond" w:eastAsia="Arial" w:hAnsi="Garamond" w:cs="Arial"/>
          <w:b/>
          <w:sz w:val="24"/>
          <w:szCs w:val="24"/>
          <w:lang w:val="sq-AL"/>
        </w:rPr>
        <w:t>Flota tregtare e peshkimit</w:t>
      </w:r>
      <w:r w:rsidRPr="0058349C">
        <w:rPr>
          <w:rFonts w:ascii="Garamond" w:eastAsia="Arial" w:hAnsi="Garamond" w:cs="Arial"/>
          <w:sz w:val="24"/>
          <w:szCs w:val="24"/>
          <w:lang w:val="sq-AL"/>
        </w:rPr>
        <w:t xml:space="preserve"> detar u rrit nga 651 anije në vitin 2019 në 752 anije në vitin 2021</w:t>
      </w:r>
      <w:r w:rsidR="00FD719A">
        <w:rPr>
          <w:rFonts w:ascii="Garamond" w:eastAsia="Arial" w:hAnsi="Garamond" w:cs="Arial"/>
          <w:sz w:val="24"/>
          <w:szCs w:val="24"/>
          <w:lang w:val="sq-AL"/>
        </w:rPr>
        <w:t>,</w:t>
      </w:r>
      <w:r w:rsidRPr="0058349C">
        <w:rPr>
          <w:rFonts w:ascii="Garamond" w:eastAsia="Arial" w:hAnsi="Garamond" w:cs="Arial"/>
          <w:sz w:val="24"/>
          <w:szCs w:val="24"/>
          <w:lang w:val="sq-AL"/>
        </w:rPr>
        <w:t xml:space="preserve"> sipas Regjistrit Kombëtar të Flotës në MBZHR. Anijet janë në pronësi ose me qira. Shqipëria ka bërë përparim në përmirësimin e statistikave të zbarkimit. Operatorët kryesorë kanë flota prej 10 deri në 15 anije me tonazhe të ndryshme dhe pajisje peshkimi për t</w:t>
      </w:r>
      <w:r w:rsidR="00FD719A">
        <w:rPr>
          <w:rFonts w:ascii="Garamond" w:eastAsia="Arial" w:hAnsi="Garamond" w:cs="Arial"/>
          <w:sz w:val="24"/>
          <w:szCs w:val="24"/>
          <w:lang w:val="sq-AL"/>
        </w:rPr>
        <w:t>’</w:t>
      </w:r>
      <w:r w:rsidRPr="0058349C">
        <w:rPr>
          <w:rFonts w:ascii="Garamond" w:eastAsia="Arial" w:hAnsi="Garamond" w:cs="Arial"/>
          <w:sz w:val="24"/>
          <w:szCs w:val="24"/>
          <w:lang w:val="sq-AL"/>
        </w:rPr>
        <w:t>iu përgjigjur aktiviteteve të ndryshme të peshkimit. Më shumë se 80% e anijeve të peshkimit tregtar me një gjatësi më të vogël se 12 metra janë pa kuvertë dhe me motor jashtë bordit me fuqi deri në 50 k</w:t>
      </w:r>
      <w:r w:rsidR="00FD719A">
        <w:rPr>
          <w:rFonts w:ascii="Garamond" w:eastAsia="Arial" w:hAnsi="Garamond" w:cs="Arial"/>
          <w:sz w:val="24"/>
          <w:szCs w:val="24"/>
          <w:lang w:val="sq-AL"/>
        </w:rPr>
        <w:t>w</w:t>
      </w:r>
      <w:r w:rsidRPr="0058349C">
        <w:rPr>
          <w:rFonts w:ascii="Garamond" w:eastAsia="Arial" w:hAnsi="Garamond" w:cs="Arial"/>
          <w:sz w:val="24"/>
          <w:szCs w:val="24"/>
          <w:lang w:val="sq-AL"/>
        </w:rPr>
        <w:t>. Përveç kësaj, 363 anije tregtare kanë një gjatësi deri në 6 metra.</w:t>
      </w:r>
      <w:r w:rsidRPr="00FD719A">
        <w:rPr>
          <w:rFonts w:ascii="Garamond" w:hAnsi="Garamond"/>
          <w:sz w:val="24"/>
          <w:szCs w:val="24"/>
          <w:vertAlign w:val="superscript"/>
        </w:rPr>
        <w:footnoteReference w:id="46"/>
      </w:r>
    </w:p>
    <w:p w14:paraId="0773AFE6" w14:textId="3776ACAB" w:rsidR="00DF7A00" w:rsidRPr="0058349C" w:rsidRDefault="00DF7A00" w:rsidP="006A45D8">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Megjithëse rritja e numrit të anijeve ka nisur kryesisht që nga viti 2017, </w:t>
      </w:r>
      <w:r w:rsidRPr="0058349C">
        <w:rPr>
          <w:rFonts w:ascii="Garamond" w:eastAsia="Arial" w:hAnsi="Garamond" w:cs="Arial"/>
          <w:b/>
          <w:sz w:val="24"/>
          <w:szCs w:val="24"/>
          <w:lang w:val="sq-AL"/>
        </w:rPr>
        <w:t>flota mesatare shqiptare e peshkimit mbetet e vjetër në krahasim me flotën evropiane</w:t>
      </w:r>
      <w:r w:rsidRPr="0058349C">
        <w:rPr>
          <w:rFonts w:ascii="Garamond" w:eastAsia="Arial" w:hAnsi="Garamond" w:cs="Arial"/>
          <w:sz w:val="24"/>
          <w:szCs w:val="24"/>
          <w:lang w:val="sq-AL"/>
        </w:rPr>
        <w:t>: anijet janë t</w:t>
      </w:r>
      <w:r w:rsidRPr="0058349C">
        <w:rPr>
          <w:rFonts w:ascii="Garamond" w:hAnsi="Garamond" w:cs="Arial"/>
          <w:sz w:val="24"/>
          <w:szCs w:val="24"/>
          <w:lang w:val="sq-AL"/>
        </w:rPr>
        <w:t xml:space="preserve">ë një moshe </w:t>
      </w:r>
      <w:r w:rsidRPr="0058349C">
        <w:rPr>
          <w:rFonts w:ascii="Garamond" w:eastAsia="Arial" w:hAnsi="Garamond" w:cs="Arial"/>
          <w:sz w:val="24"/>
          <w:szCs w:val="24"/>
          <w:lang w:val="sq-AL"/>
        </w:rPr>
        <w:t>mesatare 49</w:t>
      </w:r>
      <w:r w:rsidR="006A45D8">
        <w:rPr>
          <w:rFonts w:ascii="Garamond" w:eastAsia="Arial" w:hAnsi="Garamond" w:cs="Arial"/>
          <w:sz w:val="24"/>
          <w:szCs w:val="24"/>
          <w:lang w:val="sq-AL"/>
        </w:rPr>
        <w:t>-vjeçare</w:t>
      </w:r>
      <w:r w:rsidRPr="0058349C">
        <w:rPr>
          <w:rFonts w:ascii="Garamond" w:eastAsia="Arial" w:hAnsi="Garamond" w:cs="Arial"/>
          <w:sz w:val="24"/>
          <w:szCs w:val="24"/>
          <w:lang w:val="sq-AL"/>
        </w:rPr>
        <w:t>, krahasuar me mosh</w:t>
      </w:r>
      <w:r w:rsidRPr="0058349C">
        <w:rPr>
          <w:rFonts w:ascii="Garamond" w:hAnsi="Garamond" w:cs="Arial"/>
          <w:sz w:val="24"/>
          <w:szCs w:val="24"/>
          <w:lang w:val="sq-AL"/>
        </w:rPr>
        <w:t xml:space="preserve">ën prej </w:t>
      </w:r>
      <w:r w:rsidRPr="0058349C">
        <w:rPr>
          <w:rFonts w:ascii="Garamond" w:eastAsia="Arial" w:hAnsi="Garamond" w:cs="Arial"/>
          <w:sz w:val="24"/>
          <w:szCs w:val="24"/>
          <w:lang w:val="sq-AL"/>
        </w:rPr>
        <w:t>29 vjet në BE, gjë që ndikon negativisht në konkurrencën e tyre dhe ndikimin e tyre në mjedis. Qeveria shqiptare mbështet rinovimin e flotës dhe riparimin e saj me anë të skemave kombëtare të mbështetjes.</w:t>
      </w:r>
    </w:p>
    <w:p w14:paraId="0773AFE7" w14:textId="21FE51AB" w:rsidR="00DF7A00" w:rsidRPr="0058349C" w:rsidRDefault="00DF7A00" w:rsidP="00EC5B43">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Së fundmi, </w:t>
      </w:r>
      <w:r w:rsidRPr="0058349C">
        <w:rPr>
          <w:rFonts w:ascii="Garamond" w:eastAsia="Arial" w:hAnsi="Garamond" w:cs="Arial"/>
          <w:b/>
          <w:sz w:val="24"/>
          <w:szCs w:val="24"/>
          <w:lang w:val="sq-AL"/>
        </w:rPr>
        <w:t>janë miratuar nga Regjistri Detar Shqiptar, katër objekte p</w:t>
      </w:r>
      <w:r w:rsidRPr="00EC5B43">
        <w:rPr>
          <w:rFonts w:ascii="Garamond" w:hAnsi="Garamond" w:cs="Arial"/>
          <w:b/>
          <w:bCs/>
          <w:sz w:val="24"/>
          <w:szCs w:val="24"/>
          <w:lang w:val="sq-AL"/>
        </w:rPr>
        <w:t xml:space="preserve">ër </w:t>
      </w:r>
      <w:r w:rsidRPr="0058349C">
        <w:rPr>
          <w:rFonts w:ascii="Garamond" w:eastAsia="Arial" w:hAnsi="Garamond" w:cs="Arial"/>
          <w:b/>
          <w:sz w:val="24"/>
          <w:szCs w:val="24"/>
          <w:lang w:val="sq-AL"/>
        </w:rPr>
        <w:t>riparimin e</w:t>
      </w:r>
      <w:r w:rsidRPr="0058349C">
        <w:rPr>
          <w:rFonts w:ascii="Garamond" w:hAnsi="Garamond" w:cs="Arial"/>
          <w:sz w:val="24"/>
          <w:szCs w:val="24"/>
          <w:lang w:val="sq-AL"/>
        </w:rPr>
        <w:t xml:space="preserve"> anijeve</w:t>
      </w:r>
      <w:r w:rsidRPr="0058349C">
        <w:rPr>
          <w:rFonts w:ascii="Garamond" w:eastAsia="Arial" w:hAnsi="Garamond" w:cs="Arial"/>
          <w:b/>
          <w:sz w:val="24"/>
          <w:szCs w:val="24"/>
          <w:lang w:val="sq-AL"/>
        </w:rPr>
        <w:t xml:space="preserve"> (të cilat nuk ndodhen në zonën e porteve të peshkimit) të vendosura në qar</w:t>
      </w:r>
      <w:r w:rsidR="00EC5B43">
        <w:rPr>
          <w:rFonts w:ascii="Garamond" w:eastAsia="Arial" w:hAnsi="Garamond" w:cs="Arial"/>
          <w:b/>
          <w:sz w:val="24"/>
          <w:szCs w:val="24"/>
          <w:lang w:val="sq-AL"/>
        </w:rPr>
        <w:t>qet</w:t>
      </w:r>
      <w:r w:rsidRPr="0058349C">
        <w:rPr>
          <w:rFonts w:ascii="Garamond" w:eastAsia="Arial" w:hAnsi="Garamond" w:cs="Arial"/>
          <w:b/>
          <w:sz w:val="24"/>
          <w:szCs w:val="24"/>
          <w:lang w:val="sq-AL"/>
        </w:rPr>
        <w:t xml:space="preserve"> e Durrësit, Vlorës dhe Fierit</w:t>
      </w:r>
      <w:r w:rsidRPr="0058349C">
        <w:rPr>
          <w:rFonts w:ascii="Garamond" w:eastAsia="Arial" w:hAnsi="Garamond" w:cs="Arial"/>
          <w:sz w:val="24"/>
          <w:szCs w:val="24"/>
          <w:lang w:val="sq-AL"/>
        </w:rPr>
        <w:t xml:space="preserve">. Por anijet riparohen akoma në Itali dhe Greqi, që do të thotë kosto shtesë për flotën e vlerësuar në 0.5 milionë </w:t>
      </w:r>
      <w:r w:rsidR="003658F3" w:rsidRPr="0058349C">
        <w:rPr>
          <w:rFonts w:ascii="Garamond" w:eastAsia="Arial" w:hAnsi="Garamond" w:cs="Arial"/>
          <w:sz w:val="24"/>
          <w:szCs w:val="24"/>
          <w:lang w:val="sq-AL"/>
        </w:rPr>
        <w:t xml:space="preserve">euro </w:t>
      </w:r>
      <w:r w:rsidRPr="0058349C">
        <w:rPr>
          <w:rFonts w:ascii="Garamond" w:eastAsia="Arial" w:hAnsi="Garamond" w:cs="Arial"/>
          <w:sz w:val="24"/>
          <w:szCs w:val="24"/>
          <w:lang w:val="sq-AL"/>
        </w:rPr>
        <w:t xml:space="preserve">në vit dhe një humbje e aktivitetit ekonomik për vendin, pasi flota aktive shpenzon rreth 4.3 milionë </w:t>
      </w:r>
      <w:r w:rsidR="003658F3" w:rsidRPr="0058349C">
        <w:rPr>
          <w:rFonts w:ascii="Garamond" w:eastAsia="Arial" w:hAnsi="Garamond" w:cs="Arial"/>
          <w:sz w:val="24"/>
          <w:szCs w:val="24"/>
          <w:lang w:val="sq-AL"/>
        </w:rPr>
        <w:t xml:space="preserve">euro </w:t>
      </w:r>
      <w:r w:rsidRPr="0058349C">
        <w:rPr>
          <w:rFonts w:ascii="Garamond" w:eastAsia="Arial" w:hAnsi="Garamond" w:cs="Arial"/>
          <w:sz w:val="24"/>
          <w:szCs w:val="24"/>
          <w:lang w:val="sq-AL"/>
        </w:rPr>
        <w:t>në vit për riparime jashtë ve</w:t>
      </w:r>
      <w:r w:rsidR="003658F3">
        <w:rPr>
          <w:rFonts w:ascii="Garamond" w:eastAsia="Arial" w:hAnsi="Garamond" w:cs="Arial"/>
          <w:sz w:val="24"/>
          <w:szCs w:val="24"/>
          <w:lang w:val="sq-AL"/>
        </w:rPr>
        <w:t>ndit.</w:t>
      </w:r>
      <w:r w:rsidRPr="003658F3">
        <w:rPr>
          <w:rFonts w:ascii="Garamond" w:hAnsi="Garamond"/>
          <w:sz w:val="24"/>
          <w:szCs w:val="24"/>
          <w:vertAlign w:val="superscript"/>
        </w:rPr>
        <w:footnoteReference w:id="47"/>
      </w:r>
      <w:r w:rsidRPr="003658F3">
        <w:rPr>
          <w:rFonts w:ascii="Garamond" w:hAnsi="Garamond"/>
          <w:sz w:val="24"/>
          <w:szCs w:val="24"/>
          <w:vertAlign w:val="superscript"/>
        </w:rPr>
        <w:t xml:space="preserve"> </w:t>
      </w:r>
      <w:r w:rsidRPr="0058349C">
        <w:rPr>
          <w:rFonts w:ascii="Garamond" w:eastAsia="Arial" w:hAnsi="Garamond" w:cs="Arial"/>
          <w:sz w:val="24"/>
          <w:szCs w:val="24"/>
          <w:lang w:val="sq-AL"/>
        </w:rPr>
        <w:lastRenderedPageBreak/>
        <w:t>Kostot e ndërtimit për një kantier detar p</w:t>
      </w:r>
      <w:r w:rsidRPr="0058349C">
        <w:rPr>
          <w:rFonts w:ascii="Garamond" w:hAnsi="Garamond" w:cs="Arial"/>
          <w:sz w:val="24"/>
          <w:szCs w:val="24"/>
          <w:lang w:val="sq-AL"/>
        </w:rPr>
        <w:t>ër riparimin</w:t>
      </w:r>
      <w:r w:rsidRPr="0058349C">
        <w:rPr>
          <w:rFonts w:ascii="Garamond" w:eastAsia="Arial" w:hAnsi="Garamond" w:cs="Arial"/>
          <w:sz w:val="24"/>
          <w:szCs w:val="24"/>
          <w:lang w:val="sq-AL"/>
        </w:rPr>
        <w:t xml:space="preserve"> janë nga 1 deri në 1.5 milionë </w:t>
      </w:r>
      <w:r w:rsidR="00AA0CD1" w:rsidRPr="0058349C">
        <w:rPr>
          <w:rFonts w:ascii="Garamond" w:eastAsia="Arial" w:hAnsi="Garamond" w:cs="Arial"/>
          <w:sz w:val="24"/>
          <w:szCs w:val="24"/>
          <w:lang w:val="sq-AL"/>
        </w:rPr>
        <w:t>euro</w:t>
      </w:r>
      <w:r w:rsidRPr="0058349C">
        <w:rPr>
          <w:rFonts w:ascii="Garamond" w:eastAsia="Arial" w:hAnsi="Garamond" w:cs="Arial"/>
          <w:sz w:val="24"/>
          <w:szCs w:val="24"/>
          <w:lang w:val="sq-AL"/>
        </w:rPr>
        <w:t>, të cilat jan</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përballuar nga kompanitë private.</w:t>
      </w:r>
    </w:p>
    <w:p w14:paraId="0773AFE8" w14:textId="348FC385"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b/>
          <w:sz w:val="24"/>
          <w:szCs w:val="24"/>
          <w:lang w:val="sq-AL"/>
        </w:rPr>
        <w:t xml:space="preserve">Infrastruktura akoma e pamjaftueshme dhe menaxhimi i porteve me vende të pamjaftueshme zbarkimi </w:t>
      </w:r>
      <w:r w:rsidRPr="0058349C">
        <w:rPr>
          <w:rFonts w:ascii="Garamond" w:eastAsia="Arial" w:hAnsi="Garamond" w:cs="Arial"/>
          <w:sz w:val="24"/>
          <w:szCs w:val="24"/>
          <w:lang w:val="sq-AL"/>
        </w:rPr>
        <w:t>vazhdojnë të jenë pengesë për zhvillimin e sektorit. Flota e peshkimit është e përqendruar në katër portet kryesore të peshkimit Durrës, Vlorë, Sarandë dhe Shëngjin, të ndjekur nga portet e Himarës, Lushnjës dhe Fierit. Portet e peshkimit janë në faza të ndryshme zhvillimi dhe amortizimi. Në Durrës është ndërtuar një port i ri peshkimi, Sigurimi i magazinimit të akullit dhe produkteve të ftohta në porte janë efikase</w:t>
      </w:r>
      <w:r w:rsidR="00AA0CD1">
        <w:rPr>
          <w:rFonts w:ascii="Garamond" w:eastAsia="Arial" w:hAnsi="Garamond" w:cs="Arial"/>
          <w:sz w:val="24"/>
          <w:szCs w:val="24"/>
          <w:lang w:val="sq-AL"/>
        </w:rPr>
        <w:t>,</w:t>
      </w:r>
      <w:r w:rsidRPr="0058349C">
        <w:rPr>
          <w:rFonts w:ascii="Garamond" w:eastAsia="Arial" w:hAnsi="Garamond" w:cs="Arial"/>
          <w:sz w:val="24"/>
          <w:szCs w:val="24"/>
          <w:lang w:val="sq-AL"/>
        </w:rPr>
        <w:t xml:space="preserve"> por duhet të zhvillohen akoma më shumë. </w:t>
      </w:r>
    </w:p>
    <w:p w14:paraId="0773AFE9" w14:textId="77777777" w:rsidR="00DF7A00" w:rsidRPr="0058349C" w:rsidRDefault="00DF7A00" w:rsidP="00DF7A00">
      <w:pPr>
        <w:keepNext/>
        <w:keepLines/>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Prodhimi i peshkut, krustaceve dhe molusqeve nga ujërat e brendshme dhe detare dhe nga akuakultura</w:t>
      </w:r>
    </w:p>
    <w:p w14:paraId="0773AFEA" w14:textId="1A96E78F" w:rsidR="00DF7A00" w:rsidRPr="0058349C" w:rsidRDefault="00DF7A00" w:rsidP="00E235E7">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Sektori i kapje</w:t>
      </w:r>
      <w:r w:rsidR="00AA0CD1">
        <w:rPr>
          <w:rFonts w:ascii="Garamond" w:eastAsia="Arial" w:hAnsi="Garamond" w:cs="Arial"/>
          <w:sz w:val="24"/>
          <w:szCs w:val="24"/>
          <w:lang w:val="sq-AL"/>
        </w:rPr>
        <w:t>s detare dominohet nga blerësit</w:t>
      </w:r>
      <w:r w:rsidR="00797859">
        <w:rPr>
          <w:rFonts w:ascii="Garamond" w:eastAsia="Arial" w:hAnsi="Garamond" w:cs="Arial"/>
          <w:sz w:val="24"/>
          <w:szCs w:val="24"/>
          <w:lang w:val="sq-AL"/>
        </w:rPr>
        <w:t>/</w:t>
      </w:r>
      <w:r w:rsidRPr="0058349C">
        <w:rPr>
          <w:rFonts w:ascii="Garamond" w:eastAsia="Arial" w:hAnsi="Garamond" w:cs="Arial"/>
          <w:sz w:val="24"/>
          <w:szCs w:val="24"/>
          <w:lang w:val="sq-AL"/>
        </w:rPr>
        <w:t xml:space="preserve">përpunuesit kryesorë dhe peshkatarët priren të kenë një pozicion negociues jooptimal. Peshkimi artizanal në </w:t>
      </w:r>
      <w:r w:rsidRPr="0007301C">
        <w:rPr>
          <w:rFonts w:ascii="Garamond" w:eastAsia="Arial" w:hAnsi="Garamond" w:cs="Arial"/>
          <w:sz w:val="24"/>
          <w:szCs w:val="24"/>
          <w:lang w:val="sq-AL"/>
        </w:rPr>
        <w:t>trupat ujorë</w:t>
      </w:r>
      <w:r w:rsidRPr="0058349C">
        <w:rPr>
          <w:rFonts w:ascii="Garamond" w:eastAsia="Arial" w:hAnsi="Garamond" w:cs="Arial"/>
          <w:sz w:val="24"/>
          <w:szCs w:val="24"/>
          <w:lang w:val="sq-AL"/>
        </w:rPr>
        <w:t xml:space="preserve"> bregdetarë, lagunorë dhe në ujërat e brendsh</w:t>
      </w:r>
      <w:r w:rsidR="00E235E7">
        <w:rPr>
          <w:rFonts w:ascii="Garamond" w:eastAsia="Arial" w:hAnsi="Garamond" w:cs="Arial"/>
          <w:sz w:val="24"/>
          <w:szCs w:val="24"/>
          <w:lang w:val="sq-AL"/>
        </w:rPr>
        <w:t>me</w:t>
      </w:r>
      <w:r w:rsidRPr="0058349C">
        <w:rPr>
          <w:rFonts w:ascii="Garamond" w:eastAsia="Arial" w:hAnsi="Garamond" w:cs="Arial"/>
          <w:sz w:val="24"/>
          <w:szCs w:val="24"/>
          <w:lang w:val="sq-AL"/>
        </w:rPr>
        <w:t xml:space="preserve"> kanë mundësi</w:t>
      </w:r>
      <w:r w:rsidR="00CF7694" w:rsidRPr="0058349C">
        <w:rPr>
          <w:rFonts w:ascii="Garamond" w:eastAsia="Arial" w:hAnsi="Garamond" w:cs="Arial"/>
          <w:sz w:val="24"/>
          <w:szCs w:val="24"/>
          <w:lang w:val="sq-AL"/>
        </w:rPr>
        <w:t xml:space="preserve"> </w:t>
      </w:r>
      <w:r w:rsidRPr="0058349C">
        <w:rPr>
          <w:rFonts w:ascii="Garamond" w:eastAsia="Arial" w:hAnsi="Garamond" w:cs="Arial"/>
          <w:sz w:val="24"/>
          <w:szCs w:val="24"/>
          <w:lang w:val="sq-AL"/>
        </w:rPr>
        <w:t>të kufizuar shitjesh, përveç një ose dy blerësve kryesorë. Nuk ekziston një platformë ankandi elektronik që mund të lidhë peshkatarët dhe blerësit e peshkut dhe të sjellë më shumë transparencë në zinxhirin e vlerës, ndërkohë që përjashtohet edhe peshku PPPP</w:t>
      </w:r>
      <w:r w:rsidRPr="0058349C">
        <w:rPr>
          <w:rFonts w:ascii="Garamond" w:hAnsi="Garamond" w:cs="Arial"/>
          <w:sz w:val="24"/>
          <w:szCs w:val="24"/>
          <w:lang w:val="sq-AL"/>
        </w:rPr>
        <w:t>.</w:t>
      </w:r>
      <w:r w:rsidRPr="00370A2A">
        <w:rPr>
          <w:rFonts w:ascii="Garamond" w:hAnsi="Garamond"/>
          <w:sz w:val="24"/>
          <w:szCs w:val="24"/>
          <w:vertAlign w:val="superscript"/>
          <w:lang w:val="sq-AL"/>
        </w:rPr>
        <w:footnoteReference w:id="48"/>
      </w:r>
    </w:p>
    <w:p w14:paraId="0773AFEB" w14:textId="61C3092B" w:rsidR="00DF7A00" w:rsidRPr="0058349C" w:rsidRDefault="00DF7A00" w:rsidP="00370A2A">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Prodhimi i përgjithshëm i peshqve, krustaceve dhe molusqeve (akuakulturë dhe peshkim)</w:t>
      </w:r>
      <w:r w:rsidRPr="0058349C">
        <w:rPr>
          <w:rFonts w:ascii="Garamond" w:hAnsi="Garamond" w:cs="Arial"/>
          <w:sz w:val="24"/>
          <w:szCs w:val="24"/>
          <w:lang w:val="sq-AL"/>
        </w:rPr>
        <w:t xml:space="preserve"> tregoi një rritje mesatare vjetore pozitive prej 6.93% ndërmjet periudhës 2015</w:t>
      </w:r>
      <w:r w:rsidR="00370A2A">
        <w:rPr>
          <w:rFonts w:ascii="Garamond" w:hAnsi="Garamond" w:cs="Arial"/>
          <w:sz w:val="24"/>
          <w:szCs w:val="24"/>
          <w:lang w:val="sq-AL"/>
        </w:rPr>
        <w:t>–</w:t>
      </w:r>
      <w:r w:rsidRPr="0058349C">
        <w:rPr>
          <w:rFonts w:ascii="Garamond" w:hAnsi="Garamond" w:cs="Arial"/>
          <w:sz w:val="24"/>
          <w:szCs w:val="24"/>
          <w:lang w:val="sq-AL"/>
        </w:rPr>
        <w:t>2019 me 11,170 ton</w:t>
      </w:r>
      <w:r w:rsidR="00370A2A">
        <w:rPr>
          <w:rFonts w:ascii="Garamond" w:hAnsi="Garamond" w:cs="Arial"/>
          <w:sz w:val="24"/>
          <w:szCs w:val="24"/>
          <w:lang w:val="sq-AL"/>
        </w:rPr>
        <w:t>ë</w:t>
      </w:r>
      <w:r w:rsidRPr="0058349C">
        <w:rPr>
          <w:rFonts w:ascii="Garamond" w:hAnsi="Garamond" w:cs="Arial"/>
          <w:sz w:val="24"/>
          <w:szCs w:val="24"/>
          <w:lang w:val="sq-AL"/>
        </w:rPr>
        <w:t xml:space="preserve"> në vitin 2015 krahasuar me 15,010 ton</w:t>
      </w:r>
      <w:r w:rsidR="00370A2A" w:rsidRPr="0058349C">
        <w:rPr>
          <w:rFonts w:ascii="Garamond" w:hAnsi="Garamond" w:cs="Arial"/>
          <w:sz w:val="24"/>
          <w:szCs w:val="24"/>
          <w:lang w:val="sq-AL"/>
        </w:rPr>
        <w:t>ë</w:t>
      </w:r>
      <w:r w:rsidRPr="0058349C">
        <w:rPr>
          <w:rFonts w:ascii="Garamond" w:hAnsi="Garamond" w:cs="Arial"/>
          <w:sz w:val="24"/>
          <w:szCs w:val="24"/>
          <w:lang w:val="sq-AL"/>
        </w:rPr>
        <w:t xml:space="preserve"> në vitin 2019, ku rritja mesatare vjetore e akuakulturës ishte dukshëm më e lartë 12.53% krahasuar me peshkimin (peshkimi detar, lagunor dhe në ujërat e brendsh</w:t>
      </w:r>
      <w:r w:rsidR="00370A2A">
        <w:rPr>
          <w:rFonts w:ascii="Garamond" w:hAnsi="Garamond" w:cs="Arial"/>
          <w:sz w:val="24"/>
          <w:szCs w:val="24"/>
          <w:lang w:val="sq-AL"/>
        </w:rPr>
        <w:t>me</w:t>
      </w:r>
      <w:r w:rsidRPr="0058349C">
        <w:rPr>
          <w:rFonts w:ascii="Garamond" w:hAnsi="Garamond" w:cs="Arial"/>
          <w:sz w:val="24"/>
          <w:szCs w:val="24"/>
          <w:lang w:val="sq-AL"/>
        </w:rPr>
        <w:t xml:space="preserve">) me 2.46%. Në të njëjtën periudhë, peshkimi në </w:t>
      </w:r>
      <w:r w:rsidR="000F35FE">
        <w:rPr>
          <w:rFonts w:ascii="Garamond" w:hAnsi="Garamond" w:cs="Arial"/>
          <w:sz w:val="24"/>
          <w:szCs w:val="24"/>
          <w:lang w:val="sq-AL"/>
        </w:rPr>
        <w:t>ujërat e brendshme</w:t>
      </w:r>
      <w:r w:rsidRPr="0058349C">
        <w:rPr>
          <w:rFonts w:ascii="Garamond" w:hAnsi="Garamond" w:cs="Arial"/>
          <w:sz w:val="24"/>
          <w:szCs w:val="24"/>
          <w:lang w:val="sq-AL"/>
        </w:rPr>
        <w:t xml:space="preserve"> tregon një tendencë rritjeje. </w:t>
      </w:r>
    </w:p>
    <w:p w14:paraId="0773AFEC" w14:textId="0717CD00"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Vihet re një rritje vjetore e </w:t>
      </w:r>
      <w:r w:rsidRPr="0058349C">
        <w:rPr>
          <w:rFonts w:ascii="Garamond" w:eastAsia="Arial" w:hAnsi="Garamond" w:cs="Arial"/>
          <w:b/>
          <w:sz w:val="24"/>
          <w:szCs w:val="24"/>
          <w:lang w:val="sq-AL"/>
        </w:rPr>
        <w:t>prodhimit në sektorin e akuakulturës</w:t>
      </w:r>
      <w:r w:rsidRPr="0058349C">
        <w:rPr>
          <w:rFonts w:ascii="Garamond" w:eastAsia="Arial" w:hAnsi="Garamond" w:cs="Arial"/>
          <w:sz w:val="24"/>
          <w:szCs w:val="24"/>
          <w:lang w:val="sq-AL"/>
        </w:rPr>
        <w:t xml:space="preserve">, duke iu përgjigjur edhe kërkesës në rritje të konsumatorëve </w:t>
      </w:r>
      <w:r w:rsidR="00BC084C">
        <w:rPr>
          <w:rFonts w:ascii="Garamond" w:eastAsia="Arial" w:hAnsi="Garamond" w:cs="Arial"/>
          <w:sz w:val="24"/>
          <w:szCs w:val="24"/>
          <w:lang w:val="sq-AL"/>
        </w:rPr>
        <w:t>vendës</w:t>
      </w:r>
      <w:r w:rsidRPr="0058349C">
        <w:rPr>
          <w:rFonts w:ascii="Garamond" w:eastAsia="Arial" w:hAnsi="Garamond" w:cs="Arial"/>
          <w:sz w:val="24"/>
          <w:szCs w:val="24"/>
          <w:lang w:val="sq-AL"/>
        </w:rPr>
        <w:t>, veçanërisht për produktet e peshkut detar, ku kontribuoi edhe zhvillimi i sektorit të turizmit, ndërsa në të njëjtën kohë fermat e marikulturës lider në treg janë kryesisht të orientuara nga eksporti.</w:t>
      </w:r>
    </w:p>
    <w:p w14:paraId="0773AFED" w14:textId="5730E267" w:rsidR="00DF7A00" w:rsidRPr="0058349C" w:rsidRDefault="00DF7A00" w:rsidP="00D51A35">
      <w:pPr>
        <w:spacing w:after="0" w:line="240" w:lineRule="auto"/>
        <w:ind w:firstLine="284"/>
        <w:jc w:val="both"/>
        <w:rPr>
          <w:rFonts w:ascii="Garamond" w:eastAsia="Arial" w:hAnsi="Garamond" w:cs="Arial"/>
          <w:b/>
          <w:bCs/>
          <w:sz w:val="24"/>
          <w:szCs w:val="24"/>
          <w:lang w:val="sq-AL"/>
        </w:rPr>
      </w:pPr>
      <w:r w:rsidRPr="0058349C">
        <w:rPr>
          <w:rFonts w:ascii="Garamond" w:eastAsia="Arial" w:hAnsi="Garamond" w:cs="Arial"/>
          <w:sz w:val="24"/>
          <w:szCs w:val="24"/>
          <w:lang w:val="sq-AL"/>
        </w:rPr>
        <w:t xml:space="preserve">Prodhimi i </w:t>
      </w:r>
      <w:r w:rsidRPr="0058349C">
        <w:rPr>
          <w:rFonts w:ascii="Garamond" w:eastAsia="Arial" w:hAnsi="Garamond" w:cs="Arial"/>
          <w:b/>
          <w:sz w:val="24"/>
          <w:szCs w:val="24"/>
          <w:lang w:val="sq-AL"/>
        </w:rPr>
        <w:t>akuakulturës detare të peshqve të detit</w:t>
      </w:r>
      <w:r w:rsidRPr="0058349C">
        <w:rPr>
          <w:rFonts w:ascii="Garamond" w:eastAsia="Arial" w:hAnsi="Garamond" w:cs="Arial"/>
          <w:sz w:val="24"/>
          <w:szCs w:val="24"/>
          <w:lang w:val="sq-AL"/>
        </w:rPr>
        <w:t xml:space="preserve"> (levreku dhe krapi) ka një tendencë pozitive vjetore prej rreth 5% (nga 800 në 1000 ton</w:t>
      </w:r>
      <w:r w:rsidR="00D36704">
        <w:rPr>
          <w:rFonts w:ascii="Garamond" w:eastAsia="Arial" w:hAnsi="Garamond" w:cs="Arial"/>
          <w:sz w:val="24"/>
          <w:szCs w:val="24"/>
          <w:lang w:val="sq-AL"/>
        </w:rPr>
        <w:t>ë</w:t>
      </w:r>
      <w:r w:rsidRPr="0058349C">
        <w:rPr>
          <w:rFonts w:ascii="Garamond" w:eastAsia="Arial" w:hAnsi="Garamond" w:cs="Arial"/>
          <w:sz w:val="24"/>
          <w:szCs w:val="24"/>
          <w:lang w:val="sq-AL"/>
        </w:rPr>
        <w:t>) përkatësisht 11,10% (nga 1,600 në 2,600 ton) gjatë periudhës 2015</w:t>
      </w:r>
      <w:r w:rsidR="00D36704">
        <w:rPr>
          <w:rFonts w:ascii="Garamond" w:eastAsia="Arial" w:hAnsi="Garamond" w:cs="Arial"/>
          <w:sz w:val="24"/>
          <w:szCs w:val="24"/>
          <w:lang w:val="sq-AL"/>
        </w:rPr>
        <w:t>–</w:t>
      </w:r>
      <w:r w:rsidRPr="0058349C">
        <w:rPr>
          <w:rFonts w:ascii="Garamond" w:eastAsia="Arial" w:hAnsi="Garamond" w:cs="Arial"/>
          <w:sz w:val="24"/>
          <w:szCs w:val="24"/>
          <w:lang w:val="sq-AL"/>
        </w:rPr>
        <w:t xml:space="preserve">2019, në vijim të kërkesave të rritura të konsumatorëve. Ka një polarizim të firmave aktive në sektorin e akuakulturës, të cilat kanë një standard të teknologjisë së lartë, me një sistem të menaxhimit dhe </w:t>
      </w:r>
      <w:r w:rsidR="00D36704">
        <w:rPr>
          <w:rFonts w:ascii="Garamond" w:eastAsia="Arial" w:hAnsi="Garamond" w:cs="Arial"/>
          <w:sz w:val="24"/>
          <w:szCs w:val="24"/>
          <w:lang w:val="sq-AL"/>
        </w:rPr>
        <w:t xml:space="preserve">të </w:t>
      </w:r>
      <w:r w:rsidRPr="0058349C">
        <w:rPr>
          <w:rFonts w:ascii="Garamond" w:eastAsia="Arial" w:hAnsi="Garamond" w:cs="Arial"/>
          <w:sz w:val="24"/>
          <w:szCs w:val="24"/>
          <w:lang w:val="sq-AL"/>
        </w:rPr>
        <w:t xml:space="preserve">monitorimit të prodhimit plotësisht të automatizuar, të mbështetur nga </w:t>
      </w:r>
      <w:r w:rsidRPr="00D51A35">
        <w:rPr>
          <w:rFonts w:ascii="Garamond" w:eastAsia="Arial" w:hAnsi="Garamond" w:cs="Arial"/>
          <w:i/>
          <w:iCs/>
          <w:sz w:val="24"/>
          <w:szCs w:val="24"/>
          <w:lang w:val="sq-AL"/>
        </w:rPr>
        <w:t>soft</w:t>
      </w:r>
      <w:r w:rsidR="00D51A35" w:rsidRPr="00D51A35">
        <w:rPr>
          <w:rFonts w:ascii="Garamond" w:eastAsia="Arial" w:hAnsi="Garamond" w:cs="Arial"/>
          <w:i/>
          <w:iCs/>
          <w:sz w:val="24"/>
          <w:szCs w:val="24"/>
          <w:lang w:val="sq-AL"/>
        </w:rPr>
        <w:t>wa</w:t>
      </w:r>
      <w:r w:rsidRPr="00D51A35">
        <w:rPr>
          <w:rFonts w:ascii="Garamond" w:eastAsia="Arial" w:hAnsi="Garamond" w:cs="Arial"/>
          <w:i/>
          <w:iCs/>
          <w:sz w:val="24"/>
          <w:szCs w:val="24"/>
          <w:lang w:val="sq-AL"/>
        </w:rPr>
        <w:t>re</w:t>
      </w:r>
      <w:r w:rsidRPr="0058349C">
        <w:rPr>
          <w:rFonts w:ascii="Garamond" w:eastAsia="Arial" w:hAnsi="Garamond" w:cs="Arial"/>
          <w:sz w:val="24"/>
          <w:szCs w:val="24"/>
          <w:lang w:val="sq-AL"/>
        </w:rPr>
        <w:t xml:space="preserve"> dhe të paktën një certifikim të cilësisë (Global GAP, pa antibiotikë ose ASC, standardet bazë ISO (p.sh. ISO 9001) ose </w:t>
      </w:r>
      <w:r w:rsidRPr="0058349C">
        <w:rPr>
          <w:rFonts w:ascii="Garamond" w:hAnsi="Garamond"/>
          <w:sz w:val="24"/>
          <w:szCs w:val="24"/>
          <w:lang w:val="sq-AL"/>
        </w:rPr>
        <w:t>HACCP</w:t>
      </w:r>
      <w:r w:rsidRPr="0058349C">
        <w:rPr>
          <w:rFonts w:ascii="Garamond" w:eastAsia="Arial" w:hAnsi="Garamond" w:cs="Arial"/>
          <w:sz w:val="24"/>
          <w:szCs w:val="24"/>
          <w:lang w:val="sq-AL"/>
        </w:rPr>
        <w:t xml:space="preserve">). Nëpërmjet marrëdhënieve të tyre të drejtpërdrejta biznesi me kompanitë e huaja (veçanërisht me ato italiane), marrin edhe mbështetje teknologjike, shërbime dhe inpute, </w:t>
      </w:r>
      <w:r w:rsidRPr="0058349C">
        <w:rPr>
          <w:rFonts w:ascii="Garamond" w:eastAsia="Arial" w:hAnsi="Garamond" w:cs="Arial"/>
          <w:b/>
          <w:sz w:val="24"/>
          <w:szCs w:val="24"/>
          <w:lang w:val="sq-AL"/>
        </w:rPr>
        <w:t>gjë që është jashtëzakonisht e rëndësishme</w:t>
      </w:r>
      <w:r w:rsidR="00D51A35">
        <w:rPr>
          <w:rFonts w:ascii="Garamond" w:eastAsia="Arial" w:hAnsi="Garamond" w:cs="Arial"/>
          <w:b/>
          <w:sz w:val="24"/>
          <w:szCs w:val="24"/>
          <w:lang w:val="sq-AL"/>
        </w:rPr>
        <w:t>,</w:t>
      </w:r>
      <w:r w:rsidRPr="0058349C">
        <w:rPr>
          <w:rFonts w:ascii="Garamond" w:eastAsia="Arial" w:hAnsi="Garamond" w:cs="Arial"/>
          <w:b/>
          <w:sz w:val="24"/>
          <w:szCs w:val="24"/>
          <w:lang w:val="sq-AL"/>
        </w:rPr>
        <w:t xml:space="preserve"> duke pasur parasysh faktin se shërbimet e riparimit dhe </w:t>
      </w:r>
      <w:r w:rsidR="00D51A35">
        <w:rPr>
          <w:rFonts w:ascii="Garamond" w:eastAsia="Arial" w:hAnsi="Garamond" w:cs="Arial"/>
          <w:b/>
          <w:sz w:val="24"/>
          <w:szCs w:val="24"/>
          <w:lang w:val="sq-AL"/>
        </w:rPr>
        <w:t xml:space="preserve">të </w:t>
      </w:r>
      <w:r w:rsidRPr="0058349C">
        <w:rPr>
          <w:rFonts w:ascii="Garamond" w:eastAsia="Arial" w:hAnsi="Garamond" w:cs="Arial"/>
          <w:b/>
          <w:sz w:val="24"/>
          <w:szCs w:val="24"/>
          <w:lang w:val="sq-AL"/>
        </w:rPr>
        <w:t>mirëmbajtjes, por edhe ushqimi i peshkut dhe rasatet e peshkut të prodhuar në vend, janë në mungesë dhe përbëjnë kostot kryesore në biznes</w:t>
      </w:r>
      <w:r w:rsidRPr="0058349C">
        <w:rPr>
          <w:rFonts w:ascii="Garamond" w:eastAsia="Arial" w:hAnsi="Garamond" w:cs="Arial"/>
          <w:b/>
          <w:bCs/>
          <w:sz w:val="24"/>
          <w:szCs w:val="24"/>
          <w:lang w:val="sq-AL"/>
        </w:rPr>
        <w:t>.</w:t>
      </w:r>
      <w:r w:rsidRPr="00B1288D">
        <w:rPr>
          <w:rFonts w:ascii="Garamond" w:hAnsi="Garamond"/>
          <w:sz w:val="24"/>
          <w:szCs w:val="24"/>
          <w:vertAlign w:val="superscript"/>
        </w:rPr>
        <w:footnoteReference w:id="49"/>
      </w:r>
    </w:p>
    <w:p w14:paraId="0773AFEE" w14:textId="034A0B23" w:rsidR="00DF7A00" w:rsidRPr="0058349C" w:rsidRDefault="00DF7A00" w:rsidP="007B51D4">
      <w:pPr>
        <w:spacing w:after="0" w:line="240" w:lineRule="auto"/>
        <w:ind w:firstLine="284"/>
        <w:jc w:val="both"/>
        <w:rPr>
          <w:rFonts w:ascii="Garamond" w:hAnsi="Garamond" w:cs="Arial"/>
          <w:sz w:val="24"/>
          <w:szCs w:val="24"/>
          <w:lang w:val="sq-AL"/>
        </w:rPr>
      </w:pPr>
      <w:r w:rsidRPr="0058349C">
        <w:rPr>
          <w:rFonts w:ascii="Garamond" w:eastAsia="Arial" w:hAnsi="Garamond" w:cs="Arial"/>
          <w:sz w:val="24"/>
          <w:szCs w:val="24"/>
          <w:lang w:val="sq-AL"/>
        </w:rPr>
        <w:t xml:space="preserve">Në nënsektorin e </w:t>
      </w:r>
      <w:r w:rsidRPr="0058349C">
        <w:rPr>
          <w:rFonts w:ascii="Garamond" w:eastAsia="Arial" w:hAnsi="Garamond" w:cs="Arial"/>
          <w:b/>
          <w:sz w:val="24"/>
          <w:szCs w:val="24"/>
          <w:lang w:val="sq-AL"/>
        </w:rPr>
        <w:t xml:space="preserve">akuakulturës në </w:t>
      </w:r>
      <w:r w:rsidR="000F35FE">
        <w:rPr>
          <w:rFonts w:ascii="Garamond" w:eastAsia="Arial" w:hAnsi="Garamond" w:cs="Arial"/>
          <w:b/>
          <w:sz w:val="24"/>
          <w:szCs w:val="24"/>
          <w:lang w:val="sq-AL"/>
        </w:rPr>
        <w:t>ujërat e brendshme</w:t>
      </w:r>
      <w:r w:rsidRPr="00B1288D">
        <w:rPr>
          <w:rFonts w:ascii="Garamond" w:hAnsi="Garamond"/>
          <w:sz w:val="24"/>
          <w:szCs w:val="24"/>
          <w:vertAlign w:val="superscript"/>
        </w:rPr>
        <w:footnoteReference w:id="50"/>
      </w:r>
      <w:r w:rsidRPr="0058349C">
        <w:rPr>
          <w:rFonts w:ascii="Garamond" w:eastAsia="Arial" w:hAnsi="Garamond" w:cs="Arial"/>
          <w:sz w:val="24"/>
          <w:szCs w:val="24"/>
          <w:lang w:val="sq-AL"/>
        </w:rPr>
        <w:t>, fermat e vogla të akuakulturës familjare (përfshirë fermat e pa licencuara) vlerësohen të prodhojnë midis 600 dhe 700 ton</w:t>
      </w:r>
      <w:r w:rsidR="007B51D4">
        <w:rPr>
          <w:rFonts w:ascii="Garamond" w:eastAsia="Arial" w:hAnsi="Garamond" w:cs="Arial"/>
          <w:sz w:val="24"/>
          <w:szCs w:val="24"/>
          <w:lang w:val="sq-AL"/>
        </w:rPr>
        <w:t>ë</w:t>
      </w:r>
      <w:r w:rsidRPr="0058349C">
        <w:rPr>
          <w:rFonts w:ascii="Garamond" w:eastAsia="Arial" w:hAnsi="Garamond" w:cs="Arial"/>
          <w:sz w:val="24"/>
          <w:szCs w:val="24"/>
          <w:lang w:val="sq-AL"/>
        </w:rPr>
        <w:t xml:space="preserve"> (2015 - 2019) </w:t>
      </w:r>
      <w:r w:rsidRPr="0058349C">
        <w:rPr>
          <w:rFonts w:ascii="Garamond" w:eastAsia="Arial" w:hAnsi="Garamond" w:cs="Arial"/>
          <w:b/>
          <w:sz w:val="24"/>
          <w:szCs w:val="24"/>
          <w:lang w:val="sq-AL"/>
        </w:rPr>
        <w:t>troftë</w:t>
      </w:r>
      <w:r w:rsidRPr="0058349C">
        <w:rPr>
          <w:rFonts w:ascii="Garamond" w:eastAsia="Arial" w:hAnsi="Garamond" w:cs="Arial"/>
          <w:sz w:val="24"/>
          <w:szCs w:val="24"/>
          <w:lang w:val="sq-AL"/>
        </w:rPr>
        <w:t xml:space="preserve"> ylber në vit</w:t>
      </w:r>
      <w:r w:rsidRPr="007B51D4">
        <w:rPr>
          <w:rFonts w:ascii="Garamond" w:hAnsi="Garamond"/>
          <w:sz w:val="24"/>
          <w:szCs w:val="24"/>
          <w:vertAlign w:val="superscript"/>
        </w:rPr>
        <w:footnoteReference w:id="51"/>
      </w:r>
      <w:r w:rsidRPr="007B51D4">
        <w:rPr>
          <w:sz w:val="24"/>
          <w:szCs w:val="24"/>
        </w:rPr>
        <w:t>.</w:t>
      </w:r>
      <w:r w:rsidRPr="0058349C">
        <w:rPr>
          <w:rFonts w:ascii="Garamond" w:eastAsia="Arial" w:hAnsi="Garamond" w:cs="Arial"/>
          <w:sz w:val="24"/>
          <w:szCs w:val="24"/>
          <w:lang w:val="sq-AL"/>
        </w:rPr>
        <w:t xml:space="preserve"> Në vitin 2018, prodhimi është më shumë se dyfishuar (nga 700 në 1,850 ton</w:t>
      </w:r>
      <w:r w:rsidR="007B51D4">
        <w:rPr>
          <w:rFonts w:ascii="Garamond" w:eastAsia="Arial" w:hAnsi="Garamond" w:cs="Arial"/>
          <w:sz w:val="24"/>
          <w:szCs w:val="24"/>
          <w:lang w:val="sq-AL"/>
        </w:rPr>
        <w:t>ë</w:t>
      </w:r>
      <w:r w:rsidRPr="0058349C">
        <w:rPr>
          <w:rFonts w:ascii="Garamond" w:eastAsia="Arial" w:hAnsi="Garamond" w:cs="Arial"/>
          <w:sz w:val="24"/>
          <w:szCs w:val="24"/>
          <w:lang w:val="sq-AL"/>
        </w:rPr>
        <w:t>) përmes një objekti të ri të madh të akuakulturës në kafaz</w:t>
      </w:r>
      <w:r w:rsidR="004B2BBF">
        <w:rPr>
          <w:rFonts w:ascii="Garamond" w:eastAsia="Arial" w:hAnsi="Garamond" w:cs="Arial"/>
          <w:sz w:val="24"/>
          <w:szCs w:val="24"/>
          <w:lang w:val="sq-AL"/>
        </w:rPr>
        <w:t>,</w:t>
      </w:r>
      <w:r w:rsidRPr="0058349C">
        <w:rPr>
          <w:rFonts w:ascii="Garamond" w:eastAsia="Arial" w:hAnsi="Garamond" w:cs="Arial"/>
          <w:sz w:val="24"/>
          <w:szCs w:val="24"/>
          <w:lang w:val="sq-AL"/>
        </w:rPr>
        <w:t xml:space="preserve"> në një liqen artificial </w:t>
      </w:r>
      <w:r w:rsidRPr="0058349C">
        <w:rPr>
          <w:rFonts w:ascii="Garamond" w:eastAsia="Arial" w:hAnsi="Garamond" w:cs="Arial"/>
          <w:sz w:val="24"/>
          <w:szCs w:val="24"/>
          <w:lang w:val="sq-AL"/>
        </w:rPr>
        <w:lastRenderedPageBreak/>
        <w:t>hidroenergjetik. Ky stabiliment është kryesisht e orientuar nga eksporti dhe është e vetmja fermë akuakulture me ujëra të brendshme me standarde të certifikuara të cilësisë</w:t>
      </w:r>
      <w:r w:rsidRPr="0058349C">
        <w:rPr>
          <w:rFonts w:ascii="Garamond" w:hAnsi="Garamond" w:cs="Arial"/>
          <w:sz w:val="24"/>
          <w:szCs w:val="24"/>
          <w:lang w:val="sq-AL"/>
        </w:rPr>
        <w:t>.</w:t>
      </w:r>
    </w:p>
    <w:p w14:paraId="0773AFEF" w14:textId="4C689A6A" w:rsidR="00DF7A00" w:rsidRPr="0058349C" w:rsidRDefault="00DF7A00" w:rsidP="006E01CC">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Një program kombëtar për ripopullimin me peshq</w:t>
      </w:r>
      <w:r w:rsidRPr="0058349C">
        <w:rPr>
          <w:rFonts w:ascii="Garamond" w:hAnsi="Garamond" w:cs="Arial"/>
          <w:sz w:val="24"/>
          <w:szCs w:val="24"/>
          <w:lang w:val="sq-AL"/>
        </w:rPr>
        <w:t xml:space="preserve"> fokusohet në troftën e Ohrit (</w:t>
      </w:r>
      <w:r w:rsidRPr="0058349C">
        <w:rPr>
          <w:rFonts w:ascii="Garamond" w:hAnsi="Garamond" w:cs="Arial"/>
          <w:i/>
          <w:sz w:val="24"/>
          <w:szCs w:val="24"/>
          <w:lang w:val="sq-AL"/>
        </w:rPr>
        <w:t>Salmo letnica</w:t>
      </w:r>
      <w:r w:rsidRPr="0058349C">
        <w:rPr>
          <w:rFonts w:ascii="Garamond" w:hAnsi="Garamond" w:cs="Arial"/>
          <w:sz w:val="24"/>
          <w:szCs w:val="24"/>
          <w:lang w:val="sq-AL"/>
        </w:rPr>
        <w:t>) në liqenin e Ohrit me rreth 1.5 milion</w:t>
      </w:r>
      <w:r w:rsidR="006E01CC">
        <w:rPr>
          <w:rFonts w:ascii="Garamond" w:hAnsi="Garamond" w:cs="Arial"/>
          <w:sz w:val="24"/>
          <w:szCs w:val="24"/>
          <w:lang w:val="sq-AL"/>
        </w:rPr>
        <w:t>ë</w:t>
      </w:r>
      <w:r w:rsidRPr="0058349C">
        <w:rPr>
          <w:rFonts w:ascii="Garamond" w:hAnsi="Garamond" w:cs="Arial"/>
          <w:sz w:val="24"/>
          <w:szCs w:val="24"/>
          <w:lang w:val="sq-AL"/>
        </w:rPr>
        <w:t xml:space="preserve"> rasate (në vitin 2019). </w:t>
      </w:r>
      <w:r w:rsidRPr="0058349C">
        <w:rPr>
          <w:rFonts w:ascii="Garamond" w:hAnsi="Garamond" w:cs="Arial"/>
          <w:b/>
          <w:sz w:val="24"/>
          <w:szCs w:val="24"/>
          <w:lang w:val="sq-AL"/>
        </w:rPr>
        <w:t>Prodhimi i krapit</w:t>
      </w:r>
      <w:r w:rsidRPr="0058349C">
        <w:rPr>
          <w:rFonts w:ascii="Garamond" w:hAnsi="Garamond" w:cs="Arial"/>
          <w:sz w:val="24"/>
          <w:szCs w:val="24"/>
          <w:lang w:val="sq-AL"/>
        </w:rPr>
        <w:t xml:space="preserve"> ka shfaqur një tendencë </w:t>
      </w:r>
      <w:r w:rsidR="006E01CC">
        <w:rPr>
          <w:rFonts w:ascii="Garamond" w:hAnsi="Garamond" w:cs="Arial"/>
          <w:sz w:val="24"/>
          <w:szCs w:val="24"/>
          <w:lang w:val="sq-AL"/>
        </w:rPr>
        <w:t>stabilizim gjatë periudhës 2015–</w:t>
      </w:r>
      <w:r w:rsidRPr="0058349C">
        <w:rPr>
          <w:rFonts w:ascii="Garamond" w:hAnsi="Garamond" w:cs="Arial"/>
          <w:sz w:val="24"/>
          <w:szCs w:val="24"/>
          <w:lang w:val="sq-AL"/>
        </w:rPr>
        <w:t>2019, e cila reflekton kërkesën e konsumatorëve vend</w:t>
      </w:r>
      <w:r w:rsidR="00167C37" w:rsidRPr="0058349C">
        <w:rPr>
          <w:rFonts w:ascii="Garamond" w:hAnsi="Garamond" w:cs="Arial"/>
          <w:sz w:val="24"/>
          <w:szCs w:val="24"/>
          <w:lang w:val="sq-AL"/>
        </w:rPr>
        <w:t>ë</w:t>
      </w:r>
      <w:r w:rsidRPr="0058349C">
        <w:rPr>
          <w:rFonts w:ascii="Garamond" w:hAnsi="Garamond" w:cs="Arial"/>
          <w:sz w:val="24"/>
          <w:szCs w:val="24"/>
          <w:lang w:val="sq-AL"/>
        </w:rPr>
        <w:t>s të orientuar drejt krapit të madh (≥ 3.5 kg). Dy inkubatorë operativ</w:t>
      </w:r>
      <w:r w:rsidR="006E01CC">
        <w:rPr>
          <w:rFonts w:ascii="Garamond" w:hAnsi="Garamond" w:cs="Arial"/>
          <w:sz w:val="24"/>
          <w:szCs w:val="24"/>
          <w:lang w:val="sq-AL"/>
        </w:rPr>
        <w:t>ë</w:t>
      </w:r>
      <w:r w:rsidRPr="0058349C">
        <w:rPr>
          <w:rFonts w:ascii="Garamond" w:hAnsi="Garamond" w:cs="Arial"/>
          <w:sz w:val="24"/>
          <w:szCs w:val="24"/>
          <w:lang w:val="sq-AL"/>
        </w:rPr>
        <w:t xml:space="preserve"> të krapit kanë një sipërfaqe prej 20 ha dhe një prodhim vjetor prej rreth 2 milionë rasate</w:t>
      </w:r>
      <w:r w:rsidR="006E01CC">
        <w:rPr>
          <w:rFonts w:ascii="Garamond" w:hAnsi="Garamond" w:cs="Arial"/>
          <w:sz w:val="24"/>
          <w:szCs w:val="24"/>
          <w:lang w:val="sq-AL"/>
        </w:rPr>
        <w:t>sh</w:t>
      </w:r>
      <w:r w:rsidRPr="0058349C">
        <w:rPr>
          <w:rFonts w:ascii="Garamond" w:hAnsi="Garamond" w:cs="Arial"/>
          <w:sz w:val="24"/>
          <w:szCs w:val="24"/>
          <w:lang w:val="sq-AL"/>
        </w:rPr>
        <w:t xml:space="preserve"> (krapi i zakonshëm, krapi i barit, krapi ballgjer dhe krapi i argjendtë). Ekzistojnë dy inkubatorë mbarështimi të vogla publike të tjera (6.5 ha) me prodhimin vjetor të 300.000 rasate të krapit të zakonshëm</w:t>
      </w:r>
      <w:r w:rsidR="00785A70">
        <w:rPr>
          <w:rFonts w:ascii="Garamond" w:hAnsi="Garamond" w:cs="Arial"/>
          <w:sz w:val="24"/>
          <w:szCs w:val="24"/>
          <w:lang w:val="sq-AL"/>
        </w:rPr>
        <w:t>,</w:t>
      </w:r>
      <w:r w:rsidRPr="0058349C">
        <w:rPr>
          <w:rFonts w:ascii="Garamond" w:hAnsi="Garamond" w:cs="Arial"/>
          <w:sz w:val="24"/>
          <w:szCs w:val="24"/>
          <w:lang w:val="sq-AL"/>
        </w:rPr>
        <w:t xml:space="preserve"> si pjesë e një programi kombëtar të ripopullimit të liqenit të Prespës. </w:t>
      </w:r>
    </w:p>
    <w:p w14:paraId="0773AFF0" w14:textId="0FAB85D0"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 xml:space="preserve">Peshkimi në </w:t>
      </w:r>
      <w:r w:rsidR="000F35FE">
        <w:rPr>
          <w:rFonts w:ascii="Garamond" w:hAnsi="Garamond" w:cs="Arial"/>
          <w:b/>
          <w:sz w:val="24"/>
          <w:szCs w:val="24"/>
          <w:lang w:val="sq-AL"/>
        </w:rPr>
        <w:t>ujërat e brendshme</w:t>
      </w:r>
      <w:r w:rsidRPr="0058349C">
        <w:rPr>
          <w:rFonts w:ascii="Garamond" w:hAnsi="Garamond" w:cs="Arial"/>
          <w:sz w:val="24"/>
          <w:szCs w:val="24"/>
          <w:lang w:val="sq-AL"/>
        </w:rPr>
        <w:t xml:space="preserve"> dominohet nga specie të familjes së krapit, të cilët tregojnë një tendencë rritjeje vjetore prej 7,12% (midis 460 dhe 653 ton), 9,29% (midis 364 dhe 538 ton</w:t>
      </w:r>
      <w:r w:rsidR="00785A70">
        <w:rPr>
          <w:rFonts w:ascii="Garamond" w:hAnsi="Garamond" w:cs="Arial"/>
          <w:sz w:val="24"/>
          <w:szCs w:val="24"/>
          <w:lang w:val="sq-AL"/>
        </w:rPr>
        <w:t>ë</w:t>
      </w:r>
      <w:r w:rsidRPr="0058349C">
        <w:rPr>
          <w:rFonts w:ascii="Garamond" w:hAnsi="Garamond" w:cs="Arial"/>
          <w:sz w:val="24"/>
          <w:szCs w:val="24"/>
          <w:lang w:val="sq-AL"/>
        </w:rPr>
        <w:t>) dhe 20,18% (ndërmjet 4,18%. dhe 523 ton</w:t>
      </w:r>
      <w:r w:rsidR="00785A70">
        <w:rPr>
          <w:rFonts w:ascii="Garamond" w:hAnsi="Garamond" w:cs="Arial"/>
          <w:sz w:val="24"/>
          <w:szCs w:val="24"/>
          <w:lang w:val="sq-AL"/>
        </w:rPr>
        <w:t>ë</w:t>
      </w:r>
      <w:r w:rsidRPr="0058349C">
        <w:rPr>
          <w:rFonts w:ascii="Garamond" w:hAnsi="Garamond" w:cs="Arial"/>
          <w:sz w:val="24"/>
          <w:szCs w:val="24"/>
          <w:lang w:val="sq-AL"/>
        </w:rPr>
        <w:t>) përkatësisht në periudhën 2015</w:t>
      </w:r>
      <w:r w:rsidR="00785A70">
        <w:rPr>
          <w:rFonts w:ascii="Garamond" w:hAnsi="Garamond" w:cs="Arial"/>
          <w:sz w:val="24"/>
          <w:szCs w:val="24"/>
          <w:lang w:val="sq-AL"/>
        </w:rPr>
        <w:t>–</w:t>
      </w:r>
      <w:r w:rsidRPr="0058349C">
        <w:rPr>
          <w:rFonts w:ascii="Garamond" w:hAnsi="Garamond" w:cs="Arial"/>
          <w:sz w:val="24"/>
          <w:szCs w:val="24"/>
          <w:lang w:val="sq-AL"/>
        </w:rPr>
        <w:t>2019. Kapjet e perkës (evropiane) tregojnë normën më të lartë të rritjes vjetore prej 36,39% mesatarisht</w:t>
      </w:r>
      <w:r w:rsidR="00785A70">
        <w:rPr>
          <w:rFonts w:ascii="Garamond" w:hAnsi="Garamond" w:cs="Arial"/>
          <w:sz w:val="24"/>
          <w:szCs w:val="24"/>
          <w:lang w:val="sq-AL"/>
        </w:rPr>
        <w:t>,</w:t>
      </w:r>
      <w:r w:rsidRPr="0058349C">
        <w:rPr>
          <w:rFonts w:ascii="Garamond" w:hAnsi="Garamond" w:cs="Arial"/>
          <w:sz w:val="24"/>
          <w:szCs w:val="24"/>
          <w:lang w:val="sq-AL"/>
        </w:rPr>
        <w:t xml:space="preserve"> por me një sasi më të ulët (nga 19 në 189 ton</w:t>
      </w:r>
      <w:r w:rsidR="00785A70">
        <w:rPr>
          <w:rFonts w:ascii="Garamond" w:hAnsi="Garamond" w:cs="Arial"/>
          <w:sz w:val="24"/>
          <w:szCs w:val="24"/>
          <w:lang w:val="sq-AL"/>
        </w:rPr>
        <w:t>ë</w:t>
      </w:r>
      <w:r w:rsidRPr="0058349C">
        <w:rPr>
          <w:rFonts w:ascii="Garamond" w:hAnsi="Garamond" w:cs="Arial"/>
          <w:sz w:val="24"/>
          <w:szCs w:val="24"/>
          <w:lang w:val="sq-AL"/>
        </w:rPr>
        <w:t>) në të njëjtën periudhë. Lloje të tjera të ruajtura janë krapi i argjendtë, gjuca, salmonoidet, ngjala evropiane dhe barbuni (MBZHR, 2020).</w:t>
      </w:r>
    </w:p>
    <w:p w14:paraId="0773AFF1" w14:textId="05B384F2" w:rsidR="00DF7A00" w:rsidRPr="0058349C" w:rsidRDefault="00DF7A00" w:rsidP="00DB63AF">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Sa </w:t>
      </w:r>
      <w:r w:rsidR="00785A70">
        <w:rPr>
          <w:rFonts w:ascii="Garamond" w:hAnsi="Garamond" w:cs="Arial"/>
          <w:sz w:val="24"/>
          <w:szCs w:val="24"/>
          <w:lang w:val="sq-AL"/>
        </w:rPr>
        <w:t>u</w:t>
      </w:r>
      <w:r w:rsidRPr="0058349C">
        <w:rPr>
          <w:rFonts w:ascii="Garamond" w:hAnsi="Garamond" w:cs="Arial"/>
          <w:sz w:val="24"/>
          <w:szCs w:val="24"/>
          <w:lang w:val="sq-AL"/>
        </w:rPr>
        <w:t xml:space="preserve"> përket </w:t>
      </w:r>
      <w:r w:rsidRPr="0058349C">
        <w:rPr>
          <w:rFonts w:ascii="Garamond" w:hAnsi="Garamond" w:cs="Arial"/>
          <w:b/>
          <w:sz w:val="24"/>
          <w:szCs w:val="24"/>
          <w:lang w:val="sq-AL"/>
        </w:rPr>
        <w:t>kapjeve detare</w:t>
      </w:r>
      <w:r w:rsidRPr="0058349C">
        <w:rPr>
          <w:rFonts w:ascii="Garamond" w:hAnsi="Garamond" w:cs="Arial"/>
          <w:sz w:val="24"/>
          <w:szCs w:val="24"/>
          <w:lang w:val="sq-AL"/>
        </w:rPr>
        <w:t>, speciet kryesore janë açugja evropiane</w:t>
      </w:r>
      <w:r w:rsidR="00785A70">
        <w:rPr>
          <w:rFonts w:ascii="Garamond" w:hAnsi="Garamond" w:cs="Arial"/>
          <w:sz w:val="24"/>
          <w:szCs w:val="24"/>
          <w:lang w:val="sq-AL"/>
        </w:rPr>
        <w:t>,</w:t>
      </w:r>
      <w:r w:rsidRPr="0058349C">
        <w:rPr>
          <w:rFonts w:ascii="Garamond" w:hAnsi="Garamond" w:cs="Arial"/>
          <w:sz w:val="24"/>
          <w:szCs w:val="24"/>
          <w:lang w:val="sq-AL"/>
        </w:rPr>
        <w:t xml:space="preserve"> e cila është specie kryesore me një trend pozitiv të rritjes vjetore në periudhën 2015</w:t>
      </w:r>
      <w:r w:rsidR="005108FC">
        <w:rPr>
          <w:rFonts w:ascii="Garamond" w:hAnsi="Garamond" w:cs="Arial"/>
          <w:sz w:val="24"/>
          <w:szCs w:val="24"/>
          <w:lang w:val="sq-AL"/>
        </w:rPr>
        <w:t>–</w:t>
      </w:r>
      <w:r w:rsidRPr="0058349C">
        <w:rPr>
          <w:rFonts w:ascii="Garamond" w:hAnsi="Garamond" w:cs="Arial"/>
          <w:sz w:val="24"/>
          <w:szCs w:val="24"/>
          <w:lang w:val="sq-AL"/>
        </w:rPr>
        <w:t>2019 prej 19,64% (midis 250 dhe 1,516 ton) dhe karkalecat blu dhe të kuqe me një trend pozitiv prej 15,15% (2017</w:t>
      </w:r>
      <w:r w:rsidR="00DB63AF">
        <w:rPr>
          <w:rFonts w:ascii="Garamond" w:hAnsi="Garamond" w:cs="Arial"/>
          <w:sz w:val="24"/>
          <w:szCs w:val="24"/>
          <w:lang w:val="sq-AL"/>
        </w:rPr>
        <w:t>–</w:t>
      </w:r>
      <w:r w:rsidRPr="0058349C">
        <w:rPr>
          <w:rFonts w:ascii="Garamond" w:hAnsi="Garamond" w:cs="Arial"/>
          <w:sz w:val="24"/>
          <w:szCs w:val="24"/>
          <w:lang w:val="sq-AL"/>
        </w:rPr>
        <w:t>2019). Lloje të tjera janë karavidhja norvegjeze, barbuni i kuq dhe peshq të ndryshëm detarë (MBZHR, 2020).</w:t>
      </w:r>
    </w:p>
    <w:p w14:paraId="0773AFF2" w14:textId="77777777" w:rsidR="00DF7A00" w:rsidRPr="0058349C" w:rsidRDefault="00DF7A00" w:rsidP="00DF7A00">
      <w:pPr>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Struktura e sektorit të përpunimit të peshkut</w:t>
      </w:r>
    </w:p>
    <w:p w14:paraId="0773AFF3" w14:textId="0AA8369C"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Sektori i përpunimit të peshkut është pothuajse ekskluzivisht i orientuar drejt tregut të eksportit. Në Shqipëri</w:t>
      </w:r>
      <w:r w:rsidR="00A55980">
        <w:rPr>
          <w:rFonts w:ascii="Garamond" w:hAnsi="Garamond" w:cs="Arial"/>
          <w:sz w:val="24"/>
          <w:szCs w:val="24"/>
          <w:lang w:val="sq-AL"/>
        </w:rPr>
        <w:t>,</w:t>
      </w:r>
      <w:r w:rsidRPr="0058349C">
        <w:rPr>
          <w:rFonts w:ascii="Garamond" w:hAnsi="Garamond" w:cs="Arial"/>
          <w:sz w:val="24"/>
          <w:szCs w:val="24"/>
          <w:lang w:val="sq-AL"/>
        </w:rPr>
        <w:t xml:space="preserve"> të </w:t>
      </w:r>
      <w:r w:rsidRPr="0058349C">
        <w:rPr>
          <w:rFonts w:ascii="Garamond" w:hAnsi="Garamond" w:cs="Arial"/>
          <w:b/>
          <w:sz w:val="24"/>
          <w:szCs w:val="24"/>
          <w:lang w:val="sq-AL"/>
        </w:rPr>
        <w:t>28 kompanit</w:t>
      </w:r>
      <w:r w:rsidRPr="00C07DC5">
        <w:rPr>
          <w:rFonts w:ascii="Garamond" w:hAnsi="Garamond" w:cs="Arial"/>
          <w:b/>
          <w:bCs/>
          <w:sz w:val="24"/>
          <w:szCs w:val="24"/>
          <w:lang w:val="sq-AL"/>
        </w:rPr>
        <w:t>ë</w:t>
      </w:r>
      <w:r w:rsidRPr="0058349C">
        <w:rPr>
          <w:rFonts w:ascii="Garamond" w:hAnsi="Garamond" w:cs="Arial"/>
          <w:b/>
          <w:sz w:val="24"/>
          <w:szCs w:val="24"/>
          <w:lang w:val="sq-AL"/>
        </w:rPr>
        <w:t xml:space="preserve"> përpunuese</w:t>
      </w:r>
      <w:r w:rsidRPr="0058349C">
        <w:rPr>
          <w:rFonts w:ascii="Garamond" w:hAnsi="Garamond" w:cs="Arial"/>
          <w:sz w:val="24"/>
          <w:szCs w:val="24"/>
          <w:lang w:val="sq-AL"/>
        </w:rPr>
        <w:t xml:space="preserve">, të cilat janë të gjitha të </w:t>
      </w:r>
      <w:r w:rsidRPr="0058349C">
        <w:rPr>
          <w:rFonts w:ascii="Garamond" w:hAnsi="Garamond" w:cs="Arial"/>
          <w:b/>
          <w:sz w:val="24"/>
          <w:szCs w:val="24"/>
          <w:lang w:val="sq-AL"/>
        </w:rPr>
        <w:t>licencuara për eksport në tregun e BE-së</w:t>
      </w:r>
      <w:r w:rsidRPr="0058349C">
        <w:rPr>
          <w:rFonts w:ascii="Garamond" w:hAnsi="Garamond" w:cs="Arial"/>
          <w:sz w:val="24"/>
          <w:szCs w:val="24"/>
          <w:lang w:val="sq-AL"/>
        </w:rPr>
        <w:t>, operojnë në zonat e Shkodrës, Shëngjinit, Durrësit, Elbasanit dhe Tiranës me qendrat kryesore në qytetet Elbasan, Lezhë, Durrës dhe Sarandë</w:t>
      </w:r>
      <w:r w:rsidRPr="00C07DC5">
        <w:rPr>
          <w:rFonts w:ascii="Garamond" w:hAnsi="Garamond"/>
          <w:sz w:val="24"/>
          <w:szCs w:val="24"/>
          <w:vertAlign w:val="superscript"/>
        </w:rPr>
        <w:footnoteReference w:id="52"/>
      </w:r>
      <w:r w:rsidRPr="0058349C">
        <w:rPr>
          <w:rFonts w:ascii="Garamond" w:hAnsi="Garamond" w:cs="Arial"/>
          <w:sz w:val="24"/>
          <w:szCs w:val="24"/>
          <w:lang w:val="sq-AL"/>
        </w:rPr>
        <w:t>. 10 prej këtyre kompanive kanë akses edhe në aktivitetet e akuakulturës. 20 kompanitë më të mëdha të përpunimit, nga të cilat disponohen të dhëna, përpunojnë 17,881 ton</w:t>
      </w:r>
      <w:r w:rsidR="000B2B89">
        <w:rPr>
          <w:rFonts w:ascii="Garamond" w:hAnsi="Garamond" w:cs="Arial"/>
          <w:sz w:val="24"/>
          <w:szCs w:val="24"/>
          <w:lang w:val="sq-AL"/>
        </w:rPr>
        <w:t>ë</w:t>
      </w:r>
      <w:r w:rsidRPr="0058349C">
        <w:rPr>
          <w:rFonts w:ascii="Garamond" w:hAnsi="Garamond" w:cs="Arial"/>
          <w:sz w:val="24"/>
          <w:szCs w:val="24"/>
          <w:lang w:val="sq-AL"/>
        </w:rPr>
        <w:t xml:space="preserve"> në vit (në vitin 2019, mesatarisht 894,05 ton</w:t>
      </w:r>
      <w:r w:rsidR="000B2B89">
        <w:rPr>
          <w:rFonts w:ascii="Garamond" w:hAnsi="Garamond" w:cs="Arial"/>
          <w:sz w:val="24"/>
          <w:szCs w:val="24"/>
          <w:lang w:val="sq-AL"/>
        </w:rPr>
        <w:t>ë</w:t>
      </w:r>
      <w:r w:rsidRPr="0058349C">
        <w:rPr>
          <w:rFonts w:ascii="Garamond" w:hAnsi="Garamond" w:cs="Arial"/>
          <w:sz w:val="24"/>
          <w:szCs w:val="24"/>
          <w:lang w:val="sq-AL"/>
        </w:rPr>
        <w:t xml:space="preserve"> në vit, duke arritur nga 5 në 3,800 ton</w:t>
      </w:r>
      <w:r w:rsidR="000B2B89">
        <w:rPr>
          <w:rFonts w:ascii="Garamond" w:hAnsi="Garamond" w:cs="Arial"/>
          <w:sz w:val="24"/>
          <w:szCs w:val="24"/>
          <w:lang w:val="sq-AL"/>
        </w:rPr>
        <w:t>ë</w:t>
      </w:r>
      <w:r w:rsidRPr="0058349C">
        <w:rPr>
          <w:rFonts w:ascii="Garamond" w:hAnsi="Garamond" w:cs="Arial"/>
          <w:sz w:val="24"/>
          <w:szCs w:val="24"/>
          <w:lang w:val="sq-AL"/>
        </w:rPr>
        <w:t xml:space="preserve">) me një </w:t>
      </w:r>
      <w:r w:rsidRPr="0058349C">
        <w:rPr>
          <w:rFonts w:ascii="Garamond" w:hAnsi="Garamond" w:cs="Arial"/>
          <w:b/>
          <w:sz w:val="24"/>
          <w:szCs w:val="24"/>
          <w:lang w:val="sq-AL"/>
        </w:rPr>
        <w:t>nivel të ulët të shfrytëzimit të kapacitetit të tyre prej</w:t>
      </w:r>
      <w:r w:rsidRPr="0058349C">
        <w:rPr>
          <w:rFonts w:ascii="Garamond" w:hAnsi="Garamond" w:cs="Arial"/>
          <w:sz w:val="24"/>
          <w:szCs w:val="24"/>
          <w:lang w:val="sq-AL"/>
        </w:rPr>
        <w:t xml:space="preserve"> </w:t>
      </w:r>
      <w:r w:rsidRPr="0058349C">
        <w:rPr>
          <w:rFonts w:ascii="Garamond" w:hAnsi="Garamond" w:cs="Arial"/>
          <w:b/>
          <w:sz w:val="24"/>
          <w:szCs w:val="24"/>
          <w:lang w:val="sq-AL"/>
        </w:rPr>
        <w:t>39,03%.</w:t>
      </w:r>
      <w:r w:rsidRPr="0058349C">
        <w:rPr>
          <w:rFonts w:ascii="Garamond" w:hAnsi="Garamond" w:cs="Arial"/>
          <w:sz w:val="24"/>
          <w:szCs w:val="24"/>
          <w:lang w:val="sq-AL"/>
        </w:rPr>
        <w:t xml:space="preserve"> Investimet në industrinë përpunuese arrijnë në më shumë se 40 milionë </w:t>
      </w:r>
      <w:r w:rsidR="000B2B89" w:rsidRPr="0058349C">
        <w:rPr>
          <w:rFonts w:ascii="Garamond" w:hAnsi="Garamond" w:cs="Arial"/>
          <w:sz w:val="24"/>
          <w:szCs w:val="24"/>
          <w:lang w:val="sq-AL"/>
        </w:rPr>
        <w:t xml:space="preserve">euro </w:t>
      </w:r>
      <w:r w:rsidRPr="0058349C">
        <w:rPr>
          <w:rFonts w:ascii="Garamond" w:hAnsi="Garamond" w:cs="Arial"/>
          <w:sz w:val="24"/>
          <w:szCs w:val="24"/>
          <w:lang w:val="sq-AL"/>
        </w:rPr>
        <w:t xml:space="preserve">në vitin 2019 (MBZHR 2020). Përveç përputhshmërisë me standardet e BE-së, operatorët e përpunimit të peshkut vërtetojnë përputhshmërinë e aktivitetit të tyre të përpunimit nëpërmjet standardeve private të sigurisë dhe cilësisë si standardi </w:t>
      </w:r>
      <w:r w:rsidR="00664693" w:rsidRPr="0058349C">
        <w:rPr>
          <w:rFonts w:ascii="Garamond" w:hAnsi="Garamond" w:cs="Arial"/>
          <w:sz w:val="24"/>
          <w:szCs w:val="24"/>
          <w:lang w:val="sq-AL"/>
        </w:rPr>
        <w:t>“</w:t>
      </w:r>
      <w:r w:rsidRPr="0058349C">
        <w:rPr>
          <w:rFonts w:ascii="Garamond" w:hAnsi="Garamond" w:cs="Arial"/>
          <w:sz w:val="24"/>
          <w:szCs w:val="24"/>
          <w:lang w:val="sq-AL"/>
        </w:rPr>
        <w:t xml:space="preserve">Ushqimi me </w:t>
      </w:r>
      <w:r w:rsidR="000B2B89" w:rsidRPr="0058349C">
        <w:rPr>
          <w:rFonts w:ascii="Garamond" w:hAnsi="Garamond" w:cs="Arial"/>
          <w:sz w:val="24"/>
          <w:szCs w:val="24"/>
          <w:lang w:val="sq-AL"/>
        </w:rPr>
        <w:t>cilësi të sigurt</w:t>
      </w:r>
      <w:r w:rsidR="00664693" w:rsidRPr="0058349C">
        <w:rPr>
          <w:rFonts w:ascii="Garamond" w:hAnsi="Garamond" w:cs="Arial"/>
          <w:sz w:val="24"/>
          <w:szCs w:val="24"/>
          <w:lang w:val="sq-AL"/>
        </w:rPr>
        <w:t>”</w:t>
      </w:r>
      <w:r w:rsidRPr="0058349C">
        <w:rPr>
          <w:rFonts w:ascii="Garamond" w:hAnsi="Garamond" w:cs="Arial"/>
          <w:sz w:val="24"/>
          <w:szCs w:val="24"/>
          <w:lang w:val="sq-AL"/>
        </w:rPr>
        <w:t xml:space="preserve">, ai i </w:t>
      </w:r>
      <w:r w:rsidR="00664693" w:rsidRPr="0058349C">
        <w:rPr>
          <w:rFonts w:ascii="Garamond" w:hAnsi="Garamond" w:cs="Arial"/>
          <w:sz w:val="24"/>
          <w:szCs w:val="24"/>
          <w:lang w:val="sq-AL"/>
        </w:rPr>
        <w:t>“</w:t>
      </w:r>
      <w:r w:rsidRPr="0058349C">
        <w:rPr>
          <w:rFonts w:ascii="Garamond" w:hAnsi="Garamond" w:cs="Arial"/>
          <w:sz w:val="24"/>
          <w:szCs w:val="24"/>
          <w:lang w:val="sq-AL"/>
        </w:rPr>
        <w:t>Konsorciumi Britanik i Shitjes (BRC)</w:t>
      </w:r>
      <w:r w:rsidR="00664693" w:rsidRPr="0058349C">
        <w:rPr>
          <w:rFonts w:ascii="Garamond" w:hAnsi="Garamond" w:cs="Arial"/>
          <w:sz w:val="24"/>
          <w:szCs w:val="24"/>
          <w:lang w:val="sq-AL"/>
        </w:rPr>
        <w:t>”</w:t>
      </w:r>
      <w:r w:rsidRPr="0058349C">
        <w:rPr>
          <w:rFonts w:ascii="Garamond" w:hAnsi="Garamond" w:cs="Arial"/>
          <w:sz w:val="24"/>
          <w:szCs w:val="24"/>
          <w:lang w:val="sq-AL"/>
        </w:rPr>
        <w:t xml:space="preserve"> për shitjen me Pakicë ose Standardi Ndërkombëtar i Ushqimit. </w:t>
      </w:r>
    </w:p>
    <w:p w14:paraId="0773AFF4"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Tendencat në tregjet kombëtare dhe ndërkombëtare për përpunimin, eksportin dhe importin e peshkut</w:t>
      </w:r>
      <w:r w:rsidRPr="0058349C">
        <w:rPr>
          <w:rFonts w:ascii="Garamond" w:hAnsi="Garamond" w:cs="Arial"/>
          <w:sz w:val="24"/>
          <w:szCs w:val="24"/>
          <w:lang w:val="sq-AL"/>
        </w:rPr>
        <w:t>.</w:t>
      </w:r>
    </w:p>
    <w:p w14:paraId="0773AFF5" w14:textId="1659E860"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hAnsi="Garamond" w:cs="Arial"/>
          <w:b/>
          <w:sz w:val="24"/>
          <w:szCs w:val="24"/>
          <w:lang w:val="sq-AL"/>
        </w:rPr>
        <w:t>Konsumi i ushqimeve të detit</w:t>
      </w:r>
      <w:r w:rsidRPr="0058349C">
        <w:rPr>
          <w:rFonts w:ascii="Garamond" w:hAnsi="Garamond" w:cs="Arial"/>
          <w:sz w:val="24"/>
          <w:szCs w:val="24"/>
          <w:lang w:val="sq-AL"/>
        </w:rPr>
        <w:t xml:space="preserve"> në Shqipëri është ende relativisht i ulët</w:t>
      </w:r>
      <w:r w:rsidR="00D37CC3">
        <w:rPr>
          <w:rFonts w:ascii="Garamond" w:hAnsi="Garamond" w:cs="Arial"/>
          <w:sz w:val="24"/>
          <w:szCs w:val="24"/>
          <w:lang w:val="sq-AL"/>
        </w:rPr>
        <w:t>,</w:t>
      </w:r>
      <w:r w:rsidRPr="0058349C">
        <w:rPr>
          <w:rFonts w:ascii="Garamond" w:hAnsi="Garamond" w:cs="Arial"/>
          <w:sz w:val="24"/>
          <w:szCs w:val="24"/>
          <w:lang w:val="sq-AL"/>
        </w:rPr>
        <w:t xml:space="preserve"> sipas standardeve ndërkombëtare me një mesatare prej 5.3 kg për frymë krahasuar me një mesatare globale prej 16.3 kg për frymë. Si kërkesa e brendshme ashtu edhe ajo për eksport mund të pritet të rritet në terma afatgjatë, për shkak të rritjes së pritshmërisë së konsumatorëve dhe standardit të</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jetesës,</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që lidhet me anëtarësimin në BE</w:t>
      </w:r>
      <w:r w:rsidRPr="0058349C">
        <w:rPr>
          <w:rFonts w:ascii="Garamond" w:eastAsia="Arial" w:hAnsi="Garamond" w:cs="Arial"/>
          <w:sz w:val="24"/>
          <w:szCs w:val="24"/>
          <w:lang w:val="sq-AL"/>
        </w:rPr>
        <w:t>.</w:t>
      </w:r>
      <w:r w:rsidRPr="0058349C">
        <w:rPr>
          <w:vertAlign w:val="superscript"/>
          <w:lang w:val="sq-AL"/>
        </w:rPr>
        <w:footnoteReference w:id="53"/>
      </w:r>
    </w:p>
    <w:p w14:paraId="0773AFF6" w14:textId="673A82CB"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b/>
          <w:sz w:val="24"/>
          <w:szCs w:val="24"/>
          <w:lang w:val="sq-AL"/>
        </w:rPr>
        <w:t xml:space="preserve">Tregu </w:t>
      </w:r>
      <w:r w:rsidR="00BC084C">
        <w:rPr>
          <w:rFonts w:ascii="Garamond" w:eastAsia="Arial" w:hAnsi="Garamond" w:cs="Arial"/>
          <w:b/>
          <w:sz w:val="24"/>
          <w:szCs w:val="24"/>
          <w:lang w:val="sq-AL"/>
        </w:rPr>
        <w:t>vendës</w:t>
      </w:r>
      <w:r w:rsidRPr="0058349C">
        <w:rPr>
          <w:rFonts w:ascii="Garamond" w:eastAsia="Arial" w:hAnsi="Garamond" w:cs="Arial"/>
          <w:b/>
          <w:sz w:val="24"/>
          <w:szCs w:val="24"/>
          <w:lang w:val="sq-AL"/>
        </w:rPr>
        <w:t>,</w:t>
      </w:r>
      <w:r w:rsidRPr="0058349C">
        <w:rPr>
          <w:rFonts w:ascii="Garamond" w:eastAsia="Arial" w:hAnsi="Garamond" w:cs="Arial"/>
          <w:sz w:val="24"/>
          <w:szCs w:val="24"/>
          <w:lang w:val="sq-AL"/>
        </w:rPr>
        <w:t xml:space="preserve"> për shkak të çmimeve më interesante në vendet e BE-së dhe madhësisë së tij të kufizuar, përbën vetëm një pjesë minimale të produkteve të peshkut të përpunuar, të vlerësuar </w:t>
      </w:r>
      <w:r w:rsidRPr="0058349C">
        <w:rPr>
          <w:rFonts w:ascii="Garamond" w:eastAsia="Arial" w:hAnsi="Garamond" w:cs="Arial"/>
          <w:b/>
          <w:sz w:val="24"/>
          <w:szCs w:val="24"/>
          <w:lang w:val="sq-AL"/>
        </w:rPr>
        <w:t>në më pak se 5% të prodhimit</w:t>
      </w:r>
      <w:r w:rsidRPr="0058349C">
        <w:rPr>
          <w:rFonts w:ascii="Garamond" w:eastAsia="Arial" w:hAnsi="Garamond" w:cs="Arial"/>
          <w:sz w:val="24"/>
          <w:szCs w:val="24"/>
          <w:lang w:val="sq-AL"/>
        </w:rPr>
        <w:t xml:space="preserve"> (MBZHR 2020).</w:t>
      </w:r>
    </w:p>
    <w:p w14:paraId="0773AFF7" w14:textId="77777777"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Bazuar në programin e QSH-së, MBZHR-ja ka prioritet ndërtimin/rehabilitimin e katër tregjeve të shitjes me shumicë të peshkut. Katër portet e mëdha të peshkimit në Shqipëri (Durrës, Vlorë, Shëngjin, Sarandë) janë në faza të ndryshme zhvillimi dhe amortizimi. Tregu i Shëngjinit </w:t>
      </w:r>
      <w:r w:rsidRPr="0058349C">
        <w:rPr>
          <w:rFonts w:ascii="Garamond" w:eastAsia="Arial" w:hAnsi="Garamond" w:cs="Arial"/>
          <w:sz w:val="24"/>
          <w:szCs w:val="24"/>
          <w:lang w:val="sq-AL"/>
        </w:rPr>
        <w:lastRenderedPageBreak/>
        <w:t>është tregu i parë me shumicë i peshkut në Shqipëri që është inauguruar së fundmi. Tregu i shitjes me shumicë në portin e peshkimit të Vlorës është në ndërtim e sipër dhe do të përfundojë së shpejti. Në vitin 2022, investimet në rivendosjen e qendrës frigoriferike në portin e peshkimit të Durrësit do të fillojnë për ta kthyer atë në një treg të vërtetë me shumicë të peshkut. Me ndërtimin e portit të ri të Sarandës do të përfundojë cikli i tregtisë me shumicë në katër portet e mëdha të peshkimit.</w:t>
      </w:r>
    </w:p>
    <w:p w14:paraId="0773AFF8" w14:textId="703DB046"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Shumë anije peshkimi kanë lidhur kontrata paraprake (ose marrëveshje) me qendrat e grumbullimit të peshkut që përfshijnë çmimet kryesisht të fiksuara paraprakisht. Në kushtet e ndryshimit të përditshëm të çmimeve të produkteve të peshkut nga bursat në mbarë botën, çmimet fikse shpesh nuk pasqyrojnë çmimet reale të tregut për hir të anijeve të peshkimit. Megjithatë, për shkak të teknologjisë së vjetruar të anijeve dhe mungesës së investimeve edhe në arka etj., peshku shpesh nuk pastrohet dhe sistematizohet, gjë që nënkupton kosto shtesë për pikat e grumbullimit të peshkut për përgatitjen e produkteve për tregun e brendshëm dhe </w:t>
      </w:r>
      <w:r w:rsidR="00BC015E">
        <w:rPr>
          <w:rFonts w:ascii="Garamond" w:eastAsia="Arial" w:hAnsi="Garamond" w:cs="Arial"/>
          <w:sz w:val="24"/>
          <w:szCs w:val="24"/>
          <w:lang w:val="sq-AL"/>
        </w:rPr>
        <w:t xml:space="preserve">për </w:t>
      </w:r>
      <w:r w:rsidRPr="0058349C">
        <w:rPr>
          <w:rFonts w:ascii="Garamond" w:eastAsia="Arial" w:hAnsi="Garamond" w:cs="Arial"/>
          <w:sz w:val="24"/>
          <w:szCs w:val="24"/>
          <w:lang w:val="sq-AL"/>
        </w:rPr>
        <w:t>eksportin.</w:t>
      </w:r>
      <w:bookmarkStart w:id="40" w:name="_Ref88195522"/>
      <w:bookmarkStart w:id="41" w:name="_Toc79164082"/>
      <w:r w:rsidRPr="0058349C">
        <w:rPr>
          <w:rFonts w:ascii="Garamond" w:eastAsia="Arial" w:hAnsi="Garamond" w:cs="Arial"/>
          <w:sz w:val="24"/>
          <w:szCs w:val="24"/>
          <w:lang w:val="sq-AL"/>
        </w:rPr>
        <w:t xml:space="preserve"> </w:t>
      </w:r>
    </w:p>
    <w:bookmarkEnd w:id="40"/>
    <w:bookmarkEnd w:id="41"/>
    <w:p w14:paraId="0773AFF9" w14:textId="77F074A2"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Tregu i BE-së përfaqëson </w:t>
      </w:r>
      <w:r w:rsidRPr="0058349C">
        <w:rPr>
          <w:rFonts w:ascii="Garamond" w:eastAsia="Arial" w:hAnsi="Garamond" w:cs="Arial"/>
          <w:b/>
          <w:sz w:val="24"/>
          <w:szCs w:val="24"/>
          <w:lang w:val="sq-AL"/>
        </w:rPr>
        <w:t>kanalin kryesor tregtar për produktet e përpunuara të peshkut</w:t>
      </w:r>
      <w:r w:rsidRPr="0058349C">
        <w:rPr>
          <w:rFonts w:ascii="Garamond" w:eastAsia="Arial" w:hAnsi="Garamond" w:cs="Arial"/>
          <w:sz w:val="24"/>
          <w:szCs w:val="24"/>
          <w:lang w:val="sq-AL"/>
        </w:rPr>
        <w:t>.</w:t>
      </w:r>
      <w:r w:rsidRPr="000C2F09">
        <w:rPr>
          <w:rFonts w:ascii="Garamond" w:hAnsi="Garamond"/>
          <w:sz w:val="24"/>
          <w:szCs w:val="24"/>
          <w:vertAlign w:val="superscript"/>
          <w:lang w:val="sq-AL"/>
        </w:rPr>
        <w:footnoteReference w:id="54"/>
      </w:r>
      <w:r w:rsidRPr="000C2F09">
        <w:rPr>
          <w:rFonts w:ascii="Garamond" w:hAnsi="Garamond"/>
          <w:sz w:val="24"/>
          <w:szCs w:val="24"/>
          <w:vertAlign w:val="superscript"/>
          <w:lang w:val="sq-AL"/>
        </w:rPr>
        <w:t xml:space="preserve"> </w:t>
      </w:r>
      <w:r w:rsidRPr="0058349C">
        <w:rPr>
          <w:rFonts w:ascii="Garamond" w:eastAsia="Arial" w:hAnsi="Garamond" w:cs="Arial"/>
          <w:sz w:val="24"/>
          <w:szCs w:val="24"/>
          <w:lang w:val="sq-AL"/>
        </w:rPr>
        <w:t>Eksporti tregon një trefishim ndërmjet vitit 2020 ndaj 2013, duke arritur në vlerën 104 milion</w:t>
      </w:r>
      <w:r w:rsidR="00B83B21">
        <w:rPr>
          <w:rFonts w:ascii="Garamond" w:eastAsia="Arial" w:hAnsi="Garamond" w:cs="Arial"/>
          <w:sz w:val="24"/>
          <w:szCs w:val="24"/>
          <w:lang w:val="sq-AL"/>
        </w:rPr>
        <w:t>ë</w:t>
      </w:r>
      <w:r w:rsidRPr="0058349C">
        <w:rPr>
          <w:rFonts w:ascii="Garamond" w:eastAsia="Arial" w:hAnsi="Garamond" w:cs="Arial"/>
          <w:sz w:val="24"/>
          <w:szCs w:val="24"/>
          <w:lang w:val="sq-AL"/>
        </w:rPr>
        <w:t xml:space="preserve"> </w:t>
      </w:r>
      <w:r w:rsidR="00B83B21" w:rsidRPr="0058349C">
        <w:rPr>
          <w:rFonts w:ascii="Garamond" w:eastAsia="Arial" w:hAnsi="Garamond" w:cs="Arial"/>
          <w:sz w:val="24"/>
          <w:szCs w:val="24"/>
          <w:lang w:val="sq-AL"/>
        </w:rPr>
        <w:t>euro</w:t>
      </w:r>
      <w:r w:rsidRPr="0058349C">
        <w:rPr>
          <w:rFonts w:ascii="Garamond" w:eastAsia="Arial" w:hAnsi="Garamond" w:cs="Arial"/>
          <w:sz w:val="24"/>
          <w:szCs w:val="24"/>
          <w:lang w:val="sq-AL"/>
        </w:rPr>
        <w:t xml:space="preserve">. Zhvlerësimi i </w:t>
      </w:r>
      <w:r w:rsidR="00247E86" w:rsidRPr="0058349C">
        <w:rPr>
          <w:rFonts w:ascii="Garamond" w:eastAsia="Arial" w:hAnsi="Garamond" w:cs="Arial"/>
          <w:sz w:val="24"/>
          <w:szCs w:val="24"/>
          <w:lang w:val="sq-AL"/>
        </w:rPr>
        <w:t xml:space="preserve">euros në lekë </w:t>
      </w:r>
      <w:r w:rsidRPr="0058349C">
        <w:rPr>
          <w:rFonts w:ascii="Garamond" w:eastAsia="Arial" w:hAnsi="Garamond" w:cs="Arial"/>
          <w:sz w:val="24"/>
          <w:szCs w:val="24"/>
          <w:lang w:val="sq-AL"/>
        </w:rPr>
        <w:t>ka ndikuar negativisht në vlerën e produkteve të eksportuara që nga viti 2018. Shifrat nuk përfshijnë rritjen e vlerës së nënprodukteve (p.sh., nënproduktet e përpunimit të karkalecave). Produktet e përpunuara nuk janë mjaftueshëm të larmishme dhe vlera e tyre e shtuar është e ulët. Mbi 70% e eksporteve janë açuget e përgatitura ose të konservuara. Kuotat e eksportit në BE për açuget e përpunuara (1600 ton</w:t>
      </w:r>
      <w:r w:rsidR="00015AE0">
        <w:rPr>
          <w:rFonts w:ascii="Garamond" w:eastAsia="Arial" w:hAnsi="Garamond" w:cs="Arial"/>
          <w:sz w:val="24"/>
          <w:szCs w:val="24"/>
          <w:lang w:val="sq-AL"/>
        </w:rPr>
        <w:t>ë</w:t>
      </w:r>
      <w:r w:rsidRPr="0058349C">
        <w:rPr>
          <w:rFonts w:ascii="Garamond" w:eastAsia="Arial" w:hAnsi="Garamond" w:cs="Arial"/>
          <w:sz w:val="24"/>
          <w:szCs w:val="24"/>
          <w:lang w:val="sq-AL"/>
        </w:rPr>
        <w:t>) dhe sardelet (100 ton</w:t>
      </w:r>
      <w:r w:rsidR="00015AE0">
        <w:rPr>
          <w:rFonts w:ascii="Garamond" w:eastAsia="Arial" w:hAnsi="Garamond" w:cs="Arial"/>
          <w:sz w:val="24"/>
          <w:szCs w:val="24"/>
          <w:lang w:val="sq-AL"/>
        </w:rPr>
        <w:t>ë</w:t>
      </w:r>
      <w:r w:rsidRPr="0058349C">
        <w:rPr>
          <w:rFonts w:ascii="Garamond" w:eastAsia="Arial" w:hAnsi="Garamond" w:cs="Arial"/>
          <w:sz w:val="24"/>
          <w:szCs w:val="24"/>
          <w:lang w:val="sq-AL"/>
        </w:rPr>
        <w:t>) kufizojnë kompanitë e përpunimit për t</w:t>
      </w:r>
      <w:r w:rsidR="00015AE0">
        <w:rPr>
          <w:rFonts w:ascii="Garamond" w:eastAsia="Arial" w:hAnsi="Garamond" w:cs="Arial"/>
          <w:sz w:val="24"/>
          <w:szCs w:val="24"/>
          <w:lang w:val="sq-AL"/>
        </w:rPr>
        <w:t>’</w:t>
      </w:r>
      <w:r w:rsidRPr="0058349C">
        <w:rPr>
          <w:rFonts w:ascii="Garamond" w:eastAsia="Arial" w:hAnsi="Garamond" w:cs="Arial"/>
          <w:sz w:val="24"/>
          <w:szCs w:val="24"/>
          <w:lang w:val="sq-AL"/>
        </w:rPr>
        <w:t>u zgjeruar. Produktet shtesë përfshijnë fileto peshku të kripur, sepje të ngrira, karkaleca deti të përgatitura, karkaleca deti të ngrira dhe karkaleca deti dhe ton të konservuar.</w:t>
      </w:r>
    </w:p>
    <w:p w14:paraId="0773AFFA" w14:textId="77777777" w:rsidR="00DF7A00" w:rsidRPr="0058349C" w:rsidRDefault="00DF7A00" w:rsidP="00DF7A00">
      <w:pPr>
        <w:keepNext/>
        <w:keepLines/>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Kontributi n</w:t>
      </w:r>
      <w:r w:rsidRPr="0058349C">
        <w:rPr>
          <w:rFonts w:ascii="Garamond" w:hAnsi="Garamond" w:cs="Arial"/>
          <w:sz w:val="24"/>
          <w:szCs w:val="24"/>
          <w:lang w:val="sq-AL"/>
        </w:rPr>
        <w:t>ë</w:t>
      </w:r>
      <w:r w:rsidRPr="0058349C">
        <w:rPr>
          <w:rFonts w:ascii="Garamond" w:hAnsi="Garamond" w:cs="Arial"/>
          <w:b/>
          <w:sz w:val="24"/>
          <w:szCs w:val="24"/>
          <w:lang w:val="sq-AL"/>
        </w:rPr>
        <w:t xml:space="preserve"> PBB-në dhe punësimin në sektorin e peshkimit</w:t>
      </w:r>
    </w:p>
    <w:p w14:paraId="0773AFFB" w14:textId="56751EBD"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eastAsia="Arial" w:hAnsi="Garamond" w:cs="Arial"/>
          <w:sz w:val="24"/>
          <w:szCs w:val="24"/>
          <w:lang w:val="sq-AL"/>
        </w:rPr>
        <w:t>Kontributi i sektorit të peshkimit në ekonominë shqiptare është relativisht i ulët në mas</w:t>
      </w:r>
      <w:r w:rsidRPr="0058349C">
        <w:rPr>
          <w:rFonts w:ascii="Garamond" w:hAnsi="Garamond" w:cs="Arial"/>
          <w:sz w:val="24"/>
          <w:szCs w:val="24"/>
          <w:lang w:val="sq-AL"/>
        </w:rPr>
        <w:t>ën e</w:t>
      </w:r>
      <w:r w:rsidRPr="0058349C">
        <w:rPr>
          <w:rFonts w:ascii="Garamond" w:eastAsia="Arial" w:hAnsi="Garamond" w:cs="Arial"/>
          <w:sz w:val="24"/>
          <w:szCs w:val="24"/>
          <w:lang w:val="sq-AL"/>
        </w:rPr>
        <w:t xml:space="preserve"> 0,79% të PBB-së (2019, INSTAT 2020), ku nuk përfshihet industria e përpunimit të peshkut. Kontributi i tij në </w:t>
      </w:r>
      <w:r w:rsidRPr="0058349C">
        <w:rPr>
          <w:rFonts w:ascii="Garamond" w:eastAsia="Arial" w:hAnsi="Garamond" w:cs="Arial"/>
          <w:b/>
          <w:sz w:val="24"/>
          <w:szCs w:val="24"/>
          <w:lang w:val="sq-AL"/>
        </w:rPr>
        <w:t>punësimin</w:t>
      </w:r>
      <w:r w:rsidRPr="0058349C">
        <w:rPr>
          <w:rFonts w:ascii="Garamond" w:eastAsia="Arial" w:hAnsi="Garamond" w:cs="Arial"/>
          <w:sz w:val="24"/>
          <w:szCs w:val="24"/>
          <w:lang w:val="sq-AL"/>
        </w:rPr>
        <w:t xml:space="preserve"> total është</w:t>
      </w:r>
      <w:r w:rsidR="00755714">
        <w:rPr>
          <w:rFonts w:ascii="Garamond" w:eastAsia="Arial" w:hAnsi="Garamond" w:cs="Arial"/>
          <w:sz w:val="24"/>
          <w:szCs w:val="24"/>
          <w:lang w:val="sq-AL"/>
        </w:rPr>
        <w:t>,</w:t>
      </w:r>
      <w:r w:rsidRPr="0058349C">
        <w:rPr>
          <w:rFonts w:ascii="Garamond" w:eastAsia="Arial" w:hAnsi="Garamond" w:cs="Arial"/>
          <w:sz w:val="24"/>
          <w:szCs w:val="24"/>
          <w:lang w:val="sq-AL"/>
        </w:rPr>
        <w:t xml:space="preserve"> gjithashtu</w:t>
      </w:r>
      <w:r w:rsidR="00755714">
        <w:rPr>
          <w:rFonts w:ascii="Garamond" w:eastAsia="Arial" w:hAnsi="Garamond" w:cs="Arial"/>
          <w:sz w:val="24"/>
          <w:szCs w:val="24"/>
          <w:lang w:val="sq-AL"/>
        </w:rPr>
        <w:t>,</w:t>
      </w:r>
      <w:r w:rsidRPr="0058349C">
        <w:rPr>
          <w:rFonts w:ascii="Garamond" w:eastAsia="Arial" w:hAnsi="Garamond" w:cs="Arial"/>
          <w:sz w:val="24"/>
          <w:szCs w:val="24"/>
          <w:lang w:val="sq-AL"/>
        </w:rPr>
        <w:t xml:space="preserve"> në zhvillim, me një punësim total me kohë të plotë prej 9,279 personash në vitin 2020. Megjithatë, peshkimi luan një rol të rëndësishëm social-ekonomik për komunitetet bregdetare dhe zonat e largëta të brendshme për sa i përket gjenerimit të të ardhurave, punësimit dhe ushqimit, si dhe për punësimin e grave në fabrikat e përpunimit të peshkut. 90% e 5100 personave të punësuar në kompanitë e përpunimit të peshkut dhe në shërbimet ndihmëse janë gra. Një numër i kufizuar grash janë të punësuar edhe në peshkimin aktiv, kryesisht në anijet e peshkimit familjar dhe në fermat e peshkut</w:t>
      </w:r>
      <w:r w:rsidRPr="0058349C">
        <w:rPr>
          <w:rFonts w:ascii="Garamond" w:hAnsi="Garamond" w:cs="Arial"/>
          <w:sz w:val="24"/>
          <w:szCs w:val="24"/>
          <w:lang w:val="sq-AL"/>
        </w:rPr>
        <w:t>.</w:t>
      </w:r>
    </w:p>
    <w:p w14:paraId="4720484F" w14:textId="77777777" w:rsidR="005A03B4" w:rsidRDefault="005A03B4" w:rsidP="00755714">
      <w:pPr>
        <w:tabs>
          <w:tab w:val="left" w:pos="1418"/>
        </w:tabs>
        <w:spacing w:after="0" w:line="240" w:lineRule="auto"/>
        <w:jc w:val="center"/>
        <w:rPr>
          <w:rFonts w:ascii="Garamond" w:hAnsi="Garamond" w:cs="Arial"/>
          <w:b/>
          <w:bCs/>
          <w:i/>
          <w:iCs/>
          <w:sz w:val="20"/>
          <w:szCs w:val="20"/>
          <w:lang w:val="sq-AL"/>
        </w:rPr>
      </w:pPr>
      <w:bookmarkStart w:id="42" w:name="_Toc103697539"/>
    </w:p>
    <w:p w14:paraId="3C82DF22" w14:textId="77777777" w:rsidR="005A03B4" w:rsidRDefault="005A03B4" w:rsidP="00755714">
      <w:pPr>
        <w:tabs>
          <w:tab w:val="left" w:pos="1418"/>
        </w:tabs>
        <w:spacing w:after="0" w:line="240" w:lineRule="auto"/>
        <w:jc w:val="center"/>
        <w:rPr>
          <w:rFonts w:ascii="Garamond" w:hAnsi="Garamond" w:cs="Arial"/>
          <w:b/>
          <w:bCs/>
          <w:i/>
          <w:iCs/>
          <w:sz w:val="20"/>
          <w:szCs w:val="20"/>
          <w:lang w:val="sq-AL"/>
        </w:rPr>
      </w:pPr>
    </w:p>
    <w:p w14:paraId="03B6EC6E" w14:textId="77777777" w:rsidR="005A03B4" w:rsidRDefault="005A03B4" w:rsidP="00755714">
      <w:pPr>
        <w:tabs>
          <w:tab w:val="left" w:pos="1418"/>
        </w:tabs>
        <w:spacing w:after="0" w:line="240" w:lineRule="auto"/>
        <w:jc w:val="center"/>
        <w:rPr>
          <w:rFonts w:ascii="Garamond" w:hAnsi="Garamond" w:cs="Arial"/>
          <w:b/>
          <w:bCs/>
          <w:i/>
          <w:iCs/>
          <w:sz w:val="20"/>
          <w:szCs w:val="20"/>
          <w:lang w:val="sq-AL"/>
        </w:rPr>
      </w:pPr>
    </w:p>
    <w:p w14:paraId="1B98D99B" w14:textId="77777777" w:rsidR="005A03B4" w:rsidRDefault="005A03B4" w:rsidP="00755714">
      <w:pPr>
        <w:tabs>
          <w:tab w:val="left" w:pos="1418"/>
        </w:tabs>
        <w:spacing w:after="0" w:line="240" w:lineRule="auto"/>
        <w:jc w:val="center"/>
        <w:rPr>
          <w:rFonts w:ascii="Garamond" w:hAnsi="Garamond" w:cs="Arial"/>
          <w:b/>
          <w:bCs/>
          <w:i/>
          <w:iCs/>
          <w:sz w:val="20"/>
          <w:szCs w:val="20"/>
          <w:lang w:val="sq-AL"/>
        </w:rPr>
      </w:pPr>
    </w:p>
    <w:p w14:paraId="51E0D823" w14:textId="77777777" w:rsidR="005A03B4" w:rsidRDefault="005A03B4" w:rsidP="00755714">
      <w:pPr>
        <w:tabs>
          <w:tab w:val="left" w:pos="1418"/>
        </w:tabs>
        <w:spacing w:after="0" w:line="240" w:lineRule="auto"/>
        <w:jc w:val="center"/>
        <w:rPr>
          <w:rFonts w:ascii="Garamond" w:hAnsi="Garamond" w:cs="Arial"/>
          <w:b/>
          <w:bCs/>
          <w:i/>
          <w:iCs/>
          <w:sz w:val="20"/>
          <w:szCs w:val="20"/>
          <w:lang w:val="sq-AL"/>
        </w:rPr>
      </w:pPr>
    </w:p>
    <w:p w14:paraId="39D0A5D6" w14:textId="77777777" w:rsidR="005A03B4" w:rsidRDefault="005A03B4" w:rsidP="00755714">
      <w:pPr>
        <w:tabs>
          <w:tab w:val="left" w:pos="1418"/>
        </w:tabs>
        <w:spacing w:after="0" w:line="240" w:lineRule="auto"/>
        <w:jc w:val="center"/>
        <w:rPr>
          <w:rFonts w:ascii="Garamond" w:hAnsi="Garamond" w:cs="Arial"/>
          <w:b/>
          <w:bCs/>
          <w:i/>
          <w:iCs/>
          <w:sz w:val="20"/>
          <w:szCs w:val="20"/>
          <w:lang w:val="sq-AL"/>
        </w:rPr>
      </w:pPr>
    </w:p>
    <w:p w14:paraId="1476C488" w14:textId="77777777" w:rsidR="005A03B4" w:rsidRDefault="005A03B4" w:rsidP="00755714">
      <w:pPr>
        <w:tabs>
          <w:tab w:val="left" w:pos="1418"/>
        </w:tabs>
        <w:spacing w:after="0" w:line="240" w:lineRule="auto"/>
        <w:jc w:val="center"/>
        <w:rPr>
          <w:rFonts w:ascii="Garamond" w:hAnsi="Garamond" w:cs="Arial"/>
          <w:b/>
          <w:bCs/>
          <w:i/>
          <w:iCs/>
          <w:sz w:val="20"/>
          <w:szCs w:val="20"/>
          <w:lang w:val="sq-AL"/>
        </w:rPr>
      </w:pPr>
    </w:p>
    <w:p w14:paraId="2B5E5B51" w14:textId="77777777" w:rsidR="005A03B4" w:rsidRDefault="005A03B4" w:rsidP="00755714">
      <w:pPr>
        <w:tabs>
          <w:tab w:val="left" w:pos="1418"/>
        </w:tabs>
        <w:spacing w:after="0" w:line="240" w:lineRule="auto"/>
        <w:jc w:val="center"/>
        <w:rPr>
          <w:rFonts w:ascii="Garamond" w:hAnsi="Garamond" w:cs="Arial"/>
          <w:b/>
          <w:bCs/>
          <w:i/>
          <w:iCs/>
          <w:sz w:val="20"/>
          <w:szCs w:val="20"/>
          <w:lang w:val="sq-AL"/>
        </w:rPr>
      </w:pPr>
    </w:p>
    <w:p w14:paraId="5DE1F7F5" w14:textId="77777777" w:rsidR="005A03B4" w:rsidRDefault="005A03B4" w:rsidP="00755714">
      <w:pPr>
        <w:tabs>
          <w:tab w:val="left" w:pos="1418"/>
        </w:tabs>
        <w:spacing w:after="0" w:line="240" w:lineRule="auto"/>
        <w:jc w:val="center"/>
        <w:rPr>
          <w:rFonts w:ascii="Garamond" w:hAnsi="Garamond" w:cs="Arial"/>
          <w:b/>
          <w:bCs/>
          <w:i/>
          <w:iCs/>
          <w:sz w:val="20"/>
          <w:szCs w:val="20"/>
          <w:lang w:val="sq-AL"/>
        </w:rPr>
      </w:pPr>
    </w:p>
    <w:p w14:paraId="40F2616C" w14:textId="77777777" w:rsidR="005A03B4" w:rsidRDefault="005A03B4" w:rsidP="00755714">
      <w:pPr>
        <w:tabs>
          <w:tab w:val="left" w:pos="1418"/>
        </w:tabs>
        <w:spacing w:after="0" w:line="240" w:lineRule="auto"/>
        <w:jc w:val="center"/>
        <w:rPr>
          <w:rFonts w:ascii="Garamond" w:hAnsi="Garamond" w:cs="Arial"/>
          <w:b/>
          <w:bCs/>
          <w:i/>
          <w:iCs/>
          <w:sz w:val="20"/>
          <w:szCs w:val="20"/>
          <w:lang w:val="sq-AL"/>
        </w:rPr>
      </w:pPr>
    </w:p>
    <w:p w14:paraId="2D9049E5" w14:textId="77777777" w:rsidR="005A03B4" w:rsidRDefault="005A03B4" w:rsidP="00755714">
      <w:pPr>
        <w:tabs>
          <w:tab w:val="left" w:pos="1418"/>
        </w:tabs>
        <w:spacing w:after="0" w:line="240" w:lineRule="auto"/>
        <w:jc w:val="center"/>
        <w:rPr>
          <w:rFonts w:ascii="Garamond" w:hAnsi="Garamond" w:cs="Arial"/>
          <w:b/>
          <w:bCs/>
          <w:i/>
          <w:iCs/>
          <w:sz w:val="20"/>
          <w:szCs w:val="20"/>
          <w:lang w:val="sq-AL"/>
        </w:rPr>
      </w:pPr>
    </w:p>
    <w:p w14:paraId="136FB1FB" w14:textId="77777777" w:rsidR="005A03B4" w:rsidRDefault="005A03B4" w:rsidP="00755714">
      <w:pPr>
        <w:tabs>
          <w:tab w:val="left" w:pos="1418"/>
        </w:tabs>
        <w:spacing w:after="0" w:line="240" w:lineRule="auto"/>
        <w:jc w:val="center"/>
        <w:rPr>
          <w:rFonts w:ascii="Garamond" w:hAnsi="Garamond" w:cs="Arial"/>
          <w:b/>
          <w:bCs/>
          <w:i/>
          <w:iCs/>
          <w:sz w:val="20"/>
          <w:szCs w:val="20"/>
          <w:lang w:val="sq-AL"/>
        </w:rPr>
      </w:pPr>
    </w:p>
    <w:p w14:paraId="3F0BB137" w14:textId="77777777" w:rsidR="005A03B4" w:rsidRDefault="005A03B4" w:rsidP="00755714">
      <w:pPr>
        <w:tabs>
          <w:tab w:val="left" w:pos="1418"/>
        </w:tabs>
        <w:spacing w:after="0" w:line="240" w:lineRule="auto"/>
        <w:jc w:val="center"/>
        <w:rPr>
          <w:rFonts w:ascii="Garamond" w:hAnsi="Garamond" w:cs="Arial"/>
          <w:b/>
          <w:bCs/>
          <w:i/>
          <w:iCs/>
          <w:sz w:val="20"/>
          <w:szCs w:val="20"/>
          <w:lang w:val="sq-AL"/>
        </w:rPr>
      </w:pPr>
    </w:p>
    <w:p w14:paraId="3E9A6C50" w14:textId="77777777" w:rsidR="005A03B4" w:rsidRDefault="005A03B4" w:rsidP="00755714">
      <w:pPr>
        <w:tabs>
          <w:tab w:val="left" w:pos="1418"/>
        </w:tabs>
        <w:spacing w:after="0" w:line="240" w:lineRule="auto"/>
        <w:jc w:val="center"/>
        <w:rPr>
          <w:rFonts w:ascii="Garamond" w:hAnsi="Garamond" w:cs="Arial"/>
          <w:b/>
          <w:bCs/>
          <w:i/>
          <w:iCs/>
          <w:sz w:val="20"/>
          <w:szCs w:val="20"/>
          <w:lang w:val="sq-AL"/>
        </w:rPr>
      </w:pPr>
    </w:p>
    <w:p w14:paraId="453A1107" w14:textId="77777777" w:rsidR="005A03B4" w:rsidRDefault="005A03B4" w:rsidP="00755714">
      <w:pPr>
        <w:tabs>
          <w:tab w:val="left" w:pos="1418"/>
        </w:tabs>
        <w:spacing w:after="0" w:line="240" w:lineRule="auto"/>
        <w:jc w:val="center"/>
        <w:rPr>
          <w:rFonts w:ascii="Garamond" w:hAnsi="Garamond" w:cs="Arial"/>
          <w:b/>
          <w:bCs/>
          <w:i/>
          <w:iCs/>
          <w:sz w:val="20"/>
          <w:szCs w:val="20"/>
          <w:lang w:val="sq-AL"/>
        </w:rPr>
      </w:pPr>
    </w:p>
    <w:p w14:paraId="5FAC1CD2" w14:textId="77777777" w:rsidR="005A03B4" w:rsidRDefault="005A03B4" w:rsidP="00755714">
      <w:pPr>
        <w:tabs>
          <w:tab w:val="left" w:pos="1418"/>
        </w:tabs>
        <w:spacing w:after="0" w:line="240" w:lineRule="auto"/>
        <w:jc w:val="center"/>
        <w:rPr>
          <w:rFonts w:ascii="Garamond" w:hAnsi="Garamond" w:cs="Arial"/>
          <w:b/>
          <w:bCs/>
          <w:i/>
          <w:iCs/>
          <w:sz w:val="20"/>
          <w:szCs w:val="20"/>
          <w:lang w:val="sq-AL"/>
        </w:rPr>
      </w:pPr>
    </w:p>
    <w:p w14:paraId="0773AFFD" w14:textId="209C0E26" w:rsidR="00DF7A00" w:rsidRPr="00755714" w:rsidRDefault="00DF7A00" w:rsidP="00755714">
      <w:pPr>
        <w:tabs>
          <w:tab w:val="left" w:pos="1418"/>
        </w:tabs>
        <w:spacing w:after="0" w:line="240" w:lineRule="auto"/>
        <w:jc w:val="center"/>
        <w:rPr>
          <w:rFonts w:ascii="Garamond" w:hAnsi="Garamond" w:cs="Arial"/>
          <w:b/>
          <w:bCs/>
          <w:i/>
          <w:iCs/>
          <w:sz w:val="20"/>
          <w:szCs w:val="20"/>
          <w:lang w:val="sq-AL"/>
        </w:rPr>
      </w:pPr>
      <w:r w:rsidRPr="00755714">
        <w:rPr>
          <w:rFonts w:ascii="Garamond" w:hAnsi="Garamond" w:cs="Arial"/>
          <w:b/>
          <w:bCs/>
          <w:i/>
          <w:iCs/>
          <w:sz w:val="20"/>
          <w:szCs w:val="20"/>
          <w:lang w:val="sq-AL"/>
        </w:rPr>
        <w:lastRenderedPageBreak/>
        <w:t xml:space="preserve">Figura </w:t>
      </w:r>
      <w:r w:rsidR="00D228EA">
        <w:rPr>
          <w:rFonts w:ascii="Garamond" w:hAnsi="Garamond" w:cs="Arial"/>
          <w:b/>
          <w:bCs/>
          <w:i/>
          <w:iCs/>
          <w:sz w:val="20"/>
          <w:szCs w:val="20"/>
          <w:lang w:val="sq-AL"/>
        </w:rPr>
        <w:t>3</w:t>
      </w:r>
      <w:r w:rsidR="00755714" w:rsidRPr="00755714">
        <w:rPr>
          <w:rFonts w:ascii="Garamond" w:hAnsi="Garamond" w:cs="Arial"/>
          <w:b/>
          <w:bCs/>
          <w:i/>
          <w:iCs/>
          <w:sz w:val="20"/>
          <w:szCs w:val="20"/>
          <w:lang w:val="sq-AL"/>
        </w:rPr>
        <w:noBreakHyphen/>
        <w:t xml:space="preserve">1: </w:t>
      </w:r>
      <w:r w:rsidRPr="00755714">
        <w:rPr>
          <w:rFonts w:ascii="Garamond" w:hAnsi="Garamond" w:cs="Arial"/>
          <w:i/>
          <w:iCs/>
          <w:sz w:val="20"/>
          <w:szCs w:val="20"/>
          <w:lang w:val="sq-AL"/>
        </w:rPr>
        <w:t>Punësimi në sektorin e peshkimit (2019)</w:t>
      </w:r>
      <w:bookmarkEnd w:id="42"/>
    </w:p>
    <w:p w14:paraId="0773AFFE" w14:textId="2EF259AA" w:rsidR="00DF7A00" w:rsidRPr="0058349C" w:rsidRDefault="00DF7A00" w:rsidP="00755714">
      <w:pPr>
        <w:spacing w:after="0" w:line="240" w:lineRule="auto"/>
        <w:ind w:firstLine="284"/>
        <w:jc w:val="center"/>
        <w:rPr>
          <w:rFonts w:ascii="Garamond" w:hAnsi="Garamond" w:cs="Arial"/>
          <w:sz w:val="24"/>
          <w:szCs w:val="24"/>
          <w:lang w:val="sq-AL"/>
        </w:rPr>
      </w:pPr>
      <w:r w:rsidRPr="0058349C">
        <w:rPr>
          <w:rFonts w:ascii="Garamond" w:hAnsi="Garamond"/>
          <w:noProof/>
          <w:sz w:val="24"/>
          <w:szCs w:val="24"/>
        </w:rPr>
        <w:drawing>
          <wp:anchor distT="0" distB="0" distL="114300" distR="114300" simplePos="0" relativeHeight="251658241" behindDoc="0" locked="0" layoutInCell="1" allowOverlap="1" wp14:anchorId="4E9363E5" wp14:editId="64878C89">
            <wp:simplePos x="0" y="0"/>
            <wp:positionH relativeFrom="column">
              <wp:posOffset>179705</wp:posOffset>
            </wp:positionH>
            <wp:positionV relativeFrom="paragraph">
              <wp:posOffset>1905</wp:posOffset>
            </wp:positionV>
            <wp:extent cx="5732780" cy="2926080"/>
            <wp:effectExtent l="0" t="0" r="1270" b="7620"/>
            <wp:wrapTopAndBottom/>
            <wp:docPr id="667" name="Chart 66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Pr="0058349C">
        <w:rPr>
          <w:rFonts w:ascii="Garamond" w:hAnsi="Garamond" w:cs="Arial"/>
          <w:sz w:val="24"/>
          <w:szCs w:val="24"/>
          <w:lang w:val="sq-AL"/>
        </w:rPr>
        <w:t>Burimi: MBZHR (2020)</w:t>
      </w:r>
    </w:p>
    <w:p w14:paraId="0773AFFF" w14:textId="77777777" w:rsidR="00DF7A00" w:rsidRPr="0058349C" w:rsidRDefault="00DF7A00" w:rsidP="00DF7A00">
      <w:pPr>
        <w:spacing w:after="0" w:line="240" w:lineRule="auto"/>
        <w:ind w:firstLine="284"/>
        <w:jc w:val="both"/>
        <w:rPr>
          <w:rFonts w:ascii="Garamond" w:hAnsi="Garamond" w:cs="Arial"/>
          <w:sz w:val="24"/>
          <w:szCs w:val="24"/>
          <w:lang w:val="sq-AL"/>
        </w:rPr>
      </w:pPr>
    </w:p>
    <w:p w14:paraId="0773B000"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Shifrat e punësimit në peshkimin në ujërat e brendshme dhe në peshkimin bregdetar detar nuk pasqyrojnë situatën aktuale të punësimit në këtë sektor. Vlerësohet se </w:t>
      </w:r>
      <w:r w:rsidRPr="0058349C">
        <w:rPr>
          <w:rFonts w:ascii="Garamond" w:hAnsi="Garamond" w:cs="Arial"/>
          <w:b/>
          <w:sz w:val="24"/>
          <w:szCs w:val="24"/>
          <w:lang w:val="sq-AL"/>
        </w:rPr>
        <w:t xml:space="preserve">disa mijëra peshkatarë </w:t>
      </w:r>
      <w:r w:rsidRPr="0058349C">
        <w:rPr>
          <w:rFonts w:ascii="Garamond" w:hAnsi="Garamond" w:cs="Arial"/>
          <w:sz w:val="24"/>
          <w:szCs w:val="24"/>
          <w:lang w:val="sq-AL"/>
        </w:rPr>
        <w:t>nxjerrin të ardhura nga peshkimi, kështu që sektori i peshkimit luan një rol të rëndësishëm social-ekonomik në jetesën bregdetare dhe rurale, i cili nuk përfshihet plotësisht në të dhënat statistikore zyrtare të disponueshme.</w:t>
      </w:r>
    </w:p>
    <w:p w14:paraId="0773B001" w14:textId="77777777" w:rsidR="00DF7A00" w:rsidRPr="0058349C" w:rsidRDefault="00DF7A00" w:rsidP="00DF7A00">
      <w:pPr>
        <w:keepNext/>
        <w:keepLines/>
        <w:spacing w:after="0" w:line="240" w:lineRule="auto"/>
        <w:ind w:firstLine="284"/>
        <w:jc w:val="both"/>
        <w:rPr>
          <w:rFonts w:ascii="Garamond" w:hAnsi="Garamond" w:cs="Arial"/>
          <w:b/>
          <w:sz w:val="24"/>
          <w:szCs w:val="24"/>
          <w:shd w:val="clear" w:color="auto" w:fill="FFFFFF"/>
          <w:lang w:val="sq-AL"/>
        </w:rPr>
      </w:pPr>
      <w:r w:rsidRPr="0058349C">
        <w:rPr>
          <w:rFonts w:ascii="Garamond" w:hAnsi="Garamond" w:cs="Arial"/>
          <w:b/>
          <w:sz w:val="24"/>
          <w:szCs w:val="24"/>
          <w:shd w:val="clear" w:color="auto" w:fill="FFFFFF"/>
          <w:lang w:val="sq-AL"/>
        </w:rPr>
        <w:t>Ekonomia blu, turizmi blu</w:t>
      </w:r>
    </w:p>
    <w:p w14:paraId="0773B002" w14:textId="77777777" w:rsidR="00DF7A00" w:rsidRPr="0058349C" w:rsidRDefault="00DF7A00" w:rsidP="00DF7A00">
      <w:pPr>
        <w:spacing w:after="0" w:line="240" w:lineRule="auto"/>
        <w:ind w:firstLine="284"/>
        <w:jc w:val="both"/>
        <w:rPr>
          <w:rFonts w:ascii="Garamond" w:hAnsi="Garamond" w:cs="Arial"/>
          <w:bCs/>
          <w:sz w:val="24"/>
          <w:szCs w:val="24"/>
          <w:shd w:val="clear" w:color="auto" w:fill="FFFFFF"/>
          <w:lang w:val="sq-AL"/>
        </w:rPr>
      </w:pPr>
      <w:r w:rsidRPr="0058349C">
        <w:rPr>
          <w:rFonts w:ascii="Garamond" w:hAnsi="Garamond" w:cs="Arial"/>
          <w:b/>
          <w:bCs/>
          <w:sz w:val="24"/>
          <w:szCs w:val="24"/>
          <w:shd w:val="clear" w:color="auto" w:fill="FFFFFF"/>
          <w:lang w:val="sq-AL"/>
        </w:rPr>
        <w:t>Burimet bregdetare dhe detare</w:t>
      </w:r>
      <w:r w:rsidRPr="0058349C">
        <w:rPr>
          <w:rFonts w:ascii="Garamond" w:hAnsi="Garamond" w:cs="Arial"/>
          <w:bCs/>
          <w:sz w:val="24"/>
          <w:szCs w:val="24"/>
          <w:shd w:val="clear" w:color="auto" w:fill="FFFFFF"/>
          <w:lang w:val="sq-AL"/>
        </w:rPr>
        <w:t xml:space="preserve"> janë pasuri ekonomike të vlefshme, potenciali i plotë i të cilave ende nuk është eksploruar në Shqipëri. Ndërkohë që investimet publike në </w:t>
      </w:r>
      <w:r w:rsidRPr="0058349C">
        <w:rPr>
          <w:rFonts w:ascii="Garamond" w:hAnsi="Garamond" w:cs="Arial"/>
          <w:b/>
          <w:bCs/>
          <w:sz w:val="24"/>
          <w:szCs w:val="24"/>
          <w:shd w:val="clear" w:color="auto" w:fill="FFFFFF"/>
          <w:lang w:val="sq-AL"/>
        </w:rPr>
        <w:t>ekonominë blu të qëndrueshme</w:t>
      </w:r>
      <w:r w:rsidRPr="0058349C">
        <w:rPr>
          <w:rFonts w:ascii="Garamond" w:hAnsi="Garamond" w:cs="Arial"/>
          <w:bCs/>
          <w:sz w:val="24"/>
          <w:szCs w:val="24"/>
          <w:shd w:val="clear" w:color="auto" w:fill="FFFFFF"/>
          <w:lang w:val="sq-AL"/>
        </w:rPr>
        <w:t xml:space="preserve"> jan</w:t>
      </w:r>
      <w:r w:rsidRPr="0058349C">
        <w:rPr>
          <w:rFonts w:ascii="Garamond" w:hAnsi="Garamond" w:cs="Arial"/>
          <w:sz w:val="24"/>
          <w:szCs w:val="24"/>
          <w:lang w:val="sq-AL"/>
        </w:rPr>
        <w:t>ë integruar</w:t>
      </w:r>
      <w:r w:rsidRPr="0058349C">
        <w:rPr>
          <w:rFonts w:ascii="Garamond" w:hAnsi="Garamond" w:cs="Arial"/>
          <w:bCs/>
          <w:sz w:val="24"/>
          <w:szCs w:val="24"/>
          <w:shd w:val="clear" w:color="auto" w:fill="FFFFFF"/>
          <w:lang w:val="sq-AL"/>
        </w:rPr>
        <w:t xml:space="preserve"> në nivel kombëtar</w:t>
      </w:r>
      <w:r w:rsidRPr="00FA57C3">
        <w:rPr>
          <w:rFonts w:ascii="Garamond" w:hAnsi="Garamond"/>
          <w:sz w:val="24"/>
          <w:szCs w:val="24"/>
          <w:vertAlign w:val="superscript"/>
        </w:rPr>
        <w:footnoteReference w:id="55"/>
      </w:r>
      <w:r w:rsidRPr="0058349C">
        <w:rPr>
          <w:rFonts w:ascii="Garamond" w:hAnsi="Garamond" w:cs="Arial"/>
          <w:bCs/>
          <w:sz w:val="24"/>
          <w:szCs w:val="24"/>
          <w:shd w:val="clear" w:color="auto" w:fill="FFFFFF"/>
          <w:lang w:val="sq-AL"/>
        </w:rPr>
        <w:t>, përmirësimi i kushteve për zhvillimin e ekonomisë blu të qëndrueshme dhe për heqjen e pengesave për të lehtësuar investimet dhe zhvillimin e tregjeve dhe teknologjive ose shërbimeve të reja është pjesë e politikës së peshkimit.</w:t>
      </w:r>
    </w:p>
    <w:p w14:paraId="0773B003" w14:textId="26203B7B" w:rsidR="00DF7A00" w:rsidRPr="0058349C" w:rsidRDefault="00DF7A00" w:rsidP="00FA57C3">
      <w:pPr>
        <w:spacing w:after="0" w:line="240" w:lineRule="auto"/>
        <w:ind w:firstLine="284"/>
        <w:jc w:val="both"/>
        <w:rPr>
          <w:rFonts w:ascii="Garamond" w:hAnsi="Garamond" w:cs="Arial"/>
          <w:bCs/>
          <w:sz w:val="24"/>
          <w:szCs w:val="24"/>
          <w:shd w:val="clear" w:color="auto" w:fill="FFFFFF"/>
          <w:lang w:val="sq-AL"/>
        </w:rPr>
      </w:pPr>
      <w:r w:rsidRPr="0058349C">
        <w:rPr>
          <w:rFonts w:ascii="Garamond" w:hAnsi="Garamond" w:cs="Arial"/>
          <w:bCs/>
          <w:sz w:val="24"/>
          <w:szCs w:val="24"/>
          <w:shd w:val="clear" w:color="auto" w:fill="FFFFFF"/>
          <w:lang w:val="sq-AL"/>
        </w:rPr>
        <w:t xml:space="preserve">Për të vazhduar përpjekjen e saj drejt qëndrueshmërisë, rritja blu mbështetet nga transferimi dhe përvetësimi i kërkimit dhe inovacionit, investimi në biznese të reja detare dhe në bioekonominë, duke përfshirë modelet e qëndrueshme të turizmit, të cilat mund të krijojnë vende pune dhe në të njëjtën kohë të përmirësojnë zhvillimin në nivel lokal kaq i rëndësishëm në nivel social-ekonomik dhe kulturor për komunitetet bregdetare. Përfitimet e një </w:t>
      </w:r>
      <w:r w:rsidRPr="0058349C">
        <w:rPr>
          <w:rFonts w:ascii="Garamond" w:hAnsi="Garamond" w:cs="Arial"/>
          <w:b/>
          <w:bCs/>
          <w:sz w:val="24"/>
          <w:szCs w:val="24"/>
          <w:shd w:val="clear" w:color="auto" w:fill="FFFFFF"/>
          <w:lang w:val="sq-AL"/>
        </w:rPr>
        <w:t>turizmi blu</w:t>
      </w:r>
      <w:r w:rsidRPr="0058349C">
        <w:rPr>
          <w:rFonts w:ascii="Garamond" w:hAnsi="Garamond" w:cs="Arial"/>
          <w:bCs/>
          <w:sz w:val="24"/>
          <w:szCs w:val="24"/>
          <w:shd w:val="clear" w:color="auto" w:fill="FFFFFF"/>
          <w:lang w:val="sq-AL"/>
        </w:rPr>
        <w:t xml:space="preserve"> të qëndrueshëm për të tërhequr më shumë turistë për aktivitetet rekreative bregdetare dhe detare nuk janë vlerësuar ende. Mundësi të mëtejshme qëndrojnë në zhvillimin e aktiviteteve ekonomike të energjisë së rinovueshme të bazuar në hapësirat detare</w:t>
      </w:r>
      <w:r w:rsidRPr="00FA57C3">
        <w:rPr>
          <w:rFonts w:ascii="Garamond" w:hAnsi="Garamond"/>
          <w:sz w:val="24"/>
          <w:szCs w:val="24"/>
          <w:vertAlign w:val="superscript"/>
        </w:rPr>
        <w:footnoteReference w:id="56"/>
      </w:r>
      <w:r w:rsidRPr="0058349C">
        <w:rPr>
          <w:rFonts w:ascii="Garamond" w:hAnsi="Garamond" w:cs="Arial"/>
          <w:bCs/>
          <w:sz w:val="24"/>
          <w:szCs w:val="24"/>
          <w:shd w:val="clear" w:color="auto" w:fill="FFFFFF"/>
          <w:lang w:val="sq-AL"/>
        </w:rPr>
        <w:t>.</w:t>
      </w:r>
    </w:p>
    <w:p w14:paraId="0773B004" w14:textId="58F4BED6" w:rsidR="00DF7A00" w:rsidRPr="0058349C" w:rsidRDefault="003D28A7" w:rsidP="00FA57C3">
      <w:pPr>
        <w:pStyle w:val="TEKSTIIII"/>
        <w:rPr>
          <w:lang w:val="sq-AL"/>
        </w:rPr>
      </w:pPr>
      <w:bookmarkStart w:id="43" w:name="_Toc103838832"/>
      <w:r w:rsidRPr="0058349C">
        <w:rPr>
          <w:rStyle w:val="Heading3Char"/>
          <w:rFonts w:ascii="Garamond" w:hAnsi="Garamond"/>
          <w:color w:val="auto"/>
        </w:rPr>
        <w:t xml:space="preserve">3.2.4.2 </w:t>
      </w:r>
      <w:r w:rsidR="00DF7A00" w:rsidRPr="0058349C">
        <w:rPr>
          <w:rStyle w:val="Heading3Char"/>
          <w:rFonts w:ascii="Garamond" w:hAnsi="Garamond"/>
          <w:color w:val="auto"/>
        </w:rPr>
        <w:t>Politika 2</w:t>
      </w:r>
      <w:r w:rsidR="00FA57C3">
        <w:rPr>
          <w:rStyle w:val="Heading3Char"/>
          <w:rFonts w:ascii="Garamond" w:hAnsi="Garamond"/>
          <w:color w:val="auto"/>
        </w:rPr>
        <w:t>.</w:t>
      </w:r>
      <w:r w:rsidR="00DF7A00" w:rsidRPr="0058349C">
        <w:rPr>
          <w:rStyle w:val="Heading3Char"/>
          <w:rFonts w:ascii="Garamond" w:hAnsi="Garamond"/>
          <w:color w:val="auto"/>
        </w:rPr>
        <w:t xml:space="preserve"> Objektivi specifik 10: Nxitja e peshkimit të qëndrueshëm dhe ruajtja e burimeve biologjike detare</w:t>
      </w:r>
      <w:bookmarkEnd w:id="43"/>
    </w:p>
    <w:p w14:paraId="0773B005" w14:textId="4376E115" w:rsidR="00DF7A00" w:rsidRPr="0058349C" w:rsidRDefault="00DF7A00" w:rsidP="00FA57C3">
      <w:pPr>
        <w:keepNext/>
        <w:keepLines/>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lastRenderedPageBreak/>
        <w:t>Mbrojtja e mjedisit, klimës dhe biodiversitetit, kontributi për zbatimin e A</w:t>
      </w:r>
      <w:r w:rsidR="00FA57C3">
        <w:rPr>
          <w:rFonts w:ascii="Garamond" w:hAnsi="Garamond" w:cs="Arial"/>
          <w:b/>
          <w:sz w:val="24"/>
          <w:szCs w:val="24"/>
          <w:lang w:val="sq-AL"/>
        </w:rPr>
        <w:t>gj</w:t>
      </w:r>
      <w:r w:rsidRPr="0058349C">
        <w:rPr>
          <w:rFonts w:ascii="Garamond" w:hAnsi="Garamond" w:cs="Arial"/>
          <w:b/>
          <w:sz w:val="24"/>
          <w:szCs w:val="24"/>
          <w:lang w:val="sq-AL"/>
        </w:rPr>
        <w:t>endës së Gjelbër të vendeve të Ballkanit Perëndimor</w:t>
      </w:r>
    </w:p>
    <w:p w14:paraId="0773B006" w14:textId="36D7A536" w:rsidR="00DF7A00" w:rsidRPr="0058349C" w:rsidRDefault="00DF7A00" w:rsidP="002112FA">
      <w:pPr>
        <w:widowControl w:val="0"/>
        <w:spacing w:after="0" w:line="240" w:lineRule="auto"/>
        <w:ind w:firstLine="284"/>
        <w:contextualSpacing/>
        <w:jc w:val="both"/>
        <w:rPr>
          <w:rFonts w:ascii="Garamond" w:hAnsi="Garamond" w:cs="Arial"/>
          <w:bCs/>
          <w:sz w:val="24"/>
          <w:szCs w:val="24"/>
          <w:lang w:val="sq-AL"/>
        </w:rPr>
      </w:pPr>
      <w:r w:rsidRPr="0058349C">
        <w:rPr>
          <w:rFonts w:ascii="Garamond" w:hAnsi="Garamond" w:cs="Arial"/>
          <w:bCs/>
          <w:sz w:val="24"/>
          <w:szCs w:val="24"/>
          <w:lang w:val="sq-AL"/>
        </w:rPr>
        <w:t>Rritja e prodhimit të akuakulturës ka ndikim të rëndësishëm në shfrytëzimin e burimeve ujore dhe ndotjen e mundshme të tyre. Akuakultura luan një rol të rëndësishëm në rritjen e përdorimit të antibiotikëve për parandalimin e sëmundjeve. Dendësia e lartë e stokut në akuakulturë favorizon shfaqjen e sëmundjeve të shumta që mund të transmetohen edhe në stoqet e egra. Nënsektori i akuakulturës n</w:t>
      </w:r>
      <w:r w:rsidRPr="0058349C">
        <w:rPr>
          <w:rFonts w:ascii="Garamond" w:hAnsi="Garamond" w:cs="Arial"/>
          <w:sz w:val="24"/>
          <w:szCs w:val="24"/>
          <w:lang w:val="sq-AL"/>
        </w:rPr>
        <w:t xml:space="preserve">ë Shqipëri </w:t>
      </w:r>
      <w:r w:rsidRPr="0058349C">
        <w:rPr>
          <w:rFonts w:ascii="Garamond" w:hAnsi="Garamond" w:cs="Arial"/>
          <w:bCs/>
          <w:sz w:val="24"/>
          <w:szCs w:val="24"/>
          <w:lang w:val="sq-AL"/>
        </w:rPr>
        <w:t xml:space="preserve">tregon disa shembuj të mirë që shkojnë përtej respektimit të standardeve minimale. Disa ferma aplikojnë një numër të reduktuar peshqish në kafaze për të siguruar një cilësi më të mirë të produktit me pasojë përmirësimin e kushteve të mirëqenies. Dy ferma të akuakulturës detare në Shqipëri kanë marrë një certifikim pa antibiotikë. </w:t>
      </w:r>
    </w:p>
    <w:p w14:paraId="0773B007" w14:textId="1CCAC159" w:rsidR="00DF7A00" w:rsidRPr="0058349C" w:rsidRDefault="00DF7A00" w:rsidP="002112FA">
      <w:pPr>
        <w:widowControl w:val="0"/>
        <w:spacing w:after="0" w:line="240" w:lineRule="auto"/>
        <w:ind w:firstLine="284"/>
        <w:contextualSpacing/>
        <w:jc w:val="both"/>
        <w:rPr>
          <w:rFonts w:ascii="Garamond" w:hAnsi="Garamond" w:cs="Arial"/>
          <w:sz w:val="24"/>
          <w:szCs w:val="24"/>
          <w:lang w:val="sq-AL"/>
        </w:rPr>
      </w:pPr>
      <w:r w:rsidRPr="0058349C">
        <w:rPr>
          <w:rFonts w:ascii="Garamond" w:hAnsi="Garamond" w:cs="Arial"/>
          <w:bCs/>
          <w:sz w:val="24"/>
          <w:szCs w:val="24"/>
          <w:lang w:val="sq-AL"/>
        </w:rPr>
        <w:t>Peshkimi mbi normë në detin Adriatik dhe Jon ka një ndikim të drejtpërdrejtë në biodiversitetin, veçanërisht kur ekspozohet ndaj ndryshimeve klimatike. FAO vlerëson se deri në 80% e stokut të peshkut brenda zonave ekonomike ekskluzive të Shqipërisë është i mbishfrytëzuar.</w:t>
      </w:r>
      <w:r w:rsidRPr="0058349C">
        <w:rPr>
          <w:vertAlign w:val="superscript"/>
          <w:lang w:val="sq-AL"/>
        </w:rPr>
        <w:footnoteReference w:id="57"/>
      </w:r>
      <w:r w:rsidRPr="0058349C">
        <w:rPr>
          <w:rFonts w:ascii="Garamond" w:hAnsi="Garamond" w:cs="Arial"/>
          <w:bCs/>
          <w:sz w:val="24"/>
          <w:szCs w:val="24"/>
          <w:lang w:val="sq-AL"/>
        </w:rPr>
        <w:t xml:space="preserve"> Me ndikimet antropogjene që rrisin vazhdimisht presionin e tyre mbi rezervat e peshkut, nocioni i një sektori të orientuar nga prodhimi është sfiduar nga nevoja për një qasje ekosistemi ndaj peshkimit. Do të ishte e domosdoshme të ndiqet kjo qasje edhe në të ardhmen, duke promovuar iniciativa, që mbështeten në një qasje ekosistemi ndaj peshkimit, duke përfshirë restaurimin e ekosistemeve të pasura me karbon dhe zona të mjaftueshme për riprodhimin dhe rritjen e larvave të peshqve për të trajtuar barrierat për menaxhimin e qëndrueshëm të peshkimit (p.sh. mbipeshkimi, peshkimi PPPP dhe praktikat shkatërruese të peshkimit, ndryshimet klimatike, humbja e biodiversitetit dhe ndotja detare, duke përfshir</w:t>
      </w:r>
      <w:r w:rsidR="001E38C1">
        <w:rPr>
          <w:rFonts w:ascii="Garamond" w:hAnsi="Garamond" w:cs="Arial"/>
          <w:bCs/>
          <w:sz w:val="24"/>
          <w:szCs w:val="24"/>
          <w:lang w:val="sq-AL"/>
        </w:rPr>
        <w:t>ë mbetjet detare dhe speciet jo</w:t>
      </w:r>
      <w:r w:rsidRPr="0058349C">
        <w:rPr>
          <w:rFonts w:ascii="Garamond" w:hAnsi="Garamond" w:cs="Arial"/>
          <w:bCs/>
          <w:sz w:val="24"/>
          <w:szCs w:val="24"/>
          <w:lang w:val="sq-AL"/>
        </w:rPr>
        <w:t>indigjene)</w:t>
      </w:r>
      <w:r w:rsidRPr="0058349C">
        <w:rPr>
          <w:rFonts w:ascii="Garamond" w:hAnsi="Garamond" w:cs="Arial"/>
          <w:sz w:val="24"/>
          <w:szCs w:val="24"/>
          <w:lang w:val="sq-AL"/>
        </w:rPr>
        <w:t>.</w:t>
      </w:r>
    </w:p>
    <w:p w14:paraId="0773B008" w14:textId="1E26B389"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Mbetjet e ngurta</w:t>
      </w:r>
      <w:r w:rsidRPr="0058349C">
        <w:rPr>
          <w:rFonts w:ascii="Garamond" w:hAnsi="Garamond" w:cs="Arial"/>
          <w:sz w:val="24"/>
          <w:szCs w:val="24"/>
          <w:lang w:val="sq-AL"/>
        </w:rPr>
        <w:t xml:space="preserve"> që gjenden në Shqipëri nga akuakultura detare intensive, jo vetëm prekin zonën përreth, por mund të ndryshojnë edhe një zonë më të gjerë bregdetare në nivele të ndryshme të ekosistemeve, duke reduktuar kështu biomasën dhe dendësinë e specieve. Përveç kësaj, peshqit e larguar nga fermat e akuakulturës mund të shkaktojnë</w:t>
      </w:r>
      <w:r w:rsidR="001E38C1">
        <w:rPr>
          <w:rFonts w:ascii="Garamond" w:hAnsi="Garamond" w:cs="Arial"/>
          <w:sz w:val="24"/>
          <w:szCs w:val="24"/>
          <w:lang w:val="sq-AL"/>
        </w:rPr>
        <w:t>,</w:t>
      </w:r>
      <w:r w:rsidRPr="0058349C">
        <w:rPr>
          <w:rFonts w:ascii="Garamond" w:hAnsi="Garamond" w:cs="Arial"/>
          <w:sz w:val="24"/>
          <w:szCs w:val="24"/>
          <w:lang w:val="sq-AL"/>
        </w:rPr>
        <w:t xml:space="preserve"> gjithashtu</w:t>
      </w:r>
      <w:r w:rsidR="001E38C1">
        <w:rPr>
          <w:rFonts w:ascii="Garamond" w:hAnsi="Garamond" w:cs="Arial"/>
          <w:sz w:val="24"/>
          <w:szCs w:val="24"/>
          <w:lang w:val="sq-AL"/>
        </w:rPr>
        <w:t>,</w:t>
      </w:r>
      <w:r w:rsidRPr="0058349C">
        <w:rPr>
          <w:rFonts w:ascii="Garamond" w:hAnsi="Garamond" w:cs="Arial"/>
          <w:sz w:val="24"/>
          <w:szCs w:val="24"/>
          <w:lang w:val="sq-AL"/>
        </w:rPr>
        <w:t xml:space="preserve"> kontaminim gjenetik të popullatave të egra.</w:t>
      </w:r>
    </w:p>
    <w:p w14:paraId="0773B009" w14:textId="4DC2522B"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Dendësia e peshkut është më e ulët</w:t>
      </w:r>
      <w:r w:rsidRPr="0058349C">
        <w:rPr>
          <w:rFonts w:ascii="Garamond" w:hAnsi="Garamond" w:cs="Arial"/>
          <w:sz w:val="24"/>
          <w:szCs w:val="24"/>
          <w:lang w:val="sq-AL"/>
        </w:rPr>
        <w:t xml:space="preserve"> se standardet e BE-së, megjithatë të dhënat mungojnë dhe dendësia ideale duhet të vlerësohet</w:t>
      </w:r>
      <w:r w:rsidR="001E38C1">
        <w:rPr>
          <w:rFonts w:ascii="Garamond" w:hAnsi="Garamond" w:cs="Arial"/>
          <w:sz w:val="24"/>
          <w:szCs w:val="24"/>
          <w:lang w:val="sq-AL"/>
        </w:rPr>
        <w:t>,</w:t>
      </w:r>
      <w:r w:rsidRPr="0058349C">
        <w:rPr>
          <w:rFonts w:ascii="Garamond" w:hAnsi="Garamond" w:cs="Arial"/>
          <w:sz w:val="24"/>
          <w:szCs w:val="24"/>
          <w:lang w:val="sq-AL"/>
        </w:rPr>
        <w:t xml:space="preserve"> sipas parametrave të tillë si përqendrimi i oksigjenit dhe rrjedha/shkëmbimi i ujit, mbetjet e fermës në mjedis me referencë specifike për gjallesat, planktone dhe nektone, dhe rrjetat ushqimore natyrore.</w:t>
      </w:r>
    </w:p>
    <w:p w14:paraId="0773B00A" w14:textId="77777777" w:rsidR="00DF7A00" w:rsidRPr="0058349C" w:rsidRDefault="00DF7A00" w:rsidP="00DF7A00">
      <w:pPr>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Anëtarësimi në marrëveshje ndërkombëtare</w:t>
      </w:r>
    </w:p>
    <w:p w14:paraId="0773B00B" w14:textId="06ABFEA6"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Si palë kontraktuese në KPPM, Shqipëria zbaton rekomandimet e saj, të tilla si masat për të kufizuar përpjekjet e peshkimit në rezervat e vogla pelagjike, miratimi i planeve shumëvjeçare të menaxhimit për ruajtjen dhe shfrytëzimin e qëndrueshëm të ngjalës evropiane dhe është gati të miratojë planin shumëvjeçar të menaxhimit për aktivitetet e qëndrueshme të peshkimit në detin Adriatik. Shqipëria zbaton rekomandimin e KPPM-së për numrin e Organizatës Ndërkombëtare Detare (OND) të caktuar për anijet metalike të</w:t>
      </w:r>
      <w:r w:rsidR="00CF7694" w:rsidRPr="0058349C">
        <w:rPr>
          <w:rFonts w:ascii="Garamond" w:hAnsi="Garamond" w:cs="Arial"/>
          <w:sz w:val="24"/>
          <w:szCs w:val="24"/>
          <w:lang w:val="sq-AL"/>
        </w:rPr>
        <w:t xml:space="preserve"> </w:t>
      </w:r>
      <w:r w:rsidRPr="0058349C">
        <w:rPr>
          <w:rFonts w:ascii="Garamond" w:hAnsi="Garamond" w:cs="Arial"/>
          <w:sz w:val="24"/>
          <w:szCs w:val="24"/>
          <w:lang w:val="sq-AL"/>
        </w:rPr>
        <w:t>peshkimit mbi 24 metra.</w:t>
      </w:r>
    </w:p>
    <w:p w14:paraId="0773B00C"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Një marrëveshje bashkëpunimi midis Shqipërisë dhe Maqedonisë së Veriut</w:t>
      </w:r>
      <w:r w:rsidRPr="0058349C">
        <w:rPr>
          <w:rFonts w:ascii="Garamond" w:hAnsi="Garamond" w:cs="Arial"/>
          <w:sz w:val="24"/>
          <w:szCs w:val="24"/>
          <w:lang w:val="sq-AL"/>
        </w:rPr>
        <w:t xml:space="preserve"> është nënshkruar në fund të vitit 2020 për ruajtjen, monitorimin dhe menaxhimin e peshkimit në liqenin e Ohrit dhe liqenin e Prespës.</w:t>
      </w:r>
    </w:p>
    <w:p w14:paraId="0773B00D"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Shqipëria ka nënshkruar </w:t>
      </w:r>
      <w:r w:rsidRPr="0058349C">
        <w:rPr>
          <w:rFonts w:ascii="Garamond" w:hAnsi="Garamond" w:cs="Arial"/>
          <w:b/>
          <w:sz w:val="24"/>
          <w:szCs w:val="24"/>
          <w:lang w:val="sq-AL"/>
        </w:rPr>
        <w:t>Deklaratën MedFish4Ever të Maltës</w:t>
      </w:r>
      <w:r w:rsidRPr="0058349C">
        <w:rPr>
          <w:rFonts w:ascii="Garamond" w:hAnsi="Garamond" w:cs="Arial"/>
          <w:sz w:val="24"/>
          <w:szCs w:val="24"/>
          <w:lang w:val="sq-AL"/>
        </w:rPr>
        <w:t xml:space="preserve"> për qëndrueshmërinë e peshkimit në Mesdhe (një nismë e BE-së për të kthyer peshkimin në Mesdhe për qëndrueshmëri dhe në këtë mënyrë për të ruajtur rritjen ekonomike dhe vendet e punës) dhe deklaratën e konferencës së nivelit të lartë të peshkimit artizanal në shtator 2018 në Maltë.</w:t>
      </w:r>
    </w:p>
    <w:p w14:paraId="0773B00E" w14:textId="77777777" w:rsidR="00DF7A00" w:rsidRPr="0058349C" w:rsidRDefault="00DF7A00" w:rsidP="00DF7A00">
      <w:pPr>
        <w:keepNext/>
        <w:keepLines/>
        <w:spacing w:after="0" w:line="240" w:lineRule="auto"/>
        <w:ind w:firstLine="284"/>
        <w:jc w:val="both"/>
        <w:rPr>
          <w:rFonts w:ascii="Garamond" w:hAnsi="Garamond" w:cs="Arial"/>
          <w:b/>
          <w:sz w:val="24"/>
          <w:szCs w:val="24"/>
          <w:lang w:val="sq-AL"/>
        </w:rPr>
      </w:pPr>
      <w:r w:rsidRPr="0058349C">
        <w:rPr>
          <w:rFonts w:ascii="Garamond" w:hAnsi="Garamond" w:cs="Arial"/>
          <w:b/>
          <w:sz w:val="24"/>
          <w:szCs w:val="24"/>
          <w:lang w:val="sq-AL"/>
        </w:rPr>
        <w:t>Kuadri administrativ dhe institucional</w:t>
      </w:r>
    </w:p>
    <w:p w14:paraId="0773B00F" w14:textId="77777777"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Që nga viti 2005, administrata shqiptare e peshkimit dhe akuakulturës në nivel kombëtar ka pësuar ndryshime të konsiderueshme. Një strukturë e konsoliduar administrative u krijua vetëm </w:t>
      </w:r>
      <w:r w:rsidRPr="0058349C">
        <w:rPr>
          <w:rFonts w:ascii="Garamond" w:eastAsia="Arial" w:hAnsi="Garamond" w:cs="Arial"/>
          <w:sz w:val="24"/>
          <w:szCs w:val="24"/>
          <w:lang w:val="sq-AL"/>
        </w:rPr>
        <w:lastRenderedPageBreak/>
        <w:t>pas vitit 2012 dhe në vitin 2013 kur administrata e peshkimit u zhvendos nga MTE në MBZHR. Bazuar në Strategjinë e Peshkimit 2016-2021, në MBZHR është krijuar Drejtoria për Peshkimin dhe Akuakulturën.</w:t>
      </w:r>
    </w:p>
    <w:p w14:paraId="0773B011" w14:textId="3BA276AF" w:rsidR="00DF7A00" w:rsidRPr="0058349C" w:rsidRDefault="00DF7A00" w:rsidP="00481EF2">
      <w:pPr>
        <w:spacing w:after="0" w:line="240" w:lineRule="auto"/>
        <w:ind w:firstLine="284"/>
        <w:jc w:val="both"/>
        <w:rPr>
          <w:rFonts w:ascii="Garamond" w:eastAsia="Arial" w:hAnsi="Garamond" w:cs="Arial"/>
          <w:b/>
          <w:sz w:val="24"/>
          <w:szCs w:val="24"/>
          <w:lang w:val="sq-AL"/>
        </w:rPr>
      </w:pPr>
      <w:r w:rsidRPr="0058349C">
        <w:rPr>
          <w:rFonts w:ascii="Garamond" w:eastAsia="Arial" w:hAnsi="Garamond" w:cs="Arial"/>
          <w:b/>
          <w:sz w:val="24"/>
          <w:szCs w:val="24"/>
          <w:lang w:val="sq-AL"/>
        </w:rPr>
        <w:t>Politika 2</w:t>
      </w:r>
      <w:r w:rsidR="00481EF2">
        <w:rPr>
          <w:rFonts w:ascii="Garamond" w:eastAsia="Arial" w:hAnsi="Garamond" w:cs="Arial"/>
          <w:b/>
          <w:sz w:val="24"/>
          <w:szCs w:val="24"/>
          <w:lang w:val="sq-AL"/>
        </w:rPr>
        <w:t>.</w:t>
      </w:r>
      <w:r w:rsidRPr="0058349C">
        <w:rPr>
          <w:rFonts w:ascii="Garamond" w:eastAsia="Arial" w:hAnsi="Garamond" w:cs="Arial"/>
          <w:b/>
          <w:sz w:val="24"/>
          <w:szCs w:val="24"/>
          <w:lang w:val="sq-AL"/>
        </w:rPr>
        <w:t xml:space="preserve"> Objektivi i përgjithshëm 4</w:t>
      </w:r>
    </w:p>
    <w:p w14:paraId="4900D6E8" w14:textId="77777777" w:rsidR="00813111" w:rsidRDefault="00813111" w:rsidP="00813111">
      <w:pPr>
        <w:pStyle w:val="Caption"/>
        <w:spacing w:after="0"/>
        <w:jc w:val="center"/>
        <w:rPr>
          <w:rFonts w:ascii="Garamond" w:hAnsi="Garamond"/>
          <w:color w:val="auto"/>
          <w:szCs w:val="24"/>
        </w:rPr>
      </w:pPr>
      <w:bookmarkStart w:id="44" w:name="_Toc79164039"/>
      <w:bookmarkStart w:id="45" w:name="_Toc103777367"/>
      <w:bookmarkStart w:id="46" w:name="_GoBack"/>
      <w:bookmarkEnd w:id="46"/>
    </w:p>
    <w:p w14:paraId="0773B012" w14:textId="454958DC" w:rsidR="00DF7A00" w:rsidRPr="00813111" w:rsidRDefault="00DF7A00" w:rsidP="00813111">
      <w:pPr>
        <w:pStyle w:val="Caption"/>
        <w:spacing w:after="0"/>
        <w:jc w:val="center"/>
        <w:rPr>
          <w:rFonts w:ascii="Garamond" w:hAnsi="Garamond"/>
          <w:b w:val="0"/>
          <w:i/>
          <w:color w:val="auto"/>
          <w:szCs w:val="24"/>
        </w:rPr>
      </w:pPr>
      <w:r w:rsidRPr="00813111">
        <w:rPr>
          <w:rFonts w:ascii="Garamond" w:hAnsi="Garamond"/>
          <w:i/>
          <w:color w:val="auto"/>
          <w:szCs w:val="24"/>
        </w:rPr>
        <w:t>Tabela 3-</w:t>
      </w:r>
      <w:r w:rsidR="00EE66AC" w:rsidRPr="00813111">
        <w:rPr>
          <w:rFonts w:ascii="Garamond" w:hAnsi="Garamond"/>
          <w:i/>
          <w:color w:val="auto"/>
          <w:szCs w:val="24"/>
        </w:rPr>
        <w:t>10</w:t>
      </w:r>
      <w:r w:rsidRPr="00813111">
        <w:rPr>
          <w:rFonts w:ascii="Garamond" w:hAnsi="Garamond"/>
          <w:b w:val="0"/>
          <w:i/>
          <w:color w:val="auto"/>
          <w:szCs w:val="24"/>
        </w:rPr>
        <w:t>:</w:t>
      </w:r>
      <w:bookmarkEnd w:id="44"/>
      <w:r w:rsidR="000F4DCD" w:rsidRPr="00813111">
        <w:rPr>
          <w:rFonts w:ascii="Garamond" w:hAnsi="Garamond"/>
          <w:b w:val="0"/>
          <w:i/>
          <w:color w:val="auto"/>
          <w:szCs w:val="24"/>
        </w:rPr>
        <w:t xml:space="preserve"> </w:t>
      </w:r>
      <w:r w:rsidRPr="00813111">
        <w:rPr>
          <w:rFonts w:ascii="Garamond" w:hAnsi="Garamond"/>
          <w:b w:val="0"/>
          <w:i/>
          <w:color w:val="auto"/>
          <w:szCs w:val="24"/>
        </w:rPr>
        <w:t xml:space="preserve">Mundësitë dhe </w:t>
      </w:r>
      <w:r w:rsidR="00481EF2" w:rsidRPr="00813111">
        <w:rPr>
          <w:rFonts w:ascii="Garamond" w:hAnsi="Garamond"/>
          <w:b w:val="0"/>
          <w:i/>
          <w:color w:val="auto"/>
          <w:szCs w:val="24"/>
        </w:rPr>
        <w:t>kërcënimet –</w:t>
      </w:r>
      <w:r w:rsidRPr="00813111">
        <w:rPr>
          <w:rFonts w:ascii="Garamond" w:hAnsi="Garamond"/>
          <w:b w:val="0"/>
          <w:i/>
          <w:color w:val="auto"/>
          <w:szCs w:val="24"/>
        </w:rPr>
        <w:t xml:space="preserve"> Objektivi i përgjithshëm 4</w:t>
      </w:r>
      <w:bookmarkEnd w:id="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643"/>
        <w:gridCol w:w="4644"/>
      </w:tblGrid>
      <w:tr w:rsidR="00167C37" w:rsidRPr="0058349C" w14:paraId="0773B014" w14:textId="77777777" w:rsidTr="005A03B4">
        <w:tc>
          <w:tcPr>
            <w:tcW w:w="5000" w:type="pct"/>
            <w:gridSpan w:val="2"/>
            <w:shd w:val="clear" w:color="auto" w:fill="C5E0B3"/>
          </w:tcPr>
          <w:p w14:paraId="0773B013" w14:textId="77777777"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 xml:space="preserve">PESHKIMI DETAR </w:t>
            </w:r>
          </w:p>
        </w:tc>
      </w:tr>
      <w:tr w:rsidR="00167C37" w:rsidRPr="0058349C" w14:paraId="0773B017" w14:textId="77777777" w:rsidTr="005A03B4">
        <w:tc>
          <w:tcPr>
            <w:tcW w:w="2500" w:type="pct"/>
            <w:shd w:val="clear" w:color="auto" w:fill="C5E0B3"/>
          </w:tcPr>
          <w:p w14:paraId="0773B015" w14:textId="77777777"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MUNDËSITË</w:t>
            </w:r>
          </w:p>
        </w:tc>
        <w:tc>
          <w:tcPr>
            <w:tcW w:w="2500" w:type="pct"/>
            <w:shd w:val="clear" w:color="auto" w:fill="C5E0B3"/>
          </w:tcPr>
          <w:p w14:paraId="0773B016" w14:textId="77777777"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KËRCËNIMET</w:t>
            </w:r>
          </w:p>
        </w:tc>
      </w:tr>
      <w:tr w:rsidR="00167C37" w:rsidRPr="0058349C" w14:paraId="0773B021" w14:textId="77777777" w:rsidTr="005A03B4">
        <w:tc>
          <w:tcPr>
            <w:tcW w:w="2500" w:type="pct"/>
            <w:shd w:val="clear" w:color="auto" w:fill="auto"/>
          </w:tcPr>
          <w:p w14:paraId="0773B018" w14:textId="028A47E0" w:rsidR="00DF7A00" w:rsidRPr="0058349C" w:rsidRDefault="00DF7A00" w:rsidP="00481EF2">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Diversifikimi në peshkimin e specieve të reja dhe të nënshfrytëzuar, p.sh. specie të vogla pelagjike dhe molusqe.</w:t>
            </w:r>
          </w:p>
          <w:p w14:paraId="0773B019"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Menaxhimi shumëvjeçar i peshkimit.</w:t>
            </w:r>
          </w:p>
          <w:p w14:paraId="0773B01A"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Menaxhimi i ekosistemit të peshkimit.</w:t>
            </w:r>
          </w:p>
          <w:p w14:paraId="0773B01B"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Më shumë peshkim selektiv.</w:t>
            </w:r>
          </w:p>
          <w:p w14:paraId="0773B01C" w14:textId="77777777" w:rsidR="00DF7A00" w:rsidRPr="0058349C" w:rsidRDefault="00DF7A00" w:rsidP="000F4DCD">
            <w:pPr>
              <w:spacing w:after="0" w:line="240" w:lineRule="auto"/>
              <w:jc w:val="both"/>
              <w:rPr>
                <w:rFonts w:ascii="Garamond" w:hAnsi="Garamond" w:cs="Arial"/>
                <w:b/>
                <w:bCs/>
                <w:sz w:val="20"/>
                <w:szCs w:val="24"/>
                <w:lang w:val="sq-AL"/>
              </w:rPr>
            </w:pPr>
            <w:r w:rsidRPr="0058349C">
              <w:rPr>
                <w:rFonts w:ascii="Garamond" w:hAnsi="Garamond" w:cs="Arial"/>
                <w:bCs/>
                <w:sz w:val="20"/>
                <w:szCs w:val="24"/>
                <w:lang w:val="sq-AL"/>
              </w:rPr>
              <w:t>Ngritja e kapaciteteve për peshkatarët dhe menaxherët/studiuesit.</w:t>
            </w:r>
          </w:p>
        </w:tc>
        <w:tc>
          <w:tcPr>
            <w:tcW w:w="2500" w:type="pct"/>
            <w:shd w:val="clear" w:color="auto" w:fill="auto"/>
          </w:tcPr>
          <w:p w14:paraId="0773B01D"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Ndryshimet klimatike dhe ndotja detare.</w:t>
            </w:r>
          </w:p>
          <w:p w14:paraId="0773B01E"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Peshkimi PPPP.</w:t>
            </w:r>
          </w:p>
          <w:p w14:paraId="0773B01F" w14:textId="777E6C32"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Margjinalizimi nga KPPM</w:t>
            </w:r>
            <w:r w:rsidR="00481EF2">
              <w:rPr>
                <w:rFonts w:ascii="Garamond" w:hAnsi="Garamond" w:cs="Arial"/>
                <w:bCs/>
                <w:sz w:val="20"/>
                <w:szCs w:val="24"/>
                <w:lang w:val="sq-AL"/>
              </w:rPr>
              <w:t>-ja</w:t>
            </w:r>
            <w:r w:rsidRPr="0058349C">
              <w:rPr>
                <w:rFonts w:ascii="Garamond" w:hAnsi="Garamond" w:cs="Arial"/>
                <w:bCs/>
                <w:sz w:val="20"/>
                <w:szCs w:val="24"/>
                <w:lang w:val="sq-AL"/>
              </w:rPr>
              <w:t xml:space="preserve"> dhe mundësi të tjera të përbashkëta të menaxhimit të peshkimit</w:t>
            </w:r>
            <w:r w:rsidR="00980B87">
              <w:rPr>
                <w:rFonts w:ascii="Garamond" w:hAnsi="Garamond" w:cs="Arial"/>
                <w:bCs/>
                <w:sz w:val="20"/>
                <w:szCs w:val="24"/>
                <w:lang w:val="sq-AL"/>
              </w:rPr>
              <w:t>,</w:t>
            </w:r>
            <w:r w:rsidRPr="0058349C">
              <w:rPr>
                <w:rFonts w:ascii="Garamond" w:hAnsi="Garamond" w:cs="Arial"/>
                <w:bCs/>
                <w:sz w:val="20"/>
                <w:szCs w:val="24"/>
                <w:lang w:val="sq-AL"/>
              </w:rPr>
              <w:t xml:space="preserve"> për shkak të kufizimeve buxhetore.</w:t>
            </w:r>
          </w:p>
          <w:p w14:paraId="0773B020" w14:textId="39CF07FF" w:rsidR="00DF7A00" w:rsidRPr="0058349C" w:rsidRDefault="00980B87" w:rsidP="000F4DCD">
            <w:pPr>
              <w:spacing w:after="0" w:line="240" w:lineRule="auto"/>
              <w:jc w:val="both"/>
              <w:rPr>
                <w:rFonts w:ascii="Garamond" w:hAnsi="Garamond" w:cs="Arial"/>
                <w:bCs/>
                <w:sz w:val="20"/>
                <w:szCs w:val="24"/>
                <w:lang w:val="sq-AL"/>
              </w:rPr>
            </w:pPr>
            <w:r>
              <w:rPr>
                <w:rFonts w:ascii="Garamond" w:hAnsi="Garamond" w:cs="Arial"/>
                <w:bCs/>
                <w:sz w:val="20"/>
                <w:szCs w:val="24"/>
                <w:lang w:val="sq-AL"/>
              </w:rPr>
              <w:t>Mbi</w:t>
            </w:r>
            <w:r w:rsidR="00DF7A00" w:rsidRPr="0058349C">
              <w:rPr>
                <w:rFonts w:ascii="Garamond" w:hAnsi="Garamond" w:cs="Arial"/>
                <w:bCs/>
                <w:sz w:val="20"/>
                <w:szCs w:val="24"/>
                <w:lang w:val="sq-AL"/>
              </w:rPr>
              <w:t>shfrytëzimi i detit Adriatik dhe Jon.</w:t>
            </w:r>
          </w:p>
        </w:tc>
      </w:tr>
      <w:tr w:rsidR="00167C37" w:rsidRPr="0058349C" w14:paraId="0773B023" w14:textId="77777777" w:rsidTr="005A03B4">
        <w:tc>
          <w:tcPr>
            <w:tcW w:w="5000" w:type="pct"/>
            <w:gridSpan w:val="2"/>
            <w:shd w:val="clear" w:color="auto" w:fill="C5E0B3"/>
          </w:tcPr>
          <w:p w14:paraId="0773B022" w14:textId="5541652C"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 xml:space="preserve">PESHKIMI NË LAGUNA DHE NË </w:t>
            </w:r>
            <w:r w:rsidR="000F35FE">
              <w:rPr>
                <w:rFonts w:ascii="Garamond" w:hAnsi="Garamond" w:cs="Arial"/>
                <w:b/>
                <w:sz w:val="20"/>
                <w:szCs w:val="24"/>
                <w:lang w:val="sq-AL"/>
              </w:rPr>
              <w:t>UJËRAT E BRENDSHME</w:t>
            </w:r>
            <w:r w:rsidRPr="0058349C">
              <w:rPr>
                <w:rFonts w:ascii="Garamond" w:hAnsi="Garamond" w:cs="Arial"/>
                <w:b/>
                <w:sz w:val="20"/>
                <w:szCs w:val="24"/>
                <w:lang w:val="sq-AL"/>
              </w:rPr>
              <w:t xml:space="preserve"> </w:t>
            </w:r>
          </w:p>
        </w:tc>
      </w:tr>
      <w:tr w:rsidR="00167C37" w:rsidRPr="0058349C" w14:paraId="0773B026" w14:textId="77777777" w:rsidTr="005A03B4">
        <w:tc>
          <w:tcPr>
            <w:tcW w:w="2500" w:type="pct"/>
            <w:shd w:val="clear" w:color="auto" w:fill="C5E0B3"/>
          </w:tcPr>
          <w:p w14:paraId="0773B024" w14:textId="77777777"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MUNDËSITË</w:t>
            </w:r>
          </w:p>
        </w:tc>
        <w:tc>
          <w:tcPr>
            <w:tcW w:w="2500" w:type="pct"/>
            <w:shd w:val="clear" w:color="auto" w:fill="C5E0B3"/>
          </w:tcPr>
          <w:p w14:paraId="0773B025" w14:textId="77777777"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KËRCËNIMET</w:t>
            </w:r>
          </w:p>
        </w:tc>
      </w:tr>
      <w:tr w:rsidR="00167C37" w:rsidRPr="0058349C" w14:paraId="0773B02E" w14:textId="77777777" w:rsidTr="005A03B4">
        <w:tc>
          <w:tcPr>
            <w:tcW w:w="2500" w:type="pct"/>
            <w:shd w:val="clear" w:color="auto" w:fill="auto"/>
          </w:tcPr>
          <w:p w14:paraId="0773B027"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Zhvillimi i ekoturizmit.</w:t>
            </w:r>
          </w:p>
          <w:p w14:paraId="0773B028"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Menaxhimi i ekosistemeve të peshkimit në laguna me agjenci të tjera.</w:t>
            </w:r>
          </w:p>
          <w:p w14:paraId="0773B029"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Koordinimi i basenit ujor ndërmjet agjencive dhe OMP-ve.</w:t>
            </w:r>
          </w:p>
          <w:p w14:paraId="0773B02A" w14:textId="77777777" w:rsidR="00DF7A00" w:rsidRPr="0058349C" w:rsidRDefault="00DF7A00" w:rsidP="000F4DCD">
            <w:pPr>
              <w:spacing w:after="0" w:line="240" w:lineRule="auto"/>
              <w:jc w:val="both"/>
              <w:rPr>
                <w:rFonts w:ascii="Garamond" w:hAnsi="Garamond" w:cs="Arial"/>
                <w:b/>
                <w:bCs/>
                <w:sz w:val="20"/>
                <w:szCs w:val="24"/>
                <w:lang w:val="sq-AL"/>
              </w:rPr>
            </w:pPr>
            <w:r w:rsidRPr="0058349C">
              <w:rPr>
                <w:rFonts w:ascii="Garamond" w:hAnsi="Garamond" w:cs="Arial"/>
                <w:bCs/>
                <w:sz w:val="20"/>
                <w:szCs w:val="24"/>
                <w:lang w:val="sq-AL"/>
              </w:rPr>
              <w:t>Pikat e përcaktuara të zbarkimit (për të përmirësuar mbledhjen, kontrollin dhe marketingun e të dhënave).</w:t>
            </w:r>
          </w:p>
        </w:tc>
        <w:tc>
          <w:tcPr>
            <w:tcW w:w="2500" w:type="pct"/>
            <w:shd w:val="clear" w:color="auto" w:fill="auto"/>
          </w:tcPr>
          <w:p w14:paraId="0773B02B"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Ndotja nga sektorët e tjerë.</w:t>
            </w:r>
          </w:p>
          <w:p w14:paraId="0773B02C"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Zhvillimi i pakontrolluar bregdetar dhe liqenor.</w:t>
            </w:r>
          </w:p>
          <w:p w14:paraId="0773B02D" w14:textId="026DAF68"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Ndikimet në biodiversitet nga futjet e pakontrolluara të speciev</w:t>
            </w:r>
            <w:r w:rsidR="00980B87">
              <w:rPr>
                <w:rFonts w:ascii="Garamond" w:hAnsi="Garamond" w:cs="Arial"/>
                <w:bCs/>
                <w:sz w:val="20"/>
                <w:szCs w:val="24"/>
                <w:lang w:val="sq-AL"/>
              </w:rPr>
              <w:t>e jo</w:t>
            </w:r>
            <w:r w:rsidRPr="0058349C">
              <w:rPr>
                <w:rFonts w:ascii="Garamond" w:hAnsi="Garamond" w:cs="Arial"/>
                <w:bCs/>
                <w:sz w:val="20"/>
                <w:szCs w:val="24"/>
                <w:lang w:val="sq-AL"/>
              </w:rPr>
              <w:t>indigjene.</w:t>
            </w:r>
          </w:p>
        </w:tc>
      </w:tr>
      <w:tr w:rsidR="00167C37" w:rsidRPr="0058349C" w14:paraId="0773B030" w14:textId="77777777" w:rsidTr="005A03B4">
        <w:tc>
          <w:tcPr>
            <w:tcW w:w="5000" w:type="pct"/>
            <w:gridSpan w:val="2"/>
            <w:shd w:val="clear" w:color="auto" w:fill="C5E0B3"/>
          </w:tcPr>
          <w:p w14:paraId="0773B02F" w14:textId="77777777"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 xml:space="preserve">AKUAKULTURA </w:t>
            </w:r>
          </w:p>
        </w:tc>
      </w:tr>
      <w:tr w:rsidR="00167C37" w:rsidRPr="0058349C" w14:paraId="0773B033" w14:textId="77777777" w:rsidTr="005A03B4">
        <w:tc>
          <w:tcPr>
            <w:tcW w:w="2500" w:type="pct"/>
            <w:shd w:val="clear" w:color="auto" w:fill="C5E0B3"/>
          </w:tcPr>
          <w:p w14:paraId="0773B031" w14:textId="77777777" w:rsidR="00DF7A00" w:rsidRPr="0058349C" w:rsidRDefault="00DF7A00" w:rsidP="000F4DCD">
            <w:pPr>
              <w:spacing w:after="0" w:line="240" w:lineRule="auto"/>
              <w:jc w:val="both"/>
              <w:rPr>
                <w:rFonts w:ascii="Garamond" w:hAnsi="Garamond" w:cs="Arial"/>
                <w:b/>
                <w:sz w:val="20"/>
                <w:szCs w:val="24"/>
                <w:lang w:val="sq-AL" w:eastAsia="en-GB"/>
              </w:rPr>
            </w:pPr>
            <w:r w:rsidRPr="0058349C">
              <w:rPr>
                <w:rFonts w:ascii="Garamond" w:hAnsi="Garamond" w:cs="Arial"/>
                <w:b/>
                <w:sz w:val="20"/>
                <w:szCs w:val="24"/>
                <w:lang w:val="sq-AL"/>
              </w:rPr>
              <w:t>MUNDËSITË</w:t>
            </w:r>
          </w:p>
        </w:tc>
        <w:tc>
          <w:tcPr>
            <w:tcW w:w="2500" w:type="pct"/>
            <w:shd w:val="clear" w:color="auto" w:fill="C5E0B3"/>
          </w:tcPr>
          <w:p w14:paraId="0773B032" w14:textId="77777777"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KËRCËNIMET</w:t>
            </w:r>
          </w:p>
        </w:tc>
      </w:tr>
      <w:tr w:rsidR="00167C37" w:rsidRPr="0058349C" w14:paraId="0773B040" w14:textId="77777777" w:rsidTr="005A03B4">
        <w:tc>
          <w:tcPr>
            <w:tcW w:w="2500" w:type="pct"/>
            <w:shd w:val="clear" w:color="auto" w:fill="auto"/>
          </w:tcPr>
          <w:p w14:paraId="0773B034"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Politikë e favorshme e qeverisë për sektorin.</w:t>
            </w:r>
          </w:p>
          <w:p w14:paraId="0773B035" w14:textId="68788F7A"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 xml:space="preserve">Legjislacioni që parashikon peshkimin në </w:t>
            </w:r>
            <w:r w:rsidR="000F35FE">
              <w:rPr>
                <w:rFonts w:ascii="Garamond" w:hAnsi="Garamond" w:cs="Arial"/>
                <w:bCs/>
                <w:sz w:val="20"/>
                <w:szCs w:val="24"/>
                <w:lang w:val="sq-AL"/>
              </w:rPr>
              <w:t>ujërat e brendshme</w:t>
            </w:r>
            <w:r w:rsidRPr="0058349C">
              <w:rPr>
                <w:rFonts w:ascii="Garamond" w:hAnsi="Garamond" w:cs="Arial"/>
                <w:bCs/>
                <w:sz w:val="20"/>
                <w:szCs w:val="24"/>
                <w:lang w:val="sq-AL"/>
              </w:rPr>
              <w:t xml:space="preserve"> është në përputhje me standardet e BE-së.</w:t>
            </w:r>
          </w:p>
          <w:p w14:paraId="0773B036" w14:textId="19E688C4"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Sektori i turizmit është në zhvillim dhe destinacionet e brendshme kanë atraksione natyrore, përfshirë</w:t>
            </w:r>
            <w:r w:rsidR="00980B87">
              <w:rPr>
                <w:rFonts w:ascii="Garamond" w:hAnsi="Garamond" w:cs="Arial"/>
                <w:bCs/>
                <w:sz w:val="20"/>
                <w:szCs w:val="24"/>
                <w:lang w:val="sq-AL"/>
              </w:rPr>
              <w:t>,</w:t>
            </w:r>
            <w:r w:rsidRPr="0058349C">
              <w:rPr>
                <w:rFonts w:ascii="Garamond" w:hAnsi="Garamond" w:cs="Arial"/>
                <w:bCs/>
                <w:sz w:val="20"/>
                <w:szCs w:val="24"/>
                <w:lang w:val="sq-AL"/>
              </w:rPr>
              <w:t xml:space="preserve"> gjithashtu</w:t>
            </w:r>
            <w:r w:rsidR="00980B87">
              <w:rPr>
                <w:rFonts w:ascii="Garamond" w:hAnsi="Garamond" w:cs="Arial"/>
                <w:bCs/>
                <w:sz w:val="20"/>
                <w:szCs w:val="24"/>
                <w:lang w:val="sq-AL"/>
              </w:rPr>
              <w:t>,</w:t>
            </w:r>
            <w:r w:rsidRPr="0058349C">
              <w:rPr>
                <w:rFonts w:ascii="Garamond" w:hAnsi="Garamond" w:cs="Arial"/>
                <w:bCs/>
                <w:sz w:val="20"/>
                <w:szCs w:val="24"/>
                <w:lang w:val="sq-AL"/>
              </w:rPr>
              <w:t xml:space="preserve"> liqenet natyrore që bëhen më tërheqëse, dhe peshkimin sportiv apo rekreativ.</w:t>
            </w:r>
          </w:p>
          <w:p w14:paraId="0773B037" w14:textId="0F54CB19"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Peshkimi i bazuar në kulturë mund të krijojë kërkesë të madhe që në lumenj dhe liqene të grumbullohet peshku</w:t>
            </w:r>
            <w:r w:rsidR="00CF7694" w:rsidRPr="0058349C">
              <w:rPr>
                <w:rFonts w:ascii="Garamond" w:hAnsi="Garamond" w:cs="Arial"/>
                <w:bCs/>
                <w:sz w:val="20"/>
                <w:szCs w:val="24"/>
                <w:lang w:val="sq-AL"/>
              </w:rPr>
              <w:t xml:space="preserve"> </w:t>
            </w:r>
            <w:r w:rsidRPr="0058349C">
              <w:rPr>
                <w:rFonts w:ascii="Garamond" w:hAnsi="Garamond" w:cs="Arial"/>
                <w:bCs/>
                <w:sz w:val="20"/>
                <w:szCs w:val="24"/>
                <w:lang w:val="sq-AL"/>
              </w:rPr>
              <w:t>troftë dhe krapi.</w:t>
            </w:r>
          </w:p>
          <w:p w14:paraId="0773B038"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E ardhmja sfiduese e kapjeve dhe kërkesa në rritje për peshq krijojnë një mundësi të favorshme për akuakulturën detare.</w:t>
            </w:r>
          </w:p>
          <w:p w14:paraId="0773B039" w14:textId="77777777" w:rsidR="00DF7A00" w:rsidRPr="0058349C" w:rsidRDefault="00DF7A00" w:rsidP="000F4DCD">
            <w:pPr>
              <w:spacing w:after="0" w:line="240" w:lineRule="auto"/>
              <w:jc w:val="both"/>
              <w:rPr>
                <w:rFonts w:ascii="Garamond" w:hAnsi="Garamond" w:cs="Arial"/>
                <w:b/>
                <w:bCs/>
                <w:sz w:val="20"/>
                <w:szCs w:val="24"/>
                <w:lang w:val="sq-AL"/>
              </w:rPr>
            </w:pPr>
            <w:r w:rsidRPr="0058349C">
              <w:rPr>
                <w:rFonts w:ascii="Garamond" w:hAnsi="Garamond" w:cs="Arial"/>
                <w:bCs/>
                <w:sz w:val="20"/>
                <w:szCs w:val="24"/>
                <w:lang w:val="sq-AL"/>
              </w:rPr>
              <w:t>Rritja e vëmendjes për zbatimin e kërkesave lidhur me ndotjen e mjedisit.</w:t>
            </w:r>
          </w:p>
        </w:tc>
        <w:tc>
          <w:tcPr>
            <w:tcW w:w="2500" w:type="pct"/>
            <w:shd w:val="clear" w:color="auto" w:fill="auto"/>
          </w:tcPr>
          <w:p w14:paraId="0773B03A"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Ndryshimet klimatike, që ndikojnë në kushtet mjedisore kritike për prodhimin (p.sh., temperatura e ujit).</w:t>
            </w:r>
          </w:p>
          <w:p w14:paraId="0773B03B"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Ndryshimi i zakoneve ushqimore të konsumatorëve (vetëm akuakultura e ujërave të ëmbla).</w:t>
            </w:r>
          </w:p>
          <w:p w14:paraId="0773B03C"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Rritja e presionit të zhvillimit urban redukton burimet e disponueshme ujore. Ato duhet të përcaktohen për përdorimet e tij (peshkimi, prodhimi i energjisë, ujitja ose uji i pijshëm).</w:t>
            </w:r>
          </w:p>
          <w:p w14:paraId="0773B03D"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Konkurrencë e lartë nga prodhues të mëdhenj të huaj (Greqi, Turqi).</w:t>
            </w:r>
          </w:p>
          <w:p w14:paraId="0773B03E"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Mungojnë mundësitë për trajnim për prodhuesit e peshkut.</w:t>
            </w:r>
          </w:p>
          <w:p w14:paraId="0773B03F" w14:textId="269865E9"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 xml:space="preserve">Mbi peshkimi i peshqve të mëdhenj dhe të vegjël të ujërave të ëmbla </w:t>
            </w:r>
            <w:r w:rsidR="00BC084C">
              <w:rPr>
                <w:rFonts w:ascii="Garamond" w:hAnsi="Garamond" w:cs="Arial"/>
                <w:bCs/>
                <w:sz w:val="20"/>
                <w:szCs w:val="24"/>
                <w:lang w:val="sq-AL"/>
              </w:rPr>
              <w:t>vendës</w:t>
            </w:r>
            <w:r w:rsidRPr="0058349C">
              <w:rPr>
                <w:rFonts w:ascii="Garamond" w:hAnsi="Garamond" w:cs="Arial"/>
                <w:bCs/>
                <w:sz w:val="20"/>
                <w:szCs w:val="24"/>
                <w:lang w:val="sq-AL"/>
              </w:rPr>
              <w:t>e mund të ndryshojë ekuilibrin e kërkuar të faunës së peshkut në liqenet natyrore.</w:t>
            </w:r>
          </w:p>
        </w:tc>
      </w:tr>
      <w:tr w:rsidR="00167C37" w:rsidRPr="0058349C" w14:paraId="0773B042" w14:textId="77777777" w:rsidTr="005A03B4">
        <w:tc>
          <w:tcPr>
            <w:tcW w:w="5000" w:type="pct"/>
            <w:gridSpan w:val="2"/>
            <w:shd w:val="clear" w:color="auto" w:fill="C5E0B3"/>
          </w:tcPr>
          <w:p w14:paraId="0773B041" w14:textId="77777777"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SEKTORI I PËRPUNIMIT TË PESHKUT</w:t>
            </w:r>
          </w:p>
        </w:tc>
      </w:tr>
      <w:tr w:rsidR="00167C37" w:rsidRPr="0058349C" w14:paraId="0773B045" w14:textId="77777777" w:rsidTr="005A03B4">
        <w:trPr>
          <w:trHeight w:val="214"/>
        </w:trPr>
        <w:tc>
          <w:tcPr>
            <w:tcW w:w="2500" w:type="pct"/>
            <w:shd w:val="clear" w:color="auto" w:fill="C5E0B3"/>
          </w:tcPr>
          <w:p w14:paraId="0773B043" w14:textId="77777777"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MUNDËSITË</w:t>
            </w:r>
          </w:p>
        </w:tc>
        <w:tc>
          <w:tcPr>
            <w:tcW w:w="2500" w:type="pct"/>
            <w:shd w:val="clear" w:color="auto" w:fill="C5E0B3"/>
          </w:tcPr>
          <w:p w14:paraId="0773B044" w14:textId="77777777"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KËRCËNIMET</w:t>
            </w:r>
          </w:p>
        </w:tc>
      </w:tr>
      <w:tr w:rsidR="00167C37" w:rsidRPr="0058349C" w14:paraId="0773B04E" w14:textId="77777777" w:rsidTr="005A03B4">
        <w:tc>
          <w:tcPr>
            <w:tcW w:w="2500" w:type="pct"/>
            <w:shd w:val="clear" w:color="auto" w:fill="auto"/>
          </w:tcPr>
          <w:p w14:paraId="0773B046"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Politika e favorshme e qeverisë për sektorin.</w:t>
            </w:r>
          </w:p>
          <w:p w14:paraId="0773B047"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Tregjet ndërkombëtare mund të thithin sasi të mëdha dhe një gamë të gjerë tipologjike të produkteve.</w:t>
            </w:r>
          </w:p>
          <w:p w14:paraId="0773B048"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Kërkesa e tregut të brendshëm pritet të rritet.</w:t>
            </w:r>
          </w:p>
          <w:p w14:paraId="0773B049"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Tregu ndërkombëtar shpërblen prodhimin organik.</w:t>
            </w:r>
          </w:p>
          <w:p w14:paraId="0773B04A" w14:textId="77777777" w:rsidR="00DF7A00" w:rsidRPr="0058349C" w:rsidRDefault="00DF7A00" w:rsidP="000F4DCD">
            <w:pPr>
              <w:spacing w:after="0" w:line="240" w:lineRule="auto"/>
              <w:jc w:val="both"/>
              <w:rPr>
                <w:rFonts w:ascii="Garamond" w:hAnsi="Garamond" w:cs="Arial"/>
                <w:b/>
                <w:bCs/>
                <w:sz w:val="20"/>
                <w:szCs w:val="24"/>
                <w:lang w:val="sq-AL"/>
              </w:rPr>
            </w:pPr>
            <w:r w:rsidRPr="0058349C">
              <w:rPr>
                <w:rFonts w:ascii="Garamond" w:hAnsi="Garamond" w:cs="Arial"/>
                <w:bCs/>
                <w:sz w:val="20"/>
                <w:szCs w:val="24"/>
                <w:lang w:val="sq-AL"/>
              </w:rPr>
              <w:t>Tregje të reja të pa eksploruara jashtë BE-së.</w:t>
            </w:r>
          </w:p>
        </w:tc>
        <w:tc>
          <w:tcPr>
            <w:tcW w:w="2500" w:type="pct"/>
            <w:shd w:val="clear" w:color="auto" w:fill="auto"/>
          </w:tcPr>
          <w:p w14:paraId="0773B04B"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Kuotat e BE-së ndikojnë shumë në sektor.</w:t>
            </w:r>
          </w:p>
          <w:p w14:paraId="0773B04C" w14:textId="737EECBD" w:rsidR="00DF7A00" w:rsidRPr="0058349C" w:rsidRDefault="00DF7A00" w:rsidP="00574356">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Kriza financiare mund të ndikojë shumë në sektor dhe të kërkojë gatishmëri për t</w:t>
            </w:r>
            <w:r w:rsidR="00574356">
              <w:rPr>
                <w:rFonts w:ascii="Garamond" w:hAnsi="Garamond" w:cs="Arial"/>
                <w:bCs/>
                <w:sz w:val="20"/>
                <w:szCs w:val="24"/>
                <w:lang w:val="sq-AL"/>
              </w:rPr>
              <w:t>’</w:t>
            </w:r>
            <w:r w:rsidRPr="0058349C">
              <w:rPr>
                <w:rFonts w:ascii="Garamond" w:hAnsi="Garamond" w:cs="Arial"/>
                <w:bCs/>
                <w:sz w:val="20"/>
                <w:szCs w:val="24"/>
                <w:lang w:val="sq-AL"/>
              </w:rPr>
              <w:t>iu afruar tregjeve të reja.</w:t>
            </w:r>
          </w:p>
          <w:p w14:paraId="0773B04D"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Ofertë e kufizuar e shërbimit cilësor të mirëmbajtjes së pajisjeve.</w:t>
            </w:r>
          </w:p>
        </w:tc>
      </w:tr>
      <w:tr w:rsidR="00167C37" w:rsidRPr="0058349C" w14:paraId="0773B050" w14:textId="77777777" w:rsidTr="005A03B4">
        <w:tc>
          <w:tcPr>
            <w:tcW w:w="5000" w:type="pct"/>
            <w:gridSpan w:val="2"/>
            <w:shd w:val="clear" w:color="auto" w:fill="C5E0B3"/>
          </w:tcPr>
          <w:p w14:paraId="0773B04F" w14:textId="71A64EFF"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INSTITUCIONALE</w:t>
            </w:r>
            <w:r w:rsidR="00797859">
              <w:rPr>
                <w:rFonts w:ascii="Garamond" w:hAnsi="Garamond" w:cs="Arial"/>
                <w:b/>
                <w:sz w:val="20"/>
                <w:szCs w:val="24"/>
                <w:lang w:val="sq-AL"/>
              </w:rPr>
              <w:t>/</w:t>
            </w:r>
            <w:r w:rsidRPr="0058349C">
              <w:rPr>
                <w:rFonts w:ascii="Garamond" w:hAnsi="Garamond" w:cs="Arial"/>
                <w:b/>
                <w:sz w:val="20"/>
                <w:szCs w:val="24"/>
                <w:lang w:val="sq-AL"/>
              </w:rPr>
              <w:t>LIGJORE</w:t>
            </w:r>
          </w:p>
        </w:tc>
      </w:tr>
      <w:tr w:rsidR="00167C37" w:rsidRPr="0058349C" w14:paraId="0773B053" w14:textId="77777777" w:rsidTr="005A03B4">
        <w:tc>
          <w:tcPr>
            <w:tcW w:w="2500" w:type="pct"/>
            <w:shd w:val="clear" w:color="auto" w:fill="C5E0B3"/>
          </w:tcPr>
          <w:p w14:paraId="0773B051" w14:textId="77777777"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MUNDËSITË</w:t>
            </w:r>
          </w:p>
        </w:tc>
        <w:tc>
          <w:tcPr>
            <w:tcW w:w="2500" w:type="pct"/>
            <w:shd w:val="clear" w:color="auto" w:fill="C5E0B3"/>
          </w:tcPr>
          <w:p w14:paraId="0773B052" w14:textId="77777777"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KËRCËNIMET</w:t>
            </w:r>
          </w:p>
        </w:tc>
      </w:tr>
      <w:tr w:rsidR="00167C37" w:rsidRPr="0058349C" w14:paraId="0773B057" w14:textId="77777777" w:rsidTr="005A03B4">
        <w:tc>
          <w:tcPr>
            <w:tcW w:w="2500" w:type="pct"/>
            <w:shd w:val="clear" w:color="auto" w:fill="auto"/>
          </w:tcPr>
          <w:p w14:paraId="0773B054"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Përafrimi i mëtejshëm me PPP të reformuar të BE-së ofron akses në njohuri dhe financim.</w:t>
            </w:r>
          </w:p>
        </w:tc>
        <w:tc>
          <w:tcPr>
            <w:tcW w:w="2500" w:type="pct"/>
            <w:shd w:val="clear" w:color="auto" w:fill="auto"/>
          </w:tcPr>
          <w:p w14:paraId="0773B055"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Kufizimet buxhetore.</w:t>
            </w:r>
          </w:p>
          <w:p w14:paraId="0773B056"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Ndryshimi i kërkesave rregullatore të BE-së.</w:t>
            </w:r>
          </w:p>
        </w:tc>
      </w:tr>
      <w:tr w:rsidR="00167C37" w:rsidRPr="0058349C" w14:paraId="0773B059" w14:textId="77777777" w:rsidTr="005A03B4">
        <w:tc>
          <w:tcPr>
            <w:tcW w:w="5000" w:type="pct"/>
            <w:gridSpan w:val="2"/>
            <w:shd w:val="clear" w:color="auto" w:fill="C5E0B3"/>
          </w:tcPr>
          <w:p w14:paraId="0773B058" w14:textId="77777777"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 xml:space="preserve">MARKETINGU DHE TREGTIA </w:t>
            </w:r>
          </w:p>
        </w:tc>
      </w:tr>
      <w:tr w:rsidR="00167C37" w:rsidRPr="0058349C" w14:paraId="0773B05C" w14:textId="77777777" w:rsidTr="005A03B4">
        <w:tc>
          <w:tcPr>
            <w:tcW w:w="2500" w:type="pct"/>
            <w:shd w:val="clear" w:color="auto" w:fill="C5E0B3"/>
          </w:tcPr>
          <w:p w14:paraId="0773B05A" w14:textId="77777777"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lastRenderedPageBreak/>
              <w:t>MUNDËSITË</w:t>
            </w:r>
          </w:p>
        </w:tc>
        <w:tc>
          <w:tcPr>
            <w:tcW w:w="2500" w:type="pct"/>
            <w:shd w:val="clear" w:color="auto" w:fill="C5E0B3"/>
          </w:tcPr>
          <w:p w14:paraId="0773B05B" w14:textId="77777777"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KËRCËNIMET</w:t>
            </w:r>
          </w:p>
        </w:tc>
      </w:tr>
      <w:tr w:rsidR="00167C37" w:rsidRPr="0058349C" w14:paraId="0773B066" w14:textId="77777777" w:rsidTr="005A03B4">
        <w:tc>
          <w:tcPr>
            <w:tcW w:w="2500" w:type="pct"/>
            <w:shd w:val="clear" w:color="auto" w:fill="auto"/>
          </w:tcPr>
          <w:p w14:paraId="0773B05D"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Zhvillimi i mëtejshëm i OP-ve të lidhura me OMP-të ekzistuese.</w:t>
            </w:r>
          </w:p>
          <w:p w14:paraId="0773B05E"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Futja e tregjeve me shumicë në vendndodhje kyçe p.sh., rinovimi me kosto të ulët i ndërtesave ekzistuese në Vlorë dhe Shëngjin.</w:t>
            </w:r>
          </w:p>
          <w:p w14:paraId="0773B05F"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Pajtueshmëri më e madhe me rregulloren e BE-së për cilësinë dhe sigurinë e ushqimit.</w:t>
            </w:r>
          </w:p>
          <w:p w14:paraId="0773B060"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Gjurmueshmëri më e madhe e produkteve të detit.</w:t>
            </w:r>
          </w:p>
          <w:p w14:paraId="0773B061"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Vlerë më e madhe e shtuar përmes përpunimit, zhvillimit të produktit dhe markës.</w:t>
            </w:r>
          </w:p>
          <w:p w14:paraId="0773B062"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Sistemi i informacionit të tregut dhe çmimeve për produktet e peshkimit.</w:t>
            </w:r>
          </w:p>
          <w:p w14:paraId="0773B063"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Lidhja e turizmit me prodhimin e prodhimeve të detit.</w:t>
            </w:r>
          </w:p>
        </w:tc>
        <w:tc>
          <w:tcPr>
            <w:tcW w:w="2500" w:type="pct"/>
            <w:shd w:val="clear" w:color="auto" w:fill="auto"/>
          </w:tcPr>
          <w:p w14:paraId="0773B064"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Vazhdimi i tregtisë informale.</w:t>
            </w:r>
          </w:p>
          <w:p w14:paraId="0773B065"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Dështimi i institucioneve kombëtare për të mbështetur zhvillimin e sektorit privat.</w:t>
            </w:r>
          </w:p>
        </w:tc>
      </w:tr>
      <w:tr w:rsidR="00167C37" w:rsidRPr="0058349C" w14:paraId="0773B068" w14:textId="77777777" w:rsidTr="005A03B4">
        <w:tc>
          <w:tcPr>
            <w:tcW w:w="5000" w:type="pct"/>
            <w:gridSpan w:val="2"/>
            <w:shd w:val="clear" w:color="auto" w:fill="C5E0B3"/>
          </w:tcPr>
          <w:p w14:paraId="0773B067" w14:textId="77777777"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ASPEKTET SOCIALE/EKONOMIKE</w:t>
            </w:r>
          </w:p>
        </w:tc>
      </w:tr>
      <w:tr w:rsidR="00167C37" w:rsidRPr="0058349C" w14:paraId="0773B06B" w14:textId="77777777" w:rsidTr="005A03B4">
        <w:tc>
          <w:tcPr>
            <w:tcW w:w="2500" w:type="pct"/>
            <w:shd w:val="clear" w:color="auto" w:fill="C5E0B3"/>
          </w:tcPr>
          <w:p w14:paraId="0773B069" w14:textId="77777777"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MUNDËSITË</w:t>
            </w:r>
          </w:p>
        </w:tc>
        <w:tc>
          <w:tcPr>
            <w:tcW w:w="2500" w:type="pct"/>
            <w:shd w:val="clear" w:color="auto" w:fill="C5E0B3"/>
          </w:tcPr>
          <w:p w14:paraId="0773B06A" w14:textId="77777777" w:rsidR="00DF7A00" w:rsidRPr="0058349C" w:rsidRDefault="00DF7A00" w:rsidP="000F4DCD">
            <w:pPr>
              <w:spacing w:after="0" w:line="240" w:lineRule="auto"/>
              <w:jc w:val="both"/>
              <w:rPr>
                <w:rFonts w:ascii="Garamond" w:hAnsi="Garamond" w:cs="Arial"/>
                <w:b/>
                <w:sz w:val="20"/>
                <w:szCs w:val="24"/>
                <w:lang w:val="sq-AL"/>
              </w:rPr>
            </w:pPr>
            <w:r w:rsidRPr="0058349C">
              <w:rPr>
                <w:rFonts w:ascii="Garamond" w:hAnsi="Garamond" w:cs="Arial"/>
                <w:b/>
                <w:sz w:val="20"/>
                <w:szCs w:val="24"/>
                <w:lang w:val="sq-AL"/>
              </w:rPr>
              <w:t>KËRCËNIMET</w:t>
            </w:r>
          </w:p>
        </w:tc>
      </w:tr>
      <w:tr w:rsidR="00167C37" w:rsidRPr="0058349C" w14:paraId="0773B074" w14:textId="77777777" w:rsidTr="005A03B4">
        <w:tc>
          <w:tcPr>
            <w:tcW w:w="2500" w:type="pct"/>
            <w:shd w:val="clear" w:color="auto" w:fill="auto"/>
          </w:tcPr>
          <w:p w14:paraId="0773B06C"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Norma preferenciale të kreditimit për zhvillim të qëndrueshëm.</w:t>
            </w:r>
          </w:p>
          <w:p w14:paraId="0773B06D"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Rritja e njohjes së vlerës sociale-ekonomike dhe kulturore të peshkimit në komunitetet bregdetare dhe rurale.</w:t>
            </w:r>
          </w:p>
          <w:p w14:paraId="0773B06E" w14:textId="01D9CB82" w:rsidR="00DF7A00" w:rsidRPr="0058349C" w:rsidRDefault="00DF7A00" w:rsidP="00DB324B">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 xml:space="preserve">Anëtarësimi i mundshëm në BE për të mbështetur zhvillimin ekonomik dhe </w:t>
            </w:r>
            <w:r w:rsidR="00DB324B">
              <w:rPr>
                <w:rFonts w:ascii="Garamond" w:hAnsi="Garamond" w:cs="Arial"/>
                <w:bCs/>
                <w:sz w:val="20"/>
                <w:szCs w:val="24"/>
                <w:lang w:val="sq-AL"/>
              </w:rPr>
              <w:t>“</w:t>
            </w:r>
            <w:r w:rsidRPr="0058349C">
              <w:rPr>
                <w:rFonts w:ascii="Garamond" w:hAnsi="Garamond" w:cs="Arial"/>
                <w:bCs/>
                <w:sz w:val="20"/>
                <w:szCs w:val="24"/>
                <w:lang w:val="sq-AL"/>
              </w:rPr>
              <w:t>zhvillimin blu</w:t>
            </w:r>
            <w:r w:rsidR="00DB324B">
              <w:rPr>
                <w:rFonts w:ascii="Garamond" w:hAnsi="Garamond" w:cs="Arial"/>
                <w:bCs/>
                <w:sz w:val="20"/>
                <w:szCs w:val="24"/>
                <w:lang w:val="sq-AL"/>
              </w:rPr>
              <w:t>”</w:t>
            </w:r>
            <w:r w:rsidRPr="0058349C">
              <w:rPr>
                <w:rFonts w:ascii="Garamond" w:hAnsi="Garamond" w:cs="Arial"/>
                <w:bCs/>
                <w:sz w:val="20"/>
                <w:szCs w:val="24"/>
                <w:lang w:val="sq-AL"/>
              </w:rPr>
              <w:t>.</w:t>
            </w:r>
          </w:p>
          <w:p w14:paraId="0773B06F"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Mbështetje politike dhe rregullatore për diversifikimin e të ardhurave.</w:t>
            </w:r>
          </w:p>
        </w:tc>
        <w:tc>
          <w:tcPr>
            <w:tcW w:w="2500" w:type="pct"/>
            <w:shd w:val="clear" w:color="auto" w:fill="auto"/>
          </w:tcPr>
          <w:p w14:paraId="0773B070"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Paqëndrueshmëria globale ekonomike dhe politike.</w:t>
            </w:r>
          </w:p>
          <w:p w14:paraId="0773B071"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Norma të larta të interesit të huadhënies tregtare.</w:t>
            </w:r>
          </w:p>
          <w:p w14:paraId="0773B072"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Reduktimi i rentabilitetit do të ndikojë në investime të reja në këtë sektor.</w:t>
            </w:r>
          </w:p>
          <w:p w14:paraId="0773B073" w14:textId="77777777" w:rsidR="00DF7A00" w:rsidRPr="0058349C" w:rsidRDefault="00DF7A00" w:rsidP="000F4DCD">
            <w:pPr>
              <w:spacing w:after="0" w:line="240" w:lineRule="auto"/>
              <w:jc w:val="both"/>
              <w:rPr>
                <w:rFonts w:ascii="Garamond" w:hAnsi="Garamond" w:cs="Arial"/>
                <w:bCs/>
                <w:sz w:val="20"/>
                <w:szCs w:val="24"/>
                <w:lang w:val="sq-AL"/>
              </w:rPr>
            </w:pPr>
            <w:r w:rsidRPr="0058349C">
              <w:rPr>
                <w:rFonts w:ascii="Garamond" w:hAnsi="Garamond" w:cs="Arial"/>
                <w:bCs/>
                <w:sz w:val="20"/>
                <w:szCs w:val="24"/>
                <w:lang w:val="sq-AL"/>
              </w:rPr>
              <w:t>Presionet sociale-ekonomike që nxisin peshkimin PPPP (veçanërisht në liqene).</w:t>
            </w:r>
          </w:p>
        </w:tc>
      </w:tr>
    </w:tbl>
    <w:p w14:paraId="0773B075" w14:textId="77777777" w:rsidR="00DF7A00" w:rsidRPr="0058349C" w:rsidRDefault="00DF7A00" w:rsidP="00DF7A00">
      <w:pPr>
        <w:spacing w:after="0" w:line="240" w:lineRule="auto"/>
        <w:ind w:firstLine="284"/>
        <w:jc w:val="both"/>
        <w:rPr>
          <w:rFonts w:ascii="Garamond" w:hAnsi="Garamond" w:cs="Arial"/>
          <w:sz w:val="24"/>
          <w:szCs w:val="24"/>
          <w:lang w:val="sq-AL"/>
        </w:rPr>
      </w:pPr>
      <w:bookmarkStart w:id="47" w:name="_Toc85713109"/>
      <w:bookmarkStart w:id="48" w:name="_Toc88575081"/>
    </w:p>
    <w:p w14:paraId="0773B076" w14:textId="5B463EA8" w:rsidR="00DF7A00" w:rsidRPr="0058349C" w:rsidRDefault="00DF7A00" w:rsidP="00DB324B">
      <w:pPr>
        <w:pStyle w:val="Heading4"/>
        <w:spacing w:before="0" w:after="0" w:line="240" w:lineRule="auto"/>
        <w:ind w:left="0" w:firstLine="284"/>
        <w:jc w:val="both"/>
        <w:rPr>
          <w:rFonts w:ascii="Garamond" w:hAnsi="Garamond"/>
          <w:color w:val="auto"/>
          <w:sz w:val="24"/>
          <w:szCs w:val="24"/>
        </w:rPr>
      </w:pPr>
      <w:bookmarkStart w:id="49" w:name="_Toc103838833"/>
      <w:bookmarkEnd w:id="47"/>
      <w:bookmarkEnd w:id="48"/>
      <w:r w:rsidRPr="0058349C">
        <w:rPr>
          <w:rFonts w:ascii="Garamond" w:hAnsi="Garamond"/>
          <w:color w:val="auto"/>
          <w:sz w:val="24"/>
          <w:szCs w:val="24"/>
        </w:rPr>
        <w:t xml:space="preserve">Identifikimi i ndërhyrjeve sipas nevojave në kuadër të </w:t>
      </w:r>
      <w:r w:rsidR="00DB324B" w:rsidRPr="0058349C">
        <w:rPr>
          <w:rFonts w:ascii="Garamond" w:hAnsi="Garamond"/>
          <w:color w:val="auto"/>
          <w:sz w:val="24"/>
          <w:szCs w:val="24"/>
        </w:rPr>
        <w:t>politik</w:t>
      </w:r>
      <w:r w:rsidR="00DB324B">
        <w:rPr>
          <w:rFonts w:ascii="Garamond" w:hAnsi="Garamond"/>
          <w:color w:val="auto"/>
          <w:sz w:val="24"/>
          <w:szCs w:val="24"/>
        </w:rPr>
        <w:t>ë</w:t>
      </w:r>
      <w:r w:rsidR="00DB324B" w:rsidRPr="0058349C">
        <w:rPr>
          <w:rFonts w:ascii="Garamond" w:hAnsi="Garamond"/>
          <w:color w:val="auto"/>
          <w:sz w:val="24"/>
          <w:szCs w:val="24"/>
        </w:rPr>
        <w:t xml:space="preserve">s </w:t>
      </w:r>
      <w:r w:rsidRPr="0058349C">
        <w:rPr>
          <w:rFonts w:ascii="Garamond" w:hAnsi="Garamond"/>
          <w:color w:val="auto"/>
          <w:sz w:val="24"/>
          <w:szCs w:val="24"/>
        </w:rPr>
        <w:t xml:space="preserve">2, </w:t>
      </w:r>
      <w:r w:rsidR="00DB324B" w:rsidRPr="0058349C">
        <w:rPr>
          <w:rFonts w:ascii="Garamond" w:hAnsi="Garamond"/>
          <w:color w:val="auto"/>
          <w:sz w:val="24"/>
          <w:szCs w:val="24"/>
        </w:rPr>
        <w:t xml:space="preserve">objektivit </w:t>
      </w:r>
      <w:r w:rsidRPr="0058349C">
        <w:rPr>
          <w:rFonts w:ascii="Garamond" w:hAnsi="Garamond"/>
          <w:color w:val="auto"/>
          <w:sz w:val="24"/>
          <w:szCs w:val="24"/>
        </w:rPr>
        <w:t>të përgjithshëm 4</w:t>
      </w:r>
      <w:bookmarkEnd w:id="49"/>
    </w:p>
    <w:p w14:paraId="0773B077" w14:textId="77777777" w:rsidR="00DF7A00" w:rsidRPr="0058349C" w:rsidRDefault="00DF7A00" w:rsidP="00DF7A00">
      <w:pPr>
        <w:spacing w:after="0" w:line="240" w:lineRule="auto"/>
        <w:ind w:firstLine="284"/>
        <w:jc w:val="both"/>
        <w:rPr>
          <w:rFonts w:ascii="Garamond" w:hAnsi="Garamond"/>
          <w:b/>
          <w:bCs/>
          <w:sz w:val="24"/>
          <w:szCs w:val="24"/>
          <w:lang w:val="sq-AL"/>
        </w:rPr>
      </w:pPr>
      <w:r w:rsidRPr="0058349C">
        <w:rPr>
          <w:rFonts w:ascii="Garamond" w:hAnsi="Garamond"/>
          <w:b/>
          <w:bCs/>
          <w:sz w:val="24"/>
          <w:szCs w:val="24"/>
          <w:lang w:val="sq-AL"/>
        </w:rPr>
        <w:t>4.1 Përmirësimi i infrastrukturës portuale dhe vendeve të zbarkimit</w:t>
      </w:r>
    </w:p>
    <w:p w14:paraId="0773B078" w14:textId="75D0882A" w:rsidR="00DF7A00" w:rsidRPr="0058349C" w:rsidRDefault="00DF7A00" w:rsidP="00205EF2">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Infrastruktura portuale e anijeve të peshkimit, pavarësisht ndërhyrjeve të viteve të fundit, duhet të përmirësohet më tej</w:t>
      </w:r>
      <w:r w:rsidR="00205EF2">
        <w:rPr>
          <w:rFonts w:ascii="Garamond" w:hAnsi="Garamond" w:cs="Arial"/>
          <w:sz w:val="24"/>
          <w:szCs w:val="24"/>
          <w:lang w:val="sq-AL"/>
        </w:rPr>
        <w:t>,</w:t>
      </w:r>
      <w:r w:rsidRPr="0058349C">
        <w:rPr>
          <w:rFonts w:ascii="Garamond" w:hAnsi="Garamond" w:cs="Arial"/>
          <w:sz w:val="24"/>
          <w:szCs w:val="24"/>
          <w:lang w:val="sq-AL"/>
        </w:rPr>
        <w:t xml:space="preserve"> në lidhje me shërbimet bazë (p.sh. furnizimi me energji elektrike, ujë, depozitimi i mbetjeve, objektet sanitare, stacionet e karburantit) dhe infrastruktura specifike portuale</w:t>
      </w:r>
      <w:r w:rsidR="00205EF2">
        <w:rPr>
          <w:rFonts w:ascii="Garamond" w:hAnsi="Garamond" w:cs="Arial"/>
          <w:sz w:val="24"/>
          <w:szCs w:val="24"/>
          <w:lang w:val="sq-AL"/>
        </w:rPr>
        <w:t xml:space="preserve"> (p.sh., basenet e portit, vend</w:t>
      </w:r>
      <w:r w:rsidRPr="0058349C">
        <w:rPr>
          <w:rFonts w:ascii="Garamond" w:hAnsi="Garamond" w:cs="Arial"/>
          <w:sz w:val="24"/>
          <w:szCs w:val="24"/>
          <w:lang w:val="sq-AL"/>
        </w:rPr>
        <w:t xml:space="preserve">ankorimet, bankina, pontonet e fiksimit, ankorimet, vendet e zbarkimit, objektet e riparimit dhe </w:t>
      </w:r>
      <w:r w:rsidR="00205EF2">
        <w:rPr>
          <w:rFonts w:ascii="Garamond" w:hAnsi="Garamond" w:cs="Arial"/>
          <w:sz w:val="24"/>
          <w:szCs w:val="24"/>
          <w:lang w:val="sq-AL"/>
        </w:rPr>
        <w:t xml:space="preserve">të </w:t>
      </w:r>
      <w:r w:rsidRPr="0058349C">
        <w:rPr>
          <w:rFonts w:ascii="Garamond" w:hAnsi="Garamond" w:cs="Arial"/>
          <w:sz w:val="24"/>
          <w:szCs w:val="24"/>
          <w:lang w:val="sq-AL"/>
        </w:rPr>
        <w:t>mirëmbajtjes së anijeve të peshkimit, tregjet e shitjes me shumicë të peshkut dhe infrastruktura hyrëse në portet e peshkimit). Më tepër infrastrukturë dhe përmirësimi i infrastrukturës bazë dhe specifike të marinës do t</w:t>
      </w:r>
      <w:r w:rsidR="00205EF2">
        <w:rPr>
          <w:rFonts w:ascii="Garamond" w:hAnsi="Garamond" w:cs="Arial"/>
          <w:sz w:val="24"/>
          <w:szCs w:val="24"/>
          <w:lang w:val="sq-AL"/>
        </w:rPr>
        <w:t>’</w:t>
      </w:r>
      <w:r w:rsidRPr="0058349C">
        <w:rPr>
          <w:rFonts w:ascii="Garamond" w:hAnsi="Garamond" w:cs="Arial"/>
          <w:sz w:val="24"/>
          <w:szCs w:val="24"/>
          <w:lang w:val="sq-AL"/>
        </w:rPr>
        <w:t>i bëjë më të shpejta procedurat e shkarkimit të peshkut dhe do të rrisë cilësinë e produktit në destinacion (kanalet e shpërndarjes). Përmirësimi i infrastrukturës portuale do të rezultojë në një pjesë më të madhe të kapjes totale që zbarkohet në portet e Shqipërisë, duke përfshirë një hapësirë të dedikuar për kantieret detare, të cilat aktualisht riparohen jashtë shtetit.</w:t>
      </w:r>
    </w:p>
    <w:p w14:paraId="0773B079" w14:textId="77777777" w:rsidR="00DF7A00" w:rsidRPr="0058349C" w:rsidRDefault="00DF7A00" w:rsidP="00DF7A00">
      <w:pPr>
        <w:spacing w:after="0" w:line="240" w:lineRule="auto"/>
        <w:ind w:firstLine="284"/>
        <w:jc w:val="both"/>
        <w:rPr>
          <w:rFonts w:ascii="Garamond" w:hAnsi="Garamond" w:cs="Arial"/>
          <w:b/>
          <w:bCs/>
          <w:sz w:val="24"/>
          <w:szCs w:val="24"/>
          <w:lang w:val="sq-AL"/>
        </w:rPr>
      </w:pPr>
      <w:r w:rsidRPr="0058349C">
        <w:rPr>
          <w:rFonts w:ascii="Garamond" w:hAnsi="Garamond" w:cs="Arial"/>
          <w:b/>
          <w:bCs/>
          <w:sz w:val="24"/>
          <w:szCs w:val="24"/>
          <w:lang w:val="sq-AL"/>
        </w:rPr>
        <w:t>4.2 Ndërtimi i tregjeve të peshkut me shumicë</w:t>
      </w:r>
    </w:p>
    <w:p w14:paraId="0773B07A" w14:textId="5C049869"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Finalizimi i ndërtimit të katër tregjeve me shumicë të peshkut në Shëngjin, Vlorë, Sarandë dhe Durrës</w:t>
      </w:r>
      <w:r w:rsidR="00205EF2">
        <w:rPr>
          <w:rFonts w:ascii="Garamond" w:hAnsi="Garamond" w:cs="Arial"/>
          <w:sz w:val="24"/>
          <w:szCs w:val="24"/>
          <w:lang w:val="sq-AL"/>
        </w:rPr>
        <w:t>,</w:t>
      </w:r>
      <w:r w:rsidRPr="0058349C">
        <w:rPr>
          <w:rFonts w:ascii="Garamond" w:hAnsi="Garamond" w:cs="Arial"/>
          <w:sz w:val="24"/>
          <w:szCs w:val="24"/>
          <w:lang w:val="sq-AL"/>
        </w:rPr>
        <w:t xml:space="preserve"> sipas prioriteteve dhe programit të Qeverisë Shqiptare. Tregu i peshkut i Shëngjinit është i pari në Shqipëri që është inauguruar së fundmi. Tregu i shitjes me shumicë në portin e peshkimit të Vlorës është në ndërtim e sipër dhe do të përfundojë në brenda vitit 2022. Në vitin 2022, do të përgatitet projekti për qendrën frigoriferike në portin e peshkimit të Durrësit, për ta kthyer atë në një tregti të vërtetë peshku me shumicë. Me ndërtimin e portit të ri të Sarandës do të përfundojë cikli i tregtisë me shumicë në katër portet e mëdha të peshkimit</w:t>
      </w:r>
      <w:r w:rsidRPr="0058349C">
        <w:rPr>
          <w:rFonts w:ascii="Garamond" w:eastAsia="Arial" w:hAnsi="Garamond" w:cs="Arial"/>
          <w:sz w:val="24"/>
          <w:szCs w:val="24"/>
          <w:lang w:val="sq-AL"/>
        </w:rPr>
        <w:t>.</w:t>
      </w:r>
    </w:p>
    <w:p w14:paraId="0773B07B" w14:textId="77777777" w:rsidR="00DF7A00" w:rsidRPr="0058349C" w:rsidRDefault="00DF7A00" w:rsidP="00DF7A00">
      <w:pPr>
        <w:spacing w:after="0" w:line="240" w:lineRule="auto"/>
        <w:ind w:firstLine="284"/>
        <w:jc w:val="both"/>
        <w:rPr>
          <w:rFonts w:ascii="Garamond" w:hAnsi="Garamond" w:cs="Arial"/>
          <w:b/>
          <w:bCs/>
          <w:sz w:val="24"/>
          <w:szCs w:val="24"/>
          <w:lang w:val="sq-AL"/>
        </w:rPr>
      </w:pPr>
      <w:r w:rsidRPr="0058349C">
        <w:rPr>
          <w:rFonts w:ascii="Garamond" w:eastAsia="Arial" w:hAnsi="Garamond" w:cs="Arial"/>
          <w:b/>
          <w:sz w:val="24"/>
          <w:szCs w:val="24"/>
          <w:lang w:val="sq-AL"/>
        </w:rPr>
        <w:t xml:space="preserve">4.3 </w:t>
      </w:r>
      <w:r w:rsidRPr="0058349C">
        <w:rPr>
          <w:rFonts w:ascii="Garamond" w:hAnsi="Garamond" w:cs="Arial"/>
          <w:b/>
          <w:bCs/>
          <w:sz w:val="24"/>
          <w:szCs w:val="24"/>
          <w:lang w:val="sq-AL"/>
        </w:rPr>
        <w:t>Mbështetje për anijet e peshkimit pa rritur përpjekjet e peshkimit dhe për organet përfaqësuese sektoriale dhe shoqatat</w:t>
      </w:r>
    </w:p>
    <w:p w14:paraId="0773B07C" w14:textId="0BE8383C" w:rsidR="00DF7A00" w:rsidRPr="0058349C" w:rsidRDefault="00DF7A00" w:rsidP="00205EF2">
      <w:pPr>
        <w:widowControl w:val="0"/>
        <w:spacing w:after="0" w:line="240" w:lineRule="auto"/>
        <w:ind w:firstLine="284"/>
        <w:contextualSpacing/>
        <w:jc w:val="both"/>
        <w:rPr>
          <w:rFonts w:ascii="Garamond" w:eastAsia="Arial" w:hAnsi="Garamond" w:cs="Arial"/>
          <w:sz w:val="24"/>
          <w:szCs w:val="24"/>
          <w:lang w:val="sq-AL"/>
        </w:rPr>
      </w:pPr>
      <w:r w:rsidRPr="0058349C">
        <w:rPr>
          <w:rFonts w:ascii="Garamond" w:eastAsia="Arial" w:hAnsi="Garamond" w:cs="Arial"/>
          <w:sz w:val="24"/>
          <w:szCs w:val="24"/>
          <w:lang w:val="sq-AL"/>
        </w:rPr>
        <w:t>Anijet e peshkimit në Shqipëri janë të amortizuara dhe kanë një moshë mesatare 49 v</w:t>
      </w:r>
      <w:r w:rsidR="00205EF2">
        <w:rPr>
          <w:rFonts w:ascii="Garamond" w:eastAsia="Arial" w:hAnsi="Garamond" w:cs="Arial"/>
          <w:sz w:val="24"/>
          <w:szCs w:val="24"/>
          <w:lang w:val="sq-AL"/>
        </w:rPr>
        <w:t>jet</w:t>
      </w:r>
      <w:r w:rsidRPr="0058349C">
        <w:rPr>
          <w:rFonts w:ascii="Garamond" w:eastAsia="Arial" w:hAnsi="Garamond" w:cs="Arial"/>
          <w:sz w:val="24"/>
          <w:szCs w:val="24"/>
          <w:lang w:val="sq-AL"/>
        </w:rPr>
        <w:t xml:space="preserve">. Ato duhet të rinovohen për të rritur sigurinë në bord, standardet e sigurisë ushqimore dhe kushtet e punës për peshkatarët, si dhe për të reduktuar ndikimin negativ në mjedis. Në të njëjtën kohë, </w:t>
      </w:r>
      <w:r w:rsidRPr="0058349C">
        <w:rPr>
          <w:rFonts w:ascii="Garamond" w:eastAsia="Arial" w:hAnsi="Garamond" w:cs="Arial"/>
          <w:sz w:val="24"/>
          <w:szCs w:val="24"/>
          <w:lang w:val="sq-AL"/>
        </w:rPr>
        <w:lastRenderedPageBreak/>
        <w:t>investimet në modernizimin e anijeve të peshkimit nuk duhet të rrisin përpjekjet e peshkimit. Rinovimi i flotës së peshkimit mbështetet financiarisht edhe nga skemat kombëtare.</w:t>
      </w:r>
    </w:p>
    <w:p w14:paraId="0773B07D" w14:textId="77777777" w:rsidR="00DF7A00" w:rsidRPr="0058349C" w:rsidRDefault="00DF7A00" w:rsidP="00DF7A00">
      <w:pPr>
        <w:widowControl w:val="0"/>
        <w:spacing w:after="0" w:line="240" w:lineRule="auto"/>
        <w:ind w:firstLine="284"/>
        <w:contextualSpacing/>
        <w:jc w:val="both"/>
        <w:rPr>
          <w:rFonts w:ascii="Garamond" w:eastAsia="Arial" w:hAnsi="Garamond" w:cs="Arial"/>
          <w:sz w:val="24"/>
          <w:szCs w:val="24"/>
          <w:lang w:val="sq-AL"/>
        </w:rPr>
      </w:pPr>
      <w:r w:rsidRPr="0058349C">
        <w:rPr>
          <w:rFonts w:ascii="Garamond" w:eastAsia="Arial" w:hAnsi="Garamond" w:cs="Arial"/>
          <w:sz w:val="24"/>
          <w:szCs w:val="24"/>
          <w:lang w:val="sq-AL"/>
        </w:rPr>
        <w:t>Sektori privat si objektivi përfundimtar i politikave kombëtare duhet të luajë një rol edhe në zhvillimin e politikave. Për këtë qëllim, duhet të forcohen kapacitetet e organeve përfaqësuese sektoriale dhe të shoqatave që nga njëra anë të mund të rrisin anëtarësimin dhe shtrirjen e tyre brenda sektorit, dhe nga ana tjetër të mund të artikulojnë nevojat e sektorit privat. Gjithashtu, vendosja e dialogut publik-privat mund të përmirësojë më tej formulimin dhe zbatimin e politikave.</w:t>
      </w:r>
    </w:p>
    <w:p w14:paraId="0773B07E" w14:textId="39BBB27D" w:rsidR="00DF7A00" w:rsidRPr="0058349C" w:rsidRDefault="00DF7A00" w:rsidP="00DF7A00">
      <w:pPr>
        <w:spacing w:after="0" w:line="240" w:lineRule="auto"/>
        <w:ind w:firstLine="284"/>
        <w:jc w:val="both"/>
        <w:rPr>
          <w:rFonts w:ascii="Garamond" w:hAnsi="Garamond" w:cs="Arial"/>
          <w:b/>
          <w:bCs/>
          <w:sz w:val="24"/>
          <w:szCs w:val="24"/>
          <w:lang w:val="sq-AL"/>
        </w:rPr>
      </w:pPr>
      <w:r w:rsidRPr="0058349C">
        <w:rPr>
          <w:rFonts w:ascii="Garamond" w:hAnsi="Garamond" w:cs="Arial"/>
          <w:b/>
          <w:bCs/>
          <w:sz w:val="24"/>
          <w:szCs w:val="24"/>
          <w:lang w:val="sq-AL"/>
        </w:rPr>
        <w:t xml:space="preserve">4.4 Mbështetje për PSHV-në në përputhje me </w:t>
      </w:r>
      <w:r w:rsidR="00DD0287" w:rsidRPr="0058349C">
        <w:rPr>
          <w:rFonts w:ascii="Garamond" w:hAnsi="Garamond" w:cs="Arial"/>
          <w:b/>
          <w:bCs/>
          <w:sz w:val="24"/>
          <w:szCs w:val="24"/>
          <w:lang w:val="sq-AL"/>
        </w:rPr>
        <w:t xml:space="preserve">planin e veprimit </w:t>
      </w:r>
      <w:r w:rsidRPr="0058349C">
        <w:rPr>
          <w:rFonts w:ascii="Garamond" w:hAnsi="Garamond" w:cs="Arial"/>
          <w:b/>
          <w:bCs/>
          <w:sz w:val="24"/>
          <w:szCs w:val="24"/>
          <w:lang w:val="sq-AL"/>
        </w:rPr>
        <w:t xml:space="preserve">të KPPM-së </w:t>
      </w:r>
    </w:p>
    <w:p w14:paraId="0773B07F"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Kërkohet mbështetje e peshkimit artizanal bregdetar në shkallë të vogël, për të përmirësuar dhe kontrolluar kushtet e aksesit në ujëra dhe burime ujore, për të promovuar organizimin e zinxhirit të prodhimit, përpunimin dhe tregtimin e produkteve të peshkimit, për të mbështetur nismat vullnetare për të reduktuar sforcot e peshkimit, për të nxitur mbrojtjen e burimeve dhe përdorimin e teknologjive të reja (teknikat e peshkimit që rrisin selektivitetin përtej atyre të parashikuara nga legjislacioni dhe që nuk rrisin sforcot e peshkimit).</w:t>
      </w:r>
    </w:p>
    <w:p w14:paraId="0773B080" w14:textId="35C7FEE7" w:rsidR="00DF7A00" w:rsidRPr="0058349C" w:rsidRDefault="00DF7A00" w:rsidP="00DF7A00">
      <w:pPr>
        <w:spacing w:after="0" w:line="240" w:lineRule="auto"/>
        <w:ind w:firstLine="284"/>
        <w:jc w:val="both"/>
        <w:rPr>
          <w:rFonts w:ascii="Garamond" w:hAnsi="Garamond" w:cs="Arial"/>
          <w:b/>
          <w:bCs/>
          <w:sz w:val="24"/>
          <w:szCs w:val="24"/>
          <w:lang w:val="sq-AL"/>
        </w:rPr>
      </w:pPr>
      <w:r w:rsidRPr="0058349C">
        <w:rPr>
          <w:rFonts w:ascii="Garamond" w:hAnsi="Garamond" w:cs="Arial"/>
          <w:b/>
          <w:bCs/>
          <w:sz w:val="24"/>
          <w:szCs w:val="24"/>
          <w:lang w:val="sq-AL"/>
        </w:rPr>
        <w:t>4.5 Zhvillimi i mëtejshëm i akuak</w:t>
      </w:r>
      <w:r w:rsidR="00E7669C">
        <w:rPr>
          <w:rFonts w:ascii="Garamond" w:hAnsi="Garamond" w:cs="Arial"/>
          <w:b/>
          <w:bCs/>
          <w:sz w:val="24"/>
          <w:szCs w:val="24"/>
          <w:lang w:val="sq-AL"/>
        </w:rPr>
        <w:t>ulturës detare dhe të brendshme</w:t>
      </w:r>
    </w:p>
    <w:p w14:paraId="0773B081" w14:textId="77777777" w:rsidR="00DF7A00" w:rsidRPr="0058349C" w:rsidRDefault="00DF7A00" w:rsidP="00DF7A00">
      <w:pPr>
        <w:widowControl w:val="0"/>
        <w:spacing w:after="0" w:line="240" w:lineRule="auto"/>
        <w:ind w:firstLine="284"/>
        <w:contextualSpacing/>
        <w:jc w:val="both"/>
        <w:rPr>
          <w:rFonts w:ascii="Garamond" w:hAnsi="Garamond" w:cs="Arial"/>
          <w:sz w:val="24"/>
          <w:szCs w:val="24"/>
          <w:lang w:val="sq-AL"/>
        </w:rPr>
      </w:pPr>
      <w:r w:rsidRPr="0058349C">
        <w:rPr>
          <w:rFonts w:ascii="Garamond" w:hAnsi="Garamond" w:cs="Arial"/>
          <w:sz w:val="24"/>
          <w:szCs w:val="24"/>
          <w:lang w:val="sq-AL"/>
        </w:rPr>
        <w:t>Studimi për përcaktimin e ZAA-ve në zonën detare ka përfunduar nga MBZHR-ja dhe pritet miratimi nga Qeveria e Shqipërisë. Këto procedura duhet të thjeshtohen për të përshpejtuar zhvillimin e qëndrueshëm të sektorit të akuakulturës detare dhe të brendshme në Shqipëri.</w:t>
      </w:r>
    </w:p>
    <w:p w14:paraId="0773B082" w14:textId="77777777" w:rsidR="00DF7A00" w:rsidRPr="0058349C" w:rsidRDefault="00DF7A00" w:rsidP="00DF7A00">
      <w:pPr>
        <w:widowControl w:val="0"/>
        <w:spacing w:after="0" w:line="240" w:lineRule="auto"/>
        <w:ind w:firstLine="284"/>
        <w:contextualSpacing/>
        <w:jc w:val="both"/>
        <w:rPr>
          <w:rFonts w:ascii="Garamond" w:hAnsi="Garamond" w:cs="Arial"/>
          <w:sz w:val="24"/>
          <w:szCs w:val="24"/>
          <w:lang w:val="sq-AL"/>
        </w:rPr>
      </w:pPr>
      <w:r w:rsidRPr="0058349C">
        <w:rPr>
          <w:rFonts w:ascii="Garamond" w:hAnsi="Garamond" w:cs="Arial"/>
          <w:sz w:val="24"/>
          <w:szCs w:val="24"/>
          <w:lang w:val="sq-AL"/>
        </w:rPr>
        <w:t>Mbivendosja ndërmjet sferave ekonomike dhe mjedisore në akuakulturë kërkon adoptimin e qasjeve të bazuara në ekosistem për menaxhimin dhe zhvillimin e sektorit. Miratimi i qasjes së bazuar në ekosistem do të mund të menaxhojë konflikte të tilla dhe të sigurojë një zhvillim të qëndrueshëm. Konkretisht në akuakulturë, duhet të adoptohet qasja e ekosistemit ndaj akuakulturës (EAA), si një strategji për integrimin e aktivitetit brenda ekosistemit më të gjerë, në mënyrë që të promovojë zhvillimin e qëndrueshëm, barazinë dhe qëndrueshmërinë e sistemeve të ndërlidhura sociale-ekologjike.</w:t>
      </w:r>
    </w:p>
    <w:p w14:paraId="0773B083" w14:textId="77777777" w:rsidR="00DF7A00" w:rsidRPr="0058349C" w:rsidRDefault="00DF7A00" w:rsidP="00DF7A00">
      <w:pPr>
        <w:spacing w:after="0" w:line="240" w:lineRule="auto"/>
        <w:ind w:firstLine="284"/>
        <w:jc w:val="both"/>
        <w:rPr>
          <w:rFonts w:ascii="Garamond" w:hAnsi="Garamond" w:cs="Arial"/>
          <w:b/>
          <w:bCs/>
          <w:sz w:val="24"/>
          <w:szCs w:val="24"/>
          <w:lang w:val="sq-AL"/>
        </w:rPr>
      </w:pPr>
      <w:r w:rsidRPr="0058349C">
        <w:rPr>
          <w:rFonts w:ascii="Garamond" w:hAnsi="Garamond" w:cs="Arial"/>
          <w:b/>
          <w:bCs/>
          <w:sz w:val="24"/>
          <w:szCs w:val="24"/>
          <w:lang w:val="sq-AL"/>
        </w:rPr>
        <w:t>4.6 Teknologjitë inovative dhe specie të reja për sektorin e përpunimit të peshkut dhe sektorin e akuakulturës</w:t>
      </w:r>
    </w:p>
    <w:p w14:paraId="0773B084" w14:textId="0DFC2839" w:rsidR="00DF7A00" w:rsidRPr="0058349C" w:rsidRDefault="00DF7A00" w:rsidP="00DF7A00">
      <w:pPr>
        <w:widowControl w:val="0"/>
        <w:spacing w:after="0" w:line="240" w:lineRule="auto"/>
        <w:ind w:firstLine="284"/>
        <w:contextualSpacing/>
        <w:jc w:val="both"/>
        <w:rPr>
          <w:rFonts w:ascii="Garamond" w:hAnsi="Garamond" w:cs="Arial"/>
          <w:bCs/>
          <w:sz w:val="24"/>
          <w:szCs w:val="24"/>
          <w:lang w:val="sq-AL"/>
        </w:rPr>
      </w:pPr>
      <w:r w:rsidRPr="0058349C">
        <w:rPr>
          <w:rFonts w:ascii="Garamond" w:hAnsi="Garamond" w:cs="Arial"/>
          <w:sz w:val="24"/>
          <w:szCs w:val="24"/>
          <w:lang w:val="sq-AL"/>
        </w:rPr>
        <w:t>Sektori i përpunimit të peshkut është një sektor jetik ekonomik, me perspektiva zhvillimi në rritje të shpejtë dhe premtuese. Produktet e peshkimit me cilësi të lartë konkurrojnë gjithnjë e më shumë me sukses në tregjet ndërkombëtare. Futja e teknologjive të reja të përpunimit, të cilat janë miqësore me mjedisin dhe mbështesin vendosjen e ekonomisë me cik</w:t>
      </w:r>
      <w:r w:rsidRPr="0058349C">
        <w:rPr>
          <w:rFonts w:ascii="Garamond" w:hAnsi="Garamond" w:cs="Arial"/>
          <w:bCs/>
          <w:sz w:val="24"/>
          <w:szCs w:val="24"/>
          <w:lang w:val="sq-AL"/>
        </w:rPr>
        <w:t>ël të mbyllur</w:t>
      </w:r>
      <w:r w:rsidRPr="0058349C">
        <w:rPr>
          <w:rFonts w:ascii="Garamond" w:hAnsi="Garamond" w:cs="Arial"/>
          <w:sz w:val="24"/>
          <w:szCs w:val="24"/>
          <w:lang w:val="sq-AL"/>
        </w:rPr>
        <w:t xml:space="preserve">, duke përfshirë prodhimin e ushqimit të peshkut nga mbetjet, si dhe zgjerimi i specieve të reja për qëllime përpunimi dhe akuakulture, do të zhvillonte më tej sektorin e peshkimit. Shtimi i vlerës së produkteve të peshkut të prodhuar në vend do të rrisë të ardhurat nga eksportet, duke krijuar njëkohësisht vende pune dhe të ardhura. Zhvillimi i produkteve të reja me vlerë të shtuar, si ushqimi i përgatitur ose futja e produkteve të reja me vlerë të shtuar më të lartë, siç janë prodhimet e detit të qëndrueshëm dhe organik, kërkojnë rritjen e kapacitetit të inovacionit përgjatë zinxhirit të vlerës. Sistemi i përmirësuar i inovacionit të peshkimit dhe akuakulturës do të kërkojë bashkëpunimin e qeverisë, akademisë dhe industrisë. Gjithashtu, përfshirja e interesave të shoqërisë civile dhe </w:t>
      </w:r>
      <w:r w:rsidR="00181E0D">
        <w:rPr>
          <w:rFonts w:ascii="Garamond" w:hAnsi="Garamond" w:cs="Arial"/>
          <w:sz w:val="24"/>
          <w:szCs w:val="24"/>
          <w:lang w:val="sq-AL"/>
        </w:rPr>
        <w:t xml:space="preserve">të </w:t>
      </w:r>
      <w:r w:rsidRPr="0058349C">
        <w:rPr>
          <w:rFonts w:ascii="Garamond" w:hAnsi="Garamond" w:cs="Arial"/>
          <w:sz w:val="24"/>
          <w:szCs w:val="24"/>
          <w:lang w:val="sq-AL"/>
        </w:rPr>
        <w:t>mjedisit natyror si pjesë integrale e sistemit të inovacionit do të sigurojë një kontribut pozitiv të sektorit në zhvillimin social dhe qëndrueshmërinë mjedisore</w:t>
      </w:r>
      <w:r w:rsidRPr="0058349C">
        <w:rPr>
          <w:rFonts w:ascii="Garamond" w:hAnsi="Garamond" w:cs="Arial"/>
          <w:bCs/>
          <w:sz w:val="24"/>
          <w:szCs w:val="24"/>
          <w:lang w:val="sq-AL"/>
        </w:rPr>
        <w:t>.</w:t>
      </w:r>
    </w:p>
    <w:p w14:paraId="0773B085" w14:textId="77777777" w:rsidR="00DF7A00" w:rsidRPr="0058349C" w:rsidRDefault="00DF7A00" w:rsidP="00DF7A00">
      <w:pPr>
        <w:spacing w:after="0" w:line="240" w:lineRule="auto"/>
        <w:ind w:firstLine="284"/>
        <w:jc w:val="both"/>
        <w:rPr>
          <w:rFonts w:ascii="Garamond" w:hAnsi="Garamond" w:cs="Arial"/>
          <w:bCs/>
          <w:sz w:val="24"/>
          <w:szCs w:val="24"/>
          <w:lang w:val="sq-AL"/>
        </w:rPr>
      </w:pPr>
      <w:r w:rsidRPr="0058349C">
        <w:rPr>
          <w:rFonts w:ascii="Garamond" w:hAnsi="Garamond" w:cs="Arial"/>
          <w:b/>
          <w:bCs/>
          <w:sz w:val="24"/>
          <w:szCs w:val="24"/>
          <w:lang w:val="sq-AL"/>
        </w:rPr>
        <w:t>4.7 Rritja e prodhimit të produkteve të certifikuara të qëndrueshme të peshkimit</w:t>
      </w:r>
    </w:p>
    <w:p w14:paraId="0773B086" w14:textId="098362E9"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Për shkaqe antropogjene, të tilla si peshkimi i tepërt dhe shkatërrimi i mjedisit, mjediset detare janë aktualisht nën presion të jashtëzakonshëm. Megjithatë, kërkimet sugjerojnë se peshkimi mund të rikuperojë ose </w:t>
      </w:r>
      <w:r w:rsidR="00536672">
        <w:rPr>
          <w:rFonts w:ascii="Garamond" w:hAnsi="Garamond" w:cs="Arial"/>
          <w:sz w:val="24"/>
          <w:szCs w:val="24"/>
          <w:lang w:val="sq-AL"/>
        </w:rPr>
        <w:t xml:space="preserve">të </w:t>
      </w:r>
      <w:r w:rsidRPr="0058349C">
        <w:rPr>
          <w:rFonts w:ascii="Garamond" w:hAnsi="Garamond" w:cs="Arial"/>
          <w:sz w:val="24"/>
          <w:szCs w:val="24"/>
          <w:lang w:val="sq-AL"/>
        </w:rPr>
        <w:t>stabilizojë popullatat peshkore, nëpërmjet një menaxhimi të përgjegjshëm dhe zbatimit të rregullave. Nëpërmjet certifikimit të produkteve të peshkimit të qëndrueshëm, konsumatori e di se produkti është prodhuar në mënyrë të qëndrueshme. Ky mjet vendimtar inkurajon konsumatorët të bëjnë zgjedhje miqësore me mjedisin, por</w:t>
      </w:r>
      <w:r w:rsidR="0016104A">
        <w:rPr>
          <w:rFonts w:ascii="Garamond" w:hAnsi="Garamond" w:cs="Arial"/>
          <w:sz w:val="24"/>
          <w:szCs w:val="24"/>
          <w:lang w:val="sq-AL"/>
        </w:rPr>
        <w:t>,</w:t>
      </w:r>
      <w:r w:rsidRPr="0058349C">
        <w:rPr>
          <w:rFonts w:ascii="Garamond" w:hAnsi="Garamond" w:cs="Arial"/>
          <w:sz w:val="24"/>
          <w:szCs w:val="24"/>
          <w:lang w:val="sq-AL"/>
        </w:rPr>
        <w:t xml:space="preserve"> gjithashtu siguron një përfitim financiar për prodhuesit.</w:t>
      </w:r>
    </w:p>
    <w:p w14:paraId="0773B087" w14:textId="77777777" w:rsidR="00DF7A00" w:rsidRPr="0058349C" w:rsidRDefault="00DF7A00" w:rsidP="00DF7A00">
      <w:pPr>
        <w:spacing w:after="0" w:line="240" w:lineRule="auto"/>
        <w:ind w:firstLine="284"/>
        <w:jc w:val="both"/>
        <w:rPr>
          <w:rFonts w:ascii="Garamond" w:hAnsi="Garamond" w:cs="Arial"/>
          <w:b/>
          <w:bCs/>
          <w:sz w:val="24"/>
          <w:szCs w:val="24"/>
          <w:lang w:val="sq-AL"/>
        </w:rPr>
      </w:pPr>
      <w:r w:rsidRPr="0058349C">
        <w:rPr>
          <w:rFonts w:ascii="Garamond" w:hAnsi="Garamond" w:cs="Arial"/>
          <w:b/>
          <w:bCs/>
          <w:sz w:val="24"/>
          <w:szCs w:val="24"/>
          <w:lang w:val="sq-AL"/>
        </w:rPr>
        <w:lastRenderedPageBreak/>
        <w:t>4.8 Ristrukturimi dhe fuqizimi institucional i administratës së peshkimit</w:t>
      </w:r>
    </w:p>
    <w:p w14:paraId="0773B088"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Administrata e peshkimit ka qenë subjekt i ndryshimeve të vazhdueshme gjatë viteve të fundit. Është i nevojshëm harmonizimi jo vetëm i legjislacionit, por edhe i administrimit të peshkimit në nivel qendror dhe vendor me praktikat dhe standardet aktuale të BE-së, në mënyrë që të forcohet kontributi i sektorit të peshkimit dhe akuakulturës në ekonomi dhe Shqipëria të përgatitet për anëtarësimin në BE. </w:t>
      </w:r>
    </w:p>
    <w:p w14:paraId="0773B089" w14:textId="77777777" w:rsidR="00DF7A00" w:rsidRPr="0058349C" w:rsidRDefault="00DF7A00" w:rsidP="00DF7A00">
      <w:pPr>
        <w:spacing w:after="0" w:line="240" w:lineRule="auto"/>
        <w:ind w:firstLine="284"/>
        <w:jc w:val="both"/>
        <w:rPr>
          <w:rFonts w:ascii="Garamond" w:hAnsi="Garamond" w:cs="Arial"/>
          <w:b/>
          <w:bCs/>
          <w:sz w:val="24"/>
          <w:szCs w:val="24"/>
          <w:lang w:val="sq-AL"/>
        </w:rPr>
      </w:pPr>
      <w:r w:rsidRPr="0058349C">
        <w:rPr>
          <w:rFonts w:ascii="Garamond" w:eastAsia="Arial" w:hAnsi="Garamond" w:cs="Arial"/>
          <w:b/>
          <w:bCs/>
          <w:sz w:val="24"/>
          <w:szCs w:val="24"/>
          <w:lang w:val="sq-AL"/>
        </w:rPr>
        <w:t>4.9 Krijimi i një Qendre Kërkimore Kombëtare për Shkencat e Peshkimit</w:t>
      </w:r>
    </w:p>
    <w:p w14:paraId="0773B08A" w14:textId="162EC4A3"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Një autoritet kombëtar kërkimor i organizuar dhe i administruar mirë mund të veprojë si krahu ekzekutiv i Komisionit për Koordinimin e Kërkimeve Shkencore, Teknologjike dhe Ekonomi</w:t>
      </w:r>
      <w:r w:rsidR="00167C37" w:rsidRPr="0058349C">
        <w:rPr>
          <w:rFonts w:ascii="Garamond" w:hAnsi="Garamond" w:cs="Arial"/>
          <w:sz w:val="24"/>
          <w:szCs w:val="24"/>
          <w:lang w:val="sq-AL"/>
        </w:rPr>
        <w:t>ke të krijuar me ligjin</w:t>
      </w:r>
      <w:r w:rsidR="00AC258E">
        <w:rPr>
          <w:rFonts w:ascii="Garamond" w:hAnsi="Garamond" w:cs="Arial"/>
          <w:sz w:val="24"/>
          <w:szCs w:val="24"/>
          <w:lang w:val="sq-AL"/>
        </w:rPr>
        <w:t xml:space="preserve"> nr.</w:t>
      </w:r>
      <w:r w:rsidR="00167C37" w:rsidRPr="0058349C">
        <w:rPr>
          <w:rFonts w:ascii="Garamond" w:hAnsi="Garamond" w:cs="Arial"/>
          <w:sz w:val="24"/>
          <w:szCs w:val="24"/>
          <w:lang w:val="sq-AL"/>
        </w:rPr>
        <w:t xml:space="preserve"> 64/2012</w:t>
      </w:r>
      <w:r w:rsidR="00D56192" w:rsidRPr="0058349C">
        <w:rPr>
          <w:rFonts w:ascii="Garamond" w:hAnsi="Garamond" w:cs="Arial"/>
          <w:sz w:val="24"/>
          <w:szCs w:val="24"/>
          <w:lang w:val="sq-AL"/>
        </w:rPr>
        <w:t xml:space="preserve">, </w:t>
      </w:r>
      <w:r w:rsidR="00664693" w:rsidRPr="0058349C">
        <w:rPr>
          <w:rFonts w:ascii="Garamond" w:hAnsi="Garamond" w:cs="Arial"/>
          <w:sz w:val="24"/>
          <w:szCs w:val="24"/>
          <w:lang w:val="sq-AL"/>
        </w:rPr>
        <w:t>“</w:t>
      </w:r>
      <w:r w:rsidR="00D56192" w:rsidRPr="0058349C">
        <w:rPr>
          <w:rFonts w:ascii="Garamond" w:hAnsi="Garamond" w:cs="Arial"/>
          <w:sz w:val="24"/>
          <w:szCs w:val="24"/>
          <w:lang w:val="sq-AL"/>
        </w:rPr>
        <w:t>Për</w:t>
      </w:r>
      <w:r w:rsidRPr="0058349C">
        <w:rPr>
          <w:rFonts w:ascii="Garamond" w:hAnsi="Garamond" w:cs="Arial"/>
          <w:sz w:val="24"/>
          <w:szCs w:val="24"/>
          <w:lang w:val="sq-AL"/>
        </w:rPr>
        <w:t xml:space="preserve"> </w:t>
      </w:r>
      <w:r w:rsidR="00AC258E" w:rsidRPr="0058349C">
        <w:rPr>
          <w:rFonts w:ascii="Garamond" w:hAnsi="Garamond" w:cs="Arial"/>
          <w:sz w:val="24"/>
          <w:szCs w:val="24"/>
          <w:lang w:val="sq-AL"/>
        </w:rPr>
        <w:t>peshkimin</w:t>
      </w:r>
      <w:r w:rsidR="00664693" w:rsidRPr="0058349C">
        <w:rPr>
          <w:rFonts w:ascii="Garamond" w:hAnsi="Garamond" w:cs="Arial"/>
          <w:sz w:val="24"/>
          <w:szCs w:val="24"/>
          <w:lang w:val="sq-AL"/>
        </w:rPr>
        <w:t>”</w:t>
      </w:r>
      <w:r w:rsidRPr="0058349C">
        <w:rPr>
          <w:rFonts w:ascii="Garamond" w:hAnsi="Garamond" w:cs="Arial"/>
          <w:sz w:val="24"/>
          <w:szCs w:val="24"/>
          <w:lang w:val="sq-AL"/>
        </w:rPr>
        <w:t>, i aftë për të organizuar, analizuar, grumbulluar dhe ruajtur një sistem të dhënash për të gjitha aktivitetet e akuakulturës dhe peshkimit në Shqipëri. Gjithashtu, nëpërmjet një autoriteti kombëtar kërkimor, organizatat e sektorit publik, partneritetet kërkimore dhe inovative, organet organizuese të sektorit, nismat e certifikimit ekologjik dhe biologjik dhe integrimi i zinxhirit të vlerës mund të mbështeten më mirë. Laboratori i akuakulturës dhe peshkimit në Shqipëri, pjesë e strukturës institucionale, por të pavarur, mund të bëhet sërish një institut.</w:t>
      </w:r>
    </w:p>
    <w:p w14:paraId="0773B08B" w14:textId="3EF7F5A3"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Një qendër kombëtare kërkimore do të përmirësojë menaxhimin dhe shfrytëzimin e qëndrueshëm të rezervave të peshkut, si dhe do të përmirësojë mbledhjen dhe vlerësimin e të dhënave. Qendra </w:t>
      </w:r>
      <w:r w:rsidR="00AC258E" w:rsidRPr="0058349C">
        <w:rPr>
          <w:rFonts w:ascii="Garamond" w:hAnsi="Garamond" w:cs="Arial"/>
          <w:sz w:val="24"/>
          <w:szCs w:val="24"/>
          <w:lang w:val="sq-AL"/>
        </w:rPr>
        <w:t xml:space="preserve">Kombëtare </w:t>
      </w:r>
      <w:r w:rsidRPr="0058349C">
        <w:rPr>
          <w:rFonts w:ascii="Garamond" w:hAnsi="Garamond" w:cs="Arial"/>
          <w:sz w:val="24"/>
          <w:szCs w:val="24"/>
          <w:lang w:val="sq-AL"/>
        </w:rPr>
        <w:t xml:space="preserve">e </w:t>
      </w:r>
      <w:r w:rsidR="00AC258E" w:rsidRPr="0058349C">
        <w:rPr>
          <w:rFonts w:ascii="Garamond" w:hAnsi="Garamond" w:cs="Arial"/>
          <w:sz w:val="24"/>
          <w:szCs w:val="24"/>
          <w:lang w:val="sq-AL"/>
        </w:rPr>
        <w:t xml:space="preserve">Kërkimit </w:t>
      </w:r>
      <w:r w:rsidRPr="0058349C">
        <w:rPr>
          <w:rFonts w:ascii="Garamond" w:hAnsi="Garamond" w:cs="Arial"/>
          <w:sz w:val="24"/>
          <w:szCs w:val="24"/>
          <w:lang w:val="sq-AL"/>
        </w:rPr>
        <w:t>mund të ketë edhe funksionin e një qendre ekselence për shkencat detare në Shqipëri, duke hapur mundësi për aktivitete dhe bashkëpunime të përbashkëta midis shkencëtarëve dhe universiteteve shqiptare dhe ndërkombëtare dhe nxit bashkëpunimin rajonal midis vendeve të Detit Adriatik dhe Jon.</w:t>
      </w:r>
    </w:p>
    <w:p w14:paraId="0773B08C" w14:textId="77777777" w:rsidR="00DF7A00" w:rsidRPr="0058349C" w:rsidRDefault="00DF7A00" w:rsidP="00DF7A00">
      <w:pPr>
        <w:spacing w:after="0" w:line="240" w:lineRule="auto"/>
        <w:ind w:firstLine="284"/>
        <w:jc w:val="both"/>
        <w:rPr>
          <w:rFonts w:ascii="Garamond" w:hAnsi="Garamond" w:cs="Arial"/>
          <w:b/>
          <w:bCs/>
          <w:sz w:val="24"/>
          <w:szCs w:val="24"/>
          <w:lang w:val="sq-AL"/>
        </w:rPr>
      </w:pPr>
      <w:r w:rsidRPr="0058349C">
        <w:rPr>
          <w:rFonts w:ascii="Garamond" w:hAnsi="Garamond" w:cs="Arial"/>
          <w:b/>
          <w:bCs/>
          <w:sz w:val="24"/>
          <w:szCs w:val="24"/>
          <w:lang w:val="sq-AL"/>
        </w:rPr>
        <w:t>4.10 Rritja e eksporteve të produkteve cilësore të peshkimit</w:t>
      </w:r>
    </w:p>
    <w:p w14:paraId="0773B08D"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Një element vendimtar për rritjen e eksporteve të peshkut të përpunuar është negocimi për rritjen e kuotave të peshkut si açuget dhe sardelet. Industria e përpunimit të peshkut po përdor vetëm pjesërisht kapacitetin e saj dhe përpunon kryesisht peshkun e importuar për llogari të kompanive të huaja. Kjo vlen edhe për llojet e tjera të peshqve detarë si skumbri ose të gjitha llojet e ngjashme me tonin.</w:t>
      </w:r>
    </w:p>
    <w:p w14:paraId="0773B08E" w14:textId="00BD7A1B"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Mbështetja e prodhimit dhe </w:t>
      </w:r>
      <w:r w:rsidR="00727A82">
        <w:rPr>
          <w:rFonts w:ascii="Garamond" w:hAnsi="Garamond" w:cs="Arial"/>
          <w:sz w:val="24"/>
          <w:szCs w:val="24"/>
          <w:lang w:val="sq-AL"/>
        </w:rPr>
        <w:t xml:space="preserve">e </w:t>
      </w:r>
      <w:r w:rsidRPr="0058349C">
        <w:rPr>
          <w:rFonts w:ascii="Garamond" w:hAnsi="Garamond" w:cs="Arial"/>
          <w:sz w:val="24"/>
          <w:szCs w:val="24"/>
          <w:lang w:val="sq-AL"/>
        </w:rPr>
        <w:t>përpunimit të molusqeve do të rrisë edhe eksportet. Shumë bivalvë dhe dekapodë apo lloje të tjera molusqesh janë produkte të shtrenjta në treg, gjë që do të reflektohej në rritjen e vlerës monetare të eksporteve shqiptare.</w:t>
      </w:r>
    </w:p>
    <w:p w14:paraId="0773B08F" w14:textId="7777777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Me miratimin e ZAA-ve, zona e kultivimit të peshkut detar mund të zgjerohet dhe eksportet e produkteve të peshkut të rriten. Rritja e akuakulturës së troftës dhe akoma më shumë përpunimi i troftës në formë filetimi do të rriste sasinë e eksportuar. Kthimi i akuakulturës së karkalecave në zonat bregdetare do të ishte një element thelbësor për rritjen e eksportit.</w:t>
      </w:r>
    </w:p>
    <w:p w14:paraId="0773B090" w14:textId="21790702" w:rsidR="00DF7A00" w:rsidRPr="0058349C" w:rsidRDefault="00DF7A00" w:rsidP="008149DF">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Produktet e ushqimit të detit, qoftë të tregtuara dhe të konsumuara në vend ose të eksportuara, duhet të tregojnë pajtueshmëri me kërkesat dhe standardet e cilësisë dhe sigurisë që mbulojnë të gjithë zinxhirin e vlerës nga furnizimet, produktet, paketimet etj. Për të përmbushur kërkesat e tilla, së pari kapaciteti i përgjithshëm i operatorëve të vlerës së zinxhirit përgjatë zinxhirit të vlerës duhet të forcohen për të qenë në gjendje të ndjekin procedurat standarde operacionale në përputhje me standardet dhe rregulloret në fuqi. </w:t>
      </w:r>
    </w:p>
    <w:p w14:paraId="0773B091" w14:textId="71F24112" w:rsidR="00DF7A00" w:rsidRPr="0058349C" w:rsidRDefault="00DF7A00" w:rsidP="00DF7A00">
      <w:pPr>
        <w:spacing w:after="0" w:line="240" w:lineRule="auto"/>
        <w:ind w:firstLine="284"/>
        <w:jc w:val="both"/>
        <w:rPr>
          <w:rFonts w:ascii="Garamond" w:hAnsi="Garamond" w:cs="Arial"/>
          <w:b/>
          <w:bCs/>
          <w:sz w:val="24"/>
          <w:szCs w:val="24"/>
          <w:lang w:val="sq-AL"/>
        </w:rPr>
      </w:pPr>
      <w:r w:rsidRPr="0058349C">
        <w:rPr>
          <w:rFonts w:ascii="Garamond" w:hAnsi="Garamond" w:cs="Arial"/>
          <w:b/>
          <w:bCs/>
          <w:sz w:val="24"/>
          <w:szCs w:val="24"/>
          <w:lang w:val="sq-AL"/>
        </w:rPr>
        <w:t>4.11 Përmirësimi i kapaciteteve të trajnimit dhe arsimimit</w:t>
      </w:r>
      <w:r w:rsidR="008149DF">
        <w:rPr>
          <w:rFonts w:ascii="Garamond" w:hAnsi="Garamond" w:cs="Arial"/>
          <w:b/>
          <w:bCs/>
          <w:sz w:val="24"/>
          <w:szCs w:val="24"/>
          <w:lang w:val="sq-AL"/>
        </w:rPr>
        <w:t>, teknologjisë dhe inovacionit</w:t>
      </w:r>
    </w:p>
    <w:p w14:paraId="0773B092" w14:textId="6A9DE680" w:rsidR="00DF7A00" w:rsidRPr="0058349C" w:rsidRDefault="00DF7A00" w:rsidP="004637F1">
      <w:pPr>
        <w:widowControl w:val="0"/>
        <w:spacing w:after="0" w:line="240" w:lineRule="auto"/>
        <w:ind w:firstLine="284"/>
        <w:contextualSpacing/>
        <w:jc w:val="both"/>
        <w:rPr>
          <w:rFonts w:ascii="Garamond" w:hAnsi="Garamond" w:cs="Arial"/>
          <w:bCs/>
          <w:sz w:val="24"/>
          <w:szCs w:val="24"/>
          <w:lang w:val="sq-AL"/>
        </w:rPr>
      </w:pPr>
      <w:r w:rsidRPr="0058349C">
        <w:rPr>
          <w:rFonts w:ascii="Garamond" w:hAnsi="Garamond" w:cs="Arial"/>
          <w:bCs/>
          <w:sz w:val="24"/>
          <w:szCs w:val="24"/>
          <w:lang w:val="sq-AL"/>
        </w:rPr>
        <w:t>Duke marr</w:t>
      </w:r>
      <w:r w:rsidRPr="0058349C">
        <w:rPr>
          <w:rFonts w:ascii="Garamond" w:hAnsi="Garamond" w:cs="Arial"/>
          <w:sz w:val="24"/>
          <w:szCs w:val="24"/>
          <w:lang w:val="sq-AL"/>
        </w:rPr>
        <w:t>ë në konsideratë</w:t>
      </w:r>
      <w:r w:rsidRPr="0058349C">
        <w:rPr>
          <w:rFonts w:ascii="Garamond" w:hAnsi="Garamond" w:cs="Arial"/>
          <w:bCs/>
          <w:sz w:val="24"/>
          <w:szCs w:val="24"/>
          <w:lang w:val="sq-AL"/>
        </w:rPr>
        <w:t xml:space="preserve"> objektivat afatgjat</w:t>
      </w:r>
      <w:r w:rsidR="004637F1">
        <w:rPr>
          <w:rFonts w:ascii="Garamond" w:hAnsi="Garamond" w:cs="Arial"/>
          <w:bCs/>
          <w:sz w:val="24"/>
          <w:szCs w:val="24"/>
          <w:lang w:val="sq-AL"/>
        </w:rPr>
        <w:t>ë</w:t>
      </w:r>
      <w:r w:rsidRPr="0058349C">
        <w:rPr>
          <w:rFonts w:ascii="Garamond" w:hAnsi="Garamond" w:cs="Arial"/>
          <w:bCs/>
          <w:sz w:val="24"/>
          <w:szCs w:val="24"/>
          <w:lang w:val="sq-AL"/>
        </w:rPr>
        <w:t xml:space="preserve"> të sektorit, ka një hendek të konsiderueshëm ekspertize në industri. Arsimi i lartë, si dhe trajnimi dhe arsimi teknik dhe profesional (AFP) mund të luajnë një rol të rëndësishëm në mbylljen e këtij boshllëku duke përmirësuar metodat, duke përfshirë tema të tilla</w:t>
      </w:r>
      <w:r w:rsidR="004637F1">
        <w:rPr>
          <w:rFonts w:ascii="Garamond" w:hAnsi="Garamond" w:cs="Arial"/>
          <w:bCs/>
          <w:sz w:val="24"/>
          <w:szCs w:val="24"/>
          <w:lang w:val="sq-AL"/>
        </w:rPr>
        <w:t>,</w:t>
      </w:r>
      <w:r w:rsidRPr="0058349C">
        <w:rPr>
          <w:rFonts w:ascii="Garamond" w:hAnsi="Garamond" w:cs="Arial"/>
          <w:bCs/>
          <w:sz w:val="24"/>
          <w:szCs w:val="24"/>
          <w:lang w:val="sq-AL"/>
        </w:rPr>
        <w:t xml:space="preserve"> si</w:t>
      </w:r>
      <w:r w:rsidR="004637F1">
        <w:rPr>
          <w:rFonts w:ascii="Garamond" w:hAnsi="Garamond" w:cs="Arial"/>
          <w:bCs/>
          <w:sz w:val="24"/>
          <w:szCs w:val="24"/>
          <w:lang w:val="sq-AL"/>
        </w:rPr>
        <w:t>:</w:t>
      </w:r>
      <w:r w:rsidRPr="0058349C">
        <w:rPr>
          <w:rFonts w:ascii="Garamond" w:hAnsi="Garamond" w:cs="Arial"/>
          <w:bCs/>
          <w:sz w:val="24"/>
          <w:szCs w:val="24"/>
          <w:lang w:val="sq-AL"/>
        </w:rPr>
        <w:t xml:space="preserve"> mirëqenia e peshqve, parandalimi i sëmundjeve, sistemet e prodhimi</w:t>
      </w:r>
      <w:r w:rsidR="00F60643">
        <w:rPr>
          <w:rFonts w:ascii="Garamond" w:hAnsi="Garamond" w:cs="Arial"/>
          <w:bCs/>
          <w:sz w:val="24"/>
          <w:szCs w:val="24"/>
          <w:lang w:val="sq-AL"/>
        </w:rPr>
        <w:t>t intensiv, ushqimet për kafshë</w:t>
      </w:r>
      <w:r w:rsidRPr="0058349C">
        <w:rPr>
          <w:rFonts w:ascii="Garamond" w:hAnsi="Garamond" w:cs="Arial"/>
          <w:bCs/>
          <w:sz w:val="24"/>
          <w:szCs w:val="24"/>
          <w:lang w:val="sq-AL"/>
        </w:rPr>
        <w:t xml:space="preserve"> etj. Përmirësimi i kapaciteteve nëpërmjet aktiviteteve të trajnimit dhe ekstensionit, si dhe investimet në institucionet arsimore duhet të trajtohen më plotësisht, në mënyrë që sektori i akuakulturës të japë kontributin e tij në nivelin e jetesës dhe sigurimin e ushqimit.</w:t>
      </w:r>
    </w:p>
    <w:p w14:paraId="0773B093" w14:textId="77777777" w:rsidR="00DF7A00" w:rsidRPr="0058349C" w:rsidRDefault="00DF7A00" w:rsidP="00DF7A00">
      <w:pPr>
        <w:widowControl w:val="0"/>
        <w:spacing w:after="0" w:line="240" w:lineRule="auto"/>
        <w:ind w:firstLine="284"/>
        <w:contextualSpacing/>
        <w:jc w:val="both"/>
        <w:rPr>
          <w:rFonts w:ascii="Garamond" w:hAnsi="Garamond" w:cs="Arial"/>
          <w:bCs/>
          <w:sz w:val="24"/>
          <w:szCs w:val="24"/>
          <w:lang w:val="sq-AL"/>
        </w:rPr>
      </w:pPr>
      <w:r w:rsidRPr="0058349C">
        <w:rPr>
          <w:rFonts w:ascii="Garamond" w:hAnsi="Garamond" w:cs="Arial"/>
          <w:bCs/>
          <w:sz w:val="24"/>
          <w:szCs w:val="24"/>
          <w:lang w:val="sq-AL"/>
        </w:rPr>
        <w:lastRenderedPageBreak/>
        <w:t>Është urgjente që sektori publik të investojë në arsimin e lartë për modernizimin e sektorit të peshkimit dhe akuakulturës, duke i kushtuar vëmendje të veçantë akuakulturës së peshkut detar. Nuk ekziston asnjë fermë mbarështimi eksperimentale ose tregtare e llojeve të peshqve detarë, megjithëse ka disa prej tyre në vendet fqinje. Përmirësimi i ndërveprimit të shkencëtarëve shqiptarë në projektet rajonale të peshkimit dhe akuakulturës të Komisionit Këshillimor Evropian për Peshkimin dhe Akuakulturën e Brendshme (KKEPUBA), anëtare e të cilit është Shqipëria. Organizimi i trajnimit me operatorët e peshkimit, universitetin dhe organizatat e peshkimit, duhet të kthehet në një praktikë të përhershme.</w:t>
      </w:r>
    </w:p>
    <w:p w14:paraId="0773B094" w14:textId="77777777" w:rsidR="00DF7A00" w:rsidRPr="0058349C" w:rsidRDefault="00DF7A00" w:rsidP="00DF7A00">
      <w:pPr>
        <w:spacing w:after="0" w:line="240" w:lineRule="auto"/>
        <w:ind w:firstLine="284"/>
        <w:jc w:val="both"/>
        <w:rPr>
          <w:rFonts w:ascii="Garamond" w:hAnsi="Garamond" w:cs="Arial"/>
          <w:b/>
          <w:bCs/>
          <w:sz w:val="24"/>
          <w:szCs w:val="24"/>
          <w:lang w:val="sq-AL"/>
        </w:rPr>
      </w:pPr>
      <w:r w:rsidRPr="0058349C">
        <w:rPr>
          <w:rFonts w:ascii="Garamond" w:hAnsi="Garamond" w:cs="Arial"/>
          <w:b/>
          <w:bCs/>
          <w:sz w:val="24"/>
          <w:szCs w:val="24"/>
          <w:lang w:val="sq-AL"/>
        </w:rPr>
        <w:t>4.12 Mbështetje për zhvillimin e një ekonomie blu të qëndrueshme</w:t>
      </w:r>
    </w:p>
    <w:p w14:paraId="0773B095" w14:textId="64AB4FBB"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bCs/>
          <w:sz w:val="24"/>
          <w:szCs w:val="24"/>
          <w:shd w:val="clear" w:color="auto" w:fill="FFFFFF"/>
          <w:lang w:val="sq-AL"/>
        </w:rPr>
        <w:t xml:space="preserve">Valorizimi i burimeve bregdetare dhe detare </w:t>
      </w:r>
      <w:r w:rsidRPr="0058349C">
        <w:rPr>
          <w:rFonts w:ascii="Garamond" w:hAnsi="Garamond" w:cs="Arial"/>
          <w:bCs/>
          <w:sz w:val="24"/>
          <w:szCs w:val="24"/>
          <w:shd w:val="clear" w:color="auto" w:fill="FFFFFF"/>
          <w:lang w:val="sq-AL"/>
        </w:rPr>
        <w:t xml:space="preserve">varet nga transferimi dhe përvetësimi i kërkimit dhe </w:t>
      </w:r>
      <w:r w:rsidR="000B1A31">
        <w:rPr>
          <w:rFonts w:ascii="Garamond" w:hAnsi="Garamond" w:cs="Arial"/>
          <w:bCs/>
          <w:sz w:val="24"/>
          <w:szCs w:val="24"/>
          <w:shd w:val="clear" w:color="auto" w:fill="FFFFFF"/>
          <w:lang w:val="sq-AL"/>
        </w:rPr>
        <w:t xml:space="preserve">i </w:t>
      </w:r>
      <w:r w:rsidRPr="0058349C">
        <w:rPr>
          <w:rFonts w:ascii="Garamond" w:hAnsi="Garamond" w:cs="Arial"/>
          <w:bCs/>
          <w:sz w:val="24"/>
          <w:szCs w:val="24"/>
          <w:shd w:val="clear" w:color="auto" w:fill="FFFFFF"/>
          <w:lang w:val="sq-AL"/>
        </w:rPr>
        <w:t>inovacionit, investimi në bi</w:t>
      </w:r>
      <w:r w:rsidR="000B1A31">
        <w:rPr>
          <w:rFonts w:ascii="Garamond" w:hAnsi="Garamond" w:cs="Arial"/>
          <w:bCs/>
          <w:sz w:val="24"/>
          <w:szCs w:val="24"/>
          <w:shd w:val="clear" w:color="auto" w:fill="FFFFFF"/>
          <w:lang w:val="sq-AL"/>
        </w:rPr>
        <w:t>znese të reja detare dhe në bio</w:t>
      </w:r>
      <w:r w:rsidRPr="0058349C">
        <w:rPr>
          <w:rFonts w:ascii="Garamond" w:hAnsi="Garamond" w:cs="Arial"/>
          <w:bCs/>
          <w:sz w:val="24"/>
          <w:szCs w:val="24"/>
          <w:shd w:val="clear" w:color="auto" w:fill="FFFFFF"/>
          <w:lang w:val="sq-AL"/>
        </w:rPr>
        <w:t>ekonominë, duke përfshirë modelet e qëndrueshme të turizmit, të cilat mund të krijojnë vende pune dhe në të njëjtën kohë të rrisin zhvillimin e orientuar në vend</w:t>
      </w:r>
      <w:r w:rsidRPr="0058349C">
        <w:rPr>
          <w:rFonts w:ascii="Garamond" w:hAnsi="Garamond" w:cs="Arial"/>
          <w:sz w:val="24"/>
          <w:szCs w:val="24"/>
          <w:shd w:val="clear" w:color="auto" w:fill="FFFFFF"/>
          <w:lang w:val="sq-AL"/>
        </w:rPr>
        <w:t xml:space="preserve">. </w:t>
      </w:r>
    </w:p>
    <w:p w14:paraId="0773B096" w14:textId="4D76079C" w:rsidR="00DF7A00" w:rsidRPr="0058349C" w:rsidRDefault="00DF7A00" w:rsidP="000B1A31">
      <w:pPr>
        <w:pStyle w:val="TEKSTIIII"/>
        <w:rPr>
          <w:lang w:val="sq-AL"/>
        </w:rPr>
      </w:pPr>
      <w:bookmarkStart w:id="50" w:name="_Toc103838834"/>
      <w:r w:rsidRPr="0058349C">
        <w:rPr>
          <w:rStyle w:val="Heading2Char"/>
          <w:rFonts w:ascii="Garamond" w:eastAsia="Arial" w:hAnsi="Garamond"/>
          <w:color w:val="auto"/>
          <w:sz w:val="24"/>
          <w:szCs w:val="24"/>
          <w:lang w:val="sq-AL"/>
        </w:rPr>
        <w:t>Politika 3</w:t>
      </w:r>
      <w:r w:rsidR="000B1A31">
        <w:rPr>
          <w:rStyle w:val="Heading2Char"/>
          <w:rFonts w:ascii="Garamond" w:eastAsia="Arial" w:hAnsi="Garamond"/>
          <w:color w:val="auto"/>
          <w:sz w:val="24"/>
          <w:szCs w:val="24"/>
          <w:lang w:val="sq-AL"/>
        </w:rPr>
        <w:t>.</w:t>
      </w:r>
      <w:r w:rsidRPr="0058349C">
        <w:rPr>
          <w:rStyle w:val="Heading2Char"/>
          <w:rFonts w:ascii="Garamond" w:eastAsia="Arial" w:hAnsi="Garamond"/>
          <w:color w:val="auto"/>
          <w:sz w:val="24"/>
          <w:szCs w:val="24"/>
          <w:lang w:val="sq-AL"/>
        </w:rPr>
        <w:t xml:space="preserve"> Objektivat </w:t>
      </w:r>
      <w:r w:rsidR="000B1A31" w:rsidRPr="0058349C">
        <w:rPr>
          <w:rStyle w:val="Heading2Char"/>
          <w:rFonts w:ascii="Garamond" w:eastAsia="Arial" w:hAnsi="Garamond"/>
          <w:color w:val="auto"/>
          <w:sz w:val="24"/>
          <w:szCs w:val="24"/>
          <w:lang w:val="sq-AL"/>
        </w:rPr>
        <w:t>ndërsektorial</w:t>
      </w:r>
      <w:bookmarkEnd w:id="50"/>
      <w:r w:rsidR="000B1A31">
        <w:rPr>
          <w:rStyle w:val="Heading2Char"/>
          <w:rFonts w:ascii="Garamond" w:eastAsia="Arial" w:hAnsi="Garamond"/>
          <w:color w:val="auto"/>
          <w:sz w:val="24"/>
          <w:szCs w:val="24"/>
          <w:lang w:val="sq-AL"/>
        </w:rPr>
        <w:t>ë</w:t>
      </w:r>
    </w:p>
    <w:p w14:paraId="0773B097" w14:textId="3C5D2627" w:rsidR="00DF7A00" w:rsidRPr="0058349C" w:rsidRDefault="000F4DCD" w:rsidP="000F4DCD">
      <w:pPr>
        <w:pStyle w:val="TEKSTIIII"/>
        <w:rPr>
          <w:lang w:val="sq-AL"/>
        </w:rPr>
      </w:pPr>
      <w:bookmarkStart w:id="51" w:name="_Toc103838835"/>
      <w:r w:rsidRPr="0058349C">
        <w:rPr>
          <w:rStyle w:val="Heading3Char"/>
          <w:rFonts w:ascii="Garamond" w:hAnsi="Garamond"/>
          <w:color w:val="auto"/>
        </w:rPr>
        <w:t xml:space="preserve">3.2.5 </w:t>
      </w:r>
      <w:r w:rsidR="00461F20">
        <w:rPr>
          <w:rStyle w:val="Heading3Char"/>
          <w:rFonts w:ascii="Garamond" w:hAnsi="Garamond"/>
          <w:color w:val="auto"/>
        </w:rPr>
        <w:t>Politika 3. Objektivi ndër</w:t>
      </w:r>
      <w:r w:rsidR="00DF7A00" w:rsidRPr="0058349C">
        <w:rPr>
          <w:rStyle w:val="Heading3Char"/>
          <w:rFonts w:ascii="Garamond" w:hAnsi="Garamond"/>
          <w:color w:val="auto"/>
        </w:rPr>
        <w:t xml:space="preserve">sektorial 1: Forcimi i kapaciteteve institucionale dhe administrative drejt përafrimit me </w:t>
      </w:r>
      <w:r w:rsidR="00B25257" w:rsidRPr="00B25257">
        <w:rPr>
          <w:rStyle w:val="Heading3Char"/>
          <w:rFonts w:ascii="Garamond" w:hAnsi="Garamond"/>
          <w:i/>
          <w:iCs/>
          <w:color w:val="auto"/>
        </w:rPr>
        <w:t>acquis</w:t>
      </w:r>
      <w:r w:rsidR="00DF7A00" w:rsidRPr="0058349C">
        <w:rPr>
          <w:rStyle w:val="Heading3Char"/>
          <w:rFonts w:ascii="Garamond" w:hAnsi="Garamond"/>
          <w:color w:val="auto"/>
        </w:rPr>
        <w:t xml:space="preserve"> të BE-së</w:t>
      </w:r>
      <w:bookmarkEnd w:id="51"/>
    </w:p>
    <w:p w14:paraId="0773B098" w14:textId="37E84744"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Shqipëria si një v</w:t>
      </w:r>
      <w:r w:rsidRPr="0058349C">
        <w:rPr>
          <w:rFonts w:ascii="Garamond" w:hAnsi="Garamond"/>
          <w:sz w:val="24"/>
          <w:szCs w:val="24"/>
          <w:lang w:val="sq-AL"/>
        </w:rPr>
        <w:t>e</w:t>
      </w:r>
      <w:r w:rsidRPr="0058349C">
        <w:rPr>
          <w:rFonts w:ascii="Garamond" w:hAnsi="Garamond" w:cs="Arial"/>
          <w:sz w:val="24"/>
          <w:szCs w:val="24"/>
          <w:lang w:val="sq-AL"/>
        </w:rPr>
        <w:t xml:space="preserve">nd </w:t>
      </w:r>
      <w:r w:rsidRPr="0058349C">
        <w:rPr>
          <w:rFonts w:ascii="Garamond" w:hAnsi="Garamond" w:cs="Arial"/>
          <w:b/>
          <w:sz w:val="24"/>
          <w:szCs w:val="24"/>
          <w:lang w:val="sq-AL"/>
        </w:rPr>
        <w:t xml:space="preserve">kandidat </w:t>
      </w:r>
      <w:r w:rsidRPr="0058349C">
        <w:rPr>
          <w:rFonts w:ascii="Garamond" w:hAnsi="Garamond" w:cs="Arial"/>
          <w:sz w:val="24"/>
          <w:szCs w:val="24"/>
          <w:lang w:val="sq-AL"/>
        </w:rPr>
        <w:t>p</w:t>
      </w:r>
      <w:r w:rsidRPr="0058349C">
        <w:rPr>
          <w:rFonts w:ascii="Garamond" w:hAnsi="Garamond"/>
          <w:b/>
          <w:sz w:val="24"/>
          <w:szCs w:val="24"/>
          <w:lang w:val="sq-AL"/>
        </w:rPr>
        <w:t xml:space="preserve">ër anëtarësim në BE </w:t>
      </w:r>
      <w:r w:rsidRPr="0058349C">
        <w:rPr>
          <w:rFonts w:ascii="Garamond" w:hAnsi="Garamond" w:cs="Arial"/>
          <w:sz w:val="24"/>
          <w:szCs w:val="24"/>
          <w:lang w:val="sq-AL"/>
        </w:rPr>
        <w:t>dhe në fazë përgatitje</w:t>
      </w:r>
      <w:r w:rsidR="00A35EA1">
        <w:rPr>
          <w:rFonts w:ascii="Garamond" w:hAnsi="Garamond" w:cs="Arial"/>
          <w:sz w:val="24"/>
          <w:szCs w:val="24"/>
          <w:lang w:val="sq-AL"/>
        </w:rPr>
        <w:t>je</w:t>
      </w:r>
      <w:r w:rsidRPr="0058349C">
        <w:rPr>
          <w:rFonts w:ascii="Garamond" w:hAnsi="Garamond" w:cs="Arial"/>
          <w:sz w:val="24"/>
          <w:szCs w:val="24"/>
          <w:lang w:val="sq-AL"/>
        </w:rPr>
        <w:t xml:space="preserve"> për negociatat për anëtarësimin ka një sfidë të dyfishtë: të rrisë konkurreshmërinë e saj ndërkohë që përputh legjislacionin e saj me </w:t>
      </w:r>
      <w:r w:rsidR="00B25257" w:rsidRPr="00B25257">
        <w:rPr>
          <w:rFonts w:ascii="Garamond" w:hAnsi="Garamond" w:cs="Arial"/>
          <w:i/>
          <w:iCs/>
          <w:sz w:val="24"/>
          <w:szCs w:val="24"/>
          <w:lang w:val="sq-AL"/>
        </w:rPr>
        <w:t>acquis</w:t>
      </w:r>
      <w:r w:rsidRPr="0058349C">
        <w:rPr>
          <w:rFonts w:ascii="Garamond" w:hAnsi="Garamond" w:cs="Arial"/>
          <w:sz w:val="24"/>
          <w:szCs w:val="24"/>
          <w:lang w:val="sq-AL"/>
        </w:rPr>
        <w:t xml:space="preserve"> të BE-së. Përputhja e legjislacionit implikon vendosjen dhe zbatimin e standardeve të reja për sektorin e bujqësisë. Kjo nuk është vetëm një sfidë institucionale që lidhet me transpozimin dhe kapacitetin institucional për monitorim dhe kontroll të zbatimit të tij, por kryesisht është një sfidë për sektorin privat (fermerë, agropërpunues e të tjerë aktorë) për të përballuar kostot për investime të reja dhe për funksionimin dhe mirëmbajtjen e tyre të mëtejshme për t’u përshtatur me kërkesat dhe reformat e nevojshme. </w:t>
      </w:r>
    </w:p>
    <w:p w14:paraId="0773B099" w14:textId="5E100584"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Mbështetja e fortë publike për sektorin agroushqimor dhe kuadri ligjor efektiv varet në një masë të madhe nga kapaciteti institucional dhe administrativ</w:t>
      </w:r>
      <w:r w:rsidR="00EC0CC4">
        <w:rPr>
          <w:rFonts w:ascii="Garamond" w:hAnsi="Garamond" w:cs="Arial"/>
          <w:sz w:val="24"/>
          <w:szCs w:val="24"/>
          <w:lang w:val="sq-AL"/>
        </w:rPr>
        <w:t>,</w:t>
      </w:r>
      <w:r w:rsidRPr="0058349C">
        <w:rPr>
          <w:rFonts w:ascii="Garamond" w:hAnsi="Garamond" w:cs="Arial"/>
          <w:sz w:val="24"/>
          <w:szCs w:val="24"/>
          <w:lang w:val="sq-AL"/>
        </w:rPr>
        <w:t xml:space="preserve"> por edhe i aktorëve të sektorit privat për të përgatitur dhe zbatuar reformat dhe politikat publike që do të adresojn</w:t>
      </w:r>
      <w:r w:rsidRPr="0058349C">
        <w:rPr>
          <w:rFonts w:ascii="Garamond" w:hAnsi="Garamond"/>
          <w:sz w:val="24"/>
          <w:szCs w:val="24"/>
          <w:lang w:val="sq-AL"/>
        </w:rPr>
        <w:t>ë</w:t>
      </w:r>
      <w:r w:rsidRPr="0058349C">
        <w:rPr>
          <w:rFonts w:ascii="Garamond" w:hAnsi="Garamond" w:cs="Arial"/>
          <w:sz w:val="24"/>
          <w:szCs w:val="24"/>
          <w:lang w:val="sq-AL"/>
        </w:rPr>
        <w:t xml:space="preserve"> në mënyrë eficiente nevojat dhe mundësitë e sektorit dhe t</w:t>
      </w:r>
      <w:r w:rsidRPr="0058349C">
        <w:rPr>
          <w:rFonts w:ascii="Garamond" w:hAnsi="Garamond"/>
          <w:sz w:val="24"/>
          <w:szCs w:val="24"/>
          <w:lang w:val="sq-AL"/>
        </w:rPr>
        <w:t>ë aktorëve që veprojnë në këta sektorë</w:t>
      </w:r>
      <w:r w:rsidRPr="0058349C">
        <w:rPr>
          <w:rFonts w:ascii="Garamond" w:hAnsi="Garamond"/>
          <w:b/>
          <w:sz w:val="24"/>
          <w:szCs w:val="24"/>
          <w:lang w:val="sq-AL"/>
        </w:rPr>
        <w:t xml:space="preserve"> </w:t>
      </w:r>
      <w:r w:rsidRPr="0058349C">
        <w:rPr>
          <w:rFonts w:ascii="Garamond" w:hAnsi="Garamond" w:cs="Arial"/>
          <w:sz w:val="24"/>
          <w:szCs w:val="24"/>
          <w:lang w:val="sq-AL"/>
        </w:rPr>
        <w:t>për të realizuar reformat e kë</w:t>
      </w:r>
      <w:r w:rsidR="00167C37" w:rsidRPr="0058349C">
        <w:rPr>
          <w:rFonts w:ascii="Garamond" w:hAnsi="Garamond" w:cs="Arial"/>
          <w:sz w:val="24"/>
          <w:szCs w:val="24"/>
          <w:lang w:val="sq-AL"/>
        </w:rPr>
        <w:t>rkuara në procesin e përafrimit/</w:t>
      </w:r>
      <w:r w:rsidRPr="0058349C">
        <w:rPr>
          <w:rFonts w:ascii="Garamond" w:hAnsi="Garamond" w:cs="Arial"/>
          <w:sz w:val="24"/>
          <w:szCs w:val="24"/>
          <w:lang w:val="sq-AL"/>
        </w:rPr>
        <w:t>anëtarësimit në BE.</w:t>
      </w:r>
    </w:p>
    <w:p w14:paraId="0773B09A" w14:textId="53B887F8" w:rsidR="00DF7A00" w:rsidRPr="0058349C" w:rsidRDefault="00DF7A00" w:rsidP="00EC0CC4">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Nd</w:t>
      </w:r>
      <w:r w:rsidRPr="0058349C">
        <w:rPr>
          <w:rFonts w:ascii="Garamond" w:hAnsi="Garamond"/>
          <w:b/>
          <w:sz w:val="24"/>
          <w:szCs w:val="24"/>
          <w:lang w:val="sq-AL"/>
        </w:rPr>
        <w:t>ërhyrjet afat</w:t>
      </w:r>
      <w:r w:rsidR="00FC30B4">
        <w:rPr>
          <w:rFonts w:ascii="Garamond" w:hAnsi="Garamond"/>
          <w:b/>
          <w:sz w:val="24"/>
          <w:szCs w:val="24"/>
          <w:lang w:val="sq-AL"/>
        </w:rPr>
        <w:t>shkurtër dhe afatmes</w:t>
      </w:r>
      <w:r w:rsidRPr="0058349C">
        <w:rPr>
          <w:rFonts w:ascii="Garamond" w:hAnsi="Garamond"/>
          <w:b/>
          <w:sz w:val="24"/>
          <w:szCs w:val="24"/>
          <w:lang w:val="sq-AL"/>
        </w:rPr>
        <w:t>me që do të adresohen sipas kapitujve të negocimit në fushën e përgjegjësisë të MBZHR</w:t>
      </w:r>
      <w:r w:rsidR="00FC30B4">
        <w:rPr>
          <w:rFonts w:ascii="Garamond" w:hAnsi="Garamond"/>
          <w:b/>
          <w:sz w:val="24"/>
          <w:szCs w:val="24"/>
          <w:lang w:val="sq-AL"/>
        </w:rPr>
        <w:t>-së</w:t>
      </w:r>
      <w:r w:rsidRPr="0058349C">
        <w:rPr>
          <w:rFonts w:ascii="Garamond" w:hAnsi="Garamond"/>
          <w:b/>
          <w:sz w:val="24"/>
          <w:szCs w:val="24"/>
          <w:lang w:val="sq-AL"/>
        </w:rPr>
        <w:t>.</w:t>
      </w:r>
    </w:p>
    <w:p w14:paraId="0773B09B" w14:textId="0F3D3891"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hAnsi="Garamond" w:cs="Arial"/>
          <w:b/>
          <w:bCs/>
          <w:sz w:val="24"/>
          <w:szCs w:val="24"/>
          <w:lang w:val="sq-AL"/>
        </w:rPr>
        <w:t>N</w:t>
      </w:r>
      <w:r w:rsidRPr="0058349C">
        <w:rPr>
          <w:rFonts w:ascii="Garamond" w:hAnsi="Garamond"/>
          <w:b/>
          <w:sz w:val="24"/>
          <w:szCs w:val="24"/>
          <w:lang w:val="sq-AL"/>
        </w:rPr>
        <w:t xml:space="preserve">ë kuadër të </w:t>
      </w:r>
      <w:r w:rsidR="00E4611A" w:rsidRPr="0058349C">
        <w:rPr>
          <w:rFonts w:ascii="Garamond" w:hAnsi="Garamond" w:cs="Arial"/>
          <w:b/>
          <w:bCs/>
          <w:sz w:val="24"/>
          <w:szCs w:val="24"/>
          <w:lang w:val="sq-AL"/>
        </w:rPr>
        <w:t xml:space="preserve">kapitullit </w:t>
      </w:r>
      <w:r w:rsidRPr="0058349C">
        <w:rPr>
          <w:rFonts w:ascii="Garamond" w:hAnsi="Garamond" w:cs="Arial"/>
          <w:b/>
          <w:bCs/>
          <w:sz w:val="24"/>
          <w:szCs w:val="24"/>
          <w:lang w:val="sq-AL"/>
        </w:rPr>
        <w:t xml:space="preserve">11 </w:t>
      </w:r>
      <w:r w:rsidR="00E4611A">
        <w:rPr>
          <w:rFonts w:ascii="Garamond" w:hAnsi="Garamond" w:cs="Arial"/>
          <w:b/>
          <w:bCs/>
          <w:sz w:val="24"/>
          <w:szCs w:val="24"/>
          <w:lang w:val="sq-AL"/>
        </w:rPr>
        <w:t>–</w:t>
      </w:r>
      <w:r w:rsidRPr="0058349C">
        <w:rPr>
          <w:rFonts w:ascii="Garamond" w:hAnsi="Garamond" w:cs="Arial"/>
          <w:b/>
          <w:bCs/>
          <w:sz w:val="24"/>
          <w:szCs w:val="24"/>
          <w:lang w:val="sq-AL"/>
        </w:rPr>
        <w:t xml:space="preserve"> </w:t>
      </w:r>
      <w:r w:rsidRPr="0058349C">
        <w:rPr>
          <w:rFonts w:ascii="Garamond" w:hAnsi="Garamond" w:cs="Arial"/>
          <w:b/>
          <w:sz w:val="24"/>
          <w:szCs w:val="24"/>
          <w:lang w:val="sq-AL"/>
        </w:rPr>
        <w:t xml:space="preserve">Bujqësia dhe </w:t>
      </w:r>
      <w:r w:rsidR="00E4611A" w:rsidRPr="0058349C">
        <w:rPr>
          <w:rFonts w:ascii="Garamond" w:hAnsi="Garamond" w:cs="Arial"/>
          <w:b/>
          <w:sz w:val="24"/>
          <w:szCs w:val="24"/>
          <w:lang w:val="sq-AL"/>
        </w:rPr>
        <w:t>zhvillimi rural</w:t>
      </w:r>
    </w:p>
    <w:p w14:paraId="0773B09C" w14:textId="39EE3CFB"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Krijimi i </w:t>
      </w:r>
      <w:r w:rsidRPr="0058349C">
        <w:rPr>
          <w:rFonts w:ascii="Garamond" w:eastAsia="Arial" w:hAnsi="Garamond" w:cs="Arial"/>
          <w:b/>
          <w:sz w:val="24"/>
          <w:szCs w:val="24"/>
          <w:lang w:val="sq-AL"/>
        </w:rPr>
        <w:t>Rrjetit të të Dhënave të Kontabilitetit të Fermave (FADN),</w:t>
      </w:r>
      <w:r w:rsidRPr="0058349C">
        <w:rPr>
          <w:rFonts w:ascii="Garamond" w:eastAsia="Arial" w:hAnsi="Garamond" w:cs="Arial"/>
          <w:sz w:val="24"/>
          <w:szCs w:val="24"/>
          <w:lang w:val="sq-AL"/>
        </w:rPr>
        <w:t xml:space="preserve"> pranë një njësie të veçantë në MBZHR, do të krijoj</w:t>
      </w:r>
      <w:r w:rsidRPr="0058349C">
        <w:rPr>
          <w:rFonts w:ascii="Garamond" w:hAnsi="Garamond" w:cs="Arial"/>
          <w:sz w:val="24"/>
          <w:szCs w:val="24"/>
          <w:lang w:val="sq-AL"/>
        </w:rPr>
        <w:t>ë data bazën e të dhënave të domosdoshme</w:t>
      </w:r>
      <w:r w:rsidR="00730F79">
        <w:rPr>
          <w:rFonts w:ascii="Garamond" w:hAnsi="Garamond" w:cs="Arial"/>
          <w:sz w:val="24"/>
          <w:szCs w:val="24"/>
          <w:lang w:val="sq-AL"/>
        </w:rPr>
        <w:t>,</w:t>
      </w:r>
      <w:r w:rsidRPr="0058349C">
        <w:rPr>
          <w:rFonts w:ascii="Garamond" w:hAnsi="Garamond" w:cs="Arial"/>
          <w:sz w:val="24"/>
          <w:szCs w:val="24"/>
          <w:lang w:val="sq-AL"/>
        </w:rPr>
        <w:t xml:space="preserve"> të cilat ofrojnë evidence të mirëqena që do të </w:t>
      </w:r>
      <w:r w:rsidRPr="0058349C">
        <w:rPr>
          <w:rFonts w:ascii="Garamond" w:eastAsia="Arial" w:hAnsi="Garamond" w:cs="Arial"/>
          <w:sz w:val="24"/>
          <w:szCs w:val="24"/>
          <w:lang w:val="sq-AL"/>
        </w:rPr>
        <w:t>lejojë një t</w:t>
      </w:r>
      <w:r w:rsidRPr="0058349C">
        <w:rPr>
          <w:rFonts w:ascii="Garamond" w:hAnsi="Garamond" w:cs="Arial"/>
          <w:sz w:val="24"/>
          <w:szCs w:val="24"/>
          <w:lang w:val="sq-AL"/>
        </w:rPr>
        <w:t>ë kuptuar</w:t>
      </w:r>
      <w:r w:rsidRPr="0058349C">
        <w:rPr>
          <w:rFonts w:ascii="Garamond" w:eastAsia="Arial" w:hAnsi="Garamond" w:cs="Arial"/>
          <w:sz w:val="24"/>
          <w:szCs w:val="24"/>
          <w:lang w:val="sq-AL"/>
        </w:rPr>
        <w:t xml:space="preserve"> të drejtë të tendencave të ndryshme në sektor si baz</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për t</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 xml:space="preserve">hartuar politika të bazuara në prova. </w:t>
      </w:r>
    </w:p>
    <w:p w14:paraId="0773B09D" w14:textId="2499E0D7"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Zbatimi i </w:t>
      </w:r>
      <w:r w:rsidRPr="0058349C">
        <w:rPr>
          <w:rFonts w:ascii="Garamond" w:eastAsia="Arial" w:hAnsi="Garamond" w:cs="Arial"/>
          <w:b/>
          <w:sz w:val="24"/>
          <w:szCs w:val="24"/>
          <w:lang w:val="sq-AL"/>
        </w:rPr>
        <w:t>Regjistrit të Fermave</w:t>
      </w:r>
      <w:r w:rsidRPr="0058349C">
        <w:rPr>
          <w:rFonts w:ascii="Garamond" w:eastAsia="Arial" w:hAnsi="Garamond" w:cs="Arial"/>
          <w:sz w:val="24"/>
          <w:szCs w:val="24"/>
          <w:lang w:val="sq-AL"/>
        </w:rPr>
        <w:t xml:space="preserve">, si pjesë e </w:t>
      </w:r>
      <w:r w:rsidRPr="0058349C">
        <w:rPr>
          <w:rFonts w:ascii="Garamond" w:eastAsia="Arial" w:hAnsi="Garamond" w:cs="Arial"/>
          <w:b/>
          <w:sz w:val="24"/>
          <w:szCs w:val="24"/>
          <w:lang w:val="sq-AL"/>
        </w:rPr>
        <w:t xml:space="preserve">Sistemit të Integruar të Administrimit dhe Kontrollit </w:t>
      </w:r>
      <w:r w:rsidRPr="0058349C">
        <w:rPr>
          <w:rFonts w:ascii="Garamond" w:eastAsia="Arial" w:hAnsi="Garamond" w:cs="Arial"/>
          <w:sz w:val="24"/>
          <w:szCs w:val="24"/>
          <w:lang w:val="sq-AL"/>
        </w:rPr>
        <w:t>(SIAK), siguron regjistrimin unik të çdo përfituesi të fondeve publike. Përdoruesi kryesor i Regjistrit të Fermave është AZHBR-ja dhe departamenti</w:t>
      </w:r>
      <w:r w:rsidR="00CF7694" w:rsidRPr="0058349C">
        <w:rPr>
          <w:rFonts w:ascii="Garamond" w:eastAsia="Arial" w:hAnsi="Garamond" w:cs="Arial"/>
          <w:sz w:val="24"/>
          <w:szCs w:val="24"/>
          <w:lang w:val="sq-AL"/>
        </w:rPr>
        <w:t xml:space="preserve"> </w:t>
      </w:r>
      <w:r w:rsidRPr="0058349C">
        <w:rPr>
          <w:rFonts w:ascii="Garamond" w:eastAsia="Arial" w:hAnsi="Garamond" w:cs="Arial"/>
          <w:sz w:val="24"/>
          <w:szCs w:val="24"/>
          <w:lang w:val="sq-AL"/>
        </w:rPr>
        <w:t>i TI</w:t>
      </w:r>
      <w:r w:rsidR="00730F79">
        <w:rPr>
          <w:rFonts w:ascii="Garamond" w:eastAsia="Arial" w:hAnsi="Garamond" w:cs="Arial"/>
          <w:sz w:val="24"/>
          <w:szCs w:val="24"/>
          <w:lang w:val="sq-AL"/>
        </w:rPr>
        <w:t>-së</w:t>
      </w:r>
      <w:r w:rsidRPr="0058349C">
        <w:rPr>
          <w:rFonts w:ascii="Garamond" w:eastAsia="Arial" w:hAnsi="Garamond" w:cs="Arial"/>
          <w:sz w:val="24"/>
          <w:szCs w:val="24"/>
          <w:lang w:val="sq-AL"/>
        </w:rPr>
        <w:t xml:space="preserve"> i integruar në struktur</w:t>
      </w:r>
      <w:r w:rsidRPr="0058349C">
        <w:rPr>
          <w:rFonts w:ascii="Garamond" w:hAnsi="Garamond" w:cs="Arial"/>
          <w:sz w:val="24"/>
          <w:szCs w:val="24"/>
          <w:lang w:val="sq-AL"/>
        </w:rPr>
        <w:t>ën</w:t>
      </w:r>
      <w:r w:rsidRPr="0058349C">
        <w:rPr>
          <w:rFonts w:ascii="Garamond" w:eastAsia="Arial" w:hAnsi="Garamond" w:cs="Arial"/>
          <w:sz w:val="24"/>
          <w:szCs w:val="24"/>
          <w:lang w:val="sq-AL"/>
        </w:rPr>
        <w:t xml:space="preserve"> e saj.</w:t>
      </w:r>
    </w:p>
    <w:p w14:paraId="0773B09E" w14:textId="2322187E" w:rsidR="00DF7A00" w:rsidRPr="0058349C" w:rsidRDefault="00DF7A00" w:rsidP="000C2D9A">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b/>
          <w:sz w:val="24"/>
          <w:szCs w:val="24"/>
          <w:lang w:val="sq-AL"/>
        </w:rPr>
        <w:t xml:space="preserve">Regjistrimi i kafshëve (sistemi RUDA) </w:t>
      </w:r>
      <w:r w:rsidRPr="0058349C">
        <w:rPr>
          <w:rFonts w:ascii="Garamond" w:eastAsia="Arial" w:hAnsi="Garamond" w:cs="Arial"/>
          <w:sz w:val="24"/>
          <w:szCs w:val="24"/>
          <w:lang w:val="sq-AL"/>
        </w:rPr>
        <w:t>i MBZHR-së është kryesisht funksional. Baza për di</w:t>
      </w:r>
      <w:r w:rsidR="000C2D9A">
        <w:rPr>
          <w:rFonts w:ascii="Garamond" w:eastAsia="Arial" w:hAnsi="Garamond" w:cs="Arial"/>
          <w:sz w:val="24"/>
          <w:szCs w:val="24"/>
          <w:lang w:val="sq-AL"/>
        </w:rPr>
        <w:t>gj</w:t>
      </w:r>
      <w:r w:rsidRPr="0058349C">
        <w:rPr>
          <w:rFonts w:ascii="Garamond" w:eastAsia="Arial" w:hAnsi="Garamond" w:cs="Arial"/>
          <w:sz w:val="24"/>
          <w:szCs w:val="24"/>
          <w:lang w:val="sq-AL"/>
        </w:rPr>
        <w:t xml:space="preserve">italizimin e sistemit RUDA është harmonizuar. Zbatimi i tij është planifikuar për vitin 2024. Sistemi </w:t>
      </w:r>
      <w:r w:rsidR="00C8125A" w:rsidRPr="0058349C">
        <w:rPr>
          <w:rFonts w:ascii="Garamond" w:eastAsia="Arial" w:hAnsi="Garamond" w:cs="Arial"/>
          <w:sz w:val="24"/>
          <w:szCs w:val="24"/>
          <w:lang w:val="sq-AL"/>
        </w:rPr>
        <w:t xml:space="preserve">RUDA </w:t>
      </w:r>
      <w:r w:rsidRPr="0058349C">
        <w:rPr>
          <w:rFonts w:ascii="Garamond" w:eastAsia="Arial" w:hAnsi="Garamond" w:cs="Arial"/>
          <w:sz w:val="24"/>
          <w:szCs w:val="24"/>
          <w:lang w:val="sq-AL"/>
        </w:rPr>
        <w:t>është integruar në sistemin e thertoreve, që nga data 15.10.2021.</w:t>
      </w:r>
    </w:p>
    <w:p w14:paraId="0773B09F" w14:textId="617FFD99"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Informacione të tjera që mungojnë janë statusi shëndetësor i kafshëve të fermave dhe rezultatet e ushqimit të kafshëve (nga këndvështrimi i sigurisë ushqimore) janë duke u plotësuar gjatë gjysmës së parë të 2022</w:t>
      </w:r>
      <w:r w:rsidR="001E5C12">
        <w:rPr>
          <w:rFonts w:ascii="Garamond" w:eastAsia="Arial" w:hAnsi="Garamond" w:cs="Arial"/>
          <w:sz w:val="24"/>
          <w:szCs w:val="24"/>
          <w:lang w:val="sq-AL"/>
        </w:rPr>
        <w:t>-shit</w:t>
      </w:r>
      <w:r w:rsidRPr="0058349C">
        <w:rPr>
          <w:rFonts w:ascii="Garamond" w:eastAsia="Arial" w:hAnsi="Garamond" w:cs="Arial"/>
          <w:sz w:val="24"/>
          <w:szCs w:val="24"/>
          <w:lang w:val="sq-AL"/>
        </w:rPr>
        <w:t>.</w:t>
      </w:r>
    </w:p>
    <w:p w14:paraId="0773B0A0" w14:textId="6C3FBC34"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eastAsia="Arial" w:hAnsi="Garamond" w:cs="Arial"/>
          <w:b/>
          <w:sz w:val="24"/>
          <w:szCs w:val="24"/>
          <w:lang w:val="sq-AL"/>
        </w:rPr>
        <w:t>Autoriteti Menaxhues IPARD</w:t>
      </w:r>
      <w:r w:rsidRPr="0058349C">
        <w:rPr>
          <w:rFonts w:ascii="Garamond" w:eastAsia="Arial" w:hAnsi="Garamond" w:cs="Arial"/>
          <w:sz w:val="24"/>
          <w:szCs w:val="24"/>
          <w:lang w:val="sq-AL"/>
        </w:rPr>
        <w:t xml:space="preserve"> (IPARD AM) dhe Agjencia e Bujqësisë dhe Zhvillimit Rural (AZHBR)</w:t>
      </w:r>
      <w:r w:rsidR="0002143E">
        <w:rPr>
          <w:rFonts w:ascii="Garamond" w:eastAsia="Arial" w:hAnsi="Garamond" w:cs="Arial"/>
          <w:sz w:val="24"/>
          <w:szCs w:val="24"/>
          <w:lang w:val="sq-AL"/>
        </w:rPr>
        <w:t>,</w:t>
      </w:r>
      <w:r w:rsidRPr="0058349C">
        <w:rPr>
          <w:rFonts w:ascii="Garamond" w:eastAsia="Arial" w:hAnsi="Garamond" w:cs="Arial"/>
          <w:sz w:val="24"/>
          <w:szCs w:val="24"/>
          <w:lang w:val="sq-AL"/>
        </w:rPr>
        <w:t xml:space="preserve"> si Agjencia IPARD duhet të konsolidohen më tej për të garantuar një proces të shpejtë dhe pa probleme të thirrjeve p</w:t>
      </w:r>
      <w:r w:rsidRPr="0058349C">
        <w:rPr>
          <w:rFonts w:ascii="Garamond" w:hAnsi="Garamond" w:cs="Arial"/>
          <w:sz w:val="24"/>
          <w:szCs w:val="24"/>
          <w:lang w:val="sq-AL"/>
        </w:rPr>
        <w:t>ër aplikime dhe përkatësisht përpunimit të aplikimeve</w:t>
      </w:r>
      <w:r w:rsidRPr="0058349C">
        <w:rPr>
          <w:rFonts w:ascii="Garamond" w:eastAsia="Arial" w:hAnsi="Garamond" w:cs="Arial"/>
          <w:sz w:val="24"/>
          <w:szCs w:val="24"/>
          <w:lang w:val="sq-AL"/>
        </w:rPr>
        <w:t xml:space="preserve">, dhe </w:t>
      </w:r>
      <w:r w:rsidRPr="0058349C">
        <w:rPr>
          <w:rFonts w:ascii="Garamond" w:eastAsia="Arial" w:hAnsi="Garamond" w:cs="Arial"/>
          <w:sz w:val="24"/>
          <w:szCs w:val="24"/>
          <w:lang w:val="sq-AL"/>
        </w:rPr>
        <w:lastRenderedPageBreak/>
        <w:t>ndër të tjera, për të reduktuar numrin e projektev</w:t>
      </w:r>
      <w:r w:rsidR="0002143E">
        <w:rPr>
          <w:rFonts w:ascii="Garamond" w:eastAsia="Arial" w:hAnsi="Garamond" w:cs="Arial"/>
          <w:sz w:val="24"/>
          <w:szCs w:val="24"/>
          <w:lang w:val="sq-AL"/>
        </w:rPr>
        <w:t>e të refuzuara për arsye të mos</w:t>
      </w:r>
      <w:r w:rsidRPr="0058349C">
        <w:rPr>
          <w:rFonts w:ascii="Garamond" w:eastAsia="Arial" w:hAnsi="Garamond" w:cs="Arial"/>
          <w:sz w:val="24"/>
          <w:szCs w:val="24"/>
          <w:lang w:val="sq-AL"/>
        </w:rPr>
        <w:t>përshtatshmërisë me kriteret. Autoriteti menaxhues po përgatit akreditimin e masave për IPARD III.</w:t>
      </w:r>
    </w:p>
    <w:p w14:paraId="0773B0A1" w14:textId="14B2155D" w:rsidR="00DF7A00" w:rsidRPr="0058349C" w:rsidRDefault="00DF7A00" w:rsidP="00BD6B79">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b/>
          <w:sz w:val="24"/>
          <w:szCs w:val="24"/>
          <w:lang w:val="sq-AL"/>
        </w:rPr>
        <w:t>Përgatitja për akreditimin</w:t>
      </w:r>
      <w:r w:rsidRPr="0058349C">
        <w:rPr>
          <w:rFonts w:ascii="Garamond" w:eastAsia="Arial" w:hAnsi="Garamond" w:cs="Arial"/>
          <w:sz w:val="24"/>
          <w:szCs w:val="24"/>
          <w:lang w:val="sq-AL"/>
        </w:rPr>
        <w:t xml:space="preserve"> dhe zbatimi i pesë masave shtesë të planifikuara në kuadër të Programit </w:t>
      </w:r>
      <w:r w:rsidR="0002143E">
        <w:rPr>
          <w:rFonts w:ascii="Garamond" w:eastAsia="Arial" w:hAnsi="Garamond" w:cs="Arial"/>
          <w:b/>
          <w:sz w:val="24"/>
          <w:szCs w:val="24"/>
          <w:lang w:val="sq-AL"/>
        </w:rPr>
        <w:t>IPARD III 2021–</w:t>
      </w:r>
      <w:r w:rsidRPr="0058349C">
        <w:rPr>
          <w:rFonts w:ascii="Garamond" w:eastAsia="Arial" w:hAnsi="Garamond" w:cs="Arial"/>
          <w:b/>
          <w:sz w:val="24"/>
          <w:szCs w:val="24"/>
          <w:lang w:val="sq-AL"/>
        </w:rPr>
        <w:t>2027</w:t>
      </w:r>
      <w:r w:rsidR="0002143E">
        <w:rPr>
          <w:rFonts w:ascii="Garamond" w:eastAsia="Arial" w:hAnsi="Garamond" w:cs="Arial"/>
          <w:b/>
          <w:sz w:val="24"/>
          <w:szCs w:val="24"/>
          <w:lang w:val="sq-AL"/>
        </w:rPr>
        <w:t>,</w:t>
      </w:r>
      <w:r w:rsidRPr="0058349C">
        <w:rPr>
          <w:rFonts w:ascii="Garamond" w:eastAsia="Arial" w:hAnsi="Garamond" w:cs="Arial"/>
          <w:sz w:val="24"/>
          <w:szCs w:val="24"/>
          <w:lang w:val="sq-AL"/>
        </w:rPr>
        <w:t xml:space="preserve"> q</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jan</w:t>
      </w:r>
      <w:r w:rsidRPr="0058349C">
        <w:rPr>
          <w:rFonts w:ascii="Garamond" w:hAnsi="Garamond" w:cs="Arial"/>
          <w:sz w:val="24"/>
          <w:szCs w:val="24"/>
          <w:lang w:val="sq-AL"/>
        </w:rPr>
        <w:t>ë</w:t>
      </w:r>
      <w:r w:rsidR="0002143E">
        <w:rPr>
          <w:rFonts w:ascii="Garamond" w:eastAsia="Arial" w:hAnsi="Garamond" w:cs="Arial"/>
          <w:sz w:val="24"/>
          <w:szCs w:val="24"/>
          <w:lang w:val="sq-AL"/>
        </w:rPr>
        <w:t xml:space="preserve">: </w:t>
      </w:r>
      <w:r w:rsidRPr="0058349C">
        <w:rPr>
          <w:rFonts w:ascii="Garamond" w:eastAsia="Arial" w:hAnsi="Garamond" w:cs="Arial"/>
          <w:sz w:val="24"/>
          <w:szCs w:val="24"/>
          <w:lang w:val="sq-AL"/>
        </w:rPr>
        <w:t>i</w:t>
      </w:r>
      <w:r w:rsidR="0002143E">
        <w:rPr>
          <w:rFonts w:ascii="Garamond" w:eastAsia="Arial" w:hAnsi="Garamond" w:cs="Arial"/>
          <w:sz w:val="24"/>
          <w:szCs w:val="24"/>
          <w:lang w:val="sq-AL"/>
        </w:rPr>
        <w:t>.</w:t>
      </w:r>
      <w:r w:rsidRPr="0058349C">
        <w:rPr>
          <w:rFonts w:ascii="Garamond" w:eastAsia="Arial" w:hAnsi="Garamond" w:cs="Arial"/>
          <w:sz w:val="24"/>
          <w:szCs w:val="24"/>
          <w:lang w:val="sq-AL"/>
        </w:rPr>
        <w:t xml:space="preserve"> </w:t>
      </w:r>
      <w:r w:rsidR="00C55752" w:rsidRPr="0058349C">
        <w:rPr>
          <w:rFonts w:ascii="Garamond" w:eastAsia="Arial" w:hAnsi="Garamond" w:cs="Arial"/>
          <w:sz w:val="24"/>
          <w:szCs w:val="24"/>
          <w:lang w:val="sq-AL"/>
        </w:rPr>
        <w:t xml:space="preserve">zbatimi </w:t>
      </w:r>
      <w:r w:rsidRPr="0058349C">
        <w:rPr>
          <w:rFonts w:ascii="Garamond" w:eastAsia="Arial" w:hAnsi="Garamond" w:cs="Arial"/>
          <w:sz w:val="24"/>
          <w:szCs w:val="24"/>
          <w:lang w:val="sq-AL"/>
        </w:rPr>
        <w:t xml:space="preserve">i qasjes LEADER </w:t>
      </w:r>
      <w:r w:rsidR="00C554BA">
        <w:rPr>
          <w:rFonts w:ascii="Garamond" w:eastAsia="Arial" w:hAnsi="Garamond" w:cs="Arial"/>
          <w:sz w:val="24"/>
          <w:szCs w:val="24"/>
          <w:lang w:val="sq-AL"/>
        </w:rPr>
        <w:t>–</w:t>
      </w:r>
      <w:r w:rsidRPr="0058349C">
        <w:rPr>
          <w:rFonts w:ascii="Garamond" w:eastAsia="Arial" w:hAnsi="Garamond" w:cs="Arial"/>
          <w:sz w:val="24"/>
          <w:szCs w:val="24"/>
          <w:lang w:val="sq-AL"/>
        </w:rPr>
        <w:t xml:space="preserve"> </w:t>
      </w:r>
      <w:r w:rsidRPr="0058349C">
        <w:rPr>
          <w:rFonts w:ascii="Garamond" w:eastAsia="Arial" w:hAnsi="Garamond" w:cs="Arial"/>
          <w:i/>
          <w:sz w:val="24"/>
          <w:szCs w:val="24"/>
          <w:lang w:val="sq-AL"/>
        </w:rPr>
        <w:t>Liaison entre actions de développeme</w:t>
      </w:r>
      <w:r w:rsidR="00C554BA">
        <w:rPr>
          <w:rFonts w:ascii="Garamond" w:eastAsia="Arial" w:hAnsi="Garamond" w:cs="Arial"/>
          <w:i/>
          <w:sz w:val="24"/>
          <w:szCs w:val="24"/>
          <w:lang w:val="sq-AL"/>
        </w:rPr>
        <w:t>nt de l’</w:t>
      </w:r>
      <w:r w:rsidRPr="0058349C">
        <w:rPr>
          <w:rFonts w:ascii="Garamond" w:eastAsia="Arial" w:hAnsi="Garamond" w:cs="Arial"/>
          <w:i/>
          <w:sz w:val="24"/>
          <w:szCs w:val="24"/>
          <w:lang w:val="sq-AL"/>
        </w:rPr>
        <w:t>économie rural</w:t>
      </w:r>
      <w:r w:rsidRPr="0058349C">
        <w:rPr>
          <w:rFonts w:ascii="Garamond" w:eastAsia="Arial" w:hAnsi="Garamond" w:cs="Arial"/>
          <w:sz w:val="24"/>
          <w:szCs w:val="24"/>
          <w:lang w:val="sq-AL"/>
        </w:rPr>
        <w:t xml:space="preserve"> (LEADER)</w:t>
      </w:r>
      <w:r w:rsidR="00C554BA">
        <w:rPr>
          <w:rFonts w:ascii="Garamond" w:eastAsia="Arial" w:hAnsi="Garamond" w:cs="Arial"/>
          <w:sz w:val="24"/>
          <w:szCs w:val="24"/>
          <w:lang w:val="sq-AL"/>
        </w:rPr>
        <w:t xml:space="preserve">; </w:t>
      </w:r>
      <w:r w:rsidRPr="0058349C">
        <w:rPr>
          <w:rFonts w:ascii="Garamond" w:eastAsia="Arial" w:hAnsi="Garamond" w:cs="Arial"/>
          <w:sz w:val="24"/>
          <w:szCs w:val="24"/>
          <w:lang w:val="sq-AL"/>
        </w:rPr>
        <w:t>ii</w:t>
      </w:r>
      <w:r w:rsidR="00C554BA">
        <w:rPr>
          <w:rFonts w:ascii="Garamond" w:eastAsia="Arial" w:hAnsi="Garamond" w:cs="Arial"/>
          <w:sz w:val="24"/>
          <w:szCs w:val="24"/>
          <w:lang w:val="sq-AL"/>
        </w:rPr>
        <w:t>.</w:t>
      </w:r>
      <w:r w:rsidRPr="0058349C">
        <w:rPr>
          <w:rFonts w:ascii="Garamond" w:eastAsia="Arial" w:hAnsi="Garamond" w:cs="Arial"/>
          <w:sz w:val="24"/>
          <w:szCs w:val="24"/>
          <w:lang w:val="sq-AL"/>
        </w:rPr>
        <w:t xml:space="preserve"> </w:t>
      </w:r>
      <w:r w:rsidR="00C55752" w:rsidRPr="0058349C">
        <w:rPr>
          <w:rFonts w:ascii="Garamond" w:eastAsia="Arial" w:hAnsi="Garamond" w:cs="Arial"/>
          <w:sz w:val="24"/>
          <w:szCs w:val="24"/>
          <w:lang w:val="sq-AL"/>
        </w:rPr>
        <w:t>mb</w:t>
      </w:r>
      <w:r w:rsidR="00C55752" w:rsidRPr="0058349C">
        <w:rPr>
          <w:rFonts w:ascii="Garamond" w:hAnsi="Garamond" w:cs="Arial"/>
          <w:sz w:val="24"/>
          <w:szCs w:val="24"/>
          <w:lang w:val="sq-AL"/>
        </w:rPr>
        <w:t xml:space="preserve">ështetja </w:t>
      </w:r>
      <w:r w:rsidRPr="0058349C">
        <w:rPr>
          <w:rFonts w:ascii="Garamond" w:hAnsi="Garamond" w:cs="Arial"/>
          <w:sz w:val="24"/>
          <w:szCs w:val="24"/>
          <w:lang w:val="sq-AL"/>
        </w:rPr>
        <w:t xml:space="preserve">e </w:t>
      </w:r>
      <w:r w:rsidRPr="0058349C">
        <w:rPr>
          <w:rFonts w:ascii="Garamond" w:eastAsia="Arial" w:hAnsi="Garamond" w:cs="Arial"/>
          <w:sz w:val="24"/>
          <w:szCs w:val="24"/>
          <w:lang w:val="sq-AL"/>
        </w:rPr>
        <w:t>Shërbimit këshillimor</w:t>
      </w:r>
      <w:r w:rsidR="00C55752">
        <w:rPr>
          <w:rFonts w:ascii="Garamond" w:eastAsia="Arial" w:hAnsi="Garamond" w:cs="Arial"/>
          <w:sz w:val="24"/>
          <w:szCs w:val="24"/>
          <w:lang w:val="sq-AL"/>
        </w:rPr>
        <w:t>;</w:t>
      </w:r>
      <w:r w:rsidR="00CF7694" w:rsidRPr="0058349C">
        <w:rPr>
          <w:rFonts w:ascii="Garamond" w:eastAsia="Arial" w:hAnsi="Garamond" w:cs="Arial"/>
          <w:sz w:val="24"/>
          <w:szCs w:val="24"/>
          <w:lang w:val="sq-AL"/>
        </w:rPr>
        <w:t xml:space="preserve"> </w:t>
      </w:r>
      <w:r w:rsidRPr="0058349C">
        <w:rPr>
          <w:rFonts w:ascii="Garamond" w:eastAsia="Arial" w:hAnsi="Garamond" w:cs="Arial"/>
          <w:sz w:val="24"/>
          <w:szCs w:val="24"/>
          <w:lang w:val="sq-AL"/>
        </w:rPr>
        <w:t>iii</w:t>
      </w:r>
      <w:r w:rsidR="00C55752">
        <w:rPr>
          <w:rFonts w:ascii="Garamond" w:eastAsia="Arial" w:hAnsi="Garamond" w:cs="Arial"/>
          <w:sz w:val="24"/>
          <w:szCs w:val="24"/>
          <w:lang w:val="sq-AL"/>
        </w:rPr>
        <w:t>.</w:t>
      </w:r>
      <w:r w:rsidRPr="0058349C">
        <w:rPr>
          <w:rFonts w:ascii="Garamond" w:eastAsia="Arial" w:hAnsi="Garamond" w:cs="Arial"/>
          <w:sz w:val="24"/>
          <w:szCs w:val="24"/>
          <w:lang w:val="sq-AL"/>
        </w:rPr>
        <w:t xml:space="preserve"> </w:t>
      </w:r>
      <w:r w:rsidR="00C55752" w:rsidRPr="0058349C">
        <w:rPr>
          <w:rFonts w:ascii="Garamond" w:eastAsia="Arial" w:hAnsi="Garamond" w:cs="Arial"/>
          <w:sz w:val="24"/>
          <w:szCs w:val="24"/>
          <w:lang w:val="sq-AL"/>
        </w:rPr>
        <w:t xml:space="preserve">masat </w:t>
      </w:r>
      <w:r w:rsidRPr="0058349C">
        <w:rPr>
          <w:rFonts w:ascii="Garamond" w:eastAsia="Arial" w:hAnsi="Garamond" w:cs="Arial"/>
          <w:sz w:val="24"/>
          <w:szCs w:val="24"/>
          <w:lang w:val="sq-AL"/>
        </w:rPr>
        <w:t>agromjedis</w:t>
      </w:r>
      <w:r w:rsidR="00BD6B79">
        <w:rPr>
          <w:rFonts w:ascii="Garamond" w:eastAsia="Arial" w:hAnsi="Garamond" w:cs="Arial"/>
          <w:sz w:val="24"/>
          <w:szCs w:val="24"/>
          <w:lang w:val="sq-AL"/>
        </w:rPr>
        <w:t xml:space="preserve"> – </w:t>
      </w:r>
      <w:r w:rsidRPr="0058349C">
        <w:rPr>
          <w:rFonts w:ascii="Garamond" w:eastAsia="Arial" w:hAnsi="Garamond" w:cs="Arial"/>
          <w:sz w:val="24"/>
          <w:szCs w:val="24"/>
          <w:lang w:val="sq-AL"/>
        </w:rPr>
        <w:t>klimë dhe bujqësi organike</w:t>
      </w:r>
      <w:r w:rsidR="00BD6B79">
        <w:rPr>
          <w:rFonts w:ascii="Garamond" w:eastAsia="Arial" w:hAnsi="Garamond" w:cs="Arial"/>
          <w:sz w:val="24"/>
          <w:szCs w:val="24"/>
          <w:lang w:val="sq-AL"/>
        </w:rPr>
        <w:t xml:space="preserve">; </w:t>
      </w:r>
      <w:r w:rsidRPr="0058349C">
        <w:rPr>
          <w:rFonts w:ascii="Garamond" w:eastAsia="Arial" w:hAnsi="Garamond" w:cs="Arial"/>
          <w:sz w:val="24"/>
          <w:szCs w:val="24"/>
          <w:lang w:val="sq-AL"/>
        </w:rPr>
        <w:t>iv</w:t>
      </w:r>
      <w:r w:rsidR="00BD6B79">
        <w:rPr>
          <w:rFonts w:ascii="Garamond" w:eastAsia="Arial" w:hAnsi="Garamond" w:cs="Arial"/>
          <w:sz w:val="24"/>
          <w:szCs w:val="24"/>
          <w:lang w:val="sq-AL"/>
        </w:rPr>
        <w:t>.</w:t>
      </w:r>
      <w:r w:rsidRPr="0058349C">
        <w:rPr>
          <w:rFonts w:ascii="Garamond" w:eastAsia="Arial" w:hAnsi="Garamond" w:cs="Arial"/>
          <w:sz w:val="24"/>
          <w:szCs w:val="24"/>
          <w:lang w:val="sq-AL"/>
        </w:rPr>
        <w:t xml:space="preserve"> investimet në infrastrukturën publike rurale</w:t>
      </w:r>
      <w:r w:rsidR="00BD6B79">
        <w:rPr>
          <w:rFonts w:ascii="Garamond" w:eastAsia="Arial" w:hAnsi="Garamond" w:cs="Arial"/>
          <w:sz w:val="24"/>
          <w:szCs w:val="24"/>
          <w:lang w:val="sq-AL"/>
        </w:rPr>
        <w:t xml:space="preserve">; dhe </w:t>
      </w:r>
      <w:r w:rsidRPr="0058349C">
        <w:rPr>
          <w:rFonts w:ascii="Garamond" w:eastAsia="Arial" w:hAnsi="Garamond" w:cs="Arial"/>
          <w:sz w:val="24"/>
          <w:szCs w:val="24"/>
          <w:lang w:val="sq-AL"/>
        </w:rPr>
        <w:t>v</w:t>
      </w:r>
      <w:r w:rsidR="00BD6B79">
        <w:rPr>
          <w:rFonts w:ascii="Garamond" w:eastAsia="Arial" w:hAnsi="Garamond" w:cs="Arial"/>
          <w:sz w:val="24"/>
          <w:szCs w:val="24"/>
          <w:lang w:val="sq-AL"/>
        </w:rPr>
        <w:t>.</w:t>
      </w:r>
      <w:r w:rsidRPr="0058349C">
        <w:rPr>
          <w:rFonts w:ascii="Garamond" w:eastAsia="Arial" w:hAnsi="Garamond" w:cs="Arial"/>
          <w:sz w:val="24"/>
          <w:szCs w:val="24"/>
          <w:lang w:val="sq-AL"/>
        </w:rPr>
        <w:t xml:space="preserve"> </w:t>
      </w:r>
      <w:r w:rsidR="00BD6B79" w:rsidRPr="0058349C">
        <w:rPr>
          <w:rFonts w:ascii="Garamond" w:eastAsia="Arial" w:hAnsi="Garamond" w:cs="Arial"/>
          <w:sz w:val="24"/>
          <w:szCs w:val="24"/>
          <w:lang w:val="sq-AL"/>
        </w:rPr>
        <w:t xml:space="preserve">krijimi </w:t>
      </w:r>
      <w:r w:rsidRPr="0058349C">
        <w:rPr>
          <w:rFonts w:ascii="Garamond" w:eastAsia="Arial" w:hAnsi="Garamond" w:cs="Arial"/>
          <w:sz w:val="24"/>
          <w:szCs w:val="24"/>
          <w:lang w:val="sq-AL"/>
        </w:rPr>
        <w:t>dhe mbrojtja e pyjeve, i kërkon burime shtesë, staf të konsiderueshëm dhe zgjerimin e sistemit të TI-së me Regjistrin e Fermave dhe një sistem kontrolli të bazuar në sip</w:t>
      </w:r>
      <w:r w:rsidRPr="0058349C">
        <w:rPr>
          <w:rFonts w:ascii="Garamond" w:hAnsi="Garamond" w:cs="Arial"/>
          <w:sz w:val="24"/>
          <w:szCs w:val="24"/>
          <w:lang w:val="sq-AL"/>
        </w:rPr>
        <w:t>ërfaqen – sistemi i identifikimit të parcelave të tokës</w:t>
      </w:r>
      <w:r w:rsidRPr="0058349C">
        <w:rPr>
          <w:rFonts w:ascii="Garamond" w:eastAsia="Arial" w:hAnsi="Garamond" w:cs="Arial"/>
          <w:sz w:val="24"/>
          <w:szCs w:val="24"/>
          <w:lang w:val="sq-AL"/>
        </w:rPr>
        <w:t xml:space="preserve"> (SIPT).</w:t>
      </w:r>
    </w:p>
    <w:p w14:paraId="0773B0A2" w14:textId="2BC999DB" w:rsidR="00DF7A00" w:rsidRPr="0058349C" w:rsidRDefault="00DF7A00" w:rsidP="00DF7A00">
      <w:pPr>
        <w:spacing w:after="0" w:line="240" w:lineRule="auto"/>
        <w:ind w:firstLine="284"/>
        <w:jc w:val="both"/>
        <w:rPr>
          <w:rFonts w:ascii="Garamond" w:eastAsia="Arial" w:hAnsi="Garamond" w:cs="Arial"/>
          <w:sz w:val="24"/>
          <w:szCs w:val="24"/>
          <w:lang w:val="sq-AL"/>
        </w:rPr>
      </w:pPr>
      <w:r w:rsidRPr="008C4F89">
        <w:rPr>
          <w:rFonts w:ascii="Garamond" w:eastAsia="Arial" w:hAnsi="Garamond" w:cs="Arial"/>
          <w:b/>
          <w:sz w:val="24"/>
          <w:szCs w:val="24"/>
          <w:lang w:val="sq-AL"/>
        </w:rPr>
        <w:t>Masa IPARD TA</w:t>
      </w:r>
      <w:r w:rsidRPr="008C4F89">
        <w:rPr>
          <w:rFonts w:ascii="Garamond" w:eastAsia="Arial" w:hAnsi="Garamond" w:cs="Arial"/>
          <w:sz w:val="24"/>
          <w:szCs w:val="24"/>
          <w:lang w:val="sq-AL"/>
        </w:rPr>
        <w:t xml:space="preserve"> luan një rol të rëndësishëm në konsolidimin e strukturës operacionale t</w:t>
      </w:r>
      <w:r w:rsidRPr="008C4F89">
        <w:rPr>
          <w:rFonts w:ascii="Garamond" w:hAnsi="Garamond" w:cs="Arial"/>
          <w:sz w:val="24"/>
          <w:szCs w:val="24"/>
          <w:lang w:val="sq-AL"/>
        </w:rPr>
        <w:t xml:space="preserve">ë </w:t>
      </w:r>
      <w:r w:rsidRPr="008C4F89">
        <w:rPr>
          <w:rFonts w:ascii="Garamond" w:eastAsia="Arial" w:hAnsi="Garamond" w:cs="Arial"/>
          <w:sz w:val="24"/>
          <w:szCs w:val="24"/>
          <w:lang w:val="sq-AL"/>
        </w:rPr>
        <w:t>IPARD</w:t>
      </w:r>
      <w:r w:rsidR="008A2498">
        <w:rPr>
          <w:rFonts w:ascii="Garamond" w:eastAsia="Arial" w:hAnsi="Garamond" w:cs="Arial"/>
          <w:sz w:val="24"/>
          <w:szCs w:val="24"/>
          <w:lang w:val="sq-AL"/>
        </w:rPr>
        <w:t>,</w:t>
      </w:r>
      <w:r w:rsidRPr="008C4F89">
        <w:rPr>
          <w:rFonts w:ascii="Garamond" w:eastAsia="Arial" w:hAnsi="Garamond" w:cs="Arial"/>
          <w:sz w:val="24"/>
          <w:szCs w:val="24"/>
          <w:lang w:val="sq-AL"/>
        </w:rPr>
        <w:t xml:space="preserve"> si dhe për financimin e aktiviteteve mb</w:t>
      </w:r>
      <w:r w:rsidRPr="008C4F89">
        <w:rPr>
          <w:rFonts w:ascii="Garamond" w:hAnsi="Garamond" w:cs="Arial"/>
          <w:sz w:val="24"/>
          <w:szCs w:val="24"/>
          <w:lang w:val="sq-AL"/>
        </w:rPr>
        <w:t xml:space="preserve">ështetëse </w:t>
      </w:r>
      <w:r w:rsidRPr="008C4F89">
        <w:rPr>
          <w:rFonts w:ascii="Garamond" w:eastAsia="Arial" w:hAnsi="Garamond" w:cs="Arial"/>
          <w:sz w:val="24"/>
          <w:szCs w:val="24"/>
          <w:lang w:val="sq-AL"/>
        </w:rPr>
        <w:t>për përgatitjen dhe zbatimin e masave</w:t>
      </w:r>
      <w:r w:rsidR="008A2498">
        <w:rPr>
          <w:rFonts w:ascii="Garamond" w:eastAsia="Arial" w:hAnsi="Garamond" w:cs="Arial"/>
          <w:sz w:val="24"/>
          <w:szCs w:val="24"/>
          <w:lang w:val="sq-AL"/>
        </w:rPr>
        <w:t>,</w:t>
      </w:r>
      <w:r w:rsidRPr="008C4F89">
        <w:rPr>
          <w:rFonts w:ascii="Garamond" w:eastAsia="Arial" w:hAnsi="Garamond" w:cs="Arial"/>
          <w:sz w:val="24"/>
          <w:szCs w:val="24"/>
          <w:lang w:val="sq-AL"/>
        </w:rPr>
        <w:t xml:space="preserve"> si p.sh. kryerja e studimeve dhe mbledhja</w:t>
      </w:r>
      <w:r w:rsidR="00CF7694" w:rsidRPr="008C4F89">
        <w:rPr>
          <w:rFonts w:ascii="Garamond" w:eastAsia="Arial" w:hAnsi="Garamond" w:cs="Arial"/>
          <w:sz w:val="24"/>
          <w:szCs w:val="24"/>
          <w:lang w:val="sq-AL"/>
        </w:rPr>
        <w:t xml:space="preserve"> </w:t>
      </w:r>
      <w:r w:rsidRPr="008C4F89">
        <w:rPr>
          <w:rFonts w:ascii="Garamond" w:eastAsia="Arial" w:hAnsi="Garamond" w:cs="Arial"/>
          <w:sz w:val="24"/>
          <w:szCs w:val="24"/>
          <w:lang w:val="sq-AL"/>
        </w:rPr>
        <w:t>e të dhënave, aktivitetet e promovimit dhe t</w:t>
      </w:r>
      <w:r w:rsidRPr="008C4F89">
        <w:rPr>
          <w:rFonts w:ascii="Garamond" w:hAnsi="Garamond" w:cs="Arial"/>
          <w:sz w:val="24"/>
          <w:szCs w:val="24"/>
          <w:lang w:val="sq-AL"/>
        </w:rPr>
        <w:t>ë informimit të aktorëve etj.,</w:t>
      </w:r>
      <w:r w:rsidRPr="008C4F89">
        <w:rPr>
          <w:rFonts w:ascii="Garamond" w:eastAsia="Arial" w:hAnsi="Garamond" w:cs="Arial"/>
          <w:sz w:val="24"/>
          <w:szCs w:val="24"/>
          <w:lang w:val="sq-AL"/>
        </w:rPr>
        <w:t xml:space="preserve"> krahas mbështetjes së jashtme nga BE-ja dhe donatorët ndërkombëtarë</w:t>
      </w:r>
      <w:r w:rsidR="008A2498">
        <w:rPr>
          <w:rFonts w:ascii="Garamond" w:eastAsia="Arial" w:hAnsi="Garamond" w:cs="Arial"/>
          <w:sz w:val="24"/>
          <w:szCs w:val="24"/>
          <w:lang w:val="sq-AL"/>
        </w:rPr>
        <w:t>,</w:t>
      </w:r>
      <w:r w:rsidRPr="008C4F89">
        <w:rPr>
          <w:rFonts w:ascii="Garamond" w:eastAsia="Arial" w:hAnsi="Garamond" w:cs="Arial"/>
          <w:sz w:val="24"/>
          <w:szCs w:val="24"/>
          <w:lang w:val="sq-AL"/>
        </w:rPr>
        <w:t xml:space="preserve"> n</w:t>
      </w:r>
      <w:r w:rsidRPr="008C4F89">
        <w:rPr>
          <w:rFonts w:ascii="Garamond" w:hAnsi="Garamond" w:cs="Arial"/>
          <w:sz w:val="24"/>
          <w:szCs w:val="24"/>
          <w:lang w:val="sq-AL"/>
        </w:rPr>
        <w:t>ë kuadër</w:t>
      </w:r>
      <w:r w:rsidRPr="0058349C">
        <w:rPr>
          <w:rFonts w:ascii="Garamond" w:hAnsi="Garamond" w:cs="Arial"/>
          <w:sz w:val="24"/>
          <w:szCs w:val="24"/>
          <w:lang w:val="sq-AL"/>
        </w:rPr>
        <w:t xml:space="preserve"> të projekteve </w:t>
      </w:r>
      <w:r w:rsidRPr="0058349C">
        <w:rPr>
          <w:rFonts w:ascii="Garamond" w:eastAsia="Arial" w:hAnsi="Garamond" w:cs="Arial"/>
          <w:sz w:val="24"/>
          <w:szCs w:val="24"/>
          <w:lang w:val="sq-AL"/>
        </w:rPr>
        <w:t>bilaterale.</w:t>
      </w:r>
    </w:p>
    <w:p w14:paraId="0773B0A3" w14:textId="27A3F90A"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Kapaciteti i MBZHR</w:t>
      </w:r>
      <w:r w:rsidR="00797859">
        <w:rPr>
          <w:rFonts w:ascii="Garamond" w:eastAsia="Arial" w:hAnsi="Garamond" w:cs="Arial"/>
          <w:sz w:val="24"/>
          <w:szCs w:val="24"/>
          <w:lang w:val="sq-AL"/>
        </w:rPr>
        <w:t>/</w:t>
      </w:r>
      <w:r w:rsidRPr="0058349C">
        <w:rPr>
          <w:rFonts w:ascii="Garamond" w:eastAsia="Arial" w:hAnsi="Garamond" w:cs="Arial"/>
          <w:sz w:val="24"/>
          <w:szCs w:val="24"/>
          <w:lang w:val="sq-AL"/>
        </w:rPr>
        <w:t>AM i IPARD për përgatitjen e politikave të gjelbra d</w:t>
      </w:r>
      <w:r w:rsidR="008A2498">
        <w:rPr>
          <w:rFonts w:ascii="Garamond" w:eastAsia="Arial" w:hAnsi="Garamond" w:cs="Arial"/>
          <w:sz w:val="24"/>
          <w:szCs w:val="24"/>
          <w:lang w:val="sq-AL"/>
        </w:rPr>
        <w:t>uhet të vitalizohet. Masat agromjedisore dhe kushtet e ndërpërputhshmërisë</w:t>
      </w:r>
      <w:r w:rsidR="00797859">
        <w:rPr>
          <w:rFonts w:ascii="Garamond" w:eastAsia="Arial" w:hAnsi="Garamond" w:cs="Arial"/>
          <w:sz w:val="24"/>
          <w:szCs w:val="24"/>
          <w:lang w:val="sq-AL"/>
        </w:rPr>
        <w:t>/</w:t>
      </w:r>
      <w:r w:rsidRPr="0058349C">
        <w:rPr>
          <w:rFonts w:ascii="Garamond" w:eastAsia="Arial" w:hAnsi="Garamond" w:cs="Arial"/>
          <w:sz w:val="24"/>
          <w:szCs w:val="24"/>
          <w:lang w:val="sq-AL"/>
        </w:rPr>
        <w:t>mjedisore do t</w:t>
      </w:r>
      <w:r w:rsidRPr="0058349C">
        <w:rPr>
          <w:rFonts w:ascii="Garamond" w:hAnsi="Garamond" w:cs="Arial"/>
          <w:sz w:val="24"/>
          <w:szCs w:val="24"/>
          <w:lang w:val="sq-AL"/>
        </w:rPr>
        <w:t xml:space="preserve">ë duhet </w:t>
      </w:r>
      <w:r w:rsidRPr="0058349C">
        <w:rPr>
          <w:rFonts w:ascii="Garamond" w:eastAsia="Arial" w:hAnsi="Garamond" w:cs="Arial"/>
          <w:sz w:val="24"/>
          <w:szCs w:val="24"/>
          <w:lang w:val="sq-AL"/>
        </w:rPr>
        <w:t>të jenë nën nj</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njësi të dedikuar të MBZHR-së.</w:t>
      </w:r>
    </w:p>
    <w:p w14:paraId="0773B0A4" w14:textId="68A8E024"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Nevoja të tjera specifike në nivel institucional janë instalimi i </w:t>
      </w:r>
      <w:r w:rsidRPr="0058349C">
        <w:rPr>
          <w:rFonts w:ascii="Garamond" w:eastAsia="Arial" w:hAnsi="Garamond" w:cs="Arial"/>
          <w:b/>
          <w:sz w:val="24"/>
          <w:szCs w:val="24"/>
          <w:lang w:val="sq-AL"/>
        </w:rPr>
        <w:t>një sistemi cer</w:t>
      </w:r>
      <w:r w:rsidR="008A2498">
        <w:rPr>
          <w:rFonts w:ascii="Garamond" w:eastAsia="Arial" w:hAnsi="Garamond" w:cs="Arial"/>
          <w:b/>
          <w:sz w:val="24"/>
          <w:szCs w:val="24"/>
          <w:lang w:val="sq-AL"/>
        </w:rPr>
        <w:t>tifikimi për OP-të (organizatat</w:t>
      </w:r>
      <w:r w:rsidR="00797859">
        <w:rPr>
          <w:rFonts w:ascii="Garamond" w:eastAsia="Arial" w:hAnsi="Garamond" w:cs="Arial"/>
          <w:b/>
          <w:sz w:val="24"/>
          <w:szCs w:val="24"/>
          <w:lang w:val="sq-AL"/>
        </w:rPr>
        <w:t>/</w:t>
      </w:r>
      <w:r w:rsidRPr="0058349C">
        <w:rPr>
          <w:rFonts w:ascii="Garamond" w:eastAsia="Arial" w:hAnsi="Garamond" w:cs="Arial"/>
          <w:b/>
          <w:sz w:val="24"/>
          <w:szCs w:val="24"/>
          <w:lang w:val="sq-AL"/>
        </w:rPr>
        <w:t>grupet e prodhuesve) dhe SHOP-et</w:t>
      </w:r>
      <w:r w:rsidR="008A2498">
        <w:rPr>
          <w:rFonts w:ascii="Garamond" w:eastAsia="Arial" w:hAnsi="Garamond" w:cs="Arial"/>
          <w:b/>
          <w:sz w:val="24"/>
          <w:szCs w:val="24"/>
          <w:lang w:val="sq-AL"/>
        </w:rPr>
        <w:t>,</w:t>
      </w:r>
      <w:r w:rsidRPr="0058349C">
        <w:rPr>
          <w:rFonts w:ascii="Garamond" w:eastAsia="Arial" w:hAnsi="Garamond" w:cs="Arial"/>
          <w:b/>
          <w:sz w:val="24"/>
          <w:szCs w:val="24"/>
          <w:lang w:val="sq-AL"/>
        </w:rPr>
        <w:t xml:space="preserve"> </w:t>
      </w:r>
      <w:r w:rsidRPr="008A2498">
        <w:rPr>
          <w:rFonts w:ascii="Garamond" w:eastAsia="Arial" w:hAnsi="Garamond" w:cs="Arial"/>
          <w:bCs/>
          <w:sz w:val="24"/>
          <w:szCs w:val="24"/>
          <w:lang w:val="sq-AL"/>
        </w:rPr>
        <w:t>si edhe</w:t>
      </w:r>
      <w:r w:rsidRPr="0058349C">
        <w:rPr>
          <w:rFonts w:ascii="Garamond" w:eastAsia="Arial" w:hAnsi="Garamond" w:cs="Arial"/>
          <w:sz w:val="24"/>
          <w:szCs w:val="24"/>
          <w:lang w:val="sq-AL"/>
        </w:rPr>
        <w:t xml:space="preserve"> përafrimi i mëtejshëm </w:t>
      </w:r>
      <w:r w:rsidRPr="0058349C">
        <w:rPr>
          <w:rFonts w:ascii="Garamond" w:eastAsia="Arial" w:hAnsi="Garamond" w:cs="Arial"/>
          <w:b/>
          <w:sz w:val="24"/>
          <w:szCs w:val="24"/>
          <w:lang w:val="sq-AL"/>
        </w:rPr>
        <w:t>i kuadrit ligjor kombëtar të verës dhe bujqësisë organike</w:t>
      </w:r>
      <w:r w:rsidRPr="0058349C">
        <w:rPr>
          <w:rFonts w:ascii="Garamond" w:eastAsia="Arial" w:hAnsi="Garamond" w:cs="Arial"/>
          <w:sz w:val="24"/>
          <w:szCs w:val="24"/>
          <w:lang w:val="sq-AL"/>
        </w:rPr>
        <w:t xml:space="preserve"> me legjislacionin e BE-së</w:t>
      </w:r>
      <w:r w:rsidR="008A2498">
        <w:rPr>
          <w:rFonts w:ascii="Garamond" w:eastAsia="Arial" w:hAnsi="Garamond" w:cs="Arial"/>
          <w:sz w:val="24"/>
          <w:szCs w:val="24"/>
          <w:lang w:val="sq-AL"/>
        </w:rPr>
        <w:t>,</w:t>
      </w:r>
      <w:r w:rsidRPr="0058349C">
        <w:rPr>
          <w:rFonts w:ascii="Garamond" w:eastAsia="Arial" w:hAnsi="Garamond" w:cs="Arial"/>
          <w:sz w:val="24"/>
          <w:szCs w:val="24"/>
          <w:lang w:val="sq-AL"/>
        </w:rPr>
        <w:t xml:space="preserve"> duke përfshir</w:t>
      </w:r>
      <w:r w:rsidRPr="0058349C">
        <w:rPr>
          <w:rFonts w:ascii="Garamond" w:hAnsi="Garamond" w:cs="Arial"/>
          <w:sz w:val="24"/>
          <w:szCs w:val="24"/>
          <w:lang w:val="sq-AL"/>
        </w:rPr>
        <w:t>ë</w:t>
      </w:r>
      <w:r w:rsidR="00CF7694" w:rsidRPr="0058349C">
        <w:rPr>
          <w:rFonts w:ascii="Garamond" w:hAnsi="Garamond" w:cs="Arial"/>
          <w:sz w:val="24"/>
          <w:szCs w:val="24"/>
          <w:lang w:val="sq-AL"/>
        </w:rPr>
        <w:t xml:space="preserve"> </w:t>
      </w:r>
      <w:r w:rsidRPr="0058349C">
        <w:rPr>
          <w:rFonts w:ascii="Garamond" w:eastAsia="Arial" w:hAnsi="Garamond" w:cs="Arial"/>
          <w:sz w:val="24"/>
          <w:szCs w:val="24"/>
          <w:lang w:val="sq-AL"/>
        </w:rPr>
        <w:t xml:space="preserve">edhe një sistem kontrolli të përforcuar. </w:t>
      </w:r>
    </w:p>
    <w:p w14:paraId="0773B0A5" w14:textId="7189982B" w:rsidR="00DF7A00" w:rsidRPr="0058349C" w:rsidRDefault="00DF7A00" w:rsidP="008A2498">
      <w:pPr>
        <w:spacing w:after="0" w:line="240" w:lineRule="auto"/>
        <w:ind w:firstLine="284"/>
        <w:jc w:val="both"/>
        <w:rPr>
          <w:rFonts w:ascii="Garamond" w:hAnsi="Garamond" w:cs="Arial"/>
          <w:b/>
          <w:bCs/>
          <w:sz w:val="24"/>
          <w:szCs w:val="24"/>
          <w:lang w:val="sq-AL"/>
        </w:rPr>
      </w:pPr>
      <w:r w:rsidRPr="0058349C">
        <w:rPr>
          <w:rFonts w:ascii="Garamond" w:hAnsi="Garamond" w:cs="Arial"/>
          <w:b/>
          <w:bCs/>
          <w:sz w:val="24"/>
          <w:szCs w:val="24"/>
          <w:lang w:val="sq-AL"/>
        </w:rPr>
        <w:t>N</w:t>
      </w:r>
      <w:r w:rsidRPr="0058349C">
        <w:rPr>
          <w:rFonts w:ascii="Garamond" w:hAnsi="Garamond"/>
          <w:b/>
          <w:sz w:val="24"/>
          <w:szCs w:val="24"/>
          <w:lang w:val="sq-AL"/>
        </w:rPr>
        <w:t xml:space="preserve">ë kuadër të </w:t>
      </w:r>
      <w:r w:rsidR="008A2498" w:rsidRPr="0058349C">
        <w:rPr>
          <w:rFonts w:ascii="Garamond" w:hAnsi="Garamond" w:cs="Arial"/>
          <w:b/>
          <w:bCs/>
          <w:sz w:val="24"/>
          <w:szCs w:val="24"/>
          <w:lang w:val="sq-AL"/>
        </w:rPr>
        <w:t xml:space="preserve">kapitullit </w:t>
      </w:r>
      <w:r w:rsidRPr="0058349C">
        <w:rPr>
          <w:rFonts w:ascii="Garamond" w:hAnsi="Garamond" w:cs="Arial"/>
          <w:b/>
          <w:bCs/>
          <w:sz w:val="24"/>
          <w:szCs w:val="24"/>
          <w:lang w:val="sq-AL"/>
        </w:rPr>
        <w:t xml:space="preserve">12 </w:t>
      </w:r>
      <w:r w:rsidR="008A2498">
        <w:rPr>
          <w:rFonts w:ascii="Garamond" w:hAnsi="Garamond" w:cs="Arial"/>
          <w:b/>
          <w:bCs/>
          <w:sz w:val="24"/>
          <w:szCs w:val="24"/>
          <w:lang w:val="sq-AL"/>
        </w:rPr>
        <w:t>–</w:t>
      </w:r>
      <w:r w:rsidRPr="0058349C">
        <w:rPr>
          <w:rFonts w:ascii="Garamond" w:hAnsi="Garamond" w:cs="Arial"/>
          <w:b/>
          <w:bCs/>
          <w:sz w:val="24"/>
          <w:szCs w:val="24"/>
          <w:lang w:val="sq-AL"/>
        </w:rPr>
        <w:t xml:space="preserve"> </w:t>
      </w:r>
      <w:r w:rsidRPr="0058349C">
        <w:rPr>
          <w:rFonts w:ascii="Garamond" w:hAnsi="Garamond" w:cs="Arial"/>
          <w:b/>
          <w:sz w:val="24"/>
          <w:szCs w:val="24"/>
          <w:lang w:val="sq-AL"/>
        </w:rPr>
        <w:t>Politikat e Sigurisë Ushqimore, Veterinarisë dhe ato Fitosanitare</w:t>
      </w:r>
    </w:p>
    <w:p w14:paraId="0773B0A6" w14:textId="77777777" w:rsidR="00DF7A00" w:rsidRPr="0058349C" w:rsidRDefault="00DF7A00" w:rsidP="00DF7A00">
      <w:pPr>
        <w:spacing w:after="0" w:line="240" w:lineRule="auto"/>
        <w:ind w:firstLine="284"/>
        <w:jc w:val="both"/>
        <w:rPr>
          <w:rFonts w:ascii="Garamond" w:hAnsi="Garamond" w:cs="Arial"/>
          <w:bCs/>
          <w:sz w:val="24"/>
          <w:szCs w:val="24"/>
          <w:lang w:val="sq-AL"/>
        </w:rPr>
      </w:pPr>
      <w:r w:rsidRPr="0058349C">
        <w:rPr>
          <w:rFonts w:ascii="Garamond" w:hAnsi="Garamond" w:cs="Arial"/>
          <w:b/>
          <w:bCs/>
          <w:sz w:val="24"/>
          <w:szCs w:val="24"/>
          <w:lang w:val="sq-AL"/>
        </w:rPr>
        <w:t>Kapaciteti i AKU-së për vlerësimin e rrezikut të sigurisë ushqimore</w:t>
      </w:r>
      <w:r w:rsidRPr="0058349C">
        <w:rPr>
          <w:rFonts w:ascii="Garamond" w:hAnsi="Garamond" w:cs="Arial"/>
          <w:bCs/>
          <w:sz w:val="24"/>
          <w:szCs w:val="24"/>
          <w:lang w:val="sq-AL"/>
        </w:rPr>
        <w:t xml:space="preserve"> duhet të forcohet në lidhje me planin vjetor të kontrollit. Statistikat zyrtare të kontrollit dhe auditimet e brendshme janë sfidat kryesore institucionale, së bashku me monitorimin dhe veprimet e kontrollit, të gjurmueshmërisë dhe t</w:t>
      </w:r>
      <w:r w:rsidRPr="0058349C">
        <w:rPr>
          <w:rFonts w:ascii="Garamond" w:hAnsi="Garamond" w:cs="Arial"/>
          <w:sz w:val="24"/>
          <w:szCs w:val="24"/>
          <w:lang w:val="sq-AL"/>
        </w:rPr>
        <w:t xml:space="preserve">ë </w:t>
      </w:r>
      <w:r w:rsidRPr="0058349C">
        <w:rPr>
          <w:rFonts w:ascii="Garamond" w:hAnsi="Garamond" w:cs="Arial"/>
          <w:bCs/>
          <w:sz w:val="24"/>
          <w:szCs w:val="24"/>
          <w:lang w:val="sq-AL"/>
        </w:rPr>
        <w:t>etiketimit.</w:t>
      </w:r>
    </w:p>
    <w:p w14:paraId="0773B0A7" w14:textId="76FACD1F" w:rsidR="00DF7A00" w:rsidRPr="0058349C" w:rsidRDefault="00DF7A00" w:rsidP="00DF7A00">
      <w:pPr>
        <w:spacing w:after="0" w:line="240" w:lineRule="auto"/>
        <w:ind w:firstLine="284"/>
        <w:jc w:val="both"/>
        <w:rPr>
          <w:rFonts w:ascii="Garamond" w:hAnsi="Garamond" w:cs="Arial"/>
          <w:bCs/>
          <w:sz w:val="24"/>
          <w:szCs w:val="24"/>
          <w:lang w:val="sq-AL"/>
        </w:rPr>
      </w:pPr>
      <w:r w:rsidRPr="0058349C">
        <w:rPr>
          <w:rFonts w:ascii="Garamond" w:hAnsi="Garamond" w:cs="Arial"/>
          <w:bCs/>
          <w:sz w:val="24"/>
          <w:szCs w:val="24"/>
          <w:lang w:val="sq-AL"/>
        </w:rPr>
        <w:t xml:space="preserve">Për sa i përket </w:t>
      </w:r>
      <w:r w:rsidRPr="0058349C">
        <w:rPr>
          <w:rFonts w:ascii="Garamond" w:hAnsi="Garamond" w:cs="Arial"/>
          <w:b/>
          <w:bCs/>
          <w:sz w:val="24"/>
          <w:szCs w:val="24"/>
          <w:lang w:val="sq-AL"/>
        </w:rPr>
        <w:t>politikës veterinare</w:t>
      </w:r>
      <w:r w:rsidRPr="0058349C">
        <w:rPr>
          <w:rFonts w:ascii="Garamond" w:hAnsi="Garamond" w:cs="Arial"/>
          <w:bCs/>
          <w:sz w:val="24"/>
          <w:szCs w:val="24"/>
          <w:lang w:val="sq-AL"/>
        </w:rPr>
        <w:t>, legjislacioni që përcakton kriteret për programet kombëtare për zhdukjen e përshpejtuar të sëmundjeve të caktuara, është përditësuar në vitin 2021. Por kapaciteti i Agjencisë së re Kombëtare t</w:t>
      </w:r>
      <w:r w:rsidRPr="0058349C">
        <w:rPr>
          <w:rFonts w:ascii="Garamond" w:hAnsi="Garamond"/>
          <w:sz w:val="24"/>
          <w:szCs w:val="24"/>
          <w:lang w:val="sq-AL"/>
        </w:rPr>
        <w:t xml:space="preserve">ë </w:t>
      </w:r>
      <w:r w:rsidRPr="0058349C">
        <w:rPr>
          <w:rFonts w:ascii="Garamond" w:hAnsi="Garamond" w:cs="Arial"/>
          <w:bCs/>
          <w:sz w:val="24"/>
          <w:szCs w:val="24"/>
          <w:lang w:val="sq-AL"/>
        </w:rPr>
        <w:t>Veterinaris</w:t>
      </w:r>
      <w:r w:rsidRPr="0058349C">
        <w:rPr>
          <w:rFonts w:ascii="Garamond" w:hAnsi="Garamond"/>
          <w:sz w:val="24"/>
          <w:szCs w:val="24"/>
          <w:lang w:val="sq-AL"/>
        </w:rPr>
        <w:t>ë</w:t>
      </w:r>
      <w:r w:rsidRPr="0058349C">
        <w:rPr>
          <w:rFonts w:ascii="Garamond" w:hAnsi="Garamond" w:cs="Arial"/>
          <w:bCs/>
          <w:sz w:val="24"/>
          <w:szCs w:val="24"/>
          <w:lang w:val="sq-AL"/>
        </w:rPr>
        <w:t xml:space="preserve"> dhe Mbrojtjes s</w:t>
      </w:r>
      <w:r w:rsidRPr="0058349C">
        <w:rPr>
          <w:rFonts w:ascii="Garamond" w:hAnsi="Garamond"/>
          <w:sz w:val="24"/>
          <w:szCs w:val="24"/>
          <w:lang w:val="sq-AL"/>
        </w:rPr>
        <w:t>ë Bimëve</w:t>
      </w:r>
      <w:r w:rsidRPr="0058349C">
        <w:rPr>
          <w:rFonts w:ascii="Garamond" w:hAnsi="Garamond" w:cs="Arial"/>
          <w:bCs/>
          <w:sz w:val="24"/>
          <w:szCs w:val="24"/>
          <w:lang w:val="sq-AL"/>
        </w:rPr>
        <w:t xml:space="preserve"> duhet të përmirësohet</w:t>
      </w:r>
      <w:r w:rsidR="008A2498">
        <w:rPr>
          <w:rFonts w:ascii="Garamond" w:hAnsi="Garamond" w:cs="Arial"/>
          <w:bCs/>
          <w:sz w:val="24"/>
          <w:szCs w:val="24"/>
          <w:lang w:val="sq-AL"/>
        </w:rPr>
        <w:t>,</w:t>
      </w:r>
      <w:r w:rsidRPr="0058349C">
        <w:rPr>
          <w:rFonts w:ascii="Garamond" w:hAnsi="Garamond" w:cs="Arial"/>
          <w:bCs/>
          <w:sz w:val="24"/>
          <w:szCs w:val="24"/>
          <w:lang w:val="sq-AL"/>
        </w:rPr>
        <w:t xml:space="preserve"> në </w:t>
      </w:r>
      <w:r w:rsidRPr="0058349C">
        <w:rPr>
          <w:rFonts w:ascii="Garamond" w:eastAsia="Arial" w:hAnsi="Garamond" w:cs="Arial"/>
          <w:sz w:val="24"/>
          <w:szCs w:val="24"/>
          <w:lang w:val="sq-AL"/>
        </w:rPr>
        <w:t xml:space="preserve">lidhje me </w:t>
      </w:r>
      <w:r w:rsidRPr="0058349C">
        <w:rPr>
          <w:rFonts w:ascii="Garamond" w:hAnsi="Garamond" w:cs="Arial"/>
          <w:bCs/>
          <w:sz w:val="24"/>
          <w:szCs w:val="24"/>
          <w:lang w:val="sq-AL"/>
        </w:rPr>
        <w:t>zbatimin e programeve n</w:t>
      </w:r>
      <w:r w:rsidRPr="0058349C">
        <w:rPr>
          <w:rFonts w:ascii="Garamond" w:hAnsi="Garamond" w:cs="Arial"/>
          <w:sz w:val="24"/>
          <w:szCs w:val="24"/>
          <w:lang w:val="sq-AL"/>
        </w:rPr>
        <w:t>ë fushat p</w:t>
      </w:r>
      <w:r w:rsidRPr="0058349C">
        <w:rPr>
          <w:rFonts w:ascii="Garamond" w:hAnsi="Garamond"/>
          <w:sz w:val="24"/>
          <w:szCs w:val="24"/>
          <w:lang w:val="sq-AL"/>
        </w:rPr>
        <w:t>ërkatëse</w:t>
      </w:r>
      <w:r w:rsidRPr="0058349C">
        <w:rPr>
          <w:rFonts w:ascii="Garamond" w:hAnsi="Garamond" w:cs="Arial"/>
          <w:bCs/>
          <w:sz w:val="24"/>
          <w:szCs w:val="24"/>
          <w:lang w:val="sq-AL"/>
        </w:rPr>
        <w:t>. Veçan</w:t>
      </w:r>
      <w:r w:rsidRPr="0058349C">
        <w:rPr>
          <w:rFonts w:ascii="Garamond" w:hAnsi="Garamond"/>
          <w:sz w:val="24"/>
          <w:szCs w:val="24"/>
          <w:lang w:val="sq-AL"/>
        </w:rPr>
        <w:t>ërisht</w:t>
      </w:r>
      <w:r w:rsidR="008A2498">
        <w:rPr>
          <w:rFonts w:ascii="Garamond" w:hAnsi="Garamond"/>
          <w:sz w:val="24"/>
          <w:szCs w:val="24"/>
          <w:lang w:val="sq-AL"/>
        </w:rPr>
        <w:t>,</w:t>
      </w:r>
      <w:r w:rsidRPr="0058349C">
        <w:rPr>
          <w:rFonts w:ascii="Garamond" w:hAnsi="Garamond"/>
          <w:sz w:val="24"/>
          <w:szCs w:val="24"/>
          <w:lang w:val="sq-AL"/>
        </w:rPr>
        <w:t xml:space="preserve"> </w:t>
      </w:r>
      <w:r w:rsidRPr="0058349C">
        <w:rPr>
          <w:rFonts w:ascii="Garamond" w:hAnsi="Garamond" w:cs="Arial"/>
          <w:bCs/>
          <w:sz w:val="24"/>
          <w:szCs w:val="24"/>
          <w:lang w:val="sq-AL"/>
        </w:rPr>
        <w:t xml:space="preserve">thelbësore </w:t>
      </w:r>
      <w:r w:rsidRPr="0058349C">
        <w:rPr>
          <w:rFonts w:ascii="Garamond" w:hAnsi="Garamond"/>
          <w:sz w:val="24"/>
          <w:szCs w:val="24"/>
          <w:lang w:val="sq-AL"/>
        </w:rPr>
        <w:t>është</w:t>
      </w:r>
      <w:r w:rsidRPr="0058349C">
        <w:rPr>
          <w:rFonts w:ascii="Garamond" w:hAnsi="Garamond" w:cs="Arial"/>
          <w:bCs/>
          <w:sz w:val="24"/>
          <w:szCs w:val="24"/>
          <w:lang w:val="sq-AL"/>
        </w:rPr>
        <w:t xml:space="preserve"> përmirësimi i procedurave të kontrollit dhe i baz</w:t>
      </w:r>
      <w:r w:rsidRPr="0058349C">
        <w:rPr>
          <w:rFonts w:ascii="Garamond" w:hAnsi="Garamond"/>
          <w:sz w:val="24"/>
          <w:szCs w:val="24"/>
          <w:lang w:val="sq-AL"/>
        </w:rPr>
        <w:t>ës</w:t>
      </w:r>
      <w:r w:rsidRPr="0058349C">
        <w:rPr>
          <w:rFonts w:ascii="Garamond" w:hAnsi="Garamond" w:cs="Arial"/>
          <w:bCs/>
          <w:sz w:val="24"/>
          <w:szCs w:val="24"/>
          <w:lang w:val="sq-AL"/>
        </w:rPr>
        <w:t xml:space="preserve"> të dhënave përkatëse me mb</w:t>
      </w:r>
      <w:r w:rsidRPr="0058349C">
        <w:rPr>
          <w:rFonts w:ascii="Garamond" w:hAnsi="Garamond"/>
          <w:sz w:val="24"/>
          <w:szCs w:val="24"/>
          <w:lang w:val="sq-AL"/>
        </w:rPr>
        <w:t>ështetje</w:t>
      </w:r>
      <w:r w:rsidRPr="0058349C">
        <w:rPr>
          <w:rFonts w:ascii="Garamond" w:hAnsi="Garamond"/>
          <w:b/>
          <w:sz w:val="24"/>
          <w:szCs w:val="24"/>
          <w:lang w:val="sq-AL"/>
        </w:rPr>
        <w:t xml:space="preserve"> </w:t>
      </w:r>
      <w:r w:rsidRPr="0058349C">
        <w:rPr>
          <w:rFonts w:ascii="Garamond" w:hAnsi="Garamond" w:cs="Arial"/>
          <w:bCs/>
          <w:sz w:val="24"/>
          <w:szCs w:val="24"/>
          <w:lang w:val="sq-AL"/>
        </w:rPr>
        <w:t>të TI-së.</w:t>
      </w:r>
    </w:p>
    <w:p w14:paraId="0773B0A8" w14:textId="79EF4B65" w:rsidR="00DF7A00" w:rsidRPr="0058349C" w:rsidRDefault="00DF7A00" w:rsidP="00D807D9">
      <w:pPr>
        <w:spacing w:after="0" w:line="240" w:lineRule="auto"/>
        <w:ind w:firstLine="284"/>
        <w:jc w:val="both"/>
        <w:rPr>
          <w:rFonts w:ascii="Garamond" w:hAnsi="Garamond" w:cs="Arial"/>
          <w:bCs/>
          <w:sz w:val="24"/>
          <w:szCs w:val="24"/>
          <w:lang w:val="sq-AL"/>
        </w:rPr>
      </w:pPr>
      <w:r w:rsidRPr="0058349C">
        <w:rPr>
          <w:rFonts w:ascii="Garamond" w:hAnsi="Garamond" w:cs="Arial"/>
          <w:bCs/>
          <w:sz w:val="24"/>
          <w:szCs w:val="24"/>
          <w:lang w:val="sq-AL"/>
        </w:rPr>
        <w:t xml:space="preserve">MBZHR-ja ka miratuar </w:t>
      </w:r>
      <w:r w:rsidR="00D807D9" w:rsidRPr="0058349C">
        <w:rPr>
          <w:rFonts w:ascii="Garamond" w:hAnsi="Garamond" w:cs="Arial"/>
          <w:bCs/>
          <w:sz w:val="24"/>
          <w:szCs w:val="24"/>
          <w:lang w:val="sq-AL"/>
        </w:rPr>
        <w:t>urdhrin e ministrit nr</w:t>
      </w:r>
      <w:r w:rsidR="00167C37" w:rsidRPr="0058349C">
        <w:rPr>
          <w:rFonts w:ascii="Garamond" w:hAnsi="Garamond" w:cs="Arial"/>
          <w:bCs/>
          <w:sz w:val="24"/>
          <w:szCs w:val="24"/>
          <w:lang w:val="sq-AL"/>
        </w:rPr>
        <w:t>. 559, datë 10.10.2019</w:t>
      </w:r>
      <w:r w:rsidR="00D56192" w:rsidRPr="0058349C">
        <w:rPr>
          <w:rFonts w:ascii="Garamond" w:hAnsi="Garamond" w:cs="Arial"/>
          <w:bCs/>
          <w:sz w:val="24"/>
          <w:szCs w:val="24"/>
          <w:lang w:val="sq-AL"/>
        </w:rPr>
        <w:t xml:space="preserve">, </w:t>
      </w:r>
      <w:r w:rsidR="00664693" w:rsidRPr="0058349C">
        <w:rPr>
          <w:rFonts w:ascii="Garamond" w:hAnsi="Garamond" w:cs="Arial"/>
          <w:bCs/>
          <w:sz w:val="24"/>
          <w:szCs w:val="24"/>
          <w:lang w:val="sq-AL"/>
        </w:rPr>
        <w:t>“</w:t>
      </w:r>
      <w:r w:rsidR="00D56192" w:rsidRPr="0058349C">
        <w:rPr>
          <w:rFonts w:ascii="Garamond" w:hAnsi="Garamond" w:cs="Arial"/>
          <w:bCs/>
          <w:sz w:val="24"/>
          <w:szCs w:val="24"/>
          <w:lang w:val="sq-AL"/>
        </w:rPr>
        <w:t>Për</w:t>
      </w:r>
      <w:r w:rsidRPr="0058349C">
        <w:rPr>
          <w:rFonts w:ascii="Garamond" w:hAnsi="Garamond" w:cs="Arial"/>
          <w:bCs/>
          <w:sz w:val="24"/>
          <w:szCs w:val="24"/>
          <w:lang w:val="sq-AL"/>
        </w:rPr>
        <w:t xml:space="preserve"> miratimin e rregullores për përcaktimin e kritereve të planeve kombëtare për përshpejtimin e zhdukjes së brucelozës, tuberkulozit dhe leukozës enzootike në gjedhë</w:t>
      </w:r>
      <w:r w:rsidR="00664693" w:rsidRPr="0058349C">
        <w:rPr>
          <w:rFonts w:ascii="Garamond" w:hAnsi="Garamond" w:cs="Arial"/>
          <w:bCs/>
          <w:sz w:val="24"/>
          <w:szCs w:val="24"/>
          <w:lang w:val="sq-AL"/>
        </w:rPr>
        <w:t>”</w:t>
      </w:r>
      <w:r w:rsidRPr="0058349C">
        <w:rPr>
          <w:rFonts w:ascii="Garamond" w:hAnsi="Garamond" w:cs="Arial"/>
          <w:bCs/>
          <w:sz w:val="24"/>
          <w:szCs w:val="24"/>
          <w:lang w:val="sq-AL"/>
        </w:rPr>
        <w:t>, përafruar me rregulloren 78/52/KE.</w:t>
      </w:r>
    </w:p>
    <w:p w14:paraId="0773B0A9" w14:textId="6E071D8C" w:rsidR="00DF7A00" w:rsidRPr="0058349C" w:rsidRDefault="00DF7A00" w:rsidP="00DF7A00">
      <w:pPr>
        <w:spacing w:after="0" w:line="240" w:lineRule="auto"/>
        <w:ind w:firstLine="284"/>
        <w:jc w:val="both"/>
        <w:rPr>
          <w:rFonts w:ascii="Garamond" w:hAnsi="Garamond" w:cs="Arial"/>
          <w:bCs/>
          <w:sz w:val="24"/>
          <w:szCs w:val="24"/>
          <w:lang w:val="sq-AL"/>
        </w:rPr>
      </w:pPr>
      <w:r w:rsidRPr="0058349C">
        <w:rPr>
          <w:rFonts w:ascii="Garamond" w:hAnsi="Garamond" w:cs="Arial"/>
          <w:bCs/>
          <w:sz w:val="24"/>
          <w:szCs w:val="24"/>
          <w:lang w:val="sq-AL"/>
        </w:rPr>
        <w:t xml:space="preserve">Shtimi i 300 veterinerëve zyrtarë në </w:t>
      </w:r>
      <w:r w:rsidR="004D366C" w:rsidRPr="0058349C">
        <w:rPr>
          <w:rFonts w:ascii="Garamond" w:hAnsi="Garamond" w:cs="Arial"/>
          <w:bCs/>
          <w:sz w:val="24"/>
          <w:szCs w:val="24"/>
          <w:lang w:val="sq-AL"/>
        </w:rPr>
        <w:t xml:space="preserve">drejtoritë rajonale të veterinarisë dhe </w:t>
      </w:r>
      <w:r w:rsidRPr="0058349C">
        <w:rPr>
          <w:rFonts w:ascii="Garamond" w:hAnsi="Garamond" w:cs="Arial"/>
          <w:bCs/>
          <w:sz w:val="24"/>
          <w:szCs w:val="24"/>
          <w:lang w:val="sq-AL"/>
        </w:rPr>
        <w:t>Mbrojtjes së Bimëve e ka bërë më të lehtë zbatimin e programeve të kontrollit të sëmundjeve.</w:t>
      </w:r>
    </w:p>
    <w:p w14:paraId="0773B0AA" w14:textId="4643E72E" w:rsidR="00DF7A00" w:rsidRPr="0058349C" w:rsidRDefault="004D366C" w:rsidP="00DF7A00">
      <w:pPr>
        <w:spacing w:after="0" w:line="240" w:lineRule="auto"/>
        <w:ind w:firstLine="284"/>
        <w:jc w:val="both"/>
        <w:rPr>
          <w:rFonts w:ascii="Garamond" w:hAnsi="Garamond" w:cs="Arial"/>
          <w:bCs/>
          <w:sz w:val="24"/>
          <w:szCs w:val="24"/>
          <w:lang w:val="sq-AL"/>
        </w:rPr>
      </w:pPr>
      <w:r>
        <w:rPr>
          <w:rFonts w:ascii="Garamond" w:hAnsi="Garamond" w:cs="Arial"/>
          <w:bCs/>
          <w:sz w:val="24"/>
          <w:szCs w:val="24"/>
          <w:lang w:val="sq-AL"/>
        </w:rPr>
        <w:t>Në vitet e ardhshme</w:t>
      </w:r>
      <w:r w:rsidR="00DF7A00" w:rsidRPr="0058349C">
        <w:rPr>
          <w:rFonts w:ascii="Garamond" w:hAnsi="Garamond" w:cs="Arial"/>
          <w:bCs/>
          <w:sz w:val="24"/>
          <w:szCs w:val="24"/>
          <w:lang w:val="sq-AL"/>
        </w:rPr>
        <w:t xml:space="preserve"> do të shtohen programe të tjera për kontrollin dhe zhdukjen e sëmundjeve dhe mbikëqyrjen për zbulimin e hershëm të sëmundjeve.</w:t>
      </w:r>
    </w:p>
    <w:p w14:paraId="0773B0AB" w14:textId="3A2EF181" w:rsidR="00DF7A00" w:rsidRPr="0058349C" w:rsidRDefault="00894977" w:rsidP="00DF7A00">
      <w:pPr>
        <w:spacing w:after="0" w:line="240" w:lineRule="auto"/>
        <w:ind w:firstLine="284"/>
        <w:jc w:val="both"/>
        <w:rPr>
          <w:rFonts w:ascii="Garamond" w:hAnsi="Garamond" w:cs="Arial"/>
          <w:bCs/>
          <w:sz w:val="24"/>
          <w:szCs w:val="24"/>
          <w:lang w:val="sq-AL"/>
        </w:rPr>
      </w:pPr>
      <w:r>
        <w:rPr>
          <w:rFonts w:ascii="Garamond" w:hAnsi="Garamond" w:cs="Arial"/>
          <w:bCs/>
          <w:sz w:val="24"/>
          <w:szCs w:val="24"/>
          <w:lang w:val="sq-AL"/>
        </w:rPr>
        <w:t>Në lidhje me politikën fito</w:t>
      </w:r>
      <w:r w:rsidR="00DF7A00" w:rsidRPr="0058349C">
        <w:rPr>
          <w:rFonts w:ascii="Garamond" w:hAnsi="Garamond" w:cs="Arial"/>
          <w:bCs/>
          <w:sz w:val="24"/>
          <w:szCs w:val="24"/>
          <w:lang w:val="sq-AL"/>
        </w:rPr>
        <w:t>sanitare, MBZHR-ja ka akoma një sistem të dobët kontrolli mbi përdorimin e substancave aktive për mbrojtjen e bimëve. Duhet të forcohet sistemi i kontrollit për përdo</w:t>
      </w:r>
      <w:r w:rsidR="00DD2B3B">
        <w:rPr>
          <w:rFonts w:ascii="Garamond" w:hAnsi="Garamond" w:cs="Arial"/>
          <w:bCs/>
          <w:sz w:val="24"/>
          <w:szCs w:val="24"/>
          <w:lang w:val="sq-AL"/>
        </w:rPr>
        <w:t>rimin e substancave aktive fito</w:t>
      </w:r>
      <w:r w:rsidR="00DF7A00" w:rsidRPr="0058349C">
        <w:rPr>
          <w:rFonts w:ascii="Garamond" w:hAnsi="Garamond" w:cs="Arial"/>
          <w:bCs/>
          <w:sz w:val="24"/>
          <w:szCs w:val="24"/>
          <w:lang w:val="sq-AL"/>
        </w:rPr>
        <w:t xml:space="preserve">sanitare, së bashku me fushata ndërgjegjësuese dhe trajnime për fermerët dhe personelin e autorizuar ose potencial të autorizuar </w:t>
      </w:r>
      <w:r w:rsidR="00DD2B3B">
        <w:rPr>
          <w:rFonts w:ascii="Garamond" w:hAnsi="Garamond" w:cs="Arial"/>
          <w:bCs/>
          <w:sz w:val="24"/>
          <w:szCs w:val="24"/>
          <w:lang w:val="sq-AL"/>
        </w:rPr>
        <w:t>për aplikimin e produkteve fito</w:t>
      </w:r>
      <w:r w:rsidR="00DF7A00" w:rsidRPr="0058349C">
        <w:rPr>
          <w:rFonts w:ascii="Garamond" w:hAnsi="Garamond" w:cs="Arial"/>
          <w:bCs/>
          <w:sz w:val="24"/>
          <w:szCs w:val="24"/>
          <w:lang w:val="sq-AL"/>
        </w:rPr>
        <w:t>sanitare që janë me përdorim të kufizuar. Duhet të zhvillohen dhe zbatohen procedurat e unifikuara të regjistrimit për inputet e ndryshme bujqësore.</w:t>
      </w:r>
    </w:p>
    <w:p w14:paraId="0773B0AC" w14:textId="62FBD3FB" w:rsidR="00DF7A00" w:rsidRPr="0058349C" w:rsidRDefault="00DF7A00" w:rsidP="00DF7A00">
      <w:pPr>
        <w:spacing w:after="0" w:line="240" w:lineRule="auto"/>
        <w:ind w:firstLine="284"/>
        <w:jc w:val="both"/>
        <w:rPr>
          <w:rFonts w:ascii="Garamond" w:hAnsi="Garamond" w:cs="Arial"/>
          <w:bCs/>
          <w:sz w:val="24"/>
          <w:szCs w:val="24"/>
          <w:lang w:val="sq-AL"/>
        </w:rPr>
      </w:pPr>
      <w:r w:rsidRPr="0058349C">
        <w:rPr>
          <w:rFonts w:ascii="Garamond" w:hAnsi="Garamond" w:cs="Arial"/>
          <w:bCs/>
          <w:sz w:val="24"/>
          <w:szCs w:val="24"/>
          <w:lang w:val="sq-AL"/>
        </w:rPr>
        <w:t>Laboratorët për sigurinë ushqimore, shëndetin e kafshëve dhe mbrojtjen e bimëve duhet t</w:t>
      </w:r>
      <w:r w:rsidRPr="0058349C">
        <w:rPr>
          <w:rFonts w:ascii="Garamond" w:hAnsi="Garamond" w:cs="Arial"/>
          <w:sz w:val="24"/>
          <w:szCs w:val="24"/>
          <w:lang w:val="sq-AL"/>
        </w:rPr>
        <w:t>ë</w:t>
      </w:r>
      <w:r w:rsidRPr="0058349C">
        <w:rPr>
          <w:rFonts w:ascii="Garamond" w:hAnsi="Garamond" w:cs="Arial"/>
          <w:bCs/>
          <w:sz w:val="24"/>
          <w:szCs w:val="24"/>
          <w:lang w:val="sq-AL"/>
        </w:rPr>
        <w:t xml:space="preserve"> kenë një metodë akreditimi për laboratorët rajonalë, në nivelin e parë të laboratorëve dhe</w:t>
      </w:r>
      <w:r w:rsidR="00DD2B3B">
        <w:rPr>
          <w:rFonts w:ascii="Garamond" w:hAnsi="Garamond" w:cs="Arial"/>
          <w:bCs/>
          <w:sz w:val="24"/>
          <w:szCs w:val="24"/>
          <w:lang w:val="sq-AL"/>
        </w:rPr>
        <w:t>,</w:t>
      </w:r>
      <w:r w:rsidRPr="0058349C">
        <w:rPr>
          <w:rFonts w:ascii="Garamond" w:hAnsi="Garamond" w:cs="Arial"/>
          <w:bCs/>
          <w:sz w:val="24"/>
          <w:szCs w:val="24"/>
          <w:lang w:val="sq-AL"/>
        </w:rPr>
        <w:t xml:space="preserve"> gjithashtu</w:t>
      </w:r>
      <w:r w:rsidR="00DD2B3B">
        <w:rPr>
          <w:rFonts w:ascii="Garamond" w:hAnsi="Garamond" w:cs="Arial"/>
          <w:bCs/>
          <w:sz w:val="24"/>
          <w:szCs w:val="24"/>
          <w:lang w:val="sq-AL"/>
        </w:rPr>
        <w:t>,</w:t>
      </w:r>
      <w:r w:rsidRPr="0058349C">
        <w:rPr>
          <w:rFonts w:ascii="Garamond" w:hAnsi="Garamond" w:cs="Arial"/>
          <w:bCs/>
          <w:sz w:val="24"/>
          <w:szCs w:val="24"/>
          <w:lang w:val="sq-AL"/>
        </w:rPr>
        <w:t xml:space="preserve"> për laboratorët referencë.</w:t>
      </w:r>
    </w:p>
    <w:p w14:paraId="0773B0AD" w14:textId="38654B91" w:rsidR="00DF7A00" w:rsidRPr="0058349C" w:rsidRDefault="00DF7A00" w:rsidP="00DF7A00">
      <w:pPr>
        <w:spacing w:after="0" w:line="240" w:lineRule="auto"/>
        <w:ind w:firstLine="284"/>
        <w:jc w:val="both"/>
        <w:rPr>
          <w:rFonts w:ascii="Garamond" w:hAnsi="Garamond" w:cs="Arial"/>
          <w:b/>
          <w:bCs/>
          <w:sz w:val="24"/>
          <w:szCs w:val="24"/>
          <w:lang w:val="sq-AL"/>
        </w:rPr>
      </w:pPr>
      <w:r w:rsidRPr="0058349C">
        <w:rPr>
          <w:rFonts w:ascii="Garamond" w:hAnsi="Garamond" w:cs="Arial"/>
          <w:bCs/>
          <w:sz w:val="24"/>
          <w:szCs w:val="24"/>
          <w:lang w:val="sq-AL"/>
        </w:rPr>
        <w:lastRenderedPageBreak/>
        <w:t xml:space="preserve">Është e nevojshme të përcaktohen kriteret e kategorizimit të </w:t>
      </w:r>
      <w:r w:rsidRPr="0058349C">
        <w:rPr>
          <w:rFonts w:ascii="Garamond" w:hAnsi="Garamond" w:cs="Arial"/>
          <w:b/>
          <w:bCs/>
          <w:sz w:val="24"/>
          <w:szCs w:val="24"/>
          <w:lang w:val="sq-AL"/>
        </w:rPr>
        <w:t>krijimit</w:t>
      </w:r>
      <w:r w:rsidRPr="0058349C">
        <w:rPr>
          <w:rFonts w:ascii="Garamond" w:hAnsi="Garamond" w:cs="Arial"/>
          <w:bCs/>
          <w:sz w:val="24"/>
          <w:szCs w:val="24"/>
          <w:lang w:val="sq-AL"/>
        </w:rPr>
        <w:t xml:space="preserve"> të OBU-ve dhe të vazhdohet me përgatitjen e kategorizimeve </w:t>
      </w:r>
      <w:r w:rsidRPr="0058349C">
        <w:rPr>
          <w:rFonts w:ascii="Garamond" w:hAnsi="Garamond" w:cs="Arial"/>
          <w:b/>
          <w:bCs/>
          <w:sz w:val="24"/>
          <w:szCs w:val="24"/>
          <w:lang w:val="sq-AL"/>
        </w:rPr>
        <w:t xml:space="preserve">për përputhshmëri me </w:t>
      </w:r>
      <w:r w:rsidR="00B25257" w:rsidRPr="00B25257">
        <w:rPr>
          <w:rFonts w:ascii="Garamond" w:hAnsi="Garamond" w:cs="Arial"/>
          <w:b/>
          <w:bCs/>
          <w:i/>
          <w:iCs/>
          <w:sz w:val="24"/>
          <w:szCs w:val="24"/>
          <w:lang w:val="sq-AL"/>
        </w:rPr>
        <w:t>acquis</w:t>
      </w:r>
      <w:r w:rsidRPr="0058349C">
        <w:rPr>
          <w:rFonts w:ascii="Garamond" w:hAnsi="Garamond" w:cs="Arial"/>
          <w:b/>
          <w:bCs/>
          <w:sz w:val="24"/>
          <w:szCs w:val="24"/>
          <w:lang w:val="sq-AL"/>
        </w:rPr>
        <w:t xml:space="preserve"> të BE-së.</w:t>
      </w:r>
    </w:p>
    <w:p w14:paraId="0773B0AE" w14:textId="7AEABB53" w:rsidR="00DF7A00" w:rsidRPr="0058349C" w:rsidRDefault="00DF7A00" w:rsidP="00DF7A00">
      <w:pPr>
        <w:spacing w:after="0" w:line="240" w:lineRule="auto"/>
        <w:ind w:firstLine="284"/>
        <w:jc w:val="both"/>
        <w:rPr>
          <w:rFonts w:ascii="Garamond" w:hAnsi="Garamond" w:cs="Arial"/>
          <w:b/>
          <w:bCs/>
          <w:sz w:val="24"/>
          <w:szCs w:val="24"/>
          <w:lang w:val="sq-AL"/>
        </w:rPr>
      </w:pPr>
      <w:r w:rsidRPr="0058349C">
        <w:rPr>
          <w:rFonts w:ascii="Garamond" w:hAnsi="Garamond" w:cs="Arial"/>
          <w:b/>
          <w:bCs/>
          <w:sz w:val="24"/>
          <w:szCs w:val="24"/>
          <w:lang w:val="sq-AL"/>
        </w:rPr>
        <w:t>N</w:t>
      </w:r>
      <w:r w:rsidRPr="0058349C">
        <w:rPr>
          <w:rFonts w:ascii="Garamond" w:hAnsi="Garamond"/>
          <w:b/>
          <w:sz w:val="24"/>
          <w:szCs w:val="24"/>
          <w:lang w:val="sq-AL"/>
        </w:rPr>
        <w:t xml:space="preserve">ë kuadër të </w:t>
      </w:r>
      <w:r w:rsidR="00424170" w:rsidRPr="0058349C">
        <w:rPr>
          <w:rFonts w:ascii="Garamond" w:hAnsi="Garamond" w:cs="Arial"/>
          <w:b/>
          <w:bCs/>
          <w:sz w:val="24"/>
          <w:szCs w:val="24"/>
          <w:lang w:val="sq-AL"/>
        </w:rPr>
        <w:t xml:space="preserve">kapitullit </w:t>
      </w:r>
      <w:r w:rsidRPr="0058349C">
        <w:rPr>
          <w:rFonts w:ascii="Garamond" w:hAnsi="Garamond" w:cs="Arial"/>
          <w:b/>
          <w:bCs/>
          <w:sz w:val="24"/>
          <w:szCs w:val="24"/>
          <w:lang w:val="sq-AL"/>
        </w:rPr>
        <w:t xml:space="preserve">13 – Peshkimi </w:t>
      </w:r>
    </w:p>
    <w:p w14:paraId="0773B0AF" w14:textId="37F04EAB"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Shqipëria </w:t>
      </w:r>
      <w:r w:rsidRPr="0058349C">
        <w:rPr>
          <w:rFonts w:ascii="Garamond" w:hAnsi="Garamond" w:cs="Arial"/>
          <w:b/>
          <w:sz w:val="24"/>
          <w:szCs w:val="24"/>
          <w:lang w:val="sq-AL"/>
        </w:rPr>
        <w:t>ka arritur një nivel përgatitjeje në peshkim</w:t>
      </w:r>
      <w:r w:rsidRPr="0058349C">
        <w:rPr>
          <w:rFonts w:ascii="Garamond" w:hAnsi="Garamond" w:cs="Arial"/>
          <w:sz w:val="24"/>
          <w:szCs w:val="24"/>
          <w:lang w:val="sq-AL"/>
        </w:rPr>
        <w:t xml:space="preserve"> dhe ka bërë </w:t>
      </w:r>
      <w:r w:rsidRPr="0058349C">
        <w:rPr>
          <w:rFonts w:ascii="Garamond" w:hAnsi="Garamond" w:cs="Arial"/>
          <w:b/>
          <w:sz w:val="24"/>
          <w:szCs w:val="24"/>
          <w:lang w:val="sq-AL"/>
        </w:rPr>
        <w:t xml:space="preserve">përparim të mirë </w:t>
      </w:r>
      <w:r w:rsidRPr="0058349C">
        <w:rPr>
          <w:rFonts w:ascii="Garamond" w:hAnsi="Garamond" w:cs="Arial"/>
          <w:sz w:val="24"/>
          <w:szCs w:val="24"/>
          <w:lang w:val="sq-AL"/>
        </w:rPr>
        <w:t>me riaktivizimin e Sistemit të Monitorimit të Anijeve - SMA (në maj 2021), duke lejuar kontrolle më të mira të peshkimit në ujërat detare dhe rikuperimin e rezervave. Shqipëria, si palë kontraktuese e KPPM</w:t>
      </w:r>
      <w:r w:rsidR="00424170">
        <w:rPr>
          <w:rFonts w:ascii="Garamond" w:hAnsi="Garamond" w:cs="Arial"/>
          <w:sz w:val="24"/>
          <w:szCs w:val="24"/>
          <w:lang w:val="sq-AL"/>
        </w:rPr>
        <w:t>-së</w:t>
      </w:r>
      <w:r w:rsidRPr="0058349C">
        <w:rPr>
          <w:rFonts w:ascii="Garamond" w:hAnsi="Garamond" w:cs="Arial"/>
          <w:sz w:val="24"/>
          <w:szCs w:val="24"/>
          <w:lang w:val="sq-AL"/>
        </w:rPr>
        <w:t xml:space="preserve"> dhe ICAAT</w:t>
      </w:r>
      <w:r w:rsidR="00424170">
        <w:rPr>
          <w:rFonts w:ascii="Garamond" w:hAnsi="Garamond" w:cs="Arial"/>
          <w:sz w:val="24"/>
          <w:szCs w:val="24"/>
          <w:lang w:val="sq-AL"/>
        </w:rPr>
        <w:t>-së</w:t>
      </w:r>
      <w:r w:rsidRPr="0058349C">
        <w:rPr>
          <w:rFonts w:ascii="Garamond" w:hAnsi="Garamond" w:cs="Arial"/>
          <w:sz w:val="24"/>
          <w:szCs w:val="24"/>
          <w:lang w:val="sq-AL"/>
        </w:rPr>
        <w:t xml:space="preserve"> po zbaton plotësisht rekomandimet për të kontrolluar përpjekjet e peshkimit. Për sa i përket menaxhimit të burimeve dhe flotës, regjistri i anijeve përditësohet rregullisht dhe raportohet në KPPM për të gjitha segmentet e flotës.</w:t>
      </w:r>
    </w:p>
    <w:p w14:paraId="0773B0B0" w14:textId="2501D440"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Rezultatet e analizës së situatës tregojnë se ka akoma </w:t>
      </w:r>
      <w:r w:rsidRPr="0058349C">
        <w:rPr>
          <w:rFonts w:ascii="Garamond" w:hAnsi="Garamond" w:cs="Arial"/>
          <w:b/>
          <w:sz w:val="24"/>
          <w:szCs w:val="24"/>
          <w:lang w:val="sq-AL"/>
        </w:rPr>
        <w:t>kapacitete që duhen përmirësuar</w:t>
      </w:r>
      <w:r w:rsidR="00CB10D7">
        <w:rPr>
          <w:rFonts w:ascii="Garamond" w:hAnsi="Garamond" w:cs="Arial"/>
          <w:b/>
          <w:sz w:val="24"/>
          <w:szCs w:val="24"/>
          <w:lang w:val="sq-AL"/>
        </w:rPr>
        <w:t>,</w:t>
      </w:r>
      <w:r w:rsidRPr="0058349C">
        <w:rPr>
          <w:rFonts w:ascii="Garamond" w:hAnsi="Garamond" w:cs="Arial"/>
          <w:b/>
          <w:sz w:val="24"/>
          <w:szCs w:val="24"/>
          <w:lang w:val="sq-AL"/>
        </w:rPr>
        <w:t xml:space="preserve"> administrative dhe institucionale</w:t>
      </w:r>
      <w:r w:rsidR="00CB10D7">
        <w:rPr>
          <w:rFonts w:ascii="Garamond" w:hAnsi="Garamond" w:cs="Arial"/>
          <w:b/>
          <w:sz w:val="24"/>
          <w:szCs w:val="24"/>
          <w:lang w:val="sq-AL"/>
        </w:rPr>
        <w:t>,</w:t>
      </w:r>
      <w:r w:rsidRPr="0058349C">
        <w:rPr>
          <w:rFonts w:ascii="Garamond" w:hAnsi="Garamond" w:cs="Arial"/>
          <w:sz w:val="24"/>
          <w:szCs w:val="24"/>
          <w:lang w:val="sq-AL"/>
        </w:rPr>
        <w:t xml:space="preserve"> në sektorin e peshkimit për të siguruar një menaxhim të duhur të burimeve të peshkimit</w:t>
      </w:r>
      <w:r w:rsidR="00CB10D7">
        <w:rPr>
          <w:rFonts w:ascii="Garamond" w:hAnsi="Garamond" w:cs="Arial"/>
          <w:sz w:val="24"/>
          <w:szCs w:val="24"/>
          <w:lang w:val="sq-AL"/>
        </w:rPr>
        <w:t>,</w:t>
      </w:r>
      <w:r w:rsidRPr="0058349C">
        <w:rPr>
          <w:rFonts w:ascii="Garamond" w:hAnsi="Garamond" w:cs="Arial"/>
          <w:sz w:val="24"/>
          <w:szCs w:val="24"/>
          <w:lang w:val="sq-AL"/>
        </w:rPr>
        <w:t xml:space="preserve"> në përputhje me prioritetet kombëtare, PPP-në e BE-së dhe angazhimet ndërkombëtare. Kjo i referohet menaxhimit të burimeve të peshkimit, zbatimit të Planit Rajonal të Veprimit për PSHV-në, duke përfshirë përmirësimin e mbledhjes së të dhënave dhe statistikave të zbarkimit nga PSHV-ja dhe forcimin e kapaciteteve të inspektimit dhe kontrollit për të dekurajuar peshkimin PPPP.</w:t>
      </w:r>
    </w:p>
    <w:p w14:paraId="0773B0B1" w14:textId="3D397B7B"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 xml:space="preserve">Në shkurt 2019, </w:t>
      </w:r>
      <w:r w:rsidR="00CB10D7" w:rsidRPr="0058349C">
        <w:rPr>
          <w:rFonts w:ascii="Garamond" w:hAnsi="Garamond" w:cs="Arial"/>
          <w:b/>
          <w:sz w:val="24"/>
          <w:szCs w:val="24"/>
          <w:lang w:val="sq-AL"/>
        </w:rPr>
        <w:t>ligji i peshkimit</w:t>
      </w:r>
      <w:r w:rsidR="00CB10D7" w:rsidRPr="0058349C">
        <w:rPr>
          <w:rFonts w:ascii="Garamond" w:hAnsi="Garamond" w:cs="Arial"/>
          <w:sz w:val="24"/>
          <w:szCs w:val="24"/>
          <w:lang w:val="sq-AL"/>
        </w:rPr>
        <w:t xml:space="preserve"> </w:t>
      </w:r>
      <w:r w:rsidRPr="0058349C">
        <w:rPr>
          <w:rFonts w:ascii="Garamond" w:hAnsi="Garamond" w:cs="Arial"/>
          <w:sz w:val="24"/>
          <w:szCs w:val="24"/>
          <w:lang w:val="sq-AL"/>
        </w:rPr>
        <w:t>u ndryshua për të përfshirë dispozita për menaxhimin e burimeve që përfshijnë organizatat e peshkimit në zona të vogla bregdetare. Gjithashtu, për të garantuar qëndrueshmërinë afatgjatë të burimeve të peshkimit në detin Adriatik</w:t>
      </w:r>
      <w:r w:rsidR="00145A75">
        <w:rPr>
          <w:rFonts w:ascii="Garamond" w:hAnsi="Garamond" w:cs="Arial"/>
          <w:sz w:val="24"/>
          <w:szCs w:val="24"/>
          <w:lang w:val="sq-AL"/>
        </w:rPr>
        <w:t>,</w:t>
      </w:r>
      <w:r w:rsidRPr="0058349C">
        <w:rPr>
          <w:rFonts w:ascii="Garamond" w:hAnsi="Garamond" w:cs="Arial"/>
          <w:sz w:val="24"/>
          <w:szCs w:val="24"/>
          <w:lang w:val="sq-AL"/>
        </w:rPr>
        <w:t xml:space="preserve"> në përputhje me rekomandimet e KPPM-së, në prill të vitit 2020 u miratua një amendament në </w:t>
      </w:r>
      <w:r w:rsidR="00145A75" w:rsidRPr="0058349C">
        <w:rPr>
          <w:rFonts w:ascii="Garamond" w:hAnsi="Garamond" w:cs="Arial"/>
          <w:sz w:val="24"/>
          <w:szCs w:val="24"/>
          <w:lang w:val="sq-AL"/>
        </w:rPr>
        <w:t xml:space="preserve">ligjin e peshkimit </w:t>
      </w:r>
      <w:r w:rsidRPr="0058349C">
        <w:rPr>
          <w:rFonts w:ascii="Garamond" w:hAnsi="Garamond" w:cs="Arial"/>
          <w:sz w:val="24"/>
          <w:szCs w:val="24"/>
          <w:lang w:val="sq-AL"/>
        </w:rPr>
        <w:t>për të përfshirë masa për të vendosur kufizime në numrin, fuqinë e motorit dhe tonazhit bruto të anijeve të peshkimit.</w:t>
      </w:r>
    </w:p>
    <w:p w14:paraId="0773B0B2" w14:textId="61430010" w:rsidR="00DF7A00" w:rsidRPr="0058349C" w:rsidRDefault="00DF7A00" w:rsidP="00DF7A00">
      <w:pPr>
        <w:spacing w:after="0" w:line="240" w:lineRule="auto"/>
        <w:ind w:firstLine="284"/>
        <w:jc w:val="both"/>
        <w:rPr>
          <w:rFonts w:ascii="Garamond" w:eastAsia="Arial" w:hAnsi="Garamond" w:cs="Arial"/>
          <w:b/>
          <w:bCs/>
          <w:sz w:val="24"/>
          <w:szCs w:val="24"/>
          <w:lang w:val="sq-AL"/>
        </w:rPr>
      </w:pPr>
      <w:r w:rsidRPr="0058349C">
        <w:rPr>
          <w:rFonts w:ascii="Garamond" w:hAnsi="Garamond" w:cs="Arial"/>
          <w:b/>
          <w:sz w:val="24"/>
          <w:szCs w:val="24"/>
          <w:lang w:val="sq-AL"/>
        </w:rPr>
        <w:t>Për politikën e tregut</w:t>
      </w:r>
      <w:r w:rsidRPr="0058349C">
        <w:rPr>
          <w:rFonts w:ascii="Garamond" w:hAnsi="Garamond" w:cs="Arial"/>
          <w:sz w:val="24"/>
          <w:szCs w:val="24"/>
          <w:lang w:val="sq-AL"/>
        </w:rPr>
        <w:t>, rregulloret për organizimin e tregjeve dhe shitjen e produkteve të peshkimit dhe akuakulturës janë miratuar në vitin 2019</w:t>
      </w:r>
      <w:bookmarkStart w:id="52" w:name="_Toc88575085"/>
      <w:bookmarkStart w:id="53" w:name="_Toc88575086"/>
      <w:bookmarkStart w:id="54" w:name="_Toc88575498"/>
      <w:bookmarkStart w:id="55" w:name="_Toc88575506"/>
      <w:bookmarkStart w:id="56" w:name="_Toc88575722"/>
      <w:bookmarkStart w:id="57" w:name="_Toc88575727"/>
      <w:bookmarkStart w:id="58" w:name="_Toc88575742"/>
      <w:bookmarkStart w:id="59" w:name="_Toc88575762"/>
      <w:bookmarkStart w:id="60" w:name="_Toc88575782"/>
      <w:bookmarkStart w:id="61" w:name="_Toc88575802"/>
      <w:bookmarkStart w:id="62" w:name="_Toc88575822"/>
      <w:bookmarkStart w:id="63" w:name="_Toc88575842"/>
      <w:bookmarkStart w:id="64" w:name="_Toc88575862"/>
      <w:bookmarkStart w:id="65" w:name="_Toc88575882"/>
      <w:bookmarkStart w:id="66" w:name="_Toc88575902"/>
      <w:bookmarkStart w:id="67" w:name="_Toc88575922"/>
      <w:bookmarkStart w:id="68" w:name="_Toc88575942"/>
      <w:bookmarkStart w:id="69" w:name="_Toc88575962"/>
      <w:bookmarkStart w:id="70" w:name="_Toc88575982"/>
      <w:bookmarkStart w:id="71" w:name="_Toc88576002"/>
      <w:bookmarkStart w:id="72" w:name="_Toc88576008"/>
      <w:bookmarkStart w:id="73" w:name="_Toc88576024"/>
      <w:bookmarkStart w:id="74" w:name="_Toc88576036"/>
      <w:bookmarkStart w:id="75" w:name="_Toc88576060"/>
      <w:bookmarkStart w:id="76" w:name="_Toc88576130"/>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00145A75">
        <w:rPr>
          <w:rFonts w:ascii="Garamond" w:hAnsi="Garamond" w:cs="Arial"/>
          <w:sz w:val="24"/>
          <w:szCs w:val="24"/>
          <w:lang w:val="sq-AL"/>
        </w:rPr>
        <w:t>.</w:t>
      </w:r>
    </w:p>
    <w:p w14:paraId="0773B0B3" w14:textId="30F7352A" w:rsidR="00DF7A00" w:rsidRPr="0058349C" w:rsidRDefault="00DF7A00" w:rsidP="00DF7A00">
      <w:pPr>
        <w:spacing w:after="0" w:line="240" w:lineRule="auto"/>
        <w:ind w:firstLine="284"/>
        <w:jc w:val="both"/>
        <w:rPr>
          <w:rFonts w:ascii="Garamond" w:hAnsi="Garamond" w:cs="Arial"/>
          <w:b/>
          <w:bCs/>
          <w:sz w:val="24"/>
          <w:szCs w:val="24"/>
          <w:lang w:val="sq-AL"/>
        </w:rPr>
      </w:pPr>
      <w:r w:rsidRPr="0058349C">
        <w:rPr>
          <w:rFonts w:ascii="Garamond" w:eastAsia="Arial" w:hAnsi="Garamond" w:cs="Arial"/>
          <w:b/>
          <w:bCs/>
          <w:sz w:val="24"/>
          <w:szCs w:val="24"/>
          <w:lang w:val="sq-AL"/>
        </w:rPr>
        <w:t>N</w:t>
      </w:r>
      <w:r w:rsidRPr="0058349C">
        <w:rPr>
          <w:rFonts w:ascii="Garamond" w:hAnsi="Garamond"/>
          <w:b/>
          <w:sz w:val="24"/>
          <w:szCs w:val="24"/>
          <w:lang w:val="sq-AL"/>
        </w:rPr>
        <w:t xml:space="preserve">ë kuadër të </w:t>
      </w:r>
      <w:r w:rsidR="00145A75" w:rsidRPr="0058349C">
        <w:rPr>
          <w:rFonts w:ascii="Garamond" w:hAnsi="Garamond"/>
          <w:b/>
          <w:sz w:val="24"/>
          <w:szCs w:val="24"/>
          <w:lang w:val="sq-AL"/>
        </w:rPr>
        <w:t xml:space="preserve">kapitullit </w:t>
      </w:r>
      <w:r w:rsidRPr="0058349C">
        <w:rPr>
          <w:rFonts w:ascii="Garamond" w:eastAsia="Arial" w:hAnsi="Garamond" w:cs="Arial"/>
          <w:b/>
          <w:bCs/>
          <w:sz w:val="24"/>
          <w:szCs w:val="24"/>
          <w:lang w:val="sq-AL"/>
        </w:rPr>
        <w:t>27 – Mjedisi dhe klima</w:t>
      </w:r>
    </w:p>
    <w:p w14:paraId="0773B0B4" w14:textId="3AF5D4A7"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sz w:val="24"/>
          <w:szCs w:val="24"/>
          <w:lang w:val="sq-AL"/>
        </w:rPr>
        <w:t>Për negocimin e kapitullit 27 – Biodiversiteti, institucioni përgjegjës është MTM (Ministria e Turizmit dhe Mjedisit). Ky kapitull përmban tema horizontale</w:t>
      </w:r>
      <w:r w:rsidR="00145A75">
        <w:rPr>
          <w:rFonts w:ascii="Garamond" w:hAnsi="Garamond" w:cs="Arial"/>
          <w:sz w:val="24"/>
          <w:szCs w:val="24"/>
          <w:lang w:val="sq-AL"/>
        </w:rPr>
        <w:t>,</w:t>
      </w:r>
      <w:r w:rsidRPr="0058349C">
        <w:rPr>
          <w:rFonts w:ascii="Garamond" w:hAnsi="Garamond" w:cs="Arial"/>
          <w:sz w:val="24"/>
          <w:szCs w:val="24"/>
          <w:lang w:val="sq-AL"/>
        </w:rPr>
        <w:t xml:space="preserve"> që prekin edhe fushat teknike për zbatimin e të cilave është përgjegjëse MBZHR</w:t>
      </w:r>
      <w:r w:rsidR="00145A75">
        <w:rPr>
          <w:rFonts w:ascii="Garamond" w:hAnsi="Garamond" w:cs="Arial"/>
          <w:sz w:val="24"/>
          <w:szCs w:val="24"/>
          <w:lang w:val="sq-AL"/>
        </w:rPr>
        <w:t>,</w:t>
      </w:r>
      <w:r w:rsidRPr="0058349C">
        <w:rPr>
          <w:rFonts w:ascii="Garamond" w:hAnsi="Garamond" w:cs="Arial"/>
          <w:sz w:val="24"/>
          <w:szCs w:val="24"/>
          <w:lang w:val="sq-AL"/>
        </w:rPr>
        <w:t xml:space="preserve"> si p.sh. politikat mbi përdorimin e qëndrueshëm të burimeve natyrore dhe mbrojtja e tyre nga ndotja</w:t>
      </w:r>
      <w:r w:rsidR="00145A75">
        <w:rPr>
          <w:rFonts w:ascii="Garamond" w:hAnsi="Garamond" w:cs="Arial"/>
          <w:sz w:val="24"/>
          <w:szCs w:val="24"/>
          <w:lang w:val="sq-AL"/>
        </w:rPr>
        <w:t>,</w:t>
      </w:r>
      <w:r w:rsidRPr="0058349C">
        <w:rPr>
          <w:rFonts w:ascii="Garamond" w:hAnsi="Garamond" w:cs="Arial"/>
          <w:sz w:val="24"/>
          <w:szCs w:val="24"/>
          <w:lang w:val="sq-AL"/>
        </w:rPr>
        <w:t xml:space="preserve"> si</w:t>
      </w:r>
      <w:r w:rsidR="00145A75">
        <w:rPr>
          <w:rFonts w:ascii="Garamond" w:hAnsi="Garamond" w:cs="Arial"/>
          <w:sz w:val="24"/>
          <w:szCs w:val="24"/>
          <w:lang w:val="sq-AL"/>
        </w:rPr>
        <w:t>:</w:t>
      </w:r>
      <w:r w:rsidRPr="0058349C">
        <w:rPr>
          <w:rFonts w:ascii="Garamond" w:hAnsi="Garamond" w:cs="Arial"/>
          <w:sz w:val="24"/>
          <w:szCs w:val="24"/>
          <w:lang w:val="sq-AL"/>
        </w:rPr>
        <w:t xml:space="preserve"> toka, uji dhe ajri nëpërmjet p.sh. përdorimit të plehrave dhe pesticideve.</w:t>
      </w:r>
    </w:p>
    <w:p w14:paraId="0773B0B5" w14:textId="1B7E586C" w:rsidR="00DF7A00" w:rsidRPr="0058349C" w:rsidRDefault="00DF7A00" w:rsidP="0090470B">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MBZHR</w:t>
      </w:r>
      <w:r w:rsidR="00145A75">
        <w:rPr>
          <w:rFonts w:ascii="Garamond" w:hAnsi="Garamond" w:cs="Arial"/>
          <w:b/>
          <w:sz w:val="24"/>
          <w:szCs w:val="24"/>
          <w:lang w:val="sq-AL"/>
        </w:rPr>
        <w:t>-ja</w:t>
      </w:r>
      <w:r w:rsidRPr="0058349C">
        <w:rPr>
          <w:rFonts w:ascii="Garamond" w:hAnsi="Garamond" w:cs="Arial"/>
          <w:b/>
          <w:sz w:val="24"/>
          <w:szCs w:val="24"/>
          <w:lang w:val="sq-AL"/>
        </w:rPr>
        <w:t xml:space="preserve"> </w:t>
      </w:r>
      <w:r w:rsidRPr="0058349C">
        <w:rPr>
          <w:rFonts w:ascii="Garamond" w:hAnsi="Garamond" w:cs="Arial"/>
          <w:sz w:val="24"/>
          <w:szCs w:val="24"/>
          <w:lang w:val="sq-AL"/>
        </w:rPr>
        <w:t>është institucioni direkt përgjegjës për përgatitjen dhe zbatimin e strategjisë, të politikave të sektorit të bujqësisë</w:t>
      </w:r>
      <w:r w:rsidR="0090470B">
        <w:rPr>
          <w:rFonts w:ascii="Garamond" w:hAnsi="Garamond" w:cs="Arial"/>
          <w:sz w:val="24"/>
          <w:szCs w:val="24"/>
          <w:lang w:val="sq-AL"/>
        </w:rPr>
        <w:t>,</w:t>
      </w:r>
      <w:r w:rsidRPr="0058349C">
        <w:rPr>
          <w:rFonts w:ascii="Garamond" w:hAnsi="Garamond" w:cs="Arial"/>
          <w:sz w:val="24"/>
          <w:szCs w:val="24"/>
          <w:lang w:val="sq-AL"/>
        </w:rPr>
        <w:t xml:space="preserve"> si edhe të reformave që lidhen me përafrimin dhe zbatimin e legjislacionit me </w:t>
      </w:r>
      <w:r w:rsidR="00B25257" w:rsidRPr="00B25257">
        <w:rPr>
          <w:rFonts w:ascii="Garamond" w:hAnsi="Garamond" w:cs="Arial"/>
          <w:i/>
          <w:iCs/>
          <w:sz w:val="24"/>
          <w:szCs w:val="24"/>
          <w:lang w:val="sq-AL"/>
        </w:rPr>
        <w:t>acquis</w:t>
      </w:r>
      <w:r w:rsidRPr="0058349C">
        <w:rPr>
          <w:rFonts w:ascii="Garamond" w:hAnsi="Garamond" w:cs="Arial"/>
          <w:sz w:val="24"/>
          <w:szCs w:val="24"/>
          <w:lang w:val="sq-AL"/>
        </w:rPr>
        <w:t xml:space="preserve"> të BE-së</w:t>
      </w:r>
      <w:r w:rsidR="0090470B">
        <w:rPr>
          <w:rFonts w:ascii="Garamond" w:hAnsi="Garamond" w:cs="Arial"/>
          <w:sz w:val="24"/>
          <w:szCs w:val="24"/>
          <w:lang w:val="sq-AL"/>
        </w:rPr>
        <w:t>,</w:t>
      </w:r>
      <w:r w:rsidRPr="0058349C">
        <w:rPr>
          <w:rFonts w:ascii="Garamond" w:hAnsi="Garamond" w:cs="Arial"/>
          <w:sz w:val="24"/>
          <w:szCs w:val="24"/>
          <w:lang w:val="sq-AL"/>
        </w:rPr>
        <w:t xml:space="preserve"> në kuadër të kapitujve të negocimit 11 – Bujqësia dhe </w:t>
      </w:r>
      <w:r w:rsidR="0090470B" w:rsidRPr="0058349C">
        <w:rPr>
          <w:rFonts w:ascii="Garamond" w:hAnsi="Garamond" w:cs="Arial"/>
          <w:sz w:val="24"/>
          <w:szCs w:val="24"/>
          <w:lang w:val="sq-AL"/>
        </w:rPr>
        <w:t>zhvillimi rur</w:t>
      </w:r>
      <w:r w:rsidRPr="0058349C">
        <w:rPr>
          <w:rFonts w:ascii="Garamond" w:hAnsi="Garamond" w:cs="Arial"/>
          <w:sz w:val="24"/>
          <w:szCs w:val="24"/>
          <w:lang w:val="sq-AL"/>
        </w:rPr>
        <w:t>al</w:t>
      </w:r>
      <w:r w:rsidR="0090470B">
        <w:rPr>
          <w:rFonts w:ascii="Garamond" w:hAnsi="Garamond" w:cs="Arial"/>
          <w:sz w:val="24"/>
          <w:szCs w:val="24"/>
          <w:lang w:val="sq-AL"/>
        </w:rPr>
        <w:t>;</w:t>
      </w:r>
      <w:r w:rsidRPr="0058349C">
        <w:rPr>
          <w:rFonts w:ascii="Garamond" w:hAnsi="Garamond" w:cs="Arial"/>
          <w:sz w:val="24"/>
          <w:szCs w:val="24"/>
          <w:lang w:val="sq-AL"/>
        </w:rPr>
        <w:t xml:space="preserve"> 12 – Politikat e </w:t>
      </w:r>
      <w:r w:rsidR="0090470B" w:rsidRPr="0058349C">
        <w:rPr>
          <w:rFonts w:ascii="Garamond" w:hAnsi="Garamond" w:cs="Arial"/>
          <w:sz w:val="24"/>
          <w:szCs w:val="24"/>
          <w:lang w:val="sq-AL"/>
        </w:rPr>
        <w:t>sigurisë ushqimore</w:t>
      </w:r>
      <w:r w:rsidRPr="0058349C">
        <w:rPr>
          <w:rFonts w:ascii="Garamond" w:hAnsi="Garamond" w:cs="Arial"/>
          <w:sz w:val="24"/>
          <w:szCs w:val="24"/>
          <w:lang w:val="sq-AL"/>
        </w:rPr>
        <w:t xml:space="preserve">, </w:t>
      </w:r>
      <w:r w:rsidR="0090470B" w:rsidRPr="0058349C">
        <w:rPr>
          <w:rFonts w:ascii="Garamond" w:hAnsi="Garamond" w:cs="Arial"/>
          <w:sz w:val="24"/>
          <w:szCs w:val="24"/>
          <w:lang w:val="sq-AL"/>
        </w:rPr>
        <w:t>veterinarisë dhe ato fito</w:t>
      </w:r>
      <w:r w:rsidRPr="0058349C">
        <w:rPr>
          <w:rFonts w:ascii="Garamond" w:hAnsi="Garamond" w:cs="Arial"/>
          <w:sz w:val="24"/>
          <w:szCs w:val="24"/>
          <w:lang w:val="sq-AL"/>
        </w:rPr>
        <w:t>sanitare</w:t>
      </w:r>
      <w:r w:rsidR="0090470B">
        <w:rPr>
          <w:rFonts w:ascii="Garamond" w:hAnsi="Garamond" w:cs="Arial"/>
          <w:sz w:val="24"/>
          <w:szCs w:val="24"/>
          <w:lang w:val="sq-AL"/>
        </w:rPr>
        <w:t>;</w:t>
      </w:r>
      <w:r w:rsidRPr="0058349C">
        <w:rPr>
          <w:rFonts w:ascii="Garamond" w:hAnsi="Garamond" w:cs="Arial"/>
          <w:sz w:val="24"/>
          <w:szCs w:val="24"/>
          <w:lang w:val="sq-AL"/>
        </w:rPr>
        <w:t xml:space="preserve"> 13 – Peshkimi, që janë të përfshirë në CLUSTER-in 5 të kuadrit negociator: </w:t>
      </w:r>
      <w:r w:rsidR="0090470B" w:rsidRPr="0058349C">
        <w:rPr>
          <w:rFonts w:ascii="Garamond" w:hAnsi="Garamond" w:cs="Arial"/>
          <w:sz w:val="24"/>
          <w:szCs w:val="24"/>
          <w:lang w:val="sq-AL"/>
        </w:rPr>
        <w:t>burimet</w:t>
      </w:r>
      <w:r w:rsidRPr="0058349C">
        <w:rPr>
          <w:rFonts w:ascii="Garamond" w:hAnsi="Garamond" w:cs="Arial"/>
          <w:sz w:val="24"/>
          <w:szCs w:val="24"/>
          <w:lang w:val="sq-AL"/>
        </w:rPr>
        <w:t xml:space="preserve">, </w:t>
      </w:r>
      <w:r w:rsidR="0090470B" w:rsidRPr="0058349C">
        <w:rPr>
          <w:rFonts w:ascii="Garamond" w:hAnsi="Garamond" w:cs="Arial"/>
          <w:sz w:val="24"/>
          <w:szCs w:val="24"/>
          <w:lang w:val="sq-AL"/>
        </w:rPr>
        <w:t>bujqësia dhe kohezioni</w:t>
      </w:r>
      <w:r w:rsidRPr="0058349C">
        <w:rPr>
          <w:rFonts w:ascii="Garamond" w:hAnsi="Garamond" w:cs="Arial"/>
          <w:sz w:val="24"/>
          <w:szCs w:val="24"/>
          <w:lang w:val="sq-AL"/>
        </w:rPr>
        <w:t>.</w:t>
      </w:r>
    </w:p>
    <w:p w14:paraId="0773B0B6" w14:textId="02AB30DD" w:rsidR="00DF7A00" w:rsidRPr="0058349C" w:rsidRDefault="00DF7A00" w:rsidP="000F4DCD">
      <w:pPr>
        <w:pStyle w:val="TEKSTIIII"/>
        <w:rPr>
          <w:lang w:val="sq-AL"/>
        </w:rPr>
      </w:pPr>
      <w:r w:rsidRPr="0058349C">
        <w:rPr>
          <w:lang w:val="sq-AL"/>
        </w:rPr>
        <w:t>Në këtë kontekst MBZHR</w:t>
      </w:r>
      <w:r w:rsidR="0090470B">
        <w:rPr>
          <w:lang w:val="sq-AL"/>
        </w:rPr>
        <w:t>-ja</w:t>
      </w:r>
      <w:r w:rsidRPr="0058349C">
        <w:rPr>
          <w:lang w:val="sq-AL"/>
        </w:rPr>
        <w:t xml:space="preserve"> dhe MTM</w:t>
      </w:r>
      <w:r w:rsidR="00671BFC">
        <w:rPr>
          <w:lang w:val="sq-AL"/>
        </w:rPr>
        <w:t>-ja</w:t>
      </w:r>
      <w:r w:rsidRPr="0058349C">
        <w:rPr>
          <w:lang w:val="sq-AL"/>
        </w:rPr>
        <w:t xml:space="preserve"> janë të angazhuara të bashkëpunojnë për të përgatitur pozicionet respektive të negocimit</w:t>
      </w:r>
      <w:r w:rsidR="00FE63CA">
        <w:rPr>
          <w:lang w:val="sq-AL"/>
        </w:rPr>
        <w:t>,</w:t>
      </w:r>
      <w:r w:rsidRPr="0058349C">
        <w:rPr>
          <w:lang w:val="sq-AL"/>
        </w:rPr>
        <w:t xml:space="preserve"> që do të duhet të dakortësohen me BE-në si palë negociuse.</w:t>
      </w:r>
    </w:p>
    <w:p w14:paraId="0773B0B7" w14:textId="6EE2304E" w:rsidR="00DF7A00" w:rsidRPr="0058349C" w:rsidRDefault="000F4DCD" w:rsidP="00F358F3">
      <w:pPr>
        <w:pStyle w:val="TEKSTIIII"/>
        <w:rPr>
          <w:b/>
          <w:lang w:val="sq-AL"/>
        </w:rPr>
      </w:pPr>
      <w:bookmarkStart w:id="77" w:name="_Toc103838836"/>
      <w:r w:rsidRPr="0058349C">
        <w:rPr>
          <w:b/>
          <w:lang w:val="sq-AL"/>
        </w:rPr>
        <w:t xml:space="preserve">3.2.6 </w:t>
      </w:r>
      <w:r w:rsidR="00DF7A00" w:rsidRPr="0058349C">
        <w:rPr>
          <w:b/>
          <w:lang w:val="sq-AL"/>
        </w:rPr>
        <w:t>Politika 3</w:t>
      </w:r>
      <w:r w:rsidR="00F358F3">
        <w:rPr>
          <w:b/>
          <w:lang w:val="sq-AL"/>
        </w:rPr>
        <w:t>. Objektivi ndër</w:t>
      </w:r>
      <w:r w:rsidR="00DF7A00" w:rsidRPr="0058349C">
        <w:rPr>
          <w:b/>
          <w:lang w:val="sq-AL"/>
        </w:rPr>
        <w:t xml:space="preserve">sektorial 2: Transferimi i njohurive dhe </w:t>
      </w:r>
      <w:r w:rsidR="00F358F3">
        <w:rPr>
          <w:b/>
          <w:lang w:val="sq-AL"/>
        </w:rPr>
        <w:t xml:space="preserve">i </w:t>
      </w:r>
      <w:r w:rsidR="00DF7A00" w:rsidRPr="0058349C">
        <w:rPr>
          <w:b/>
          <w:lang w:val="sq-AL"/>
        </w:rPr>
        <w:t>inovacionit</w:t>
      </w:r>
      <w:bookmarkEnd w:id="77"/>
    </w:p>
    <w:p w14:paraId="0773B0B8" w14:textId="7664148C"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b/>
          <w:bCs/>
          <w:sz w:val="24"/>
          <w:szCs w:val="24"/>
          <w:lang w:val="sq-AL"/>
        </w:rPr>
        <w:t xml:space="preserve">Transferimi i njohurive dhe </w:t>
      </w:r>
      <w:r w:rsidR="00F358F3">
        <w:rPr>
          <w:rFonts w:ascii="Garamond" w:eastAsia="Arial" w:hAnsi="Garamond" w:cs="Arial"/>
          <w:b/>
          <w:bCs/>
          <w:sz w:val="24"/>
          <w:szCs w:val="24"/>
          <w:lang w:val="sq-AL"/>
        </w:rPr>
        <w:t xml:space="preserve">i </w:t>
      </w:r>
      <w:r w:rsidRPr="0058349C">
        <w:rPr>
          <w:rFonts w:ascii="Garamond" w:eastAsia="Arial" w:hAnsi="Garamond" w:cs="Arial"/>
          <w:b/>
          <w:bCs/>
          <w:sz w:val="24"/>
          <w:szCs w:val="24"/>
          <w:lang w:val="sq-AL"/>
        </w:rPr>
        <w:t>inovacionit sjell kërkimin bujqësor, inovacionin dhe shërbimet e ekstensionit më afër nevojave të fermerit</w:t>
      </w:r>
      <w:r w:rsidRPr="0058349C">
        <w:rPr>
          <w:rFonts w:ascii="Garamond" w:eastAsia="Arial" w:hAnsi="Garamond" w:cs="Arial"/>
          <w:sz w:val="24"/>
          <w:szCs w:val="24"/>
          <w:lang w:val="sq-AL"/>
        </w:rPr>
        <w:t>, duke pasur një këndvështrim afatgjatë për një qasje të re institucionale në dhënien e informacionit dhe njohurive, duke ngritur Sistemin e Njohurive dhe t</w:t>
      </w:r>
      <w:r w:rsidRPr="0058349C">
        <w:rPr>
          <w:rFonts w:ascii="Garamond" w:hAnsi="Garamond" w:cs="Arial"/>
          <w:sz w:val="24"/>
          <w:szCs w:val="24"/>
          <w:lang w:val="sq-AL"/>
        </w:rPr>
        <w:t xml:space="preserve">ë </w:t>
      </w:r>
      <w:r w:rsidRPr="0058349C">
        <w:rPr>
          <w:rFonts w:ascii="Garamond" w:eastAsia="Arial" w:hAnsi="Garamond" w:cs="Arial"/>
          <w:sz w:val="24"/>
          <w:szCs w:val="24"/>
          <w:lang w:val="sq-AL"/>
        </w:rPr>
        <w:t>Inovacionit Bujqësor (SNJIB), domethënë duke zbatuar praktikat më të mira të BE-së.</w:t>
      </w:r>
    </w:p>
    <w:p w14:paraId="0773B0B9" w14:textId="1F4BBEC7"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N</w:t>
      </w:r>
      <w:r w:rsidRPr="0058349C">
        <w:rPr>
          <w:rFonts w:ascii="Garamond" w:hAnsi="Garamond" w:cs="Arial"/>
          <w:sz w:val="24"/>
          <w:szCs w:val="24"/>
          <w:lang w:val="sq-AL"/>
        </w:rPr>
        <w:t>ë kuadër të PPB</w:t>
      </w:r>
      <w:r w:rsidR="00F358F3">
        <w:rPr>
          <w:rFonts w:ascii="Garamond" w:hAnsi="Garamond" w:cs="Arial"/>
          <w:sz w:val="24"/>
          <w:szCs w:val="24"/>
          <w:lang w:val="sq-AL"/>
        </w:rPr>
        <w:t>-së,</w:t>
      </w:r>
      <w:r w:rsidRPr="0058349C">
        <w:rPr>
          <w:rFonts w:ascii="Garamond" w:hAnsi="Garamond" w:cs="Arial"/>
          <w:sz w:val="24"/>
          <w:szCs w:val="24"/>
          <w:lang w:val="sq-AL"/>
        </w:rPr>
        <w:t xml:space="preserve"> pas 2020</w:t>
      </w:r>
      <w:r w:rsidR="00F358F3">
        <w:rPr>
          <w:rFonts w:ascii="Garamond" w:hAnsi="Garamond" w:cs="Arial"/>
          <w:sz w:val="24"/>
          <w:szCs w:val="24"/>
          <w:lang w:val="sq-AL"/>
        </w:rPr>
        <w:t>-ës,</w:t>
      </w:r>
      <w:r w:rsidRPr="0058349C">
        <w:rPr>
          <w:rFonts w:ascii="Garamond" w:hAnsi="Garamond" w:cs="Arial"/>
          <w:sz w:val="24"/>
          <w:szCs w:val="24"/>
          <w:lang w:val="sq-AL"/>
        </w:rPr>
        <w:t xml:space="preserve"> të BE</w:t>
      </w:r>
      <w:r w:rsidR="00F358F3">
        <w:rPr>
          <w:rFonts w:ascii="Garamond" w:hAnsi="Garamond" w:cs="Arial"/>
          <w:sz w:val="24"/>
          <w:szCs w:val="24"/>
          <w:lang w:val="sq-AL"/>
        </w:rPr>
        <w:t>-së</w:t>
      </w:r>
      <w:r w:rsidRPr="0058349C">
        <w:rPr>
          <w:rFonts w:ascii="Garamond" w:hAnsi="Garamond" w:cs="Arial"/>
          <w:sz w:val="24"/>
          <w:szCs w:val="24"/>
          <w:lang w:val="sq-AL"/>
        </w:rPr>
        <w:t>, ngritja, buxhetimi dhe funksionimi i SNJIB</w:t>
      </w:r>
      <w:r w:rsidR="00F358F3">
        <w:rPr>
          <w:rFonts w:ascii="Garamond" w:hAnsi="Garamond" w:cs="Arial"/>
          <w:sz w:val="24"/>
          <w:szCs w:val="24"/>
          <w:lang w:val="sq-AL"/>
        </w:rPr>
        <w:t>-së</w:t>
      </w:r>
      <w:r w:rsidRPr="0058349C">
        <w:rPr>
          <w:rFonts w:ascii="Garamond" w:hAnsi="Garamond" w:cs="Arial"/>
          <w:sz w:val="24"/>
          <w:szCs w:val="24"/>
          <w:lang w:val="sq-AL"/>
        </w:rPr>
        <w:t xml:space="preserve"> është një objektiv kriter i detyruesh</w:t>
      </w:r>
      <w:r w:rsidRPr="00F358F3">
        <w:rPr>
          <w:rFonts w:ascii="Garamond" w:eastAsia="Arial" w:hAnsi="Garamond" w:cs="Arial"/>
          <w:iCs/>
          <w:sz w:val="24"/>
          <w:szCs w:val="24"/>
          <w:lang w:val="sq-AL"/>
        </w:rPr>
        <w:t>ëm</w:t>
      </w:r>
      <w:r w:rsidRPr="0058349C">
        <w:rPr>
          <w:rFonts w:ascii="Garamond" w:eastAsia="Arial" w:hAnsi="Garamond" w:cs="Arial"/>
          <w:i/>
          <w:sz w:val="24"/>
          <w:szCs w:val="24"/>
          <w:lang w:val="sq-AL"/>
        </w:rPr>
        <w:t xml:space="preserve"> për vendet anëtare për të marrë miratimin për financimin e planeve strategjike përkatëse</w:t>
      </w:r>
      <w:r w:rsidR="00B15394">
        <w:rPr>
          <w:rFonts w:ascii="Garamond" w:eastAsia="Arial" w:hAnsi="Garamond" w:cs="Arial"/>
          <w:i/>
          <w:sz w:val="24"/>
          <w:szCs w:val="24"/>
          <w:lang w:val="sq-AL"/>
        </w:rPr>
        <w:t>,</w:t>
      </w:r>
      <w:r w:rsidRPr="0058349C">
        <w:rPr>
          <w:rFonts w:ascii="Garamond" w:eastAsia="Arial" w:hAnsi="Garamond" w:cs="Arial"/>
          <w:i/>
          <w:sz w:val="24"/>
          <w:szCs w:val="24"/>
          <w:lang w:val="sq-AL"/>
        </w:rPr>
        <w:t xml:space="preserve"> që i paraqiten Komisionit Evropian për miratim të buxheteve.</w:t>
      </w:r>
    </w:p>
    <w:p w14:paraId="0773B0BA" w14:textId="258123A2"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lastRenderedPageBreak/>
        <w:t xml:space="preserve">Meqenëse inovacioni dhe transferimi i njohurive kanë kapacitetin për të nxitur zhvillimin dhe konkurrencën, boshllëqet në ndërtimin e një SNJIB-je dhe përshpejtimin e </w:t>
      </w:r>
      <w:r w:rsidR="00C332AD">
        <w:rPr>
          <w:rFonts w:ascii="Garamond" w:eastAsia="Arial" w:hAnsi="Garamond" w:cs="Arial"/>
          <w:sz w:val="24"/>
          <w:szCs w:val="24"/>
          <w:lang w:val="sq-AL"/>
        </w:rPr>
        <w:t>transferimit të teknologjisë te</w:t>
      </w:r>
      <w:r w:rsidRPr="0058349C">
        <w:rPr>
          <w:rFonts w:ascii="Garamond" w:eastAsia="Arial" w:hAnsi="Garamond" w:cs="Arial"/>
          <w:sz w:val="24"/>
          <w:szCs w:val="24"/>
          <w:lang w:val="sq-AL"/>
        </w:rPr>
        <w:t xml:space="preserve"> fermerët duhet të vlerësohen dhe adresohen n</w:t>
      </w:r>
      <w:r w:rsidRPr="0058349C">
        <w:rPr>
          <w:rFonts w:ascii="Garamond" w:hAnsi="Garamond" w:cs="Arial"/>
          <w:sz w:val="24"/>
          <w:szCs w:val="24"/>
          <w:lang w:val="sq-AL"/>
        </w:rPr>
        <w:t>ë vijimësi</w:t>
      </w:r>
      <w:r w:rsidRPr="0058349C">
        <w:rPr>
          <w:rFonts w:ascii="Garamond" w:eastAsia="Arial" w:hAnsi="Garamond" w:cs="Arial"/>
          <w:sz w:val="24"/>
          <w:szCs w:val="24"/>
          <w:lang w:val="sq-AL"/>
        </w:rPr>
        <w:t>. SHKKB-ja</w:t>
      </w:r>
      <w:r w:rsidRPr="00B15394">
        <w:rPr>
          <w:rFonts w:ascii="Garamond" w:hAnsi="Garamond"/>
          <w:sz w:val="24"/>
          <w:szCs w:val="24"/>
          <w:vertAlign w:val="superscript"/>
        </w:rPr>
        <w:footnoteReference w:id="58"/>
      </w:r>
      <w:r w:rsidRPr="00B15394">
        <w:rPr>
          <w:rFonts w:ascii="Garamond" w:hAnsi="Garamond"/>
          <w:sz w:val="24"/>
          <w:szCs w:val="24"/>
          <w:vertAlign w:val="superscript"/>
        </w:rPr>
        <w:t xml:space="preserve"> </w:t>
      </w:r>
      <w:r w:rsidRPr="0058349C">
        <w:rPr>
          <w:rFonts w:ascii="Garamond" w:eastAsia="Arial" w:hAnsi="Garamond" w:cs="Arial"/>
          <w:sz w:val="24"/>
          <w:szCs w:val="24"/>
          <w:lang w:val="sq-AL"/>
        </w:rPr>
        <w:t>duhet të organizohet në atë mënyrë</w:t>
      </w:r>
      <w:r w:rsidR="00B15394">
        <w:rPr>
          <w:rFonts w:ascii="Garamond" w:eastAsia="Arial" w:hAnsi="Garamond" w:cs="Arial"/>
          <w:sz w:val="24"/>
          <w:szCs w:val="24"/>
          <w:lang w:val="sq-AL"/>
        </w:rPr>
        <w:t>,</w:t>
      </w:r>
      <w:r w:rsidRPr="0058349C">
        <w:rPr>
          <w:rFonts w:ascii="Garamond" w:eastAsia="Arial" w:hAnsi="Garamond" w:cs="Arial"/>
          <w:sz w:val="24"/>
          <w:szCs w:val="24"/>
          <w:lang w:val="sq-AL"/>
        </w:rPr>
        <w:t xml:space="preserve"> që masat e SNJIB-së të integrohen në të gjitha aktivitetet e tij, si trajnimi i këshilltarëve, shkëmbimi i njohurive me studiuesit-k</w:t>
      </w:r>
      <w:r w:rsidRPr="0058349C">
        <w:rPr>
          <w:rFonts w:ascii="Garamond" w:hAnsi="Garamond" w:cs="Arial"/>
          <w:sz w:val="24"/>
          <w:szCs w:val="24"/>
          <w:lang w:val="sq-AL"/>
        </w:rPr>
        <w:t>ërkuesit shkencor</w:t>
      </w:r>
      <w:r w:rsidR="00B15394">
        <w:rPr>
          <w:rFonts w:ascii="Garamond" w:hAnsi="Garamond" w:cs="Arial"/>
          <w:sz w:val="24"/>
          <w:szCs w:val="24"/>
          <w:lang w:val="sq-AL"/>
        </w:rPr>
        <w:t>ë</w:t>
      </w:r>
      <w:r w:rsidRPr="0058349C">
        <w:rPr>
          <w:rFonts w:ascii="Garamond" w:eastAsia="Arial" w:hAnsi="Garamond" w:cs="Arial"/>
          <w:sz w:val="24"/>
          <w:szCs w:val="24"/>
          <w:lang w:val="sq-AL"/>
        </w:rPr>
        <w:t>, organizimi ose pjesëmarrja në demonstrimet në fermë, planifikimi dhe përdorimi i buxhetit p</w:t>
      </w:r>
      <w:r w:rsidRPr="0058349C">
        <w:rPr>
          <w:rFonts w:ascii="Garamond" w:hAnsi="Garamond" w:cs="Arial"/>
          <w:sz w:val="24"/>
          <w:szCs w:val="24"/>
          <w:lang w:val="sq-AL"/>
        </w:rPr>
        <w:t xml:space="preserve">ër </w:t>
      </w:r>
      <w:r w:rsidRPr="0058349C">
        <w:rPr>
          <w:rFonts w:ascii="Garamond" w:eastAsia="Arial" w:hAnsi="Garamond" w:cs="Arial"/>
          <w:sz w:val="24"/>
          <w:szCs w:val="24"/>
          <w:lang w:val="sq-AL"/>
        </w:rPr>
        <w:t>mobilitetin e k</w:t>
      </w:r>
      <w:r w:rsidRPr="0058349C">
        <w:rPr>
          <w:rFonts w:ascii="Garamond" w:hAnsi="Garamond" w:cs="Arial"/>
          <w:sz w:val="24"/>
          <w:szCs w:val="24"/>
          <w:lang w:val="sq-AL"/>
        </w:rPr>
        <w:t>ëshilltarëve</w:t>
      </w:r>
      <w:r w:rsidRPr="0058349C">
        <w:rPr>
          <w:rFonts w:ascii="Garamond" w:eastAsia="Arial" w:hAnsi="Garamond" w:cs="Arial"/>
          <w:sz w:val="24"/>
          <w:szCs w:val="24"/>
          <w:lang w:val="sq-AL"/>
        </w:rPr>
        <w:t>, për të mësuar nga praktikat dhe eksperiencat jashtë vendit dhe për të shpërndarë njohuri të reja në vend/rajon. Është thelbësore që njohuritë të zbatohen në praktikë në mënyrë koncize dhe të kuptueshme. Ngritja e një SNJIB</w:t>
      </w:r>
      <w:r w:rsidR="00B15394">
        <w:rPr>
          <w:rFonts w:ascii="Garamond" w:eastAsia="Arial" w:hAnsi="Garamond" w:cs="Arial"/>
          <w:sz w:val="24"/>
          <w:szCs w:val="24"/>
          <w:lang w:val="sq-AL"/>
        </w:rPr>
        <w:t>-je</w:t>
      </w:r>
      <w:r w:rsidRPr="0058349C">
        <w:rPr>
          <w:rFonts w:ascii="Garamond" w:eastAsia="Arial" w:hAnsi="Garamond" w:cs="Arial"/>
          <w:sz w:val="24"/>
          <w:szCs w:val="24"/>
          <w:lang w:val="sq-AL"/>
        </w:rPr>
        <w:t xml:space="preserve"> do të thotë të hapësh SHKF</w:t>
      </w:r>
      <w:r w:rsidR="00EB6DD2">
        <w:rPr>
          <w:rFonts w:ascii="Garamond" w:eastAsia="Arial" w:hAnsi="Garamond" w:cs="Arial"/>
          <w:sz w:val="24"/>
          <w:szCs w:val="24"/>
          <w:lang w:val="sq-AL"/>
        </w:rPr>
        <w:t>-në</w:t>
      </w:r>
      <w:r w:rsidRPr="0058349C">
        <w:rPr>
          <w:rFonts w:ascii="Garamond" w:eastAsia="Arial" w:hAnsi="Garamond" w:cs="Arial"/>
          <w:sz w:val="24"/>
          <w:szCs w:val="24"/>
          <w:lang w:val="sq-AL"/>
        </w:rPr>
        <w:t>, t</w:t>
      </w:r>
      <w:r w:rsidRPr="0058349C">
        <w:rPr>
          <w:rFonts w:ascii="Garamond" w:hAnsi="Garamond" w:cs="Arial"/>
          <w:sz w:val="24"/>
          <w:szCs w:val="24"/>
          <w:lang w:val="sq-AL"/>
        </w:rPr>
        <w:t>ë</w:t>
      </w:r>
      <w:r w:rsidRPr="0058349C">
        <w:rPr>
          <w:rFonts w:ascii="Garamond" w:eastAsia="Arial" w:hAnsi="Garamond" w:cs="Arial"/>
          <w:sz w:val="24"/>
          <w:szCs w:val="24"/>
          <w:lang w:val="sq-AL"/>
        </w:rPr>
        <w:t xml:space="preserve"> përfshihen të gjithë këshilltarët publikë dhe privatë, për të forcuar dhënien e këshillave dhe rritjen e kompetencave këshilluese. Për shkak të financimit të pamjaftueshëm dhe mungesës së kapaciteteve, progresi i arritur deri më tani ka qenë i kufizuar.</w:t>
      </w:r>
    </w:p>
    <w:p w14:paraId="0773B0BB" w14:textId="7AA4465E" w:rsidR="00DF7A00" w:rsidRPr="00EB6DD2" w:rsidRDefault="00DF7A00" w:rsidP="00EB6DD2">
      <w:pPr>
        <w:tabs>
          <w:tab w:val="left" w:pos="1418"/>
        </w:tabs>
        <w:spacing w:after="0" w:line="240" w:lineRule="auto"/>
        <w:jc w:val="center"/>
        <w:rPr>
          <w:rFonts w:ascii="Garamond" w:eastAsia="Arial" w:hAnsi="Garamond" w:cs="Arial"/>
          <w:b/>
          <w:bCs/>
          <w:i/>
          <w:iCs/>
          <w:sz w:val="20"/>
          <w:szCs w:val="20"/>
          <w:lang w:val="sq-AL"/>
        </w:rPr>
      </w:pPr>
      <w:bookmarkStart w:id="78" w:name="_Toc103697540"/>
      <w:bookmarkStart w:id="79" w:name="_Ref88979159"/>
      <w:r w:rsidRPr="00EB6DD2">
        <w:rPr>
          <w:rFonts w:ascii="Garamond" w:hAnsi="Garamond" w:cs="Arial"/>
          <w:b/>
          <w:bCs/>
          <w:i/>
          <w:iCs/>
          <w:sz w:val="20"/>
          <w:szCs w:val="20"/>
          <w:lang w:val="sq-AL"/>
        </w:rPr>
        <w:t xml:space="preserve">Figura </w:t>
      </w:r>
      <w:r w:rsidR="00EB6DD2">
        <w:rPr>
          <w:rFonts w:ascii="Garamond" w:hAnsi="Garamond" w:cs="Arial"/>
          <w:b/>
          <w:bCs/>
          <w:i/>
          <w:iCs/>
          <w:sz w:val="20"/>
          <w:szCs w:val="20"/>
          <w:lang w:val="sq-AL"/>
        </w:rPr>
        <w:t>3</w:t>
      </w:r>
      <w:r w:rsidR="00EB6DD2">
        <w:rPr>
          <w:rFonts w:ascii="Garamond" w:hAnsi="Garamond" w:cs="Arial"/>
          <w:b/>
          <w:bCs/>
          <w:i/>
          <w:iCs/>
          <w:sz w:val="20"/>
          <w:szCs w:val="20"/>
          <w:lang w:val="sq-AL"/>
        </w:rPr>
        <w:noBreakHyphen/>
        <w:t xml:space="preserve">2: </w:t>
      </w:r>
      <w:r w:rsidRPr="00EB6DD2">
        <w:rPr>
          <w:rFonts w:ascii="Garamond" w:hAnsi="Garamond" w:cs="Arial"/>
          <w:i/>
          <w:iCs/>
          <w:sz w:val="20"/>
          <w:szCs w:val="20"/>
          <w:lang w:val="sq-AL"/>
        </w:rPr>
        <w:t xml:space="preserve">Aktorët e </w:t>
      </w:r>
      <w:r w:rsidRPr="00EB6DD2">
        <w:rPr>
          <w:rFonts w:ascii="Garamond" w:eastAsia="Arial" w:hAnsi="Garamond" w:cs="Arial"/>
          <w:i/>
          <w:iCs/>
          <w:sz w:val="20"/>
          <w:szCs w:val="20"/>
          <w:lang w:val="sq-AL"/>
        </w:rPr>
        <w:t>SINJB në Shqipëri</w:t>
      </w:r>
      <w:r w:rsidRPr="00EB6DD2">
        <w:rPr>
          <w:rFonts w:ascii="Garamond" w:hAnsi="Garamond"/>
          <w:i/>
          <w:iCs/>
          <w:sz w:val="20"/>
          <w:szCs w:val="20"/>
          <w:vertAlign w:val="superscript"/>
        </w:rPr>
        <w:footnoteReference w:id="59"/>
      </w:r>
      <w:bookmarkEnd w:id="78"/>
    </w:p>
    <w:bookmarkEnd w:id="79"/>
    <w:p w14:paraId="0773B0BC" w14:textId="7A0A434A" w:rsidR="000F4DCD" w:rsidRPr="0058349C" w:rsidRDefault="000F4DCD" w:rsidP="00DF7A00">
      <w:pPr>
        <w:tabs>
          <w:tab w:val="left" w:pos="1418"/>
        </w:tabs>
        <w:spacing w:after="0" w:line="240" w:lineRule="auto"/>
        <w:ind w:firstLine="284"/>
        <w:jc w:val="both"/>
        <w:rPr>
          <w:rFonts w:ascii="Garamond" w:eastAsia="Arial" w:hAnsi="Garamond" w:cs="Arial"/>
          <w:sz w:val="24"/>
          <w:szCs w:val="24"/>
          <w:lang w:val="sq-AL"/>
        </w:rPr>
      </w:pPr>
    </w:p>
    <w:p w14:paraId="0773B0BD" w14:textId="76C45D4B" w:rsidR="000F4DCD" w:rsidRPr="0058349C" w:rsidRDefault="00EE6192" w:rsidP="00DF7A00">
      <w:pPr>
        <w:tabs>
          <w:tab w:val="left" w:pos="1418"/>
        </w:tabs>
        <w:spacing w:after="0" w:line="240" w:lineRule="auto"/>
        <w:ind w:firstLine="284"/>
        <w:jc w:val="both"/>
        <w:rPr>
          <w:rFonts w:ascii="Garamond" w:eastAsia="Arial" w:hAnsi="Garamond" w:cs="Arial"/>
          <w:sz w:val="24"/>
          <w:szCs w:val="24"/>
          <w:lang w:val="sq-AL"/>
        </w:rPr>
      </w:pPr>
      <w:r w:rsidRPr="0058349C">
        <w:rPr>
          <w:rFonts w:ascii="Garamond" w:eastAsia="Arial" w:hAnsi="Garamond" w:cs="Arial"/>
          <w:noProof/>
          <w:sz w:val="24"/>
          <w:szCs w:val="24"/>
        </w:rPr>
        <mc:AlternateContent>
          <mc:Choice Requires="wpg">
            <w:drawing>
              <wp:anchor distT="0" distB="0" distL="114300" distR="114300" simplePos="0" relativeHeight="251658240" behindDoc="0" locked="0" layoutInCell="1" allowOverlap="1" wp14:anchorId="0773BACE" wp14:editId="39C350D4">
                <wp:simplePos x="0" y="0"/>
                <wp:positionH relativeFrom="column">
                  <wp:posOffset>1855825</wp:posOffset>
                </wp:positionH>
                <wp:positionV relativeFrom="paragraph">
                  <wp:posOffset>6781</wp:posOffset>
                </wp:positionV>
                <wp:extent cx="1574165" cy="1017270"/>
                <wp:effectExtent l="19050" t="0" r="26035" b="11430"/>
                <wp:wrapSquare wrapText="bothSides"/>
                <wp:docPr id="669"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4165" cy="1017270"/>
                          <a:chOff x="1440" y="7856"/>
                          <a:chExt cx="4228" cy="2389"/>
                        </a:xfrm>
                      </wpg:grpSpPr>
                      <pic:pic xmlns:pic="http://schemas.openxmlformats.org/drawingml/2006/picture">
                        <pic:nvPicPr>
                          <pic:cNvPr id="670" name="Picture 3" descr="Ein Bild, das iPod, Elektronik enthält.&#10;&#10;Automatisch generierte Beschreibu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440" y="7879"/>
                            <a:ext cx="4228" cy="2318"/>
                          </a:xfrm>
                          <a:prstGeom prst="rect">
                            <a:avLst/>
                          </a:prstGeom>
                          <a:noFill/>
                          <a:ln w="9525">
                            <a:solidFill>
                              <a:srgbClr val="595959"/>
                            </a:solidFill>
                            <a:miter lim="800000"/>
                            <a:headEnd/>
                            <a:tailEnd/>
                          </a:ln>
                          <a:extLst>
                            <a:ext uri="{909E8E84-426E-40DD-AFC4-6F175D3DCCD1}">
                              <a14:hiddenFill xmlns:a14="http://schemas.microsoft.com/office/drawing/2010/main">
                                <a:solidFill>
                                  <a:srgbClr val="FFFFFF"/>
                                </a:solidFill>
                              </a14:hiddenFill>
                            </a:ext>
                          </a:extLst>
                        </pic:spPr>
                      </pic:pic>
                      <wpg:grpSp>
                        <wpg:cNvPr id="671" name="Group 542"/>
                        <wpg:cNvGrpSpPr>
                          <a:grpSpLocks/>
                        </wpg:cNvGrpSpPr>
                        <wpg:grpSpPr bwMode="auto">
                          <a:xfrm>
                            <a:off x="1903" y="7856"/>
                            <a:ext cx="3322" cy="2389"/>
                            <a:chOff x="2378" y="13875"/>
                            <a:chExt cx="3322" cy="2389"/>
                          </a:xfrm>
                        </wpg:grpSpPr>
                        <wps:wsp>
                          <wps:cNvPr id="672" name="Oval 543"/>
                          <wps:cNvSpPr>
                            <a:spLocks noChangeArrowheads="1"/>
                          </wps:cNvSpPr>
                          <wps:spPr bwMode="auto">
                            <a:xfrm>
                              <a:off x="3643" y="15872"/>
                              <a:ext cx="800" cy="392"/>
                            </a:xfrm>
                            <a:prstGeom prst="ellipse">
                              <a:avLst/>
                            </a:prstGeom>
                            <a:solidFill>
                              <a:srgbClr val="FFFFFF"/>
                            </a:solidFill>
                            <a:ln w="9525">
                              <a:solidFill>
                                <a:srgbClr val="000000"/>
                              </a:solidFill>
                              <a:round/>
                              <a:headEnd/>
                              <a:tailEnd/>
                            </a:ln>
                          </wps:spPr>
                          <wps:txbx>
                            <w:txbxContent>
                              <w:p w14:paraId="0773BB3D" w14:textId="77777777" w:rsidR="002D2105" w:rsidRPr="000F4DCD" w:rsidRDefault="002D2105" w:rsidP="000F4DCD">
                                <w:pPr>
                                  <w:rPr>
                                    <w:sz w:val="18"/>
                                  </w:rPr>
                                </w:pPr>
                                <w:r w:rsidRPr="000F4DCD">
                                  <w:rPr>
                                    <w:sz w:val="18"/>
                                  </w:rPr>
                                  <w:t>OJQ-të</w:t>
                                </w:r>
                              </w:p>
                            </w:txbxContent>
                          </wps:txbx>
                          <wps:bodyPr rot="0" vert="horz" wrap="square" lIns="0" tIns="0" rIns="0" bIns="0" anchor="ctr" anchorCtr="0" upright="1">
                            <a:noAutofit/>
                          </wps:bodyPr>
                        </wps:wsp>
                        <wpg:grpSp>
                          <wpg:cNvPr id="673" name="Group 544"/>
                          <wpg:cNvGrpSpPr>
                            <a:grpSpLocks/>
                          </wpg:cNvGrpSpPr>
                          <wpg:grpSpPr bwMode="auto">
                            <a:xfrm>
                              <a:off x="2378" y="13875"/>
                              <a:ext cx="3322" cy="2106"/>
                              <a:chOff x="2411" y="13882"/>
                              <a:chExt cx="3322" cy="2106"/>
                            </a:xfrm>
                          </wpg:grpSpPr>
                          <wpg:grpSp>
                            <wpg:cNvPr id="674" name="Group 545"/>
                            <wpg:cNvGrpSpPr>
                              <a:grpSpLocks/>
                            </wpg:cNvGrpSpPr>
                            <wpg:grpSpPr bwMode="auto">
                              <a:xfrm>
                                <a:off x="2653" y="13882"/>
                                <a:ext cx="2832" cy="700"/>
                                <a:chOff x="2687" y="13900"/>
                                <a:chExt cx="2832" cy="700"/>
                              </a:xfrm>
                            </wpg:grpSpPr>
                            <wps:wsp>
                              <wps:cNvPr id="675" name="Oval 546"/>
                              <wps:cNvSpPr>
                                <a:spLocks noChangeArrowheads="1"/>
                              </wps:cNvSpPr>
                              <wps:spPr bwMode="auto">
                                <a:xfrm>
                                  <a:off x="2687" y="14208"/>
                                  <a:ext cx="800" cy="392"/>
                                </a:xfrm>
                                <a:prstGeom prst="ellipse">
                                  <a:avLst/>
                                </a:prstGeom>
                                <a:solidFill>
                                  <a:srgbClr val="FFFFFF"/>
                                </a:solidFill>
                                <a:ln w="9525">
                                  <a:solidFill>
                                    <a:srgbClr val="000000"/>
                                  </a:solidFill>
                                  <a:round/>
                                  <a:headEnd/>
                                  <a:tailEnd/>
                                </a:ln>
                              </wps:spPr>
                              <wps:txbx>
                                <w:txbxContent>
                                  <w:p w14:paraId="0773BB3E" w14:textId="77777777" w:rsidR="002D2105" w:rsidRPr="00EB6DD2" w:rsidRDefault="002D2105" w:rsidP="00EB6DD2">
                                    <w:pPr>
                                      <w:jc w:val="center"/>
                                      <w:rPr>
                                        <w:sz w:val="14"/>
                                        <w:szCs w:val="14"/>
                                      </w:rPr>
                                    </w:pPr>
                                    <w:r w:rsidRPr="00EB6DD2">
                                      <w:rPr>
                                        <w:sz w:val="14"/>
                                        <w:szCs w:val="14"/>
                                      </w:rPr>
                                      <w:t>AZHBR, ISUV</w:t>
                                    </w:r>
                                  </w:p>
                                </w:txbxContent>
                              </wps:txbx>
                              <wps:bodyPr rot="0" vert="horz" wrap="square" lIns="0" tIns="0" rIns="0" bIns="0" anchor="ctr" anchorCtr="0" upright="1">
                                <a:noAutofit/>
                              </wps:bodyPr>
                            </wps:wsp>
                            <wps:wsp>
                              <wps:cNvPr id="676" name="Oval 547"/>
                              <wps:cNvSpPr>
                                <a:spLocks noChangeArrowheads="1"/>
                              </wps:cNvSpPr>
                              <wps:spPr bwMode="auto">
                                <a:xfrm>
                                  <a:off x="3688" y="13900"/>
                                  <a:ext cx="800" cy="392"/>
                                </a:xfrm>
                                <a:prstGeom prst="ellipse">
                                  <a:avLst/>
                                </a:prstGeom>
                                <a:solidFill>
                                  <a:srgbClr val="FFFFFF"/>
                                </a:solidFill>
                                <a:ln w="9525">
                                  <a:solidFill>
                                    <a:srgbClr val="000000"/>
                                  </a:solidFill>
                                  <a:round/>
                                  <a:headEnd/>
                                  <a:tailEnd/>
                                </a:ln>
                              </wps:spPr>
                              <wps:txbx>
                                <w:txbxContent>
                                  <w:p w14:paraId="0773BB3F" w14:textId="77777777" w:rsidR="002D2105" w:rsidRPr="000F4DCD" w:rsidRDefault="002D2105" w:rsidP="000F4DCD">
                                    <w:pPr>
                                      <w:rPr>
                                        <w:sz w:val="18"/>
                                      </w:rPr>
                                    </w:pPr>
                                    <w:r w:rsidRPr="000F4DCD">
                                      <w:rPr>
                                        <w:sz w:val="18"/>
                                      </w:rPr>
                                      <w:t>SHKEB</w:t>
                                    </w:r>
                                  </w:p>
                                </w:txbxContent>
                              </wps:txbx>
                              <wps:bodyPr rot="0" vert="horz" wrap="square" lIns="0" tIns="0" rIns="0" bIns="0" anchor="ctr" anchorCtr="0" upright="1">
                                <a:noAutofit/>
                              </wps:bodyPr>
                            </wps:wsp>
                            <wps:wsp>
                              <wps:cNvPr id="677" name="Oval 548"/>
                              <wps:cNvSpPr>
                                <a:spLocks noChangeArrowheads="1"/>
                              </wps:cNvSpPr>
                              <wps:spPr bwMode="auto">
                                <a:xfrm>
                                  <a:off x="4719" y="14206"/>
                                  <a:ext cx="800" cy="392"/>
                                </a:xfrm>
                                <a:prstGeom prst="ellipse">
                                  <a:avLst/>
                                </a:prstGeom>
                                <a:solidFill>
                                  <a:srgbClr val="FFFFFF"/>
                                </a:solidFill>
                                <a:ln w="9525">
                                  <a:solidFill>
                                    <a:srgbClr val="000000"/>
                                  </a:solidFill>
                                  <a:round/>
                                  <a:headEnd/>
                                  <a:tailEnd/>
                                </a:ln>
                              </wps:spPr>
                              <wps:txbx>
                                <w:txbxContent>
                                  <w:p w14:paraId="0773BB40" w14:textId="77777777" w:rsidR="002D2105" w:rsidRPr="000F4DCD" w:rsidRDefault="002D2105" w:rsidP="000F4DCD">
                                    <w:pPr>
                                      <w:rPr>
                                        <w:sz w:val="18"/>
                                      </w:rPr>
                                    </w:pPr>
                                    <w:r w:rsidRPr="000F4DCD">
                                      <w:rPr>
                                        <w:sz w:val="18"/>
                                      </w:rPr>
                                      <w:t>UBT</w:t>
                                    </w:r>
                                  </w:p>
                                </w:txbxContent>
                              </wps:txbx>
                              <wps:bodyPr rot="0" vert="horz" wrap="square" lIns="0" tIns="0" rIns="0" bIns="0" anchor="ctr" anchorCtr="0" upright="1">
                                <a:noAutofit/>
                              </wps:bodyPr>
                            </wps:wsp>
                          </wpg:grpSp>
                          <wps:wsp>
                            <wps:cNvPr id="678" name="Oval 549"/>
                            <wps:cNvSpPr>
                              <a:spLocks noChangeArrowheads="1"/>
                            </wps:cNvSpPr>
                            <wps:spPr bwMode="auto">
                              <a:xfrm>
                                <a:off x="2654" y="15596"/>
                                <a:ext cx="800" cy="392"/>
                              </a:xfrm>
                              <a:prstGeom prst="ellipse">
                                <a:avLst/>
                              </a:prstGeom>
                              <a:solidFill>
                                <a:srgbClr val="FFFFFF"/>
                              </a:solidFill>
                              <a:ln w="9525">
                                <a:solidFill>
                                  <a:srgbClr val="000000"/>
                                </a:solidFill>
                                <a:round/>
                                <a:headEnd/>
                                <a:tailEnd/>
                              </a:ln>
                            </wps:spPr>
                            <wps:txbx>
                              <w:txbxContent>
                                <w:p w14:paraId="0773BB41" w14:textId="77777777" w:rsidR="002D2105" w:rsidRPr="000F4DCD" w:rsidRDefault="002D2105" w:rsidP="000F4DCD">
                                  <w:pPr>
                                    <w:rPr>
                                      <w:sz w:val="18"/>
                                    </w:rPr>
                                  </w:pPr>
                                  <w:r w:rsidRPr="000F4DCD">
                                    <w:rPr>
                                      <w:sz w:val="18"/>
                                    </w:rPr>
                                    <w:t>QTTB-të</w:t>
                                  </w:r>
                                </w:p>
                              </w:txbxContent>
                            </wps:txbx>
                            <wps:bodyPr rot="0" vert="horz" wrap="square" lIns="0" tIns="0" rIns="0" bIns="0" anchor="ctr" anchorCtr="0" upright="1">
                              <a:noAutofit/>
                            </wps:bodyPr>
                          </wps:wsp>
                          <wpg:grpSp>
                            <wpg:cNvPr id="679" name="Group 550"/>
                            <wpg:cNvGrpSpPr>
                              <a:grpSpLocks/>
                            </wpg:cNvGrpSpPr>
                            <wpg:grpSpPr bwMode="auto">
                              <a:xfrm>
                                <a:off x="2411" y="14267"/>
                                <a:ext cx="3322" cy="1684"/>
                                <a:chOff x="2428" y="14276"/>
                                <a:chExt cx="3322" cy="1684"/>
                              </a:xfrm>
                            </wpg:grpSpPr>
                            <wps:wsp>
                              <wps:cNvPr id="680" name="Oval 551"/>
                              <wps:cNvSpPr>
                                <a:spLocks noChangeArrowheads="1"/>
                              </wps:cNvSpPr>
                              <wps:spPr bwMode="auto">
                                <a:xfrm>
                                  <a:off x="4950" y="14868"/>
                                  <a:ext cx="800" cy="392"/>
                                </a:xfrm>
                                <a:prstGeom prst="ellipse">
                                  <a:avLst/>
                                </a:prstGeom>
                                <a:solidFill>
                                  <a:srgbClr val="FFFFFF"/>
                                </a:solidFill>
                                <a:ln w="9525">
                                  <a:solidFill>
                                    <a:srgbClr val="000000"/>
                                  </a:solidFill>
                                  <a:round/>
                                  <a:headEnd/>
                                  <a:tailEnd/>
                                </a:ln>
                              </wps:spPr>
                              <wps:txbx>
                                <w:txbxContent>
                                  <w:p w14:paraId="0773BB42" w14:textId="77777777" w:rsidR="002D2105" w:rsidRPr="000F4DCD" w:rsidRDefault="002D2105" w:rsidP="000F4DCD">
                                    <w:pPr>
                                      <w:rPr>
                                        <w:sz w:val="18"/>
                                      </w:rPr>
                                    </w:pPr>
                                    <w:r w:rsidRPr="000F4DCD">
                                      <w:rPr>
                                        <w:sz w:val="18"/>
                                      </w:rPr>
                                      <w:t>Arsimi profesional</w:t>
                                    </w:r>
                                  </w:p>
                                </w:txbxContent>
                              </wps:txbx>
                              <wps:bodyPr rot="0" vert="horz" wrap="square" lIns="0" tIns="0" rIns="0" bIns="0" anchor="ctr" anchorCtr="0" upright="1">
                                <a:noAutofit/>
                              </wps:bodyPr>
                            </wps:wsp>
                            <wps:wsp>
                              <wps:cNvPr id="681" name="Oval 552"/>
                              <wps:cNvSpPr>
                                <a:spLocks noChangeArrowheads="1"/>
                              </wps:cNvSpPr>
                              <wps:spPr bwMode="auto">
                                <a:xfrm>
                                  <a:off x="4738" y="15568"/>
                                  <a:ext cx="800" cy="392"/>
                                </a:xfrm>
                                <a:prstGeom prst="ellipse">
                                  <a:avLst/>
                                </a:prstGeom>
                                <a:solidFill>
                                  <a:srgbClr val="FFFFFF"/>
                                </a:solidFill>
                                <a:ln w="9525">
                                  <a:solidFill>
                                    <a:srgbClr val="000000"/>
                                  </a:solidFill>
                                  <a:round/>
                                  <a:headEnd/>
                                  <a:tailEnd/>
                                </a:ln>
                              </wps:spPr>
                              <wps:txbx>
                                <w:txbxContent>
                                  <w:p w14:paraId="0773BB43" w14:textId="77777777" w:rsidR="002D2105" w:rsidRPr="000F4DCD" w:rsidRDefault="002D2105" w:rsidP="000F4DCD">
                                    <w:pPr>
                                      <w:rPr>
                                        <w:sz w:val="18"/>
                                      </w:rPr>
                                    </w:pPr>
                                    <w:r w:rsidRPr="000F4DCD">
                                      <w:rPr>
                                        <w:sz w:val="18"/>
                                      </w:rPr>
                                      <w:t>Ofruesit e Imputeve</w:t>
                                    </w:r>
                                  </w:p>
                                </w:txbxContent>
                              </wps:txbx>
                              <wps:bodyPr rot="0" vert="horz" wrap="square" lIns="0" tIns="0" rIns="0" bIns="0" anchor="ctr" anchorCtr="0" upright="1">
                                <a:noAutofit/>
                              </wps:bodyPr>
                            </wps:wsp>
                            <wpg:grpSp>
                              <wpg:cNvPr id="682" name="Group 553"/>
                              <wpg:cNvGrpSpPr>
                                <a:grpSpLocks/>
                              </wpg:cNvGrpSpPr>
                              <wpg:grpSpPr bwMode="auto">
                                <a:xfrm>
                                  <a:off x="2428" y="14276"/>
                                  <a:ext cx="2522" cy="1605"/>
                                  <a:chOff x="2424" y="14292"/>
                                  <a:chExt cx="2522" cy="1605"/>
                                </a:xfrm>
                              </wpg:grpSpPr>
                              <wps:wsp>
                                <wps:cNvPr id="683" name="Oval 554"/>
                                <wps:cNvSpPr>
                                  <a:spLocks noChangeArrowheads="1"/>
                                </wps:cNvSpPr>
                                <wps:spPr bwMode="auto">
                                  <a:xfrm>
                                    <a:off x="3682" y="14892"/>
                                    <a:ext cx="800" cy="392"/>
                                  </a:xfrm>
                                  <a:prstGeom prst="ellipse">
                                    <a:avLst/>
                                  </a:prstGeom>
                                  <a:solidFill>
                                    <a:srgbClr val="FFFFFF"/>
                                  </a:solidFill>
                                  <a:ln w="9525">
                                    <a:solidFill>
                                      <a:srgbClr val="000000"/>
                                    </a:solidFill>
                                    <a:round/>
                                    <a:headEnd/>
                                    <a:tailEnd/>
                                  </a:ln>
                                </wps:spPr>
                                <wps:txbx>
                                  <w:txbxContent>
                                    <w:p w14:paraId="0773BB44" w14:textId="77777777" w:rsidR="002D2105" w:rsidRPr="000F4DCD" w:rsidRDefault="002D2105" w:rsidP="000F4DCD">
                                      <w:pPr>
                                        <w:rPr>
                                          <w:b/>
                                          <w:sz w:val="18"/>
                                        </w:rPr>
                                      </w:pPr>
                                      <w:r w:rsidRPr="000F4DCD">
                                        <w:rPr>
                                          <w:b/>
                                          <w:sz w:val="18"/>
                                        </w:rPr>
                                        <w:t>SNJIB</w:t>
                                      </w:r>
                                    </w:p>
                                  </w:txbxContent>
                                </wps:txbx>
                                <wps:bodyPr rot="0" vert="horz" wrap="square" lIns="0" tIns="0" rIns="0" bIns="0" anchor="ctr" anchorCtr="0" upright="1">
                                  <a:noAutofit/>
                                </wps:bodyPr>
                              </wps:wsp>
                              <wpg:grpSp>
                                <wpg:cNvPr id="684" name="Group 555"/>
                                <wpg:cNvGrpSpPr>
                                  <a:grpSpLocks/>
                                </wpg:cNvGrpSpPr>
                                <wpg:grpSpPr bwMode="auto">
                                  <a:xfrm>
                                    <a:off x="2424" y="14292"/>
                                    <a:ext cx="2522" cy="1605"/>
                                    <a:chOff x="2424" y="14292"/>
                                    <a:chExt cx="2522" cy="1605"/>
                                  </a:xfrm>
                                </wpg:grpSpPr>
                                <wps:wsp>
                                  <wps:cNvPr id="685" name="Oval 556"/>
                                  <wps:cNvSpPr>
                                    <a:spLocks noChangeArrowheads="1"/>
                                  </wps:cNvSpPr>
                                  <wps:spPr bwMode="auto">
                                    <a:xfrm>
                                      <a:off x="2424" y="14877"/>
                                      <a:ext cx="800" cy="392"/>
                                    </a:xfrm>
                                    <a:prstGeom prst="ellipse">
                                      <a:avLst/>
                                    </a:prstGeom>
                                    <a:solidFill>
                                      <a:srgbClr val="FFFFFF"/>
                                    </a:solidFill>
                                    <a:ln w="9525">
                                      <a:solidFill>
                                        <a:srgbClr val="000000"/>
                                      </a:solidFill>
                                      <a:round/>
                                      <a:headEnd/>
                                      <a:tailEnd/>
                                    </a:ln>
                                  </wps:spPr>
                                  <wps:txbx>
                                    <w:txbxContent>
                                      <w:p w14:paraId="0773BB45" w14:textId="77777777" w:rsidR="002D2105" w:rsidRPr="000F4DCD" w:rsidRDefault="002D2105" w:rsidP="000F4DCD">
                                        <w:pPr>
                                          <w:rPr>
                                            <w:sz w:val="18"/>
                                          </w:rPr>
                                        </w:pPr>
                                        <w:r w:rsidRPr="000F4DCD">
                                          <w:rPr>
                                            <w:sz w:val="18"/>
                                          </w:rPr>
                                          <w:t>MBZHR</w:t>
                                        </w:r>
                                      </w:p>
                                    </w:txbxContent>
                                  </wps:txbx>
                                  <wps:bodyPr rot="0" vert="horz" wrap="square" lIns="0" tIns="0" rIns="0" bIns="0" anchor="ctr" anchorCtr="0" upright="1">
                                    <a:noAutofit/>
                                  </wps:bodyPr>
                                </wps:wsp>
                                <wps:wsp>
                                  <wps:cNvPr id="686" name="AutoShape 557"/>
                                  <wps:cNvCnPr>
                                    <a:cxnSpLocks noChangeShapeType="1"/>
                                  </wps:cNvCnPr>
                                  <wps:spPr bwMode="auto">
                                    <a:xfrm>
                                      <a:off x="4087" y="14292"/>
                                      <a:ext cx="0" cy="59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7" name="AutoShape 558"/>
                                  <wps:cNvCnPr>
                                    <a:cxnSpLocks noChangeShapeType="1"/>
                                  </wps:cNvCnPr>
                                  <wps:spPr bwMode="auto">
                                    <a:xfrm>
                                      <a:off x="4095" y="15304"/>
                                      <a:ext cx="0" cy="59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8" name="AutoShape 559"/>
                                  <wps:cNvCnPr>
                                    <a:cxnSpLocks noChangeShapeType="1"/>
                                  </wps:cNvCnPr>
                                  <wps:spPr bwMode="auto">
                                    <a:xfrm>
                                      <a:off x="3379" y="14550"/>
                                      <a:ext cx="483" cy="3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9" name="AutoShape 560"/>
                                  <wps:cNvCnPr>
                                    <a:cxnSpLocks noChangeShapeType="1"/>
                                  </wps:cNvCnPr>
                                  <wps:spPr bwMode="auto">
                                    <a:xfrm>
                                      <a:off x="4307" y="15269"/>
                                      <a:ext cx="483" cy="3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0" name="AutoShape 561"/>
                                  <wps:cNvCnPr>
                                    <a:cxnSpLocks noChangeShapeType="1"/>
                                  </wps:cNvCnPr>
                                  <wps:spPr bwMode="auto">
                                    <a:xfrm>
                                      <a:off x="3224" y="15074"/>
                                      <a:ext cx="45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1" name="AutoShape 562"/>
                                  <wps:cNvCnPr>
                                    <a:cxnSpLocks noChangeShapeType="1"/>
                                  </wps:cNvCnPr>
                                  <wps:spPr bwMode="auto">
                                    <a:xfrm>
                                      <a:off x="4488" y="15074"/>
                                      <a:ext cx="45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2" name="AutoShape 563"/>
                                  <wps:cNvCnPr>
                                    <a:cxnSpLocks noChangeShapeType="1"/>
                                  </wps:cNvCnPr>
                                  <wps:spPr bwMode="auto">
                                    <a:xfrm flipV="1">
                                      <a:off x="4337" y="14417"/>
                                      <a:ext cx="383" cy="5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3" name="AutoShape 564"/>
                                  <wps:cNvCnPr>
                                    <a:cxnSpLocks noChangeShapeType="1"/>
                                  </wps:cNvCnPr>
                                  <wps:spPr bwMode="auto">
                                    <a:xfrm flipV="1">
                                      <a:off x="3461" y="15269"/>
                                      <a:ext cx="383" cy="5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grpSp>
                    </wpg:wgp>
                  </a:graphicData>
                </a:graphic>
                <wp14:sizeRelH relativeFrom="page">
                  <wp14:pctWidth>0</wp14:pctWidth>
                </wp14:sizeRelH>
                <wp14:sizeRelV relativeFrom="page">
                  <wp14:pctHeight>0</wp14:pctHeight>
                </wp14:sizeRelV>
              </wp:anchor>
            </w:drawing>
          </mc:Choice>
          <mc:Fallback>
            <w:pict>
              <v:group id="Group 669" o:spid="_x0000_s1135" style="position:absolute;left:0;text-align:left;margin-left:146.15pt;margin-top:.55pt;width:123.95pt;height:80.1pt;z-index:251658240;mso-position-horizontal-relative:text;mso-position-vertical-relative:text" coordorigin="1440,7856" coordsize="4228,23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">
                <v:shape id="Picture 3" o:spid="_x0000_s1136" type="#_x0000_t75" alt="Ein Bild, das iPod, Elektronik enthält.&#10;&#10;Automatisch generierte Beschreibung" style="position:absolute;left:1440;top:7879;width:4228;height:23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ZH0rBAAAA3AAAAA8AAABkcnMvZG93bnJldi54bWxET02LwjAQvQv+hzCCN011QaUaRQUXYddD&#10;qxdvQzM2xWZSmlS7/35zWNjj431vdr2txYtaXzlWMJsmIIgLpysuFdyup8kKhA/IGmvHpOCHPOy2&#10;w8EGU+3enNErD6WIIexTVGBCaFIpfWHIop+6hjhyD9daDBG2pdQtvmO4reU8SRbSYsWxwWBDR0PF&#10;M++sgv3nV93dnlnuL4fOsL9/fwRdKDUe9fs1iEB9+Bf/uc9awWIZ58cz8QjI7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8ZH0rBAAAA3AAAAA8AAAAAAAAAAAAAAAAAnwIA&#10;AGRycy9kb3ducmV2LnhtbFBLBQYAAAAABAAEAPcAAACNAwAAAAA=&#10;" stroked="t" strokecolor="#595959">
                  <v:imagedata r:id="rId22" o:title="Ein Bild, das iPod, Elektronik enthält"/>
                </v:shape>
                <v:group id="Group 542" o:spid="_x0000_s1137" style="position:absolute;left:1903;top:7856;width:3322;height:2389" coordorigin="2378,13875" coordsize="3322,23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SB38YAAADcAAAADwAAAGRycy9kb3ducmV2LnhtbESPT2vCQBTE74V+h+UV&#10;ejObtGglZhWRtvQQBLUg3h7ZZxLMvg3Zbf58e7dQ6HGYmd8w2WY0jeipc7VlBUkUgyAurK65VPB9&#10;+pgtQTiPrLGxTAomcrBZPz5kmGo78IH6oy9FgLBLUUHlfZtK6YqKDLrItsTBu9rOoA+yK6XucAhw&#10;08iXOF5IgzWHhQpb2lVU3I4/RsHngMP2NXnv89t1N11O8/05T0ip56dxuwLhafT/4b/2l1aweEv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8JIHfxgAAANwA&#10;AAAPAAAAAAAAAAAAAAAAAKoCAABkcnMvZG93bnJldi54bWxQSwUGAAAAAAQABAD6AAAAnQMAAAAA&#10;">
                  <v:oval id="Oval 543" o:spid="_x0000_s1138" style="position:absolute;left:3643;top:15872;width:800;height:3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qnEcQA&#10;AADcAAAADwAAAGRycy9kb3ducmV2LnhtbESPT4vCMBTE74LfITxhb5rqii5do4gg6EXwH4u3t82z&#10;LTYvpYlt/fZGEDwOM/MbZrZoTSFqqlxuWcFwEIEgTqzOOVVwOq77PyCcR9ZYWCYFD3KwmHc7M4y1&#10;bXhP9cGnIkDYxagg876MpXRJRgbdwJbEwbvayqAPskqlrrAJcFPIURRNpMGcw0KGJa0ySm6Hu1Ew&#10;dvi3vef1Jd1d/tffthkv7Xmj1FevXf6C8NT6T/jd3mgFk+kIXmfCEZ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qpxHEAAAA3AAAAA8AAAAAAAAAAAAAAAAAmAIAAGRycy9k&#10;b3ducmV2LnhtbFBLBQYAAAAABAAEAPUAAACJAwAAAAA=&#10;">
                    <v:textbox inset="0,0,0,0">
                      <w:txbxContent>
                        <w:p w14:paraId="0773BB3D" w14:textId="77777777" w:rsidR="002D2105" w:rsidRPr="000F4DCD" w:rsidRDefault="002D2105" w:rsidP="000F4DCD">
                          <w:pPr>
                            <w:rPr>
                              <w:sz w:val="18"/>
                            </w:rPr>
                          </w:pPr>
                          <w:r w:rsidRPr="000F4DCD">
                            <w:rPr>
                              <w:sz w:val="18"/>
                            </w:rPr>
                            <w:t>OJQ-të</w:t>
                          </w:r>
                        </w:p>
                      </w:txbxContent>
                    </v:textbox>
                  </v:oval>
                  <v:group id="Group 544" o:spid="_x0000_s1139" style="position:absolute;left:2378;top:13875;width:3322;height:2106" coordorigin="2411,13882" coordsize="3322,21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7q6M8UAAADcAAAADwAAAGRycy9kb3ducmV2LnhtbESPQYvCMBSE78L+h/CE&#10;vWnaFXWpRhFxlz2IoC6It0fzbIvNS2liW/+9EQSPw8x8w8yXnSlFQ7UrLCuIhxEI4tTqgjMF/8ef&#10;wTcI55E1lpZJwZ0cLBcfvTkm2ra8p+bgMxEg7BJUkHtfJVK6NCeDbmgr4uBdbG3QB1lnUtfYBrgp&#10;5VcUTaTBgsNCjhWtc0qvh5tR8NtiuxrFm2Z7vazv5+N4d9rGpNRnv1vNQHjq/Dv8av9pBZ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O6ujPFAAAA3AAA&#10;AA8AAAAAAAAAAAAAAAAAqgIAAGRycy9kb3ducmV2LnhtbFBLBQYAAAAABAAEAPoAAACcAwAAAAA=&#10;">
                    <v:group id="Group 545" o:spid="_x0000_s1140" style="position:absolute;left:2653;top:13882;width:2832;height:700" coordorigin="2687,13900" coordsize="2832,7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FMiR8YAAADcAAAADwAAAGRycy9kb3ducmV2LnhtbESPQWvCQBSE74L/YXlC&#10;b3UTa22JWUVEpQcpVAvF2yP7TEKyb0N2TeK/7xYKHoeZ+YZJ14OpRUetKy0riKcRCOLM6pJzBd/n&#10;/fM7COeRNdaWScGdHKxX41GKibY9f1F38rkIEHYJKii8bxIpXVaQQTe1DXHwrrY16INsc6lb7APc&#10;1HIWRQtpsOSwUGBD24Ky6nQzCg499puXeNcdq+v2fjm/fv4cY1LqaTJsliA8Df4R/m9/aAWLt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UyJHxgAAANwA&#10;AAAPAAAAAAAAAAAAAAAAAKoCAABkcnMvZG93bnJldi54bWxQSwUGAAAAAAQABAD6AAAAnQMAAAAA&#10;">
                      <v:oval id="Oval 546" o:spid="_x0000_s1141" style="position:absolute;left:2687;top:14208;width:800;height:3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M/ZcYA&#10;AADcAAAADwAAAGRycy9kb3ducmV2LnhtbESPQWvCQBSE7wX/w/IEb82mmqYldRURBL0Ipi3F22v2&#10;NQnNvg3ZNYn/3hUKPQ4z8w2zXI+mET11rras4CmKQRAXVtdcKvh43z2+gnAeWWNjmRRcycF6NXlY&#10;YqbtwCfqc1+KAGGXoYLK+zaT0hUVGXSRbYmD92M7gz7IrpS6wyHATSPncZxKgzWHhQpb2lZU/OYX&#10;oyBx+HW41P25PJ6/dws7JBv7uVdqNh03byA8jf4//NfeawXpyzPcz4QjIF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M/ZcYAAADcAAAADwAAAAAAAAAAAAAAAACYAgAAZHJz&#10;L2Rvd25yZXYueG1sUEsFBgAAAAAEAAQA9QAAAIsDAAAAAA==&#10;">
                        <v:textbox inset="0,0,0,0">
                          <w:txbxContent>
                            <w:p w14:paraId="0773BB3E" w14:textId="77777777" w:rsidR="002D2105" w:rsidRPr="00EB6DD2" w:rsidRDefault="002D2105" w:rsidP="00EB6DD2">
                              <w:pPr>
                                <w:jc w:val="center"/>
                                <w:rPr>
                                  <w:sz w:val="14"/>
                                  <w:szCs w:val="14"/>
                                </w:rPr>
                              </w:pPr>
                              <w:r w:rsidRPr="00EB6DD2">
                                <w:rPr>
                                  <w:sz w:val="14"/>
                                  <w:szCs w:val="14"/>
                                </w:rPr>
                                <w:t>AZHBR, ISUV</w:t>
                              </w:r>
                            </w:p>
                          </w:txbxContent>
                        </v:textbox>
                      </v:oval>
                      <v:oval id="Oval 547" o:spid="_x0000_s1142" style="position:absolute;left:3688;top:13900;width:800;height:3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GhEsYA&#10;AADcAAAADwAAAGRycy9kb3ducmV2LnhtbESPT2vCQBTE7wW/w/KE3upGG6KkriJCIL0Uqpbi7Zl9&#10;TYLZtyG7+dNv3y0Uehxm5jfMdj+ZRgzUudqyguUiAkFcWF1zqeByzp42IJxH1thYJgXf5GC/mz1s&#10;MdV25HcaTr4UAcIuRQWV920qpSsqMugWtiUO3pftDPogu1LqDscAN41cRVEiDdYcFips6VhRcT/1&#10;RkHs8PO1r4dr+Xa9Zc92jA/2I1fqcT4dXkB4mvx/+K+dawXJOoHfM+EIyN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GhEsYAAADcAAAADwAAAAAAAAAAAAAAAACYAgAAZHJz&#10;L2Rvd25yZXYueG1sUEsFBgAAAAAEAAQA9QAAAIsDAAAAAA==&#10;">
                        <v:textbox inset="0,0,0,0">
                          <w:txbxContent>
                            <w:p w14:paraId="0773BB3F" w14:textId="77777777" w:rsidR="002D2105" w:rsidRPr="000F4DCD" w:rsidRDefault="002D2105" w:rsidP="000F4DCD">
                              <w:pPr>
                                <w:rPr>
                                  <w:sz w:val="18"/>
                                </w:rPr>
                              </w:pPr>
                              <w:r w:rsidRPr="000F4DCD">
                                <w:rPr>
                                  <w:sz w:val="18"/>
                                </w:rPr>
                                <w:t>SHKEB</w:t>
                              </w:r>
                            </w:p>
                          </w:txbxContent>
                        </v:textbox>
                      </v:oval>
                      <v:oval id="Oval 548" o:spid="_x0000_s1143" style="position:absolute;left:4719;top:14206;width:800;height:3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0EicQA&#10;AADcAAAADwAAAGRycy9kb3ducmV2LnhtbESPT4vCMBTE74LfITxhb5quK1aqUUQQ3Ivgn2Xx9mye&#10;bdnmpTSx7X57Iwgeh5n5DbNYdaYUDdWusKzgcxSBIE6tLjhTcD5thzMQziNrLC2Tgn9ysFr2ewtM&#10;tG35QM3RZyJA2CWoIPe+SqR0aU4G3chWxMG72dqgD7LOpK6xDXBTynEUTaXBgsNCjhVtckr/jnej&#10;YOLw9/teNJdsf7luv2w7WdufnVIfg249B+Gp8+/wq73T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dBInEAAAA3AAAAA8AAAAAAAAAAAAAAAAAmAIAAGRycy9k&#10;b3ducmV2LnhtbFBLBQYAAAAABAAEAPUAAACJAwAAAAA=&#10;">
                        <v:textbox inset="0,0,0,0">
                          <w:txbxContent>
                            <w:p w14:paraId="0773BB40" w14:textId="77777777" w:rsidR="002D2105" w:rsidRPr="000F4DCD" w:rsidRDefault="002D2105" w:rsidP="000F4DCD">
                              <w:pPr>
                                <w:rPr>
                                  <w:sz w:val="18"/>
                                </w:rPr>
                              </w:pPr>
                              <w:r w:rsidRPr="000F4DCD">
                                <w:rPr>
                                  <w:sz w:val="18"/>
                                </w:rPr>
                                <w:t>UBT</w:t>
                              </w:r>
                            </w:p>
                          </w:txbxContent>
                        </v:textbox>
                      </v:oval>
                    </v:group>
                    <v:oval id="Oval 549" o:spid="_x0000_s1144" style="position:absolute;left:2654;top:15596;width:800;height:3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KQ+8AA&#10;AADcAAAADwAAAGRycy9kb3ducmV2LnhtbERPy4rCMBTdC/5DuII7TX2gUo0igqCbAV+Iu2tzbYvN&#10;TWli2/l7sxiY5eG8V5vWFKKmyuWWFYyGEQjixOqcUwXXy36wAOE8ssbCMin4JQebdbezwljbhk9U&#10;n30qQgi7GBVk3pexlC7JyKAb2pI4cC9bGfQBVqnUFTYh3BRyHEUzaTDn0JBhSbuMkvf5YxRMHd6P&#10;n7x+pD+P535im+nW3g5K9XvtdgnCU+v/xX/ug1Ywm4e14Uw4AnL9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AKQ+8AAAADcAAAADwAAAAAAAAAAAAAAAACYAgAAZHJzL2Rvd25y&#10;ZXYueG1sUEsFBgAAAAAEAAQA9QAAAIUDAAAAAA==&#10;">
                      <v:textbox inset="0,0,0,0">
                        <w:txbxContent>
                          <w:p w14:paraId="0773BB41" w14:textId="77777777" w:rsidR="002D2105" w:rsidRPr="000F4DCD" w:rsidRDefault="002D2105" w:rsidP="000F4DCD">
                            <w:pPr>
                              <w:rPr>
                                <w:sz w:val="18"/>
                              </w:rPr>
                            </w:pPr>
                            <w:r w:rsidRPr="000F4DCD">
                              <w:rPr>
                                <w:sz w:val="18"/>
                              </w:rPr>
                              <w:t>QTTB-të</w:t>
                            </w:r>
                          </w:p>
                        </w:txbxContent>
                      </v:textbox>
                    </v:oval>
                    <v:group id="Group 550" o:spid="_x0000_s1145" style="position:absolute;left:2411;top:14267;width:3322;height:1684" coordorigin="2428,14276" coordsize="3322,16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lKN2cYAAADcAAAADwAAAGRycy9kb3ducmV2LnhtbESPQWvCQBSE7wX/w/IE&#10;b3UTxWijq4jY0kMoVAult0f2mQSzb0N2TeK/dwuFHoeZ+YbZ7AZTi45aV1lWEE8jEMS51RUXCr7O&#10;r88rEM4ja6wtk4I7OdhtR08bTLXt+ZO6ky9EgLBLUUHpfZNK6fKSDLqpbYiDd7GtQR9kW0jdYh/g&#10;ppazKEqkwYrDQokNHUrKr6ebUfDWY7+fx8cuu14O95/z4uM7i0mpyXjYr0F4Gvx/+K/9rhUky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Uo3ZxgAAANwA&#10;AAAPAAAAAAAAAAAAAAAAAKoCAABkcnMvZG93bnJldi54bWxQSwUGAAAAAAQABAD6AAAAnQMAAAAA&#10;">
                      <v:oval id="Oval 551" o:spid="_x0000_s1146" style="position:absolute;left:4950;top:14868;width:800;height:3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Hs2sIA&#10;AADcAAAADwAAAGRycy9kb3ducmV2LnhtbERPy2rCQBTdF/yH4Qrd1UltCBIdRQTBbgpGpbi7zVyT&#10;0MydkJk8/HtnIbg8nPdqM5pa9NS6yrKCz1kEgji3uuJCwfm0/1iAcB5ZY22ZFNzJwWY9eVthqu3A&#10;R+ozX4gQwi5FBaX3TSqly0sy6Ga2IQ7czbYGfYBtIXWLQwg3tZxHUSINVhwaSmxoV1L+n3VGQezw&#10;97ur+mvxc/3bf9kh3trLQan36bhdgvA0+pf46T5oBckizA9nwhG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oezawgAAANwAAAAPAAAAAAAAAAAAAAAAAJgCAABkcnMvZG93&#10;bnJldi54bWxQSwUGAAAAAAQABAD1AAAAhwMAAAAA&#10;">
                        <v:textbox inset="0,0,0,0">
                          <w:txbxContent>
                            <w:p w14:paraId="0773BB42" w14:textId="77777777" w:rsidR="002D2105" w:rsidRPr="000F4DCD" w:rsidRDefault="002D2105" w:rsidP="000F4DCD">
                              <w:pPr>
                                <w:rPr>
                                  <w:sz w:val="18"/>
                                </w:rPr>
                              </w:pPr>
                              <w:r w:rsidRPr="000F4DCD">
                                <w:rPr>
                                  <w:sz w:val="18"/>
                                </w:rPr>
                                <w:t>Arsimi profesional</w:t>
                              </w:r>
                            </w:p>
                          </w:txbxContent>
                        </v:textbox>
                      </v:oval>
                      <v:oval id="Oval 552" o:spid="_x0000_s1147" style="position:absolute;left:4738;top:15568;width:800;height:3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1JQcQA&#10;AADcAAAADwAAAGRycy9kb3ducmV2LnhtbESPT4vCMBTE74LfITzBm6auIlJNiwiCe1lY/yDens2z&#10;LTYvpYlt99tvFhY8DjPzG2aT9qYSLTWutKxgNo1AEGdWl5wrOJ/2kxUI55E1VpZJwQ85SJPhYIOx&#10;th1/U3v0uQgQdjEqKLyvYyldVpBBN7U1cfAetjHog2xyqRvsAtxU8iOKltJgyWGhwJp2BWXP48so&#10;WDi8fr7K9pZ/3e77ue0WW3s5KDUe9ds1CE+9f4f/2wetYLmawd+ZcARk8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tSUHEAAAA3AAAAA8AAAAAAAAAAAAAAAAAmAIAAGRycy9k&#10;b3ducmV2LnhtbFBLBQYAAAAABAAEAPUAAACJAwAAAAA=&#10;">
                        <v:textbox inset="0,0,0,0">
                          <w:txbxContent>
                            <w:p w14:paraId="0773BB43" w14:textId="77777777" w:rsidR="002D2105" w:rsidRPr="000F4DCD" w:rsidRDefault="002D2105" w:rsidP="000F4DCD">
                              <w:pPr>
                                <w:rPr>
                                  <w:sz w:val="18"/>
                                </w:rPr>
                              </w:pPr>
                              <w:r w:rsidRPr="000F4DCD">
                                <w:rPr>
                                  <w:sz w:val="18"/>
                                </w:rPr>
                                <w:t>Ofruesit e Imputeve</w:t>
                              </w:r>
                            </w:p>
                          </w:txbxContent>
                        </v:textbox>
                      </v:oval>
                      <v:group id="Group 553" o:spid="_x0000_s1148" style="position:absolute;left:2428;top:14276;width:2522;height:1605" coordorigin="2424,14292" coordsize="2522,16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SNvj8QAAADcAAAADwAAAGRycy9kb3ducmV2LnhtbESPT4vCMBTE78J+h/AW&#10;vGlaZUW6RhFR8SCCf0D29miebbF5KU1s67c3C4LHYWZ+w8wWnSlFQ7UrLCuIhxEI4tTqgjMFl/Nm&#10;MAXhPLLG0jIpeJKDxfyrN8NE25aP1Jx8JgKEXYIKcu+rREqX5mTQDW1FHLybrQ36IOtM6hrbADel&#10;HEXRRBosOCzkWNEqp/R+ehgF2xbb5TheN/v7bfX8O/8crvuYlOp/d8tfEJ46/wm/2zutYDIdwf+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SNvj8QAAADcAAAA&#10;DwAAAAAAAAAAAAAAAACqAgAAZHJzL2Rvd25yZXYueG1sUEsFBgAAAAAEAAQA+gAAAJsDAAAAAA==&#10;">
                        <v:oval id="Oval 554" o:spid="_x0000_s1149" style="position:absolute;left:3682;top:14892;width:800;height:3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NyrcMA&#10;AADcAAAADwAAAGRycy9kb3ducmV2LnhtbESPzarCMBSE94LvEI5wd5r6g0g1igiCdyPoVcTdsTm2&#10;xeakNLGtb28E4S6HmfmGWaxaU4iaKpdbVjAcRCCIE6tzThWc/rb9GQjnkTUWlknBixyslt3OAmNt&#10;Gz5QffSpCBB2MSrIvC9jKV2SkUE3sCVx8O62MuiDrFKpK2wC3BRyFEVTaTDnsJBhSZuMksfxaRRM&#10;HF5+n3l9TffX23Zsm8nanndK/fTa9RyEp9b/h7/tnVYwnY3hcyYcAbl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3NyrcMAAADcAAAADwAAAAAAAAAAAAAAAACYAgAAZHJzL2Rv&#10;d25yZXYueG1sUEsFBgAAAAAEAAQA9QAAAIgDAAAAAA==&#10;">
                          <v:textbox inset="0,0,0,0">
                            <w:txbxContent>
                              <w:p w14:paraId="0773BB44" w14:textId="77777777" w:rsidR="002D2105" w:rsidRPr="000F4DCD" w:rsidRDefault="002D2105" w:rsidP="000F4DCD">
                                <w:pPr>
                                  <w:rPr>
                                    <w:b/>
                                    <w:sz w:val="18"/>
                                  </w:rPr>
                                </w:pPr>
                                <w:r w:rsidRPr="000F4DCD">
                                  <w:rPr>
                                    <w:b/>
                                    <w:sz w:val="18"/>
                                  </w:rPr>
                                  <w:t>SNJIB</w:t>
                                </w:r>
                              </w:p>
                            </w:txbxContent>
                          </v:textbox>
                        </v:oval>
                        <v:group id="Group 555" o:spid="_x0000_s1150" style="position:absolute;left:2424;top:14292;width:2522;height:1605" coordorigin="2424,14292" coordsize="2522,16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ZSYMYAAADcAAAADwAAAGRycy9kb3ducmV2LnhtbESPQWvCQBSE7wX/w/KE&#10;3uomthVJ3YQgKh6kUC2U3h7ZZxKSfRuyaxL/fbdQ6HGYmW+YTTaZVgzUu9qygngRgSAurK65VPB5&#10;2T+tQTiPrLG1TAru5CBLZw8bTLQd+YOGsy9FgLBLUEHlfZdI6YqKDLqF7YiDd7W9QR9kX0rd4xjg&#10;ppXLKFpJgzWHhQo72lZUNOebUXAYccyf491waq7b+/fl9f3rFJNSj/MpfwPhafL/4b/2UStYrV/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hlJgxgAAANwA&#10;AAAPAAAAAAAAAAAAAAAAAKoCAABkcnMvZG93bnJldi54bWxQSwUGAAAAAAQABAD6AAAAnQMAAAAA&#10;">
                          <v:oval id="Oval 556" o:spid="_x0000_s1151" style="position:absolute;left:2424;top:14877;width:800;height:3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ZPQsUA&#10;AADcAAAADwAAAGRycy9kb3ducmV2LnhtbESPS4vCQBCE7wv+h6EFb+vExwbJOooIgl4EX4i33kxv&#10;EjbTEzJjEv+9Iwh7LKrqK2q+7EwpGqpdYVnBaBiBIE6tLjhTcD5tPmcgnEfWWFomBQ9ysFz0PuaY&#10;aNvygZqjz0SAsEtQQe59lUjp0pwMuqGtiIP3a2uDPsg6k7rGNsBNKcdRFEuDBYeFHCta55T+He9G&#10;wdThdXcvmlu2v/1sJradruxlq9Sg362+QXjq/H/43d5qBfHsC15nwhGQi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1k9CxQAAANwAAAAPAAAAAAAAAAAAAAAAAJgCAABkcnMv&#10;ZG93bnJldi54bWxQSwUGAAAAAAQABAD1AAAAigMAAAAA&#10;">
                            <v:textbox inset="0,0,0,0">
                              <w:txbxContent>
                                <w:p w14:paraId="0773BB45" w14:textId="77777777" w:rsidR="002D2105" w:rsidRPr="000F4DCD" w:rsidRDefault="002D2105" w:rsidP="000F4DCD">
                                  <w:pPr>
                                    <w:rPr>
                                      <w:sz w:val="18"/>
                                    </w:rPr>
                                  </w:pPr>
                                  <w:r w:rsidRPr="000F4DCD">
                                    <w:rPr>
                                      <w:sz w:val="18"/>
                                    </w:rPr>
                                    <w:t>MBZHR</w:t>
                                  </w:r>
                                </w:p>
                              </w:txbxContent>
                            </v:textbox>
                          </v:oval>
                          <v:shapetype id="_x0000_t32" coordsize="21600,21600" o:spt="32" o:oned="t" path="m,l21600,21600e" filled="f">
                            <v:path arrowok="t" fillok="f" o:connecttype="none"/>
                            <o:lock v:ext="edit" shapetype="t"/>
                          </v:shapetype>
                          <v:shape id="AutoShape 557" o:spid="_x0000_s1152" type="#_x0000_t32" style="position:absolute;left:4087;top:14292;width:0;height:5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RxE8UAAADcAAAADwAAAGRycy9kb3ducmV2LnhtbESPQWsCMRSE74X+h/AKvRTNWugiq1G2&#10;BaEKHrT1/tw8N8HNy3YTdf33jSB4HGbmG2Y6710jztQF61nBaJiBIK68tlwr+P1ZDMYgQkTW2Hgm&#10;BVcKMJ89P02x0P7CGzpvYy0ShEOBCkyMbSFlqAw5DEPfEifv4DuHMcmulrrDS4K7Rr5nWS4dWk4L&#10;Blv6MlQdtyenYL0cfZZ7Y5erzZ9dfyzK5lS/7ZR6fenLCYhIfXyE7+1vrSAf53A7k46AnP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7RxE8UAAADcAAAADwAAAAAAAAAA&#10;AAAAAAChAgAAZHJzL2Rvd25yZXYueG1sUEsFBgAAAAAEAAQA+QAAAJMDAAAAAA==&#10;"/>
                          <v:shape id="AutoShape 558" o:spid="_x0000_s1153" type="#_x0000_t32" style="position:absolute;left:4095;top:15304;width:0;height:5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UiMYAAADcAAAADwAAAGRycy9kb3ducmV2LnhtbESPQWsCMRSE74X+h/AKvRTNWqjKapRt&#10;QaiCB1e9Pzevm9DNy3YTdfvvTaHgcZiZb5j5sneNuFAXrGcFo2EGgrjy2nKt4LBfDaYgQkTW2Hgm&#10;Bb8UYLl4fJhjrv2Vd3QpYy0ShEOOCkyMbS5lqAw5DEPfEifvy3cOY5JdLXWH1wR3jXzNsrF0aDkt&#10;GGzpw1D1XZ6dgu169F6cjF1vdj92+7YqmnP9clTq+akvZiAi9fEe/m9/agXj6QT+zqQjIB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j41IjGAAAA3AAAAA8AAAAAAAAA&#10;AAAAAAAAoQIAAGRycy9kb3ducmV2LnhtbFBLBQYAAAAABAAEAPkAAACUAwAAAAA=&#10;"/>
                          <v:shape id="AutoShape 559" o:spid="_x0000_s1154" type="#_x0000_t32" style="position:absolute;left:3379;top:14550;width:483;height:3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dA+sIAAADcAAAADwAAAGRycy9kb3ducmV2LnhtbERPTWsCMRC9C/6HMIIX0axCRVajrAWh&#10;Fjxo633cjJvgZrJuom7/fXMo9Ph436tN52rxpDZYzwqmkwwEcem15UrB99duvAARIrLG2jMp+KEA&#10;m3W/t8Jc+xcf6XmKlUghHHJUYGJscilDachhmPiGOHFX3zqMCbaV1C2+Urir5SzL5tKh5dRgsKF3&#10;Q+Xt9HAKDvvptrgYu/883u3hbVfUj2p0Vmo46IoliEhd/Bf/uT+0gvkirU1n0hG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WdA+sIAAADcAAAADwAAAAAAAAAAAAAA&#10;AAChAgAAZHJzL2Rvd25yZXYueG1sUEsFBgAAAAAEAAQA+QAAAJADAAAAAA==&#10;"/>
                          <v:shape id="AutoShape 560" o:spid="_x0000_s1155" type="#_x0000_t32" style="position:absolute;left:4307;top:15269;width:483;height:3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vlYcUAAADcAAAADwAAAGRycy9kb3ducmV2LnhtbESPT2sCMRTE74V+h/AKvRTNWqjo1ihb&#10;QaiCB//dn5vXTejmZd1EXb+9EQo9DjPzG2Yy61wtLtQG61nBoJ+BIC69tlwp2O8WvRGIEJE11p5J&#10;wY0CzKbPTxPMtb/yhi7bWIkE4ZCjAhNjk0sZSkMOQ983xMn78a3DmGRbSd3iNcFdLd+zbCgdWk4L&#10;BhuaGyp/t2enYL0cfBVHY5erzcmuPxZFfa7eDkq9vnTFJ4hIXfwP/7W/tYLhaAyPM+kIyO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ivlYcUAAADcAAAADwAAAAAAAAAA&#10;AAAAAAChAgAAZHJzL2Rvd25yZXYueG1sUEsFBgAAAAAEAAQA+QAAAJMDAAAAAA==&#10;"/>
                          <v:shape id="AutoShape 561" o:spid="_x0000_s1156" type="#_x0000_t32" style="position:absolute;left:3224;top:15074;width:45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jaIcIAAADcAAAADwAAAGRycy9kb3ducmV2LnhtbERPy2oCMRTdC/2HcIVuRDMWKnU0ylQQ&#10;asGFr/11cp0EJzfjJOr075tFocvDec+XnavFg9pgPSsYjzIQxKXXlisFx8N6+AEiRGSNtWdS8EMB&#10;louX3hxz7Z+8o8c+ViKFcMhRgYmxyaUMpSGHYeQb4sRdfOswJthWUrf4TOGulm9ZNpEOLacGgw2t&#10;DJXX/d0p2G7Gn8XZ2M337ma37+uivleDk1Kv/a6YgYjUxX/xn/tLK5hM0/x0Jh0Buf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sjaIcIAAADcAAAADwAAAAAAAAAAAAAA&#10;AAChAgAAZHJzL2Rvd25yZXYueG1sUEsFBgAAAAAEAAQA+QAAAJADAAAAAA==&#10;"/>
                          <v:shape id="AutoShape 562" o:spid="_x0000_s1157" type="#_x0000_t32" style="position:absolute;left:4488;top:15074;width:45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R/usYAAADcAAAADwAAAGRycy9kb3ducmV2LnhtbESPQWsCMRSE70L/Q3iFXkSzW1Ds1ihr&#10;QagFD2q9v25eN6Gbl3UTdf33TaHgcZiZb5j5sneNuFAXrGcF+TgDQVx5bblW8HlYj2YgQkTW2Hgm&#10;BTcKsFw8DOZYaH/lHV32sRYJwqFABSbGtpAyVIYchrFviZP37TuHMcmulrrDa4K7Rj5n2VQ6tJwW&#10;DLb0Zqj62Z+dgu0mX5Vfxm4+die7nazL5lwPj0o9PfblK4hIfbyH/9vvWsH0JYe/M+k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2Ef7rGAAAA3AAAAA8AAAAAAAAA&#10;AAAAAAAAoQIAAGRycy9kb3ducmV2LnhtbFBLBQYAAAAABAAEAPkAAACUAwAAAAA=&#10;"/>
                          <v:shape id="AutoShape 563" o:spid="_x0000_s1158" type="#_x0000_t32" style="position:absolute;left:4337;top:14417;width:383;height:50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dhpsQAAADcAAAADwAAAGRycy9kb3ducmV2LnhtbESPQYvCMBSE7wv+h/AEL4um9SBajSIL&#10;C4uHBbUHj4/kbVu2ealJttZ/vxEEj8PMfMNsdoNtRU8+NI4V5LMMBLF2puFKQXn+nC5BhIhssHVM&#10;Cu4UYLcdvW2wMO7GR+pPsRIJwqFABXWMXSFl0DVZDDPXESfvx3mLMUlfSePxluC2lfMsW0iLDaeF&#10;Gjv6qEn/nv6sguZQfpf9+zV6vTzkF5+H86XVSk3Gw34NItIQX+Fn+8soWKzm8DiTjoD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t2GmxAAAANwAAAAPAAAAAAAAAAAA&#10;AAAAAKECAABkcnMvZG93bnJldi54bWxQSwUGAAAAAAQABAD5AAAAkgMAAAAA&#10;"/>
                          <v:shape id="AutoShape 564" o:spid="_x0000_s1159" type="#_x0000_t32" style="position:absolute;left:3461;top:15269;width:383;height:50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vEPcUAAADcAAAADwAAAGRycy9kb3ducmV2LnhtbESPQWsCMRSE74X+h/AKvRTNbguiW6OI&#10;IIiHgroHj4/kubt087Imcd3++0YQPA4z8w0zXw62FT350DhWkI8zEMTamYYrBeVxM5qCCBHZYOuY&#10;FPxRgOXi9WWOhXE33lN/iJVIEA4FKqhj7Aopg67JYhi7jjh5Z+ctxiR9JY3HW4LbVn5m2URabDgt&#10;1NjRuib9e7haBc2u/Cn7j0v0errLTz4Px1OrlXp/G1bfICIN8Rl+tLdGwWT2Bfcz6QjIx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vvEPcUAAADcAAAADwAAAAAAAAAA&#10;AAAAAAChAgAAZHJzL2Rvd25yZXYueG1sUEsFBgAAAAAEAAQA+QAAAJMDAAAAAA==&#10;"/>
                        </v:group>
                      </v:group>
                    </v:group>
                  </v:group>
                </v:group>
                <w10:wrap type="square"/>
              </v:group>
            </w:pict>
          </mc:Fallback>
        </mc:AlternateContent>
      </w:r>
    </w:p>
    <w:p w14:paraId="0773B0BE" w14:textId="77777777" w:rsidR="000F4DCD" w:rsidRPr="0058349C" w:rsidRDefault="000F4DCD" w:rsidP="00DF7A00">
      <w:pPr>
        <w:tabs>
          <w:tab w:val="left" w:pos="1418"/>
        </w:tabs>
        <w:spacing w:after="0" w:line="240" w:lineRule="auto"/>
        <w:ind w:firstLine="284"/>
        <w:jc w:val="both"/>
        <w:rPr>
          <w:rFonts w:ascii="Garamond" w:eastAsia="Arial" w:hAnsi="Garamond" w:cs="Arial"/>
          <w:sz w:val="24"/>
          <w:szCs w:val="24"/>
          <w:lang w:val="sq-AL"/>
        </w:rPr>
      </w:pPr>
    </w:p>
    <w:p w14:paraId="0773B0BF" w14:textId="77777777" w:rsidR="000F4DCD" w:rsidRPr="0058349C" w:rsidRDefault="000F4DCD" w:rsidP="000F4DCD">
      <w:pPr>
        <w:tabs>
          <w:tab w:val="left" w:pos="1418"/>
        </w:tabs>
        <w:spacing w:after="0" w:line="240" w:lineRule="auto"/>
        <w:ind w:left="284"/>
        <w:jc w:val="both"/>
        <w:rPr>
          <w:rFonts w:ascii="Garamond" w:eastAsia="Arial" w:hAnsi="Garamond" w:cs="Arial"/>
          <w:sz w:val="24"/>
          <w:szCs w:val="24"/>
          <w:lang w:val="sq-AL"/>
        </w:rPr>
      </w:pPr>
    </w:p>
    <w:p w14:paraId="0773B0C0" w14:textId="77777777" w:rsidR="000F4DCD" w:rsidRPr="0058349C" w:rsidRDefault="000F4DCD" w:rsidP="000F4DCD">
      <w:pPr>
        <w:tabs>
          <w:tab w:val="left" w:pos="1418"/>
        </w:tabs>
        <w:spacing w:after="0" w:line="240" w:lineRule="auto"/>
        <w:ind w:left="284"/>
        <w:jc w:val="both"/>
        <w:rPr>
          <w:rFonts w:ascii="Garamond" w:eastAsia="Arial" w:hAnsi="Garamond" w:cs="Arial"/>
          <w:sz w:val="24"/>
          <w:szCs w:val="24"/>
          <w:lang w:val="sq-AL"/>
        </w:rPr>
      </w:pPr>
    </w:p>
    <w:p w14:paraId="0773B0C1" w14:textId="77777777" w:rsidR="000F4DCD" w:rsidRPr="0058349C" w:rsidRDefault="000F4DCD" w:rsidP="000F4DCD">
      <w:pPr>
        <w:tabs>
          <w:tab w:val="left" w:pos="1418"/>
        </w:tabs>
        <w:spacing w:after="0" w:line="240" w:lineRule="auto"/>
        <w:ind w:left="284"/>
        <w:jc w:val="both"/>
        <w:rPr>
          <w:rFonts w:ascii="Garamond" w:eastAsia="Arial" w:hAnsi="Garamond" w:cs="Arial"/>
          <w:sz w:val="24"/>
          <w:szCs w:val="24"/>
          <w:lang w:val="sq-AL"/>
        </w:rPr>
      </w:pPr>
    </w:p>
    <w:p w14:paraId="0773B0C2" w14:textId="77777777" w:rsidR="000F4DCD" w:rsidRPr="0058349C" w:rsidRDefault="000F4DCD" w:rsidP="000F4DCD">
      <w:pPr>
        <w:tabs>
          <w:tab w:val="left" w:pos="1418"/>
        </w:tabs>
        <w:spacing w:after="0" w:line="240" w:lineRule="auto"/>
        <w:ind w:left="284"/>
        <w:jc w:val="both"/>
        <w:rPr>
          <w:rFonts w:ascii="Garamond" w:eastAsia="Arial" w:hAnsi="Garamond" w:cs="Arial"/>
          <w:sz w:val="24"/>
          <w:szCs w:val="24"/>
          <w:lang w:val="sq-AL"/>
        </w:rPr>
      </w:pPr>
    </w:p>
    <w:p w14:paraId="0773B0C3" w14:textId="77777777" w:rsidR="000F4DCD" w:rsidRPr="0058349C" w:rsidRDefault="000F4DCD" w:rsidP="000F4DCD">
      <w:pPr>
        <w:tabs>
          <w:tab w:val="left" w:pos="1418"/>
        </w:tabs>
        <w:spacing w:after="0" w:line="240" w:lineRule="auto"/>
        <w:ind w:left="284"/>
        <w:jc w:val="both"/>
        <w:rPr>
          <w:rFonts w:ascii="Garamond" w:eastAsia="Arial" w:hAnsi="Garamond" w:cs="Arial"/>
          <w:sz w:val="24"/>
          <w:szCs w:val="24"/>
          <w:lang w:val="sq-AL"/>
        </w:rPr>
      </w:pPr>
    </w:p>
    <w:p w14:paraId="0773B0C4" w14:textId="67A1F0DC" w:rsidR="00DF7A00" w:rsidRPr="0058349C" w:rsidRDefault="00DF7A00" w:rsidP="0016394D">
      <w:pPr>
        <w:pStyle w:val="TEKSTIIII"/>
        <w:rPr>
          <w:lang w:val="sq-AL"/>
        </w:rPr>
      </w:pPr>
      <w:r w:rsidRPr="0058349C">
        <w:rPr>
          <w:lang w:val="sq-AL"/>
        </w:rPr>
        <w:t xml:space="preserve">Në kuadrin e projektit IPA të financuar nga BE-ja </w:t>
      </w:r>
      <w:r w:rsidR="00664693" w:rsidRPr="0058349C">
        <w:rPr>
          <w:lang w:val="sq-AL"/>
        </w:rPr>
        <w:t>“</w:t>
      </w:r>
      <w:r w:rsidRPr="0058349C">
        <w:rPr>
          <w:lang w:val="sq-AL"/>
        </w:rPr>
        <w:t>Përmirësimi i performancës dhe cilësisë së shërbimit publik të ekstensionit në sektorin e blegtorisë</w:t>
      </w:r>
      <w:r w:rsidR="00664693" w:rsidRPr="0058349C">
        <w:rPr>
          <w:lang w:val="sq-AL"/>
        </w:rPr>
        <w:t>”</w:t>
      </w:r>
      <w:r w:rsidRPr="0058349C">
        <w:rPr>
          <w:lang w:val="sq-AL"/>
        </w:rPr>
        <w:t xml:space="preserve"> (IPESA), u përgatit Plani Strategjik i Veprimit për SHKEB-në</w:t>
      </w:r>
      <w:r w:rsidR="00EB6DD2">
        <w:rPr>
          <w:lang w:val="sq-AL"/>
        </w:rPr>
        <w:t>,</w:t>
      </w:r>
      <w:r w:rsidRPr="0058349C">
        <w:rPr>
          <w:lang w:val="sq-AL"/>
        </w:rPr>
        <w:t xml:space="preserve"> me synim zhvillimin e mëtejshëm të tij për t</w:t>
      </w:r>
      <w:r w:rsidR="00EB6DD2">
        <w:rPr>
          <w:lang w:val="sq-AL"/>
        </w:rPr>
        <w:t>’</w:t>
      </w:r>
      <w:r w:rsidRPr="0058349C">
        <w:rPr>
          <w:lang w:val="sq-AL"/>
        </w:rPr>
        <w:t>u integruar në një SNJIB</w:t>
      </w:r>
      <w:r w:rsidR="0016394D">
        <w:rPr>
          <w:lang w:val="sq-AL"/>
        </w:rPr>
        <w:t>,</w:t>
      </w:r>
      <w:r w:rsidRPr="0058349C">
        <w:rPr>
          <w:lang w:val="sq-AL"/>
        </w:rPr>
        <w:t xml:space="preserve"> në përputhje me strategjitë e vendeve anëtare të BE-së dhe PPB</w:t>
      </w:r>
      <w:r w:rsidR="0016394D">
        <w:rPr>
          <w:lang w:val="sq-AL"/>
        </w:rPr>
        <w:t>-në</w:t>
      </w:r>
      <w:r w:rsidRPr="0058349C">
        <w:rPr>
          <w:lang w:val="sq-AL"/>
        </w:rPr>
        <w:t xml:space="preserve"> pas 2020. Aktualisht</w:t>
      </w:r>
      <w:r w:rsidR="0016394D">
        <w:rPr>
          <w:lang w:val="sq-AL"/>
        </w:rPr>
        <w:t>ë,</w:t>
      </w:r>
      <w:r w:rsidRPr="0058349C">
        <w:rPr>
          <w:lang w:val="sq-AL"/>
        </w:rPr>
        <w:t xml:space="preserve"> në Shqipëri ka një numër aktorësh që zotërojnë njohuri të larmishme në fushën e bujqësisë dhe të inovacionit bujqësor. Koordinimi dhe bashkëpunimi institucional i tyre është e nevojshme që të forcohet më tej, që</w:t>
      </w:r>
      <w:r w:rsidR="00CF7694" w:rsidRPr="0058349C">
        <w:rPr>
          <w:lang w:val="sq-AL"/>
        </w:rPr>
        <w:t xml:space="preserve"> </w:t>
      </w:r>
      <w:r w:rsidRPr="0058349C">
        <w:rPr>
          <w:lang w:val="sq-AL"/>
        </w:rPr>
        <w:t>ata të mos veprojnë të shkëputur nga njëri-tjetri, gjë që nga njëra anë e ul efektivitetin në informimin e fermerëve mbi teknologjitë e reja për rritjen e produktivitetit në mënyrë të qëndrueshme</w:t>
      </w:r>
      <w:r w:rsidR="0016394D">
        <w:rPr>
          <w:lang w:val="sq-AL"/>
        </w:rPr>
        <w:t>,</w:t>
      </w:r>
      <w:r w:rsidRPr="0058349C">
        <w:rPr>
          <w:lang w:val="sq-AL"/>
        </w:rPr>
        <w:t xml:space="preserve"> duke ruajtur burimet natyrore</w:t>
      </w:r>
      <w:r w:rsidR="0016394D">
        <w:rPr>
          <w:lang w:val="sq-AL"/>
        </w:rPr>
        <w:t>,</w:t>
      </w:r>
      <w:r w:rsidRPr="0058349C">
        <w:rPr>
          <w:lang w:val="sq-AL"/>
        </w:rPr>
        <w:t xml:space="preserve"> si tok</w:t>
      </w:r>
      <w:r w:rsidR="0016394D">
        <w:rPr>
          <w:lang w:val="sq-AL"/>
        </w:rPr>
        <w:t>ë</w:t>
      </w:r>
      <w:r w:rsidRPr="0058349C">
        <w:rPr>
          <w:lang w:val="sq-AL"/>
        </w:rPr>
        <w:t xml:space="preserve">n dhe ujërat, dhe nga ana tjetër, mban të ulur eficiencën e përdorimit të fondeve publike, që i alokohen institucioneve publike të ndryshme si p.sh. </w:t>
      </w:r>
      <w:r w:rsidR="0016394D" w:rsidRPr="0058349C">
        <w:rPr>
          <w:lang w:val="sq-AL"/>
        </w:rPr>
        <w:t xml:space="preserve">universiteteve </w:t>
      </w:r>
      <w:r w:rsidRPr="0058349C">
        <w:rPr>
          <w:lang w:val="sq-AL"/>
        </w:rPr>
        <w:t>dhe qendrave të tjera të specializuara</w:t>
      </w:r>
      <w:r w:rsidR="0016394D">
        <w:rPr>
          <w:lang w:val="sq-AL"/>
        </w:rPr>
        <w:t>,</w:t>
      </w:r>
      <w:r w:rsidRPr="0058349C">
        <w:rPr>
          <w:lang w:val="sq-AL"/>
        </w:rPr>
        <w:t xml:space="preserve"> si QTTB-të etj. për aktivitetin e kërkim-zhvillimit, por edhe atyre që angazhohen në shpërndarjen e njohurive dhe të teknologjive të reja. </w:t>
      </w:r>
    </w:p>
    <w:p w14:paraId="0773B0C5" w14:textId="63B47EB4" w:rsidR="00DF7A00" w:rsidRPr="0058349C" w:rsidRDefault="00DF7A00" w:rsidP="009867B2">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Aktorët (subjektet e ndryshme publike dhe jopublike) janë të angazhuar</w:t>
      </w:r>
      <w:r w:rsidR="00CF7694" w:rsidRPr="0058349C">
        <w:rPr>
          <w:rFonts w:ascii="Garamond" w:eastAsia="Arial" w:hAnsi="Garamond" w:cs="Arial"/>
          <w:sz w:val="24"/>
          <w:szCs w:val="24"/>
          <w:lang w:val="sq-AL"/>
        </w:rPr>
        <w:t xml:space="preserve"> </w:t>
      </w:r>
      <w:r w:rsidRPr="0058349C">
        <w:rPr>
          <w:rFonts w:ascii="Garamond" w:eastAsia="Arial" w:hAnsi="Garamond" w:cs="Arial"/>
          <w:sz w:val="24"/>
          <w:szCs w:val="24"/>
          <w:lang w:val="sq-AL"/>
        </w:rPr>
        <w:t>për të promovuar njehsimin e a</w:t>
      </w:r>
      <w:r w:rsidR="002047F2">
        <w:rPr>
          <w:rFonts w:ascii="Garamond" w:eastAsia="Arial" w:hAnsi="Garamond" w:cs="Arial"/>
          <w:sz w:val="24"/>
          <w:szCs w:val="24"/>
          <w:lang w:val="sq-AL"/>
        </w:rPr>
        <w:t>gj</w:t>
      </w:r>
      <w:r w:rsidRPr="0058349C">
        <w:rPr>
          <w:rFonts w:ascii="Garamond" w:eastAsia="Arial" w:hAnsi="Garamond" w:cs="Arial"/>
          <w:sz w:val="24"/>
          <w:szCs w:val="24"/>
          <w:lang w:val="sq-AL"/>
        </w:rPr>
        <w:t>endave k</w:t>
      </w:r>
      <w:r w:rsidRPr="0058349C">
        <w:rPr>
          <w:rFonts w:ascii="Garamond" w:eastAsia="Arial" w:hAnsi="Garamond"/>
          <w:sz w:val="24"/>
          <w:szCs w:val="24"/>
          <w:lang w:val="sq-AL"/>
        </w:rPr>
        <w:t xml:space="preserve">ërkimore të institucioneve kërkimore – edukuese me sfidat reale të fermerëve, për të </w:t>
      </w:r>
      <w:r w:rsidRPr="0058349C">
        <w:rPr>
          <w:rFonts w:ascii="Garamond" w:eastAsia="Arial" w:hAnsi="Garamond" w:cs="Arial"/>
          <w:sz w:val="24"/>
          <w:szCs w:val="24"/>
          <w:lang w:val="sq-AL"/>
        </w:rPr>
        <w:t>mësuarin e ndërsjellë, për të krijuar, ndarë dhe përdorur njohuritë dhe informacionin e lidhu</w:t>
      </w:r>
      <w:r w:rsidR="009867B2">
        <w:rPr>
          <w:rFonts w:ascii="Garamond" w:eastAsia="Arial" w:hAnsi="Garamond" w:cs="Arial"/>
          <w:sz w:val="24"/>
          <w:szCs w:val="24"/>
          <w:lang w:val="sq-AL"/>
        </w:rPr>
        <w:t>r me bujqësinë, teknologjitë in</w:t>
      </w:r>
      <w:r w:rsidRPr="0058349C">
        <w:rPr>
          <w:rFonts w:ascii="Garamond" w:eastAsia="Arial" w:hAnsi="Garamond" w:cs="Arial"/>
          <w:sz w:val="24"/>
          <w:szCs w:val="24"/>
          <w:lang w:val="sq-AL"/>
        </w:rPr>
        <w:t>ovative, p</w:t>
      </w:r>
      <w:r w:rsidRPr="0058349C">
        <w:rPr>
          <w:rFonts w:ascii="Garamond" w:eastAsia="Arial" w:hAnsi="Garamond"/>
          <w:sz w:val="24"/>
          <w:szCs w:val="24"/>
          <w:lang w:val="sq-AL"/>
        </w:rPr>
        <w:t>ërfshirë di</w:t>
      </w:r>
      <w:r w:rsidR="009867B2">
        <w:rPr>
          <w:rFonts w:ascii="Garamond" w:eastAsia="Arial" w:hAnsi="Garamond"/>
          <w:sz w:val="24"/>
          <w:szCs w:val="24"/>
          <w:lang w:val="sq-AL"/>
        </w:rPr>
        <w:t>gj</w:t>
      </w:r>
      <w:r w:rsidRPr="0058349C">
        <w:rPr>
          <w:rFonts w:ascii="Garamond" w:eastAsia="Arial" w:hAnsi="Garamond"/>
          <w:sz w:val="24"/>
          <w:szCs w:val="24"/>
          <w:lang w:val="sq-AL"/>
        </w:rPr>
        <w:t>italizimin</w:t>
      </w:r>
      <w:r w:rsidRPr="0058349C">
        <w:rPr>
          <w:rFonts w:ascii="Garamond" w:eastAsia="Arial" w:hAnsi="Garamond" w:cs="Arial"/>
          <w:sz w:val="24"/>
          <w:szCs w:val="24"/>
          <w:lang w:val="sq-AL"/>
        </w:rPr>
        <w:t>. Këto aktivitete nuk janë të nd</w:t>
      </w:r>
      <w:r w:rsidRPr="0058349C">
        <w:rPr>
          <w:rFonts w:ascii="Garamond" w:eastAsia="Arial" w:hAnsi="Garamond"/>
          <w:sz w:val="24"/>
          <w:szCs w:val="24"/>
          <w:lang w:val="sq-AL"/>
        </w:rPr>
        <w:t>ër</w:t>
      </w:r>
      <w:r w:rsidRPr="0058349C">
        <w:rPr>
          <w:rFonts w:ascii="Garamond" w:eastAsia="Arial" w:hAnsi="Garamond" w:cs="Arial"/>
          <w:sz w:val="24"/>
          <w:szCs w:val="24"/>
          <w:lang w:val="sq-AL"/>
        </w:rPr>
        <w:t>lidhura me an</w:t>
      </w:r>
      <w:r w:rsidRPr="0058349C">
        <w:rPr>
          <w:rFonts w:ascii="Garamond" w:eastAsia="Arial" w:hAnsi="Garamond"/>
          <w:sz w:val="24"/>
          <w:szCs w:val="24"/>
          <w:lang w:val="sq-AL"/>
        </w:rPr>
        <w:t xml:space="preserve">ë të </w:t>
      </w:r>
      <w:r w:rsidRPr="0058349C">
        <w:rPr>
          <w:rFonts w:ascii="Garamond" w:eastAsia="Arial" w:hAnsi="Garamond" w:cs="Arial"/>
          <w:sz w:val="24"/>
          <w:szCs w:val="24"/>
          <w:lang w:val="sq-AL"/>
        </w:rPr>
        <w:t xml:space="preserve">një strategjie të dedikuar, </w:t>
      </w:r>
      <w:r w:rsidRPr="0058349C">
        <w:rPr>
          <w:rFonts w:ascii="Garamond" w:eastAsia="Arial" w:hAnsi="Garamond"/>
          <w:sz w:val="24"/>
          <w:szCs w:val="24"/>
          <w:lang w:val="sq-AL"/>
        </w:rPr>
        <w:t>e nevojshme që të mundësojë arritjen e objektivave t</w:t>
      </w:r>
      <w:r w:rsidRPr="0058349C">
        <w:rPr>
          <w:rFonts w:ascii="Garamond" w:eastAsia="Arial" w:hAnsi="Garamond" w:cs="Arial"/>
          <w:sz w:val="24"/>
          <w:szCs w:val="24"/>
          <w:lang w:val="sq-AL"/>
        </w:rPr>
        <w:t>ë strategjisë kombëtare, ndërkohë që veprimtaritë e këtyre aktorëve drejtohen kryesisht nga nevojat e të ofertës dhe jo të kërkesës.</w:t>
      </w:r>
    </w:p>
    <w:p w14:paraId="0773B0C6" w14:textId="312723CD"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Sistemi i </w:t>
      </w:r>
      <w:r w:rsidRPr="0058349C">
        <w:rPr>
          <w:rFonts w:ascii="Garamond" w:eastAsia="Arial" w:hAnsi="Garamond" w:cs="Arial"/>
          <w:b/>
          <w:sz w:val="24"/>
          <w:szCs w:val="24"/>
          <w:lang w:val="sq-AL"/>
        </w:rPr>
        <w:t>arsimit profesional bujqësor</w:t>
      </w:r>
      <w:r w:rsidRPr="0058349C">
        <w:rPr>
          <w:rFonts w:ascii="Garamond" w:eastAsia="Arial" w:hAnsi="Garamond" w:cs="Arial"/>
          <w:sz w:val="24"/>
          <w:szCs w:val="24"/>
          <w:lang w:val="sq-AL"/>
        </w:rPr>
        <w:t xml:space="preserve"> përfshin nëntë shkolla të mesme</w:t>
      </w:r>
      <w:r w:rsidR="0013128C">
        <w:rPr>
          <w:rFonts w:ascii="Garamond" w:eastAsia="Arial" w:hAnsi="Garamond" w:cs="Arial"/>
          <w:sz w:val="24"/>
          <w:szCs w:val="24"/>
          <w:lang w:val="sq-AL"/>
        </w:rPr>
        <w:t>,</w:t>
      </w:r>
      <w:r w:rsidRPr="0058349C">
        <w:rPr>
          <w:rFonts w:ascii="Garamond" w:eastAsia="Arial" w:hAnsi="Garamond" w:cs="Arial"/>
          <w:sz w:val="24"/>
          <w:szCs w:val="24"/>
          <w:lang w:val="sq-AL"/>
        </w:rPr>
        <w:t xml:space="preserve"> të cilat mbulojnë këto fusha: prodhimin bujqësor (bimor) (në 9 shkolla), prodhimin shtazor (në 1 shkollë), veterinarinë (në 2 shkolla), agrobiznesin (në 5 shkolla), silvikulturën, prodhimin e drurit dhe </w:t>
      </w:r>
      <w:r w:rsidRPr="0058349C">
        <w:rPr>
          <w:rFonts w:ascii="Garamond" w:eastAsia="Arial" w:hAnsi="Garamond" w:cs="Arial"/>
          <w:sz w:val="24"/>
          <w:szCs w:val="24"/>
          <w:lang w:val="sq-AL"/>
        </w:rPr>
        <w:lastRenderedPageBreak/>
        <w:t xml:space="preserve">mobilieve (në 1 shkollë), mekanizimin bujqësor (në 2 shkolla). </w:t>
      </w:r>
      <w:r w:rsidRPr="0058349C">
        <w:rPr>
          <w:rFonts w:ascii="Garamond" w:eastAsia="Arial" w:hAnsi="Garamond" w:cs="Arial"/>
          <w:b/>
          <w:sz w:val="24"/>
          <w:szCs w:val="24"/>
          <w:lang w:val="sq-AL"/>
        </w:rPr>
        <w:t>Në nivel universitar</w:t>
      </w:r>
      <w:r w:rsidRPr="0058349C">
        <w:rPr>
          <w:rFonts w:ascii="Garamond" w:eastAsia="Arial" w:hAnsi="Garamond" w:cs="Arial"/>
          <w:sz w:val="24"/>
          <w:szCs w:val="24"/>
          <w:lang w:val="sq-AL"/>
        </w:rPr>
        <w:t xml:space="preserve"> arsimi në shkencat bujqësore ofrohet nga Universiteti Bujqësor i Tiranës (UBT) dhe Fakulteti i Bujqësisë i Korçës. UBT është i vetmi universitet i specializuar në ofrimin e studimeve universitare dhe pasuniversitare, kërkimore, trajnime dhe ekstensioni në fushën e bujqësisë dhe përpunimit të ushqimit.</w:t>
      </w:r>
    </w:p>
    <w:p w14:paraId="0773B0C7" w14:textId="7CBC6A20"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50 </w:t>
      </w:r>
      <w:r w:rsidR="0013128C" w:rsidRPr="0058349C">
        <w:rPr>
          <w:rFonts w:ascii="Garamond" w:eastAsia="Arial" w:hAnsi="Garamond" w:cs="Arial"/>
          <w:b/>
          <w:sz w:val="24"/>
          <w:szCs w:val="24"/>
          <w:lang w:val="sq-AL"/>
        </w:rPr>
        <w:t>shoqëri të bashkëpunimit bujqësor</w:t>
      </w:r>
      <w:r w:rsidR="0013128C" w:rsidRPr="0058349C">
        <w:rPr>
          <w:rFonts w:ascii="Garamond" w:eastAsia="Arial" w:hAnsi="Garamond" w:cs="Arial"/>
          <w:sz w:val="24"/>
          <w:szCs w:val="24"/>
          <w:lang w:val="sq-AL"/>
        </w:rPr>
        <w:t xml:space="preserve"> </w:t>
      </w:r>
      <w:r w:rsidRPr="0058349C">
        <w:rPr>
          <w:rFonts w:ascii="Garamond" w:eastAsia="Arial" w:hAnsi="Garamond" w:cs="Arial"/>
          <w:sz w:val="24"/>
          <w:szCs w:val="24"/>
          <w:lang w:val="sq-AL"/>
        </w:rPr>
        <w:t>(SHBB) operojnë në fushën e prodhimit dhe tregtisë së frutave dhe perimeve (27 SHBB), prodhimin dhe tregtimin e bimëve mjekësore dhe aromatike (5 SHBB), blegtori përfshirë bletarinë (18 SHBB). Ata zhvillojnë takime të rregullta me individë dhe grupe fermerësh dhe organizojnë shkëmbime.</w:t>
      </w:r>
    </w:p>
    <w:p w14:paraId="0773B0C8" w14:textId="089A6AD8" w:rsidR="00DF7A00" w:rsidRPr="0058349C" w:rsidRDefault="00DF7A00" w:rsidP="000E058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b/>
          <w:sz w:val="24"/>
          <w:szCs w:val="24"/>
          <w:lang w:val="sq-AL"/>
        </w:rPr>
        <w:t xml:space="preserve">SHKEB-ja </w:t>
      </w:r>
      <w:r w:rsidRPr="0058349C">
        <w:rPr>
          <w:rFonts w:ascii="Garamond" w:eastAsia="Arial" w:hAnsi="Garamond" w:cs="Arial"/>
          <w:sz w:val="24"/>
          <w:szCs w:val="24"/>
          <w:lang w:val="sq-AL"/>
        </w:rPr>
        <w:t xml:space="preserve">përfaqësohet nga njësia përgjegjëse në MBZHR dhe </w:t>
      </w:r>
      <w:r w:rsidRPr="0058349C">
        <w:rPr>
          <w:rFonts w:ascii="Garamond" w:eastAsia="Arial" w:hAnsi="Garamond" w:cs="Arial"/>
          <w:b/>
          <w:sz w:val="24"/>
          <w:szCs w:val="24"/>
          <w:lang w:val="sq-AL"/>
        </w:rPr>
        <w:t xml:space="preserve">katër Agjenci Rajonale të Ekstensionit Bujqësor (AREB-e). </w:t>
      </w:r>
      <w:r w:rsidRPr="0058349C">
        <w:rPr>
          <w:rFonts w:ascii="Garamond" w:eastAsia="Arial" w:hAnsi="Garamond" w:cs="Arial"/>
          <w:sz w:val="24"/>
          <w:szCs w:val="24"/>
          <w:lang w:val="sq-AL"/>
        </w:rPr>
        <w:t>Kjo strukturë</w:t>
      </w:r>
      <w:r w:rsidRPr="0058349C">
        <w:rPr>
          <w:rFonts w:ascii="Garamond" w:eastAsia="Arial" w:hAnsi="Garamond" w:cs="Arial"/>
          <w:b/>
          <w:sz w:val="24"/>
          <w:szCs w:val="24"/>
          <w:lang w:val="sq-AL"/>
        </w:rPr>
        <w:t xml:space="preserve"> </w:t>
      </w:r>
      <w:r w:rsidRPr="0058349C">
        <w:rPr>
          <w:rFonts w:ascii="Garamond" w:eastAsia="Arial" w:hAnsi="Garamond" w:cs="Arial"/>
          <w:sz w:val="24"/>
          <w:szCs w:val="24"/>
          <w:lang w:val="sq-AL"/>
        </w:rPr>
        <w:t>është përgjegjëse për ofrimin e informacionit, këshillimit dhe trajnimit për fermerët. Në total, ky shërbim ka në total 261 punonjës në nivel qendror dhe vendor</w:t>
      </w:r>
      <w:r w:rsidR="000E0580">
        <w:rPr>
          <w:rFonts w:ascii="Garamond" w:eastAsia="Arial" w:hAnsi="Garamond" w:cs="Arial"/>
          <w:sz w:val="24"/>
          <w:szCs w:val="24"/>
          <w:lang w:val="sq-AL"/>
        </w:rPr>
        <w:t>,</w:t>
      </w:r>
      <w:r w:rsidRPr="0058349C">
        <w:rPr>
          <w:rFonts w:ascii="Garamond" w:eastAsia="Arial" w:hAnsi="Garamond" w:cs="Arial"/>
          <w:sz w:val="24"/>
          <w:szCs w:val="24"/>
          <w:lang w:val="sq-AL"/>
        </w:rPr>
        <w:t xml:space="preserve"> nga të cilët 189 janë staf teknik me detyra këshillimi (ekstensionistë). AREB-et</w:t>
      </w:r>
      <w:r w:rsidR="00CF7694" w:rsidRPr="0058349C">
        <w:rPr>
          <w:rFonts w:ascii="Garamond" w:eastAsia="Arial" w:hAnsi="Garamond" w:cs="Arial"/>
          <w:sz w:val="24"/>
          <w:szCs w:val="24"/>
          <w:lang w:val="sq-AL"/>
        </w:rPr>
        <w:t xml:space="preserve"> </w:t>
      </w:r>
      <w:r w:rsidRPr="0058349C">
        <w:rPr>
          <w:rFonts w:ascii="Garamond" w:eastAsia="Arial" w:hAnsi="Garamond" w:cs="Arial"/>
          <w:sz w:val="24"/>
          <w:szCs w:val="24"/>
          <w:lang w:val="sq-AL"/>
        </w:rPr>
        <w:t>janë të lokalizuara në Shkodër (e cila mbulon edhe qarkun Lezhë dhe Kukës), në Tiranë, e cila mbulon edhe qar</w:t>
      </w:r>
      <w:r w:rsidR="000E0580">
        <w:rPr>
          <w:rFonts w:ascii="Garamond" w:eastAsia="Arial" w:hAnsi="Garamond" w:cs="Arial"/>
          <w:sz w:val="24"/>
          <w:szCs w:val="24"/>
          <w:lang w:val="sq-AL"/>
        </w:rPr>
        <w:t>qet</w:t>
      </w:r>
      <w:r w:rsidRPr="0058349C">
        <w:rPr>
          <w:rFonts w:ascii="Garamond" w:eastAsia="Arial" w:hAnsi="Garamond" w:cs="Arial"/>
          <w:sz w:val="24"/>
          <w:szCs w:val="24"/>
          <w:lang w:val="sq-AL"/>
        </w:rPr>
        <w:t xml:space="preserve"> Durrës dhe Dibër), në Lushnj</w:t>
      </w:r>
      <w:r w:rsidR="000E0580">
        <w:rPr>
          <w:rFonts w:ascii="Garamond" w:eastAsia="Arial" w:hAnsi="Garamond" w:cs="Arial"/>
          <w:sz w:val="24"/>
          <w:szCs w:val="24"/>
          <w:lang w:val="sq-AL"/>
        </w:rPr>
        <w:t>ë</w:t>
      </w:r>
      <w:r w:rsidRPr="0058349C">
        <w:rPr>
          <w:rFonts w:ascii="Garamond" w:eastAsia="Arial" w:hAnsi="Garamond" w:cs="Arial"/>
          <w:sz w:val="24"/>
          <w:szCs w:val="24"/>
          <w:lang w:val="sq-AL"/>
        </w:rPr>
        <w:t xml:space="preserve"> (e cila mbulon </w:t>
      </w:r>
      <w:r w:rsidR="000E0580" w:rsidRPr="0058349C">
        <w:rPr>
          <w:rFonts w:ascii="Garamond" w:eastAsia="Arial" w:hAnsi="Garamond" w:cs="Arial"/>
          <w:sz w:val="24"/>
          <w:szCs w:val="24"/>
          <w:lang w:val="sq-AL"/>
        </w:rPr>
        <w:t>qar</w:t>
      </w:r>
      <w:r w:rsidR="000E0580">
        <w:rPr>
          <w:rFonts w:ascii="Garamond" w:eastAsia="Arial" w:hAnsi="Garamond" w:cs="Arial"/>
          <w:sz w:val="24"/>
          <w:szCs w:val="24"/>
          <w:lang w:val="sq-AL"/>
        </w:rPr>
        <w:t>qet</w:t>
      </w:r>
      <w:r w:rsidR="000E0580" w:rsidRPr="0058349C">
        <w:rPr>
          <w:rFonts w:ascii="Garamond" w:eastAsia="Arial" w:hAnsi="Garamond" w:cs="Arial"/>
          <w:sz w:val="24"/>
          <w:szCs w:val="24"/>
          <w:lang w:val="sq-AL"/>
        </w:rPr>
        <w:t xml:space="preserve"> </w:t>
      </w:r>
      <w:r w:rsidRPr="0058349C">
        <w:rPr>
          <w:rFonts w:ascii="Garamond" w:eastAsia="Arial" w:hAnsi="Garamond" w:cs="Arial"/>
          <w:sz w:val="24"/>
          <w:szCs w:val="24"/>
          <w:lang w:val="sq-AL"/>
        </w:rPr>
        <w:t>Fier, Vlorë dhe Gjirokastër) dhe në Korçë (e cila mbulon edhe qarkun Elbasan dhe Berat). Çdo agjenci ka në përbërjen e saj edhe Sektorin e Specialistëve të Profilizuar me deri në 7 ekspertë.</w:t>
      </w:r>
    </w:p>
    <w:p w14:paraId="0773B0C9" w14:textId="3F49D0B0" w:rsidR="00DF7A00" w:rsidRPr="0058349C" w:rsidRDefault="00DF7A00" w:rsidP="00DF7A00">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Secila prej të cilave</w:t>
      </w:r>
      <w:r w:rsidR="000E0580">
        <w:rPr>
          <w:rFonts w:ascii="Garamond" w:eastAsia="Arial" w:hAnsi="Garamond" w:cs="Arial"/>
          <w:sz w:val="24"/>
          <w:szCs w:val="24"/>
          <w:lang w:val="sq-AL"/>
        </w:rPr>
        <w:t>,</w:t>
      </w:r>
      <w:r w:rsidRPr="0058349C">
        <w:rPr>
          <w:rFonts w:ascii="Garamond" w:eastAsia="Arial" w:hAnsi="Garamond" w:cs="Arial"/>
          <w:sz w:val="24"/>
          <w:szCs w:val="24"/>
          <w:lang w:val="sq-AL"/>
        </w:rPr>
        <w:t xml:space="preserve"> aktualisht</w:t>
      </w:r>
      <w:r w:rsidR="000E0580">
        <w:rPr>
          <w:rFonts w:ascii="Garamond" w:eastAsia="Arial" w:hAnsi="Garamond" w:cs="Arial"/>
          <w:sz w:val="24"/>
          <w:szCs w:val="24"/>
          <w:lang w:val="sq-AL"/>
        </w:rPr>
        <w:t>,</w:t>
      </w:r>
      <w:r w:rsidRPr="0058349C">
        <w:rPr>
          <w:rFonts w:ascii="Garamond" w:eastAsia="Arial" w:hAnsi="Garamond" w:cs="Arial"/>
          <w:sz w:val="24"/>
          <w:szCs w:val="24"/>
          <w:lang w:val="sq-AL"/>
        </w:rPr>
        <w:t xml:space="preserve"> punëson 7 specialistë të fushave të ndryshme</w:t>
      </w:r>
      <w:r w:rsidR="000E0580">
        <w:rPr>
          <w:rFonts w:ascii="Garamond" w:eastAsia="Arial" w:hAnsi="Garamond" w:cs="Arial"/>
          <w:sz w:val="24"/>
          <w:szCs w:val="24"/>
          <w:lang w:val="sq-AL"/>
        </w:rPr>
        <w:t>,</w:t>
      </w:r>
      <w:r w:rsidRPr="0058349C">
        <w:rPr>
          <w:rFonts w:ascii="Garamond" w:eastAsia="Arial" w:hAnsi="Garamond" w:cs="Arial"/>
          <w:sz w:val="24"/>
          <w:szCs w:val="24"/>
          <w:lang w:val="sq-AL"/>
        </w:rPr>
        <w:t xml:space="preserve"> si kultivimi i perimet, prodhimi i frutave, blegtoria, mbrojtja e bimëve dhe ekonomia bujqësore. Pjesa tjetër e stafit të ekstensionit është e punësuar në qendrat e informacionit bujqësor (120 punonjës) në nivel vendor, të cilat kanë lidhje të drejtpërdrejta me fermerët. Pjesa më e madhe e tyre ndodhen në Elbasan, Shkodër, Fier dhe Korçë.</w:t>
      </w:r>
    </w:p>
    <w:p w14:paraId="0773B0CA" w14:textId="5F12C4D1" w:rsidR="00DF7A00" w:rsidRPr="0058349C" w:rsidRDefault="00DF7A00" w:rsidP="00A56CFE">
      <w:pPr>
        <w:spacing w:after="0" w:line="240" w:lineRule="auto"/>
        <w:ind w:firstLine="284"/>
        <w:jc w:val="both"/>
        <w:rPr>
          <w:rFonts w:ascii="Garamond" w:eastAsia="Arial" w:hAnsi="Garamond" w:cs="Arial"/>
          <w:sz w:val="24"/>
          <w:szCs w:val="24"/>
          <w:lang w:val="sq-AL"/>
        </w:rPr>
      </w:pPr>
      <w:r w:rsidRPr="0058349C">
        <w:rPr>
          <w:rFonts w:ascii="Garamond" w:eastAsia="Arial" w:hAnsi="Garamond" w:cs="Arial"/>
          <w:sz w:val="24"/>
          <w:szCs w:val="24"/>
          <w:lang w:val="sq-AL"/>
        </w:rPr>
        <w:t xml:space="preserve">Pesë </w:t>
      </w:r>
      <w:r w:rsidRPr="0058349C">
        <w:rPr>
          <w:rFonts w:ascii="Garamond" w:eastAsia="Arial" w:hAnsi="Garamond" w:cs="Arial"/>
          <w:b/>
          <w:sz w:val="24"/>
          <w:szCs w:val="24"/>
          <w:lang w:val="sq-AL"/>
        </w:rPr>
        <w:t>QTTB,</w:t>
      </w:r>
      <w:r w:rsidR="00CF7694" w:rsidRPr="0058349C">
        <w:rPr>
          <w:rFonts w:ascii="Garamond" w:eastAsia="Arial" w:hAnsi="Garamond" w:cs="Arial"/>
          <w:b/>
          <w:sz w:val="24"/>
          <w:szCs w:val="24"/>
          <w:lang w:val="sq-AL"/>
        </w:rPr>
        <w:t xml:space="preserve"> </w:t>
      </w:r>
      <w:r w:rsidRPr="0058349C">
        <w:rPr>
          <w:rFonts w:ascii="Garamond" w:eastAsia="Arial" w:hAnsi="Garamond" w:cs="Arial"/>
          <w:b/>
          <w:sz w:val="24"/>
          <w:szCs w:val="24"/>
          <w:lang w:val="sq-AL"/>
        </w:rPr>
        <w:t>të specializuara sipas kulturave bujq</w:t>
      </w:r>
      <w:r w:rsidRPr="000E0580">
        <w:rPr>
          <w:rFonts w:ascii="Garamond" w:eastAsia="Arial" w:hAnsi="Garamond" w:cs="Arial"/>
          <w:b/>
          <w:bCs/>
          <w:sz w:val="24"/>
          <w:szCs w:val="24"/>
          <w:lang w:val="sq-AL"/>
        </w:rPr>
        <w:t>ësore</w:t>
      </w:r>
      <w:r w:rsidR="00797859">
        <w:rPr>
          <w:rFonts w:ascii="Garamond" w:eastAsia="Arial" w:hAnsi="Garamond" w:cs="Arial"/>
          <w:sz w:val="24"/>
          <w:szCs w:val="24"/>
          <w:lang w:val="sq-AL"/>
        </w:rPr>
        <w:t>/</w:t>
      </w:r>
      <w:r w:rsidRPr="0058349C">
        <w:rPr>
          <w:rFonts w:ascii="Garamond" w:eastAsia="Arial" w:hAnsi="Garamond" w:cs="Arial"/>
          <w:sz w:val="24"/>
          <w:szCs w:val="24"/>
          <w:lang w:val="sq-AL"/>
        </w:rPr>
        <w:t>llojeve të kafshëve, me vendndodhje në Fushë-Krujë, Korçë, Vlorë, Lushnj</w:t>
      </w:r>
      <w:r w:rsidR="00A56CFE">
        <w:rPr>
          <w:rFonts w:ascii="Garamond" w:eastAsia="Arial" w:hAnsi="Garamond" w:cs="Arial"/>
          <w:sz w:val="24"/>
          <w:szCs w:val="24"/>
          <w:lang w:val="sq-AL"/>
        </w:rPr>
        <w:t>ë</w:t>
      </w:r>
      <w:r w:rsidRPr="0058349C">
        <w:rPr>
          <w:rFonts w:ascii="Garamond" w:eastAsia="Arial" w:hAnsi="Garamond" w:cs="Arial"/>
          <w:sz w:val="24"/>
          <w:szCs w:val="24"/>
          <w:lang w:val="sq-AL"/>
        </w:rPr>
        <w:t xml:space="preserve"> dhe Shkodër janë përgjegjëse për kryerjen e kërkimeve të aplikuara në fusha të ndryshme të bujqësisë. Krahas evidentimit dhe shpërndarjes së teknologjive të përparuara bujqësore</w:t>
      </w:r>
      <w:r w:rsidR="00A56CFE">
        <w:rPr>
          <w:rFonts w:ascii="Garamond" w:eastAsia="Arial" w:hAnsi="Garamond" w:cs="Arial"/>
          <w:sz w:val="24"/>
          <w:szCs w:val="24"/>
          <w:lang w:val="sq-AL"/>
        </w:rPr>
        <w:t>,</w:t>
      </w:r>
      <w:r w:rsidRPr="0058349C">
        <w:rPr>
          <w:rFonts w:ascii="Garamond" w:eastAsia="Arial" w:hAnsi="Garamond" w:cs="Arial"/>
          <w:sz w:val="24"/>
          <w:szCs w:val="24"/>
          <w:lang w:val="sq-AL"/>
        </w:rPr>
        <w:t xml:space="preserve"> në bashkëpunim me AREB-et, QTTB-të mbështesin MBZHR-në në formulimin e strategjive dhe hartimin e skemave kombëtare,</w:t>
      </w:r>
      <w:r w:rsidR="00C332AD">
        <w:rPr>
          <w:rFonts w:ascii="Garamond" w:eastAsia="Arial" w:hAnsi="Garamond" w:cs="Arial"/>
          <w:sz w:val="24"/>
          <w:szCs w:val="24"/>
          <w:lang w:val="sq-AL"/>
        </w:rPr>
        <w:t xml:space="preserve"> transferimin e teknologjive te</w:t>
      </w:r>
      <w:r w:rsidRPr="0058349C">
        <w:rPr>
          <w:rFonts w:ascii="Garamond" w:eastAsia="Arial" w:hAnsi="Garamond" w:cs="Arial"/>
          <w:sz w:val="24"/>
          <w:szCs w:val="24"/>
          <w:lang w:val="sq-AL"/>
        </w:rPr>
        <w:t xml:space="preserve"> bizneset bujqësore dhe agropërpunuese, furnizimin me material mbjellës të certifikuar </w:t>
      </w:r>
      <w:r w:rsidR="00A56CFE">
        <w:rPr>
          <w:rFonts w:ascii="Garamond" w:eastAsia="Arial" w:hAnsi="Garamond" w:cs="Arial"/>
          <w:sz w:val="24"/>
          <w:szCs w:val="24"/>
          <w:lang w:val="sq-AL"/>
        </w:rPr>
        <w:t xml:space="preserve">për disa nga farat dhe fidanët </w:t>
      </w:r>
      <w:r w:rsidRPr="0058349C">
        <w:rPr>
          <w:rFonts w:ascii="Garamond" w:eastAsia="Arial" w:hAnsi="Garamond" w:cs="Arial"/>
          <w:sz w:val="24"/>
          <w:szCs w:val="24"/>
          <w:lang w:val="sq-AL"/>
        </w:rPr>
        <w:t>etj. Numri i përgjithshëm i të punësuarve në QBTT është 280.</w:t>
      </w:r>
    </w:p>
    <w:p w14:paraId="0773B0CB" w14:textId="64A4DCFF" w:rsidR="00DF7A00" w:rsidRPr="0058349C" w:rsidRDefault="00DF7A00" w:rsidP="00E13C30">
      <w:pPr>
        <w:spacing w:after="0" w:line="240" w:lineRule="auto"/>
        <w:ind w:firstLine="284"/>
        <w:jc w:val="both"/>
        <w:rPr>
          <w:rFonts w:ascii="Garamond" w:hAnsi="Garamond" w:cs="Arial"/>
          <w:sz w:val="24"/>
          <w:szCs w:val="24"/>
          <w:lang w:val="sq-AL"/>
        </w:rPr>
      </w:pPr>
      <w:r w:rsidRPr="0058349C">
        <w:rPr>
          <w:rFonts w:ascii="Garamond" w:eastAsia="Arial" w:hAnsi="Garamond" w:cs="Arial"/>
          <w:sz w:val="24"/>
          <w:szCs w:val="24"/>
          <w:lang w:val="sq-AL"/>
        </w:rPr>
        <w:t>Në skemat kombëtare të mbësht</w:t>
      </w:r>
      <w:r w:rsidR="00A56CFE">
        <w:rPr>
          <w:rFonts w:ascii="Garamond" w:eastAsia="Arial" w:hAnsi="Garamond" w:cs="Arial"/>
          <w:sz w:val="24"/>
          <w:szCs w:val="24"/>
          <w:lang w:val="sq-AL"/>
        </w:rPr>
        <w:t>etjes në bujqësi për vitin 2022</w:t>
      </w:r>
      <w:r w:rsidRPr="0058349C">
        <w:rPr>
          <w:rFonts w:ascii="Garamond" w:eastAsia="Arial" w:hAnsi="Garamond" w:cs="Arial"/>
          <w:sz w:val="24"/>
          <w:szCs w:val="24"/>
          <w:lang w:val="sq-AL"/>
        </w:rPr>
        <w:t xml:space="preserve"> është përfshirë edhe një skemë trajnimi në bujqësi, për ekstensionistët e të gjith</w:t>
      </w:r>
      <w:r w:rsidR="00E13C30">
        <w:rPr>
          <w:rFonts w:ascii="Garamond" w:eastAsia="Arial" w:hAnsi="Garamond" w:cs="Arial"/>
          <w:sz w:val="24"/>
          <w:szCs w:val="24"/>
          <w:lang w:val="sq-AL"/>
        </w:rPr>
        <w:t>a</w:t>
      </w:r>
      <w:r w:rsidRPr="0058349C">
        <w:rPr>
          <w:rFonts w:ascii="Garamond" w:eastAsia="Arial" w:hAnsi="Garamond" w:cs="Arial"/>
          <w:sz w:val="24"/>
          <w:szCs w:val="24"/>
          <w:lang w:val="sq-AL"/>
        </w:rPr>
        <w:t xml:space="preserve"> niveleve për të rifreskuar njohuritë e tyre dhe për fermerët, peshkatarët, blegtorët, bletarët dhe përpunuesit e qumështit. Kjo skemë që do të ofrohet nga Universiteti Bujqësor i Tiranës, përbën një zhvillim të rëndësishëm në forcimin e transferimit të njohurive dhe forcimit të kapaciteteve në nivel operatori të bujqësisë dhe ekstensionisti</w:t>
      </w:r>
      <w:r w:rsidRPr="0058349C">
        <w:rPr>
          <w:rFonts w:ascii="Garamond" w:hAnsi="Garamond" w:cs="Arial"/>
          <w:sz w:val="24"/>
          <w:szCs w:val="24"/>
          <w:lang w:val="sq-AL"/>
        </w:rPr>
        <w:t>.</w:t>
      </w:r>
    </w:p>
    <w:p w14:paraId="0773B0CC" w14:textId="658AA84C" w:rsidR="00DF7A00" w:rsidRPr="0058349C" w:rsidRDefault="0009581D" w:rsidP="004F35B6">
      <w:pPr>
        <w:pStyle w:val="TEKSTIIII"/>
        <w:rPr>
          <w:b/>
          <w:lang w:val="sq-AL"/>
        </w:rPr>
      </w:pPr>
      <w:bookmarkStart w:id="80" w:name="_Toc103838837"/>
      <w:r w:rsidRPr="0058349C">
        <w:rPr>
          <w:b/>
          <w:lang w:val="sq-AL"/>
        </w:rPr>
        <w:t xml:space="preserve">4 </w:t>
      </w:r>
      <w:r w:rsidR="00DF7A00" w:rsidRPr="0058349C">
        <w:rPr>
          <w:b/>
          <w:lang w:val="sq-AL"/>
        </w:rPr>
        <w:t>Pjesa III</w:t>
      </w:r>
      <w:r w:rsidR="004F35B6">
        <w:rPr>
          <w:b/>
          <w:lang w:val="sq-AL"/>
        </w:rPr>
        <w:t>:</w:t>
      </w:r>
      <w:r w:rsidR="00DF7A00" w:rsidRPr="0058349C">
        <w:rPr>
          <w:b/>
          <w:lang w:val="sq-AL"/>
        </w:rPr>
        <w:t xml:space="preserve"> Strategjia dhe instrumentet e ndërhyrjes</w:t>
      </w:r>
      <w:bookmarkEnd w:id="80"/>
    </w:p>
    <w:p w14:paraId="0773B0CD" w14:textId="4743D08C" w:rsidR="00DF7A00" w:rsidRPr="0058349C" w:rsidRDefault="0009581D" w:rsidP="00351342">
      <w:pPr>
        <w:pStyle w:val="TEKSTIIII"/>
        <w:rPr>
          <w:b/>
          <w:lang w:val="sq-AL"/>
        </w:rPr>
      </w:pPr>
      <w:bookmarkStart w:id="81" w:name="_Toc103838838"/>
      <w:r w:rsidRPr="0058349C">
        <w:rPr>
          <w:b/>
          <w:lang w:val="sq-AL"/>
        </w:rPr>
        <w:t xml:space="preserve">4.1 </w:t>
      </w:r>
      <w:r w:rsidR="00DF7A00" w:rsidRPr="0058349C">
        <w:rPr>
          <w:b/>
          <w:lang w:val="sq-AL"/>
        </w:rPr>
        <w:t>Strategjia e ndër</w:t>
      </w:r>
      <w:r w:rsidR="00351342">
        <w:rPr>
          <w:b/>
          <w:lang w:val="sq-AL"/>
        </w:rPr>
        <w:t>hyrjes në kuadër të SBZHRP 2021–2</w:t>
      </w:r>
      <w:r w:rsidR="00DF7A00" w:rsidRPr="0058349C">
        <w:rPr>
          <w:b/>
          <w:lang w:val="sq-AL"/>
        </w:rPr>
        <w:t>027</w:t>
      </w:r>
      <w:bookmarkEnd w:id="81"/>
    </w:p>
    <w:p w14:paraId="0773B0CE" w14:textId="0AC25270" w:rsidR="00DF7A00" w:rsidRPr="0058349C" w:rsidRDefault="00DF7A00" w:rsidP="009A6913">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Strategjia e ndërhyrjes</w:t>
      </w:r>
      <w:r w:rsidRPr="0058349C">
        <w:rPr>
          <w:rFonts w:ascii="Garamond" w:hAnsi="Garamond" w:cs="Arial"/>
          <w:sz w:val="24"/>
          <w:szCs w:val="24"/>
          <w:lang w:val="sq-AL"/>
        </w:rPr>
        <w:t xml:space="preserve"> është e orientuar drejt modelit të ri të PPB-së pas vitit 2020, asaj të ofrimit të ndërhyrjeve të orientuara drejt rezultateve në përputhje me burimet e disponuesh</w:t>
      </w:r>
      <w:r w:rsidR="00EA39B6">
        <w:rPr>
          <w:rFonts w:ascii="Garamond" w:hAnsi="Garamond" w:cs="Arial"/>
          <w:sz w:val="24"/>
          <w:szCs w:val="24"/>
          <w:lang w:val="sq-AL"/>
        </w:rPr>
        <w:t>me</w:t>
      </w:r>
      <w:r w:rsidRPr="0058349C">
        <w:rPr>
          <w:rFonts w:ascii="Garamond" w:hAnsi="Garamond" w:cs="Arial"/>
          <w:sz w:val="24"/>
          <w:szCs w:val="24"/>
          <w:lang w:val="sq-AL"/>
        </w:rPr>
        <w:t xml:space="preserve"> dhe të pritsh</w:t>
      </w:r>
      <w:r w:rsidR="00EA39B6">
        <w:rPr>
          <w:rFonts w:ascii="Garamond" w:hAnsi="Garamond" w:cs="Arial"/>
          <w:sz w:val="24"/>
          <w:szCs w:val="24"/>
          <w:lang w:val="sq-AL"/>
        </w:rPr>
        <w:t>me,</w:t>
      </w:r>
      <w:r w:rsidRPr="0058349C">
        <w:rPr>
          <w:rFonts w:ascii="Garamond" w:hAnsi="Garamond" w:cs="Arial"/>
          <w:sz w:val="24"/>
          <w:szCs w:val="24"/>
          <w:lang w:val="sq-AL"/>
        </w:rPr>
        <w:t xml:space="preserve"> si edhe me instrumentet e financimit kombëtar dhe ndërkombëtar, të strukturuara në tr</w:t>
      </w:r>
      <w:r w:rsidR="009A6913">
        <w:rPr>
          <w:rFonts w:ascii="Garamond" w:hAnsi="Garamond" w:cs="Arial"/>
          <w:sz w:val="24"/>
          <w:szCs w:val="24"/>
          <w:lang w:val="sq-AL"/>
        </w:rPr>
        <w:t>i</w:t>
      </w:r>
      <w:r w:rsidRPr="0058349C">
        <w:rPr>
          <w:rFonts w:ascii="Garamond" w:hAnsi="Garamond" w:cs="Arial"/>
          <w:sz w:val="24"/>
          <w:szCs w:val="24"/>
          <w:lang w:val="sq-AL"/>
        </w:rPr>
        <w:t xml:space="preserve"> shtylla si vijon:</w:t>
      </w:r>
    </w:p>
    <w:p w14:paraId="0773B0CF" w14:textId="3EB4984D" w:rsidR="00DF7A00" w:rsidRPr="0058349C" w:rsidRDefault="0009581D" w:rsidP="0009581D">
      <w:pPr>
        <w:pStyle w:val="TEKSTIIII"/>
        <w:rPr>
          <w:lang w:val="sq-AL"/>
        </w:rPr>
      </w:pPr>
      <w:r w:rsidRPr="0058349C">
        <w:rPr>
          <w:lang w:val="sq-AL"/>
        </w:rPr>
        <w:t>-</w:t>
      </w:r>
      <w:r w:rsidR="00543FCB">
        <w:rPr>
          <w:lang w:val="sq-AL"/>
        </w:rPr>
        <w:t xml:space="preserve"> </w:t>
      </w:r>
      <w:r w:rsidR="00DF7A00" w:rsidRPr="0058349C">
        <w:rPr>
          <w:lang w:val="sq-AL"/>
        </w:rPr>
        <w:t xml:space="preserve">Shtylla I: </w:t>
      </w:r>
      <w:r w:rsidR="00543FCB" w:rsidRPr="0058349C">
        <w:rPr>
          <w:lang w:val="sq-AL"/>
        </w:rPr>
        <w:t xml:space="preserve">Pagesat </w:t>
      </w:r>
      <w:r w:rsidR="00DF7A00" w:rsidRPr="0058349C">
        <w:rPr>
          <w:lang w:val="sq-AL"/>
        </w:rPr>
        <w:t>e direkte;</w:t>
      </w:r>
    </w:p>
    <w:p w14:paraId="0773B0D0" w14:textId="0927D2F7" w:rsidR="00DF7A00" w:rsidRPr="0058349C" w:rsidRDefault="0009581D" w:rsidP="0009581D">
      <w:pPr>
        <w:pStyle w:val="TEKSTIIII"/>
        <w:rPr>
          <w:lang w:val="sq-AL"/>
        </w:rPr>
      </w:pPr>
      <w:r w:rsidRPr="0058349C">
        <w:rPr>
          <w:lang w:val="sq-AL"/>
        </w:rPr>
        <w:t>-</w:t>
      </w:r>
      <w:r w:rsidR="00543FCB">
        <w:rPr>
          <w:lang w:val="sq-AL"/>
        </w:rPr>
        <w:t xml:space="preserve"> </w:t>
      </w:r>
      <w:r w:rsidR="00DF7A00" w:rsidRPr="0058349C">
        <w:rPr>
          <w:lang w:val="sq-AL"/>
        </w:rPr>
        <w:t xml:space="preserve">Shtylla II: </w:t>
      </w:r>
      <w:r w:rsidR="00543FCB" w:rsidRPr="0058349C">
        <w:rPr>
          <w:lang w:val="sq-AL"/>
        </w:rPr>
        <w:t xml:space="preserve">Masa </w:t>
      </w:r>
      <w:r w:rsidR="00DF7A00" w:rsidRPr="0058349C">
        <w:rPr>
          <w:lang w:val="sq-AL"/>
        </w:rPr>
        <w:t>mbështetëse për investime dhe bashkëpunim;</w:t>
      </w:r>
    </w:p>
    <w:p w14:paraId="0773B0D1" w14:textId="4BE72D2E" w:rsidR="00DF7A00" w:rsidRPr="0058349C" w:rsidRDefault="0009581D" w:rsidP="0009581D">
      <w:pPr>
        <w:pStyle w:val="TEKSTIIII"/>
        <w:rPr>
          <w:lang w:val="sq-AL"/>
        </w:rPr>
      </w:pPr>
      <w:r w:rsidRPr="0058349C">
        <w:rPr>
          <w:lang w:val="sq-AL"/>
        </w:rPr>
        <w:t>-</w:t>
      </w:r>
      <w:r w:rsidR="00543FCB">
        <w:rPr>
          <w:lang w:val="sq-AL"/>
        </w:rPr>
        <w:t xml:space="preserve"> </w:t>
      </w:r>
      <w:r w:rsidR="00DF7A00" w:rsidRPr="0058349C">
        <w:rPr>
          <w:lang w:val="sq-AL"/>
        </w:rPr>
        <w:t xml:space="preserve">Asistencë </w:t>
      </w:r>
      <w:r w:rsidR="00543FCB" w:rsidRPr="0058349C">
        <w:rPr>
          <w:lang w:val="sq-AL"/>
        </w:rPr>
        <w:t>teknike</w:t>
      </w:r>
      <w:r w:rsidR="00DF7A00" w:rsidRPr="0058349C">
        <w:rPr>
          <w:lang w:val="sq-AL"/>
        </w:rPr>
        <w:t xml:space="preserve">, </w:t>
      </w:r>
      <w:r w:rsidR="00543FCB" w:rsidRPr="0058349C">
        <w:rPr>
          <w:lang w:val="sq-AL"/>
        </w:rPr>
        <w:t xml:space="preserve">asistencë financiare (kryesisht </w:t>
      </w:r>
      <w:r w:rsidR="00DF7A00" w:rsidRPr="0058349C">
        <w:rPr>
          <w:lang w:val="sq-AL"/>
        </w:rPr>
        <w:t>nga donatorët)</w:t>
      </w:r>
      <w:r w:rsidR="00543FCB">
        <w:rPr>
          <w:lang w:val="sq-AL"/>
        </w:rPr>
        <w:t>.</w:t>
      </w:r>
    </w:p>
    <w:p w14:paraId="0773B0D2" w14:textId="6F9AE4EA" w:rsidR="00DF7A00" w:rsidRPr="0058349C" w:rsidRDefault="00DF7A00" w:rsidP="00543FCB">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Mekanizmat e</w:t>
      </w:r>
      <w:r w:rsidRPr="0058349C">
        <w:rPr>
          <w:rFonts w:ascii="Garamond" w:hAnsi="Garamond" w:cs="Arial"/>
          <w:sz w:val="24"/>
          <w:szCs w:val="24"/>
          <w:lang w:val="sq-AL"/>
        </w:rPr>
        <w:t xml:space="preserve"> </w:t>
      </w:r>
      <w:r w:rsidRPr="0058349C">
        <w:rPr>
          <w:rFonts w:ascii="Garamond" w:hAnsi="Garamond" w:cs="Arial"/>
          <w:b/>
          <w:sz w:val="24"/>
          <w:szCs w:val="24"/>
          <w:lang w:val="sq-AL"/>
        </w:rPr>
        <w:t>ndërhyrjes</w:t>
      </w:r>
      <w:r w:rsidR="00543FCB">
        <w:rPr>
          <w:rFonts w:ascii="Garamond" w:hAnsi="Garamond" w:cs="Arial"/>
          <w:b/>
          <w:sz w:val="24"/>
          <w:szCs w:val="24"/>
          <w:lang w:val="sq-AL"/>
        </w:rPr>
        <w:t>,</w:t>
      </w:r>
      <w:r w:rsidRPr="0058349C">
        <w:rPr>
          <w:rFonts w:ascii="Garamond" w:hAnsi="Garamond" w:cs="Arial"/>
          <w:b/>
          <w:sz w:val="24"/>
          <w:szCs w:val="24"/>
          <w:lang w:val="sq-AL"/>
        </w:rPr>
        <w:t xml:space="preserve"> </w:t>
      </w:r>
      <w:r w:rsidRPr="00543FCB">
        <w:rPr>
          <w:rFonts w:ascii="Garamond" w:hAnsi="Garamond" w:cs="Arial"/>
          <w:bCs/>
          <w:sz w:val="24"/>
          <w:szCs w:val="24"/>
          <w:lang w:val="sq-AL"/>
        </w:rPr>
        <w:t>që</w:t>
      </w:r>
      <w:r w:rsidRPr="0058349C">
        <w:rPr>
          <w:rFonts w:ascii="Garamond" w:hAnsi="Garamond" w:cs="Arial"/>
          <w:sz w:val="24"/>
          <w:szCs w:val="24"/>
          <w:lang w:val="sq-AL"/>
        </w:rPr>
        <w:t xml:space="preserve"> rrjedhin prej tyre</w:t>
      </w:r>
      <w:r w:rsidR="00543FCB">
        <w:rPr>
          <w:rFonts w:ascii="Garamond" w:hAnsi="Garamond" w:cs="Arial"/>
          <w:sz w:val="24"/>
          <w:szCs w:val="24"/>
          <w:lang w:val="sq-AL"/>
        </w:rPr>
        <w:t>,</w:t>
      </w:r>
      <w:r w:rsidRPr="0058349C">
        <w:rPr>
          <w:rFonts w:ascii="Garamond" w:hAnsi="Garamond" w:cs="Arial"/>
          <w:sz w:val="24"/>
          <w:szCs w:val="24"/>
          <w:lang w:val="sq-AL"/>
        </w:rPr>
        <w:t xml:space="preserve"> </w:t>
      </w:r>
      <w:r w:rsidR="00543FCB">
        <w:rPr>
          <w:rFonts w:ascii="Garamond" w:hAnsi="Garamond" w:cs="Arial"/>
          <w:sz w:val="24"/>
          <w:szCs w:val="24"/>
          <w:lang w:val="sq-AL"/>
        </w:rPr>
        <w:t>u</w:t>
      </w:r>
      <w:r w:rsidRPr="0058349C">
        <w:rPr>
          <w:rFonts w:ascii="Garamond" w:hAnsi="Garamond" w:cs="Arial"/>
          <w:sz w:val="24"/>
          <w:szCs w:val="24"/>
          <w:lang w:val="sq-AL"/>
        </w:rPr>
        <w:t xml:space="preserve"> referohen nevojave prioritare të agreguara të identifikuara në kapitujt e </w:t>
      </w:r>
      <w:r w:rsidR="00543FCB" w:rsidRPr="0058349C">
        <w:rPr>
          <w:rFonts w:ascii="Garamond" w:hAnsi="Garamond" w:cs="Arial"/>
          <w:sz w:val="24"/>
          <w:szCs w:val="24"/>
          <w:lang w:val="sq-AL"/>
        </w:rPr>
        <w:t>objektivave të përgjithshëm, specifik</w:t>
      </w:r>
      <w:r w:rsidR="00543FCB">
        <w:rPr>
          <w:rFonts w:ascii="Garamond" w:hAnsi="Garamond" w:cs="Arial"/>
          <w:sz w:val="24"/>
          <w:szCs w:val="24"/>
          <w:lang w:val="sq-AL"/>
        </w:rPr>
        <w:t>ë</w:t>
      </w:r>
      <w:r w:rsidR="00543FCB" w:rsidRPr="0058349C">
        <w:rPr>
          <w:rFonts w:ascii="Garamond" w:hAnsi="Garamond" w:cs="Arial"/>
          <w:sz w:val="24"/>
          <w:szCs w:val="24"/>
          <w:lang w:val="sq-AL"/>
        </w:rPr>
        <w:t xml:space="preserve"> dhe ndërsektorial</w:t>
      </w:r>
      <w:r w:rsidR="00543FCB">
        <w:rPr>
          <w:rFonts w:ascii="Garamond" w:hAnsi="Garamond" w:cs="Arial"/>
          <w:sz w:val="24"/>
          <w:szCs w:val="24"/>
          <w:lang w:val="sq-AL"/>
        </w:rPr>
        <w:t>ë</w:t>
      </w:r>
      <w:r w:rsidRPr="0058349C">
        <w:rPr>
          <w:rFonts w:ascii="Garamond" w:hAnsi="Garamond" w:cs="Arial"/>
          <w:sz w:val="24"/>
          <w:szCs w:val="24"/>
          <w:lang w:val="sq-AL"/>
        </w:rPr>
        <w:t>.</w:t>
      </w:r>
    </w:p>
    <w:p w14:paraId="0773B0D3" w14:textId="7F47DFBA"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Mekanizmat e ndërhyrjeve</w:t>
      </w:r>
      <w:r w:rsidRPr="0058349C">
        <w:rPr>
          <w:rFonts w:ascii="Garamond" w:hAnsi="Garamond" w:cs="Arial"/>
          <w:sz w:val="24"/>
          <w:szCs w:val="24"/>
          <w:lang w:val="sq-AL"/>
        </w:rPr>
        <w:t xml:space="preserve"> për bujqësinë dhe zhvillimin rural, përfshirë pylltarinë janë përshkruar në </w:t>
      </w:r>
      <w:r w:rsidR="00543FCB" w:rsidRPr="0058349C">
        <w:rPr>
          <w:rFonts w:ascii="Garamond" w:hAnsi="Garamond" w:cs="Arial"/>
          <w:sz w:val="24"/>
          <w:szCs w:val="24"/>
          <w:lang w:val="sq-AL"/>
        </w:rPr>
        <w:t xml:space="preserve">tabelën </w:t>
      </w:r>
      <w:r w:rsidRPr="0058349C">
        <w:rPr>
          <w:rFonts w:ascii="Garamond" w:hAnsi="Garamond" w:cs="Arial"/>
          <w:sz w:val="24"/>
          <w:szCs w:val="24"/>
          <w:lang w:val="sq-AL"/>
        </w:rPr>
        <w:t>4-1.</w:t>
      </w:r>
    </w:p>
    <w:p w14:paraId="0773B0D4" w14:textId="48D588C5" w:rsidR="00DF7A00" w:rsidRPr="0058349C" w:rsidRDefault="00DF7A00" w:rsidP="00DF7A00">
      <w:pPr>
        <w:spacing w:after="0" w:line="240" w:lineRule="auto"/>
        <w:ind w:firstLine="284"/>
        <w:jc w:val="both"/>
        <w:rPr>
          <w:rFonts w:ascii="Garamond" w:hAnsi="Garamond" w:cs="Arial"/>
          <w:sz w:val="24"/>
          <w:szCs w:val="24"/>
          <w:lang w:val="sq-AL"/>
        </w:rPr>
      </w:pPr>
      <w:r w:rsidRPr="0058349C">
        <w:rPr>
          <w:rFonts w:ascii="Garamond" w:hAnsi="Garamond" w:cs="Arial"/>
          <w:b/>
          <w:sz w:val="24"/>
          <w:szCs w:val="24"/>
          <w:lang w:val="sq-AL"/>
        </w:rPr>
        <w:t>Mekanizmat e ndërhyrjes në sektorin e peshkimit</w:t>
      </w:r>
      <w:r w:rsidRPr="0058349C">
        <w:rPr>
          <w:rFonts w:ascii="Garamond" w:hAnsi="Garamond" w:cs="Arial"/>
          <w:sz w:val="24"/>
          <w:szCs w:val="24"/>
          <w:lang w:val="sq-AL"/>
        </w:rPr>
        <w:t xml:space="preserve"> janë përshkruar veçmas në </w:t>
      </w:r>
      <w:r w:rsidR="00543FCB" w:rsidRPr="0058349C">
        <w:rPr>
          <w:rFonts w:ascii="Garamond" w:hAnsi="Garamond" w:cs="Arial"/>
          <w:sz w:val="24"/>
          <w:szCs w:val="24"/>
          <w:lang w:val="sq-AL"/>
        </w:rPr>
        <w:t xml:space="preserve">tabelën </w:t>
      </w:r>
      <w:r w:rsidRPr="0058349C">
        <w:rPr>
          <w:rFonts w:ascii="Garamond" w:hAnsi="Garamond" w:cs="Arial"/>
          <w:sz w:val="24"/>
          <w:szCs w:val="24"/>
          <w:lang w:val="sq-AL"/>
        </w:rPr>
        <w:t>4-2.</w:t>
      </w:r>
    </w:p>
    <w:p w14:paraId="0773B0D5" w14:textId="77777777" w:rsidR="00986759" w:rsidRPr="0058349C" w:rsidRDefault="00986759" w:rsidP="00DF7A00">
      <w:pPr>
        <w:spacing w:after="0" w:line="240" w:lineRule="auto"/>
        <w:ind w:firstLine="284"/>
        <w:jc w:val="both"/>
        <w:rPr>
          <w:rFonts w:ascii="Garamond" w:hAnsi="Garamond" w:cs="Arial"/>
          <w:sz w:val="24"/>
          <w:szCs w:val="24"/>
          <w:lang w:val="sq-AL"/>
        </w:rPr>
      </w:pPr>
    </w:p>
    <w:p w14:paraId="0773B0D6" w14:textId="77777777" w:rsidR="00986759" w:rsidRPr="0058349C" w:rsidRDefault="00986759" w:rsidP="00DF7A00">
      <w:pPr>
        <w:spacing w:after="0" w:line="240" w:lineRule="auto"/>
        <w:ind w:firstLine="284"/>
        <w:jc w:val="both"/>
        <w:rPr>
          <w:rFonts w:ascii="Garamond" w:hAnsi="Garamond" w:cs="Arial"/>
          <w:sz w:val="24"/>
          <w:szCs w:val="24"/>
          <w:lang w:val="sq-AL"/>
        </w:rPr>
      </w:pPr>
    </w:p>
    <w:p w14:paraId="0773B0D7" w14:textId="77777777" w:rsidR="00986759" w:rsidRPr="0058349C" w:rsidRDefault="00986759" w:rsidP="00DF7A00">
      <w:pPr>
        <w:spacing w:after="0" w:line="240" w:lineRule="auto"/>
        <w:ind w:firstLine="284"/>
        <w:jc w:val="both"/>
        <w:rPr>
          <w:rFonts w:ascii="Garamond" w:hAnsi="Garamond" w:cs="Arial"/>
          <w:sz w:val="24"/>
          <w:szCs w:val="24"/>
          <w:lang w:val="sq-AL"/>
        </w:rPr>
        <w:sectPr w:rsidR="00986759" w:rsidRPr="0058349C" w:rsidSect="00492C9C">
          <w:footerReference w:type="default" r:id="rId23"/>
          <w:pgSz w:w="11907" w:h="16839" w:code="9"/>
          <w:pgMar w:top="1418" w:right="1418" w:bottom="1418" w:left="1418" w:header="1304" w:footer="1134" w:gutter="0"/>
          <w:pgNumType w:start="0"/>
          <w:cols w:space="720"/>
          <w:titlePg/>
          <w:docGrid w:linePitch="360"/>
        </w:sectPr>
      </w:pPr>
    </w:p>
    <w:p w14:paraId="0773B0D8" w14:textId="103A9780" w:rsidR="00C54AEA" w:rsidRPr="0058349C" w:rsidRDefault="00C54AEA" w:rsidP="00C54AEA">
      <w:pPr>
        <w:pStyle w:val="TEKSTIIII"/>
        <w:rPr>
          <w:b/>
          <w:lang w:val="sq-AL"/>
        </w:rPr>
      </w:pPr>
      <w:bookmarkStart w:id="82" w:name="_Toc103838839"/>
      <w:r w:rsidRPr="0058349C">
        <w:rPr>
          <w:b/>
          <w:lang w:val="sq-AL"/>
        </w:rPr>
        <w:lastRenderedPageBreak/>
        <w:t xml:space="preserve">4.2 Përshkrimi i instrumenteve dhe </w:t>
      </w:r>
      <w:r w:rsidR="00543FCB">
        <w:rPr>
          <w:b/>
          <w:lang w:val="sq-AL"/>
        </w:rPr>
        <w:t xml:space="preserve">i </w:t>
      </w:r>
      <w:r w:rsidRPr="0058349C">
        <w:rPr>
          <w:b/>
          <w:lang w:val="sq-AL"/>
        </w:rPr>
        <w:t>masave të ndërhyrjes së planifikuar</w:t>
      </w:r>
      <w:r w:rsidR="00543FCB">
        <w:rPr>
          <w:b/>
          <w:lang w:val="sq-AL"/>
        </w:rPr>
        <w:t>,</w:t>
      </w:r>
      <w:r w:rsidRPr="0058349C">
        <w:rPr>
          <w:b/>
          <w:lang w:val="sq-AL"/>
        </w:rPr>
        <w:t xml:space="preserve"> në kuadër të SBZHRP </w:t>
      </w:r>
      <w:r w:rsidR="00612507" w:rsidRPr="0058349C">
        <w:rPr>
          <w:b/>
          <w:lang w:val="sq-AL"/>
        </w:rPr>
        <w:t>2021–2027</w:t>
      </w:r>
      <w:bookmarkEnd w:id="82"/>
    </w:p>
    <w:p w14:paraId="0773B0D9" w14:textId="55F63D41" w:rsidR="00C54AEA" w:rsidRPr="00543FCB" w:rsidRDefault="00C54AEA" w:rsidP="00543FCB">
      <w:pPr>
        <w:pStyle w:val="TEKSTIIII"/>
        <w:ind w:firstLine="0"/>
        <w:jc w:val="center"/>
        <w:rPr>
          <w:b/>
          <w:i/>
          <w:iCs/>
          <w:lang w:val="sq-AL"/>
        </w:rPr>
      </w:pPr>
      <w:bookmarkStart w:id="83" w:name="_Ref88984622"/>
      <w:bookmarkStart w:id="84" w:name="_Ref88986315"/>
      <w:bookmarkStart w:id="85" w:name="_Toc99708275"/>
      <w:r w:rsidRPr="00543FCB">
        <w:rPr>
          <w:b/>
          <w:i/>
          <w:iCs/>
          <w:lang w:val="sq-AL"/>
        </w:rPr>
        <w:t xml:space="preserve">Tabela </w:t>
      </w:r>
      <w:r w:rsidR="00543FCB">
        <w:rPr>
          <w:b/>
          <w:i/>
          <w:iCs/>
          <w:lang w:val="sq-AL"/>
        </w:rPr>
        <w:t>4</w:t>
      </w:r>
      <w:r w:rsidRPr="00543FCB">
        <w:rPr>
          <w:b/>
          <w:i/>
          <w:iCs/>
          <w:lang w:val="sq-AL"/>
        </w:rPr>
        <w:noBreakHyphen/>
      </w:r>
      <w:bookmarkEnd w:id="83"/>
      <w:r w:rsidRPr="00543FCB">
        <w:rPr>
          <w:b/>
          <w:i/>
          <w:iCs/>
          <w:lang w:val="sq-AL"/>
        </w:rPr>
        <w:t>1:</w:t>
      </w:r>
      <w:bookmarkEnd w:id="84"/>
      <w:r w:rsidR="00543FCB" w:rsidRPr="00543FCB">
        <w:rPr>
          <w:b/>
          <w:i/>
          <w:iCs/>
          <w:lang w:val="sq-AL"/>
        </w:rPr>
        <w:t xml:space="preserve"> </w:t>
      </w:r>
      <w:r w:rsidRPr="00543FCB">
        <w:rPr>
          <w:bCs/>
          <w:i/>
          <w:iCs/>
          <w:lang w:val="sq-AL"/>
        </w:rPr>
        <w:t>Mekanizmat e planifikuar të ndërhyrjes në sektorin e bujqësisë dhe zhvillimit rural, duke përfshirë pylltarinë</w:t>
      </w:r>
      <w:bookmarkEnd w:id="85"/>
    </w:p>
    <w:tbl>
      <w:tblPr>
        <w:tblW w:w="50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E0" w:firstRow="1" w:lastRow="1" w:firstColumn="1" w:lastColumn="0" w:noHBand="0" w:noVBand="1"/>
      </w:tblPr>
      <w:tblGrid>
        <w:gridCol w:w="1466"/>
        <w:gridCol w:w="215"/>
        <w:gridCol w:w="1138"/>
        <w:gridCol w:w="8123"/>
        <w:gridCol w:w="1534"/>
        <w:gridCol w:w="1849"/>
        <w:gridCol w:w="11"/>
      </w:tblGrid>
      <w:tr w:rsidR="00167C37" w:rsidRPr="008C565D" w14:paraId="0773B0DF" w14:textId="77777777" w:rsidTr="00BB27DF">
        <w:trPr>
          <w:gridAfter w:val="1"/>
          <w:wAfter w:w="4" w:type="pct"/>
          <w:trHeight w:val="354"/>
          <w:tblHeader/>
        </w:trPr>
        <w:tc>
          <w:tcPr>
            <w:tcW w:w="983" w:type="pct"/>
            <w:gridSpan w:val="3"/>
            <w:vMerge w:val="restart"/>
            <w:shd w:val="clear" w:color="auto" w:fill="E5F7CA"/>
            <w:vAlign w:val="center"/>
          </w:tcPr>
          <w:p w14:paraId="0773B0DA" w14:textId="2AD9596F" w:rsidR="00FC6222" w:rsidRPr="0058349C" w:rsidRDefault="00543FCB" w:rsidP="00830F27">
            <w:pPr>
              <w:pStyle w:val="Table1"/>
              <w:jc w:val="center"/>
              <w:rPr>
                <w:rFonts w:ascii="Garamond" w:eastAsia="Calibri" w:hAnsi="Garamond"/>
                <w:b/>
                <w:bCs/>
                <w:sz w:val="18"/>
                <w:szCs w:val="20"/>
              </w:rPr>
            </w:pPr>
            <w:r>
              <w:rPr>
                <w:rFonts w:ascii="Garamond" w:eastAsia="Calibri" w:hAnsi="Garamond"/>
                <w:b/>
                <w:bCs/>
                <w:sz w:val="18"/>
                <w:szCs w:val="20"/>
              </w:rPr>
              <w:t>Masa</w:t>
            </w:r>
            <w:r w:rsidR="00FC6222" w:rsidRPr="0058349C">
              <w:rPr>
                <w:rFonts w:ascii="Garamond" w:eastAsia="Calibri" w:hAnsi="Garamond"/>
                <w:b/>
                <w:bCs/>
                <w:sz w:val="18"/>
                <w:szCs w:val="20"/>
              </w:rPr>
              <w:t>/</w:t>
            </w:r>
            <w:r w:rsidR="008C565D" w:rsidRPr="0058349C">
              <w:rPr>
                <w:rFonts w:ascii="Garamond" w:eastAsia="Calibri" w:hAnsi="Garamond"/>
                <w:b/>
                <w:bCs/>
                <w:sz w:val="18"/>
                <w:szCs w:val="20"/>
              </w:rPr>
              <w:t xml:space="preserve">ndërhyrja </w:t>
            </w:r>
            <w:r w:rsidR="00FC6222" w:rsidRPr="0058349C">
              <w:rPr>
                <w:rFonts w:ascii="Garamond" w:eastAsia="Calibri" w:hAnsi="Garamond"/>
                <w:b/>
                <w:bCs/>
                <w:sz w:val="18"/>
                <w:szCs w:val="20"/>
              </w:rPr>
              <w:t>e planifikuar</w:t>
            </w:r>
          </w:p>
        </w:tc>
        <w:tc>
          <w:tcPr>
            <w:tcW w:w="2833" w:type="pct"/>
            <w:shd w:val="clear" w:color="auto" w:fill="E5F7CA"/>
            <w:vAlign w:val="center"/>
          </w:tcPr>
          <w:p w14:paraId="0773B0DB" w14:textId="77777777" w:rsidR="00FC6222" w:rsidRPr="0058349C" w:rsidRDefault="00FC6222" w:rsidP="00830F27">
            <w:pPr>
              <w:pStyle w:val="Table1"/>
              <w:jc w:val="center"/>
              <w:rPr>
                <w:rFonts w:ascii="Garamond" w:eastAsia="Calibri" w:hAnsi="Garamond"/>
                <w:b/>
                <w:bCs/>
                <w:sz w:val="18"/>
                <w:szCs w:val="20"/>
              </w:rPr>
            </w:pPr>
            <w:r w:rsidRPr="0058349C">
              <w:rPr>
                <w:rFonts w:ascii="Garamond" w:eastAsia="Calibri" w:hAnsi="Garamond"/>
                <w:b/>
                <w:bCs/>
                <w:sz w:val="18"/>
                <w:szCs w:val="20"/>
              </w:rPr>
              <w:t>Përshkrim i shkurtër i instrumenteve të ndërhyrjes</w:t>
            </w:r>
          </w:p>
        </w:tc>
        <w:tc>
          <w:tcPr>
            <w:tcW w:w="535" w:type="pct"/>
            <w:vMerge w:val="restart"/>
            <w:shd w:val="clear" w:color="auto" w:fill="E5F7CA"/>
          </w:tcPr>
          <w:p w14:paraId="0773B0DC" w14:textId="77777777" w:rsidR="00FC6222" w:rsidRPr="0058349C" w:rsidRDefault="00FC6222" w:rsidP="00830F27">
            <w:pPr>
              <w:pStyle w:val="Table1"/>
              <w:jc w:val="center"/>
              <w:rPr>
                <w:rFonts w:ascii="Garamond" w:eastAsia="Calibri" w:hAnsi="Garamond"/>
                <w:b/>
                <w:bCs/>
                <w:sz w:val="18"/>
                <w:szCs w:val="20"/>
              </w:rPr>
            </w:pPr>
            <w:r w:rsidRPr="0058349C">
              <w:rPr>
                <w:rFonts w:ascii="Garamond" w:eastAsia="Calibri" w:hAnsi="Garamond"/>
                <w:b/>
                <w:bCs/>
                <w:sz w:val="18"/>
                <w:szCs w:val="20"/>
              </w:rPr>
              <w:t>Referenca përkat</w:t>
            </w:r>
            <w:r w:rsidRPr="0058349C">
              <w:rPr>
                <w:rFonts w:ascii="Garamond" w:hAnsi="Garamond"/>
                <w:b/>
                <w:sz w:val="18"/>
                <w:szCs w:val="20"/>
              </w:rPr>
              <w:t>ëse me</w:t>
            </w:r>
            <w:r w:rsidRPr="0058349C">
              <w:rPr>
                <w:rFonts w:ascii="Garamond" w:eastAsia="Calibri" w:hAnsi="Garamond"/>
                <w:b/>
                <w:bCs/>
                <w:sz w:val="18"/>
                <w:szCs w:val="20"/>
              </w:rPr>
              <w:t xml:space="preserve"> nevojat e identifikuara</w:t>
            </w:r>
          </w:p>
        </w:tc>
        <w:tc>
          <w:tcPr>
            <w:tcW w:w="645" w:type="pct"/>
            <w:shd w:val="clear" w:color="auto" w:fill="E5F7CA"/>
          </w:tcPr>
          <w:p w14:paraId="0773B0DD" w14:textId="77777777" w:rsidR="00FC6222" w:rsidRPr="008C565D" w:rsidRDefault="00FC6222" w:rsidP="00830F27">
            <w:pPr>
              <w:pStyle w:val="Table1"/>
              <w:jc w:val="center"/>
              <w:rPr>
                <w:rFonts w:ascii="Garamond" w:eastAsia="Calibri" w:hAnsi="Garamond"/>
                <w:b/>
                <w:bCs/>
                <w:sz w:val="18"/>
                <w:szCs w:val="20"/>
              </w:rPr>
            </w:pPr>
            <w:r w:rsidRPr="008C565D">
              <w:rPr>
                <w:rFonts w:ascii="Garamond" w:eastAsia="Calibri" w:hAnsi="Garamond"/>
                <w:b/>
                <w:bCs/>
                <w:sz w:val="18"/>
                <w:szCs w:val="20"/>
              </w:rPr>
              <w:t xml:space="preserve">Burimi i buxhetit </w:t>
            </w:r>
          </w:p>
          <w:p w14:paraId="0773B0DE" w14:textId="77777777" w:rsidR="00FC6222" w:rsidRPr="008C565D" w:rsidRDefault="00FC6222" w:rsidP="00830F27">
            <w:pPr>
              <w:pStyle w:val="Table1"/>
              <w:jc w:val="center"/>
              <w:rPr>
                <w:rFonts w:ascii="Garamond" w:eastAsia="Calibri" w:hAnsi="Garamond"/>
                <w:b/>
                <w:bCs/>
                <w:sz w:val="18"/>
                <w:szCs w:val="20"/>
              </w:rPr>
            </w:pPr>
            <w:r w:rsidRPr="008C565D">
              <w:rPr>
                <w:rFonts w:ascii="Garamond" w:eastAsia="Calibri" w:hAnsi="Garamond"/>
                <w:b/>
                <w:bCs/>
                <w:sz w:val="18"/>
                <w:szCs w:val="20"/>
              </w:rPr>
              <w:t>(pa bashkëfinancim nga privat</w:t>
            </w:r>
            <w:r w:rsidRPr="008C565D">
              <w:rPr>
                <w:rFonts w:ascii="Garamond" w:hAnsi="Garamond"/>
                <w:b/>
                <w:bCs/>
                <w:sz w:val="18"/>
                <w:szCs w:val="20"/>
              </w:rPr>
              <w:t>ët</w:t>
            </w:r>
            <w:r w:rsidRPr="008C565D">
              <w:rPr>
                <w:rFonts w:ascii="Garamond" w:eastAsia="Calibri" w:hAnsi="Garamond"/>
                <w:b/>
                <w:bCs/>
                <w:sz w:val="18"/>
                <w:szCs w:val="20"/>
              </w:rPr>
              <w:t>)</w:t>
            </w:r>
          </w:p>
        </w:tc>
      </w:tr>
      <w:tr w:rsidR="00FC6222" w:rsidRPr="0058349C" w14:paraId="0773B0E4" w14:textId="77777777" w:rsidTr="00543FCB">
        <w:trPr>
          <w:trHeight w:val="20"/>
        </w:trPr>
        <w:tc>
          <w:tcPr>
            <w:tcW w:w="983" w:type="pct"/>
            <w:gridSpan w:val="3"/>
            <w:vMerge/>
            <w:shd w:val="clear" w:color="auto" w:fill="E5F7CA"/>
          </w:tcPr>
          <w:p w14:paraId="0773B0E0" w14:textId="77777777" w:rsidR="00FC6222" w:rsidRPr="0058349C" w:rsidRDefault="00FC6222" w:rsidP="00830F27">
            <w:pPr>
              <w:pStyle w:val="Table1"/>
              <w:jc w:val="center"/>
              <w:rPr>
                <w:rFonts w:ascii="Garamond" w:eastAsia="Calibri" w:hAnsi="Garamond"/>
                <w:b/>
                <w:bCs/>
                <w:sz w:val="18"/>
                <w:szCs w:val="20"/>
              </w:rPr>
            </w:pPr>
          </w:p>
        </w:tc>
        <w:tc>
          <w:tcPr>
            <w:tcW w:w="2833" w:type="pct"/>
            <w:shd w:val="clear" w:color="auto" w:fill="E5F7CA"/>
          </w:tcPr>
          <w:p w14:paraId="0773B0E1" w14:textId="5481F11F" w:rsidR="00FC6222" w:rsidRPr="0058349C" w:rsidRDefault="00167C37" w:rsidP="00167C37">
            <w:pPr>
              <w:pStyle w:val="Table1"/>
              <w:spacing w:before="60"/>
              <w:ind w:left="720"/>
              <w:jc w:val="center"/>
              <w:rPr>
                <w:rFonts w:ascii="Garamond" w:eastAsia="Calibri" w:hAnsi="Garamond"/>
                <w:b/>
                <w:bCs/>
                <w:sz w:val="18"/>
                <w:szCs w:val="20"/>
              </w:rPr>
            </w:pPr>
            <w:r w:rsidRPr="0058349C">
              <w:rPr>
                <w:rFonts w:ascii="Garamond" w:eastAsia="Calibri" w:hAnsi="Garamond"/>
                <w:b/>
                <w:bCs/>
                <w:sz w:val="18"/>
                <w:szCs w:val="20"/>
              </w:rPr>
              <w:t xml:space="preserve">1. </w:t>
            </w:r>
            <w:r w:rsidR="00FC6222" w:rsidRPr="0058349C">
              <w:rPr>
                <w:rFonts w:ascii="Garamond" w:eastAsia="Calibri" w:hAnsi="Garamond"/>
                <w:b/>
                <w:bCs/>
                <w:sz w:val="18"/>
                <w:szCs w:val="20"/>
              </w:rPr>
              <w:t>Pagesat e drejtpërdrejta</w:t>
            </w:r>
            <w:r w:rsidR="00CF7694" w:rsidRPr="0058349C">
              <w:rPr>
                <w:rFonts w:ascii="Garamond" w:eastAsia="Calibri" w:hAnsi="Garamond"/>
                <w:b/>
                <w:bCs/>
                <w:sz w:val="18"/>
                <w:szCs w:val="20"/>
              </w:rPr>
              <w:t xml:space="preserve"> </w:t>
            </w:r>
            <w:r w:rsidR="00FC6222" w:rsidRPr="0058349C">
              <w:rPr>
                <w:rFonts w:ascii="Garamond" w:eastAsia="Calibri" w:hAnsi="Garamond"/>
                <w:b/>
                <w:bCs/>
                <w:sz w:val="18"/>
                <w:szCs w:val="20"/>
              </w:rPr>
              <w:t>(llojet e shtyllës I)</w:t>
            </w:r>
          </w:p>
        </w:tc>
        <w:tc>
          <w:tcPr>
            <w:tcW w:w="535" w:type="pct"/>
            <w:vMerge/>
            <w:shd w:val="clear" w:color="auto" w:fill="E5F7CA"/>
          </w:tcPr>
          <w:p w14:paraId="0773B0E2" w14:textId="77777777" w:rsidR="00FC6222" w:rsidRPr="0058349C" w:rsidRDefault="00FC6222" w:rsidP="00830F27">
            <w:pPr>
              <w:pStyle w:val="Table1"/>
              <w:jc w:val="center"/>
              <w:rPr>
                <w:rFonts w:ascii="Garamond" w:eastAsia="Calibri" w:hAnsi="Garamond"/>
                <w:b/>
                <w:bCs/>
                <w:sz w:val="18"/>
                <w:szCs w:val="20"/>
              </w:rPr>
            </w:pPr>
          </w:p>
        </w:tc>
        <w:tc>
          <w:tcPr>
            <w:tcW w:w="649" w:type="pct"/>
            <w:gridSpan w:val="2"/>
            <w:shd w:val="clear" w:color="auto" w:fill="E5F7CA"/>
          </w:tcPr>
          <w:p w14:paraId="0773B0E3" w14:textId="77777777" w:rsidR="00FC6222" w:rsidRPr="008C565D" w:rsidRDefault="00FC6222" w:rsidP="00830F27">
            <w:pPr>
              <w:pStyle w:val="Table1"/>
              <w:jc w:val="center"/>
              <w:rPr>
                <w:rFonts w:ascii="Garamond" w:eastAsia="Calibri" w:hAnsi="Garamond"/>
                <w:b/>
                <w:bCs/>
                <w:sz w:val="18"/>
                <w:szCs w:val="20"/>
              </w:rPr>
            </w:pPr>
          </w:p>
        </w:tc>
      </w:tr>
      <w:tr w:rsidR="00FC6222" w:rsidRPr="0058349C" w14:paraId="0773B0EB" w14:textId="77777777" w:rsidTr="00543FCB">
        <w:trPr>
          <w:gridAfter w:val="1"/>
          <w:wAfter w:w="4" w:type="pct"/>
          <w:trHeight w:val="20"/>
        </w:trPr>
        <w:tc>
          <w:tcPr>
            <w:tcW w:w="983" w:type="pct"/>
            <w:gridSpan w:val="3"/>
          </w:tcPr>
          <w:p w14:paraId="0773B0E5" w14:textId="4005688F" w:rsidR="00FC6222" w:rsidRPr="0058349C" w:rsidRDefault="00FC6222" w:rsidP="00830F27">
            <w:pPr>
              <w:pStyle w:val="Table1"/>
              <w:jc w:val="both"/>
              <w:rPr>
                <w:rFonts w:ascii="Garamond" w:eastAsia="Calibri" w:hAnsi="Garamond"/>
                <w:b/>
                <w:bCs/>
                <w:sz w:val="18"/>
                <w:szCs w:val="20"/>
              </w:rPr>
            </w:pPr>
            <w:r w:rsidRPr="0058349C">
              <w:rPr>
                <w:rFonts w:ascii="Garamond" w:eastAsia="Calibri" w:hAnsi="Garamond"/>
                <w:b/>
                <w:bCs/>
                <w:sz w:val="18"/>
                <w:szCs w:val="20"/>
              </w:rPr>
              <w:t xml:space="preserve">1. Mbështetje kalimtare për të ardhurat për sektorët e orientuar nga tregu nën </w:t>
            </w:r>
            <w:r w:rsidR="0070001C" w:rsidRPr="0058349C">
              <w:rPr>
                <w:rFonts w:ascii="Garamond" w:eastAsia="Calibri" w:hAnsi="Garamond"/>
                <w:b/>
                <w:bCs/>
                <w:sz w:val="18"/>
                <w:szCs w:val="20"/>
              </w:rPr>
              <w:t>organizimin e përbashkët të tre</w:t>
            </w:r>
            <w:r w:rsidRPr="0058349C">
              <w:rPr>
                <w:rFonts w:ascii="Garamond" w:eastAsia="Calibri" w:hAnsi="Garamond"/>
                <w:b/>
                <w:bCs/>
                <w:sz w:val="18"/>
                <w:szCs w:val="20"/>
              </w:rPr>
              <w:t>gut (perime, fruta dhe ullinj)</w:t>
            </w:r>
          </w:p>
        </w:tc>
        <w:tc>
          <w:tcPr>
            <w:tcW w:w="2833" w:type="pct"/>
          </w:tcPr>
          <w:p w14:paraId="0773B0E6" w14:textId="77777777" w:rsidR="00FC6222" w:rsidRPr="0058349C" w:rsidRDefault="00FC6222" w:rsidP="00FC6222">
            <w:pPr>
              <w:pStyle w:val="Table1"/>
              <w:numPr>
                <w:ilvl w:val="0"/>
                <w:numId w:val="18"/>
              </w:numPr>
              <w:ind w:left="242" w:hanging="180"/>
              <w:jc w:val="both"/>
              <w:rPr>
                <w:rFonts w:ascii="Garamond" w:eastAsia="Calibri" w:hAnsi="Garamond"/>
                <w:sz w:val="18"/>
                <w:szCs w:val="20"/>
              </w:rPr>
            </w:pPr>
            <w:r w:rsidRPr="0058349C">
              <w:rPr>
                <w:rFonts w:ascii="Garamond" w:eastAsia="Calibri" w:hAnsi="Garamond"/>
                <w:sz w:val="18"/>
                <w:szCs w:val="20"/>
              </w:rPr>
              <w:t>Përfitues janë fermerët, përdorues të tokës bujqësore.</w:t>
            </w:r>
          </w:p>
          <w:p w14:paraId="0773B0E7" w14:textId="77777777" w:rsidR="00FC6222" w:rsidRPr="0058349C" w:rsidRDefault="00FC6222" w:rsidP="00FC6222">
            <w:pPr>
              <w:pStyle w:val="Table1"/>
              <w:numPr>
                <w:ilvl w:val="0"/>
                <w:numId w:val="18"/>
              </w:numPr>
              <w:ind w:left="242" w:hanging="180"/>
              <w:jc w:val="both"/>
              <w:rPr>
                <w:rFonts w:ascii="Garamond" w:eastAsia="Calibri" w:hAnsi="Garamond"/>
                <w:sz w:val="18"/>
                <w:szCs w:val="20"/>
              </w:rPr>
            </w:pPr>
            <w:r w:rsidRPr="0058349C">
              <w:rPr>
                <w:rFonts w:ascii="Garamond" w:eastAsia="Calibri" w:hAnsi="Garamond"/>
                <w:sz w:val="18"/>
                <w:szCs w:val="20"/>
              </w:rPr>
              <w:t>Pagesat duhet të lidhen me kërkesat e thjeshtuara të Kushteve të Mira Bujqësore dhe Mjedisore (KMBM).</w:t>
            </w:r>
          </w:p>
          <w:p w14:paraId="0773B0E8" w14:textId="77777777" w:rsidR="00FC6222" w:rsidRPr="0058349C" w:rsidRDefault="00FC6222" w:rsidP="00FC6222">
            <w:pPr>
              <w:pStyle w:val="Table1"/>
              <w:numPr>
                <w:ilvl w:val="0"/>
                <w:numId w:val="18"/>
              </w:numPr>
              <w:ind w:left="242" w:hanging="180"/>
              <w:jc w:val="both"/>
              <w:rPr>
                <w:rFonts w:ascii="Garamond" w:eastAsia="Calibri" w:hAnsi="Garamond"/>
                <w:sz w:val="18"/>
                <w:szCs w:val="20"/>
              </w:rPr>
            </w:pPr>
            <w:r w:rsidRPr="0058349C">
              <w:rPr>
                <w:rFonts w:ascii="Garamond" w:eastAsia="Calibri" w:hAnsi="Garamond"/>
                <w:sz w:val="18"/>
                <w:szCs w:val="20"/>
              </w:rPr>
              <w:t>Pagesat duhet të bëhen çdo vit, për ha.</w:t>
            </w:r>
          </w:p>
        </w:tc>
        <w:tc>
          <w:tcPr>
            <w:tcW w:w="535" w:type="pct"/>
          </w:tcPr>
          <w:p w14:paraId="0773B0E9"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1.1, 1.2</w:t>
            </w:r>
          </w:p>
        </w:tc>
        <w:tc>
          <w:tcPr>
            <w:tcW w:w="645" w:type="pct"/>
          </w:tcPr>
          <w:p w14:paraId="0773B0EA"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Buxheti Kombëtar</w:t>
            </w:r>
          </w:p>
        </w:tc>
      </w:tr>
      <w:tr w:rsidR="00FC6222" w:rsidRPr="0058349C" w14:paraId="0773B0F3" w14:textId="77777777" w:rsidTr="00543FCB">
        <w:trPr>
          <w:gridAfter w:val="1"/>
          <w:wAfter w:w="4" w:type="pct"/>
          <w:trHeight w:val="20"/>
        </w:trPr>
        <w:tc>
          <w:tcPr>
            <w:tcW w:w="983" w:type="pct"/>
            <w:gridSpan w:val="3"/>
          </w:tcPr>
          <w:p w14:paraId="0773B0EC" w14:textId="2CB75EA8" w:rsidR="00FC6222" w:rsidRPr="0058349C" w:rsidRDefault="00FC6222" w:rsidP="00183D84">
            <w:pPr>
              <w:pStyle w:val="Table1"/>
              <w:jc w:val="both"/>
              <w:rPr>
                <w:rFonts w:ascii="Garamond" w:eastAsia="Calibri" w:hAnsi="Garamond"/>
                <w:b/>
                <w:bCs/>
                <w:sz w:val="18"/>
                <w:szCs w:val="20"/>
              </w:rPr>
            </w:pPr>
            <w:r w:rsidRPr="0058349C">
              <w:rPr>
                <w:rFonts w:ascii="Garamond" w:eastAsia="Calibri" w:hAnsi="Garamond"/>
                <w:b/>
                <w:bCs/>
                <w:sz w:val="18"/>
                <w:szCs w:val="20"/>
              </w:rPr>
              <w:t>2. Mbështetja e të ardhurave për fermën sipas kriterit t</w:t>
            </w:r>
            <w:r w:rsidRPr="0058349C">
              <w:rPr>
                <w:rFonts w:ascii="Garamond" w:hAnsi="Garamond"/>
                <w:sz w:val="18"/>
                <w:szCs w:val="20"/>
              </w:rPr>
              <w:t>ë</w:t>
            </w:r>
            <w:r w:rsidRPr="0058349C">
              <w:rPr>
                <w:rFonts w:ascii="Garamond" w:eastAsia="Calibri" w:hAnsi="Garamond"/>
                <w:b/>
                <w:bCs/>
                <w:sz w:val="18"/>
                <w:szCs w:val="20"/>
              </w:rPr>
              <w:t xml:space="preserve"> sipërfaqes bujqësore të shfrytëzuar </w:t>
            </w:r>
            <w:r w:rsidRPr="00183D84">
              <w:rPr>
                <w:rFonts w:ascii="Garamond" w:eastAsia="Calibri" w:hAnsi="Garamond"/>
                <w:b/>
                <w:bCs/>
                <w:sz w:val="18"/>
                <w:szCs w:val="20"/>
              </w:rPr>
              <w:t>(pagesa n</w:t>
            </w:r>
            <w:r w:rsidRPr="00183D84">
              <w:rPr>
                <w:rFonts w:ascii="Garamond" w:hAnsi="Garamond"/>
                <w:b/>
                <w:bCs/>
                <w:sz w:val="18"/>
                <w:szCs w:val="20"/>
              </w:rPr>
              <w:t>ë buxhetin e fermës që janë t</w:t>
            </w:r>
            <w:r w:rsidR="00183D84" w:rsidRPr="00183D84">
              <w:rPr>
                <w:rFonts w:ascii="Garamond" w:hAnsi="Garamond"/>
                <w:b/>
                <w:bCs/>
                <w:sz w:val="18"/>
                <w:szCs w:val="20"/>
              </w:rPr>
              <w:t>ë</w:t>
            </w:r>
            <w:r w:rsidRPr="00183D84">
              <w:rPr>
                <w:rFonts w:ascii="Garamond" w:eastAsia="Calibri" w:hAnsi="Garamond"/>
                <w:b/>
                <w:bCs/>
                <w:sz w:val="18"/>
                <w:szCs w:val="20"/>
              </w:rPr>
              <w:t xml:space="preserve"> shkëputura nga lloji i prodhimit bimor apo blegtoral ose nga faktor</w:t>
            </w:r>
            <w:r w:rsidRPr="00183D84">
              <w:rPr>
                <w:rFonts w:ascii="Garamond" w:hAnsi="Garamond"/>
                <w:b/>
                <w:bCs/>
                <w:sz w:val="18"/>
                <w:szCs w:val="20"/>
              </w:rPr>
              <w:t>ët specifikë të prodhimit</w:t>
            </w:r>
            <w:r w:rsidRPr="00183D84">
              <w:rPr>
                <w:rFonts w:ascii="Garamond" w:eastAsia="Calibri" w:hAnsi="Garamond"/>
                <w:b/>
                <w:bCs/>
                <w:sz w:val="18"/>
                <w:szCs w:val="20"/>
              </w:rPr>
              <w:t>)</w:t>
            </w:r>
          </w:p>
        </w:tc>
        <w:tc>
          <w:tcPr>
            <w:tcW w:w="2833" w:type="pct"/>
          </w:tcPr>
          <w:p w14:paraId="0773B0ED" w14:textId="77777777" w:rsidR="00FC6222" w:rsidRPr="0058349C" w:rsidRDefault="00FC6222" w:rsidP="00FC6222">
            <w:pPr>
              <w:pStyle w:val="Table1"/>
              <w:numPr>
                <w:ilvl w:val="0"/>
                <w:numId w:val="18"/>
              </w:numPr>
              <w:ind w:left="242" w:hanging="180"/>
              <w:jc w:val="both"/>
              <w:rPr>
                <w:rFonts w:ascii="Garamond" w:eastAsia="Calibri" w:hAnsi="Garamond"/>
                <w:sz w:val="18"/>
                <w:szCs w:val="20"/>
              </w:rPr>
            </w:pPr>
            <w:r w:rsidRPr="0058349C">
              <w:rPr>
                <w:rFonts w:ascii="Garamond" w:eastAsia="Calibri" w:hAnsi="Garamond"/>
                <w:sz w:val="18"/>
                <w:szCs w:val="20"/>
              </w:rPr>
              <w:t>Përfitues janë fermerët, përdorues të tokës bujqësore.</w:t>
            </w:r>
          </w:p>
          <w:p w14:paraId="0773B0EE" w14:textId="77777777" w:rsidR="00FC6222" w:rsidRPr="0058349C" w:rsidRDefault="00FC6222" w:rsidP="00FC6222">
            <w:pPr>
              <w:pStyle w:val="Table1"/>
              <w:numPr>
                <w:ilvl w:val="0"/>
                <w:numId w:val="18"/>
              </w:numPr>
              <w:ind w:left="242" w:hanging="180"/>
              <w:jc w:val="both"/>
              <w:rPr>
                <w:rFonts w:ascii="Garamond" w:eastAsia="Calibri" w:hAnsi="Garamond"/>
                <w:sz w:val="18"/>
                <w:szCs w:val="20"/>
              </w:rPr>
            </w:pPr>
            <w:r w:rsidRPr="0058349C">
              <w:rPr>
                <w:rFonts w:ascii="Garamond" w:eastAsia="Calibri" w:hAnsi="Garamond"/>
                <w:sz w:val="18"/>
                <w:szCs w:val="20"/>
              </w:rPr>
              <w:t xml:space="preserve">Pagesat duhet të lidhen me kërkesat e KMBM (nën kushtin e një kontrollit minimal prej 1%). </w:t>
            </w:r>
          </w:p>
          <w:p w14:paraId="0773B0EF" w14:textId="1FE98226" w:rsidR="00FC6222" w:rsidRPr="0058349C" w:rsidRDefault="00FC6222" w:rsidP="0070001C">
            <w:pPr>
              <w:pStyle w:val="Table1"/>
              <w:numPr>
                <w:ilvl w:val="0"/>
                <w:numId w:val="18"/>
              </w:numPr>
              <w:ind w:left="242" w:hanging="180"/>
              <w:jc w:val="both"/>
              <w:rPr>
                <w:rFonts w:ascii="Garamond" w:eastAsia="Calibri" w:hAnsi="Garamond"/>
                <w:sz w:val="18"/>
                <w:szCs w:val="20"/>
              </w:rPr>
            </w:pPr>
            <w:r w:rsidRPr="0058349C">
              <w:rPr>
                <w:rFonts w:ascii="Garamond" w:eastAsia="Calibri" w:hAnsi="Garamond"/>
                <w:sz w:val="18"/>
                <w:szCs w:val="20"/>
              </w:rPr>
              <w:t xml:space="preserve">Mbështetja plotësuese e të ardhurave për fermerët e rinj </w:t>
            </w:r>
            <w:r w:rsidRPr="0070001C">
              <w:rPr>
                <w:rFonts w:ascii="Garamond" w:eastAsia="Calibri" w:hAnsi="Garamond"/>
                <w:i/>
                <w:iCs/>
                <w:sz w:val="18"/>
                <w:szCs w:val="20"/>
              </w:rPr>
              <w:t>(start-up)</w:t>
            </w:r>
            <w:r w:rsidR="0070001C">
              <w:rPr>
                <w:rFonts w:ascii="Garamond" w:eastAsia="Calibri" w:hAnsi="Garamond"/>
                <w:sz w:val="18"/>
                <w:szCs w:val="20"/>
              </w:rPr>
              <w:t xml:space="preserve"> </w:t>
            </w:r>
            <w:r w:rsidRPr="0058349C">
              <w:rPr>
                <w:rFonts w:ascii="Garamond" w:eastAsia="Calibri" w:hAnsi="Garamond"/>
                <w:sz w:val="18"/>
                <w:szCs w:val="20"/>
              </w:rPr>
              <w:t>duhet të sigurohet për një kohëzgjatje maksimale prej pesë v</w:t>
            </w:r>
            <w:r w:rsidR="0070001C">
              <w:rPr>
                <w:rFonts w:ascii="Garamond" w:eastAsia="Calibri" w:hAnsi="Garamond"/>
                <w:sz w:val="18"/>
                <w:szCs w:val="20"/>
              </w:rPr>
              <w:t>jetë</w:t>
            </w:r>
            <w:r w:rsidRPr="0058349C">
              <w:rPr>
                <w:rFonts w:ascii="Garamond" w:eastAsia="Calibri" w:hAnsi="Garamond"/>
                <w:sz w:val="18"/>
                <w:szCs w:val="20"/>
              </w:rPr>
              <w:t>sh, duke filluar nga viti i parë i paraqitjes së aplikimit për pagesën për fermerët e rinj.</w:t>
            </w:r>
          </w:p>
          <w:p w14:paraId="0773B0F0" w14:textId="77777777" w:rsidR="00FC6222" w:rsidRPr="0058349C" w:rsidRDefault="00FC6222" w:rsidP="00FC6222">
            <w:pPr>
              <w:pStyle w:val="Table1"/>
              <w:numPr>
                <w:ilvl w:val="0"/>
                <w:numId w:val="18"/>
              </w:numPr>
              <w:ind w:left="242" w:hanging="180"/>
              <w:jc w:val="both"/>
              <w:rPr>
                <w:rFonts w:ascii="Garamond" w:eastAsia="Calibri" w:hAnsi="Garamond"/>
                <w:sz w:val="18"/>
                <w:szCs w:val="20"/>
              </w:rPr>
            </w:pPr>
            <w:r w:rsidRPr="0058349C">
              <w:rPr>
                <w:rFonts w:ascii="Garamond" w:eastAsia="Calibri" w:hAnsi="Garamond"/>
                <w:sz w:val="18"/>
                <w:szCs w:val="20"/>
              </w:rPr>
              <w:t>Pagesat duhet të bëhen çdo vit, për ha.</w:t>
            </w:r>
          </w:p>
        </w:tc>
        <w:tc>
          <w:tcPr>
            <w:tcW w:w="535" w:type="pct"/>
          </w:tcPr>
          <w:p w14:paraId="0773B0F1"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1.1, 1.2, 1.5</w:t>
            </w:r>
          </w:p>
        </w:tc>
        <w:tc>
          <w:tcPr>
            <w:tcW w:w="645" w:type="pct"/>
          </w:tcPr>
          <w:p w14:paraId="0773B0F2"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Buxheti Kombëtar</w:t>
            </w:r>
          </w:p>
        </w:tc>
      </w:tr>
      <w:tr w:rsidR="00FC6222" w:rsidRPr="0058349C" w14:paraId="0773B0FA" w14:textId="77777777" w:rsidTr="00543FCB">
        <w:trPr>
          <w:gridAfter w:val="1"/>
          <w:wAfter w:w="4" w:type="pct"/>
          <w:trHeight w:val="20"/>
        </w:trPr>
        <w:tc>
          <w:tcPr>
            <w:tcW w:w="983" w:type="pct"/>
            <w:gridSpan w:val="3"/>
          </w:tcPr>
          <w:p w14:paraId="0773B0F4" w14:textId="77777777" w:rsidR="00FC6222" w:rsidRPr="0058349C" w:rsidRDefault="00FC6222" w:rsidP="00830F27">
            <w:pPr>
              <w:pStyle w:val="Table1"/>
              <w:jc w:val="both"/>
              <w:rPr>
                <w:rFonts w:ascii="Garamond" w:eastAsia="Calibri" w:hAnsi="Garamond"/>
                <w:b/>
                <w:bCs/>
                <w:sz w:val="18"/>
                <w:szCs w:val="20"/>
              </w:rPr>
            </w:pPr>
            <w:r w:rsidRPr="0058349C">
              <w:rPr>
                <w:rFonts w:ascii="Garamond" w:eastAsia="Calibri" w:hAnsi="Garamond"/>
                <w:b/>
                <w:bCs/>
                <w:sz w:val="18"/>
                <w:szCs w:val="20"/>
              </w:rPr>
              <w:t>3. Mbështetja e të ardhurave për fermën për krer</w:t>
            </w:r>
            <w:r w:rsidRPr="0058349C">
              <w:rPr>
                <w:rFonts w:ascii="Garamond" w:hAnsi="Garamond"/>
                <w:sz w:val="18"/>
                <w:szCs w:val="20"/>
              </w:rPr>
              <w:t>ë</w:t>
            </w:r>
            <w:r w:rsidRPr="0058349C">
              <w:rPr>
                <w:rFonts w:ascii="Garamond" w:eastAsia="Calibri" w:hAnsi="Garamond"/>
                <w:b/>
                <w:bCs/>
                <w:sz w:val="18"/>
                <w:szCs w:val="20"/>
              </w:rPr>
              <w:t xml:space="preserve"> të kafshëve</w:t>
            </w:r>
          </w:p>
        </w:tc>
        <w:tc>
          <w:tcPr>
            <w:tcW w:w="2833" w:type="pct"/>
          </w:tcPr>
          <w:p w14:paraId="0773B0F5" w14:textId="77777777" w:rsidR="00FC6222" w:rsidRPr="0058349C" w:rsidRDefault="00FC6222" w:rsidP="00FC6222">
            <w:pPr>
              <w:pStyle w:val="Table1"/>
              <w:numPr>
                <w:ilvl w:val="0"/>
                <w:numId w:val="18"/>
              </w:numPr>
              <w:ind w:left="242" w:hanging="180"/>
              <w:jc w:val="both"/>
              <w:rPr>
                <w:rFonts w:ascii="Garamond" w:eastAsia="Calibri" w:hAnsi="Garamond"/>
                <w:sz w:val="18"/>
                <w:szCs w:val="20"/>
              </w:rPr>
            </w:pPr>
            <w:r w:rsidRPr="0058349C">
              <w:rPr>
                <w:rFonts w:ascii="Garamond" w:eastAsia="Calibri" w:hAnsi="Garamond"/>
                <w:sz w:val="18"/>
                <w:szCs w:val="20"/>
              </w:rPr>
              <w:t>Përfitues janë fermat blegtorale.</w:t>
            </w:r>
          </w:p>
          <w:p w14:paraId="0773B0F6" w14:textId="77777777" w:rsidR="00FC6222" w:rsidRPr="0058349C" w:rsidRDefault="00FC6222" w:rsidP="00FC6222">
            <w:pPr>
              <w:pStyle w:val="Table1"/>
              <w:numPr>
                <w:ilvl w:val="0"/>
                <w:numId w:val="18"/>
              </w:numPr>
              <w:ind w:left="242" w:hanging="180"/>
              <w:jc w:val="both"/>
              <w:rPr>
                <w:rFonts w:ascii="Garamond" w:eastAsia="Calibri" w:hAnsi="Garamond"/>
                <w:sz w:val="18"/>
                <w:szCs w:val="20"/>
              </w:rPr>
            </w:pPr>
            <w:r w:rsidRPr="0058349C">
              <w:rPr>
                <w:rFonts w:ascii="Garamond" w:eastAsia="Calibri" w:hAnsi="Garamond"/>
                <w:sz w:val="18"/>
                <w:szCs w:val="20"/>
              </w:rPr>
              <w:t xml:space="preserve">Pagesat duhet të lidhen me kërkesat e thjeshtuara për Kushtet e Mira Bujqësore dhe Mjedisore (KMBM) (nën kushtin e një kontrolli minimal prej 1%). </w:t>
            </w:r>
          </w:p>
          <w:p w14:paraId="0773B0F7" w14:textId="77777777" w:rsidR="00FC6222" w:rsidRPr="0058349C" w:rsidRDefault="00FC6222" w:rsidP="00FC6222">
            <w:pPr>
              <w:pStyle w:val="Table1"/>
              <w:numPr>
                <w:ilvl w:val="0"/>
                <w:numId w:val="18"/>
              </w:numPr>
              <w:ind w:left="242" w:hanging="180"/>
              <w:jc w:val="both"/>
              <w:rPr>
                <w:rFonts w:ascii="Garamond" w:eastAsia="Calibri" w:hAnsi="Garamond"/>
                <w:sz w:val="18"/>
                <w:szCs w:val="20"/>
              </w:rPr>
            </w:pPr>
            <w:r w:rsidRPr="0058349C">
              <w:rPr>
                <w:rFonts w:ascii="Garamond" w:eastAsia="Calibri" w:hAnsi="Garamond"/>
                <w:sz w:val="18"/>
                <w:szCs w:val="20"/>
              </w:rPr>
              <w:t>Pagesat duhet të bëhen çdo vit, për krerë kafshësh/koshere bletësh.</w:t>
            </w:r>
          </w:p>
        </w:tc>
        <w:tc>
          <w:tcPr>
            <w:tcW w:w="535" w:type="pct"/>
          </w:tcPr>
          <w:p w14:paraId="0773B0F8"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1.1, 1.2, 1.6</w:t>
            </w:r>
          </w:p>
        </w:tc>
        <w:tc>
          <w:tcPr>
            <w:tcW w:w="645" w:type="pct"/>
          </w:tcPr>
          <w:p w14:paraId="0773B0F9"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Buxheti Kombëtar</w:t>
            </w:r>
          </w:p>
        </w:tc>
      </w:tr>
      <w:tr w:rsidR="00FC6222" w:rsidRPr="0058349C" w14:paraId="0773B100" w14:textId="77777777" w:rsidTr="00543FCB">
        <w:trPr>
          <w:gridAfter w:val="1"/>
          <w:wAfter w:w="4" w:type="pct"/>
          <w:trHeight w:val="20"/>
        </w:trPr>
        <w:tc>
          <w:tcPr>
            <w:tcW w:w="983" w:type="pct"/>
            <w:gridSpan w:val="3"/>
          </w:tcPr>
          <w:p w14:paraId="0773B0FB"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4. Kompensimi për naftën në bujqësi</w:t>
            </w:r>
          </w:p>
        </w:tc>
        <w:tc>
          <w:tcPr>
            <w:tcW w:w="2833" w:type="pct"/>
          </w:tcPr>
          <w:p w14:paraId="0773B0FC" w14:textId="77777777" w:rsidR="00FC6222" w:rsidRPr="0058349C" w:rsidRDefault="00FC6222" w:rsidP="00FC6222">
            <w:pPr>
              <w:pStyle w:val="Table1"/>
              <w:numPr>
                <w:ilvl w:val="0"/>
                <w:numId w:val="18"/>
              </w:numPr>
              <w:ind w:left="242" w:hanging="242"/>
              <w:rPr>
                <w:rFonts w:ascii="Garamond" w:eastAsia="Calibri" w:hAnsi="Garamond"/>
                <w:sz w:val="18"/>
                <w:szCs w:val="20"/>
              </w:rPr>
            </w:pPr>
            <w:r w:rsidRPr="0058349C">
              <w:rPr>
                <w:rFonts w:ascii="Garamond" w:eastAsia="Calibri" w:hAnsi="Garamond"/>
                <w:sz w:val="18"/>
                <w:szCs w:val="20"/>
              </w:rPr>
              <w:t>Përfitues janë fermerët, përdorues të tokës bujqësore.</w:t>
            </w:r>
          </w:p>
          <w:p w14:paraId="0773B0FD" w14:textId="77777777" w:rsidR="00FC6222" w:rsidRPr="0058349C" w:rsidRDefault="00FC6222" w:rsidP="00FC6222">
            <w:pPr>
              <w:pStyle w:val="Table1"/>
              <w:numPr>
                <w:ilvl w:val="0"/>
                <w:numId w:val="18"/>
              </w:numPr>
              <w:ind w:left="242" w:hanging="242"/>
              <w:rPr>
                <w:rFonts w:ascii="Garamond" w:eastAsia="Calibri" w:hAnsi="Garamond"/>
                <w:sz w:val="18"/>
                <w:szCs w:val="20"/>
              </w:rPr>
            </w:pPr>
            <w:r w:rsidRPr="0058349C">
              <w:rPr>
                <w:rFonts w:ascii="Garamond" w:eastAsia="Calibri" w:hAnsi="Garamond"/>
                <w:sz w:val="18"/>
                <w:szCs w:val="20"/>
              </w:rPr>
              <w:t>Për kulturat/grupet e kulturave, konsumi standard i karburantit të naftës duhet të llogaritet për ha. Kompensimi mbulon taksa dhe tatime që aplikohen mbi çmimin e naftës.</w:t>
            </w:r>
          </w:p>
        </w:tc>
        <w:tc>
          <w:tcPr>
            <w:tcW w:w="535" w:type="pct"/>
          </w:tcPr>
          <w:p w14:paraId="0773B0FE"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1.1, 1.2</w:t>
            </w:r>
          </w:p>
        </w:tc>
        <w:tc>
          <w:tcPr>
            <w:tcW w:w="645" w:type="pct"/>
          </w:tcPr>
          <w:p w14:paraId="0773B0FF"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Buxheti Kombëtar</w:t>
            </w:r>
          </w:p>
        </w:tc>
      </w:tr>
      <w:tr w:rsidR="00FC6222" w:rsidRPr="0058349C" w14:paraId="0773B106" w14:textId="77777777" w:rsidTr="00543FCB">
        <w:trPr>
          <w:gridAfter w:val="1"/>
          <w:wAfter w:w="4" w:type="pct"/>
          <w:trHeight w:val="20"/>
        </w:trPr>
        <w:tc>
          <w:tcPr>
            <w:tcW w:w="983" w:type="pct"/>
            <w:gridSpan w:val="3"/>
          </w:tcPr>
          <w:p w14:paraId="0773B101"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5. Skema e cilësisë së qumështit</w:t>
            </w:r>
          </w:p>
        </w:tc>
        <w:tc>
          <w:tcPr>
            <w:tcW w:w="2833" w:type="pct"/>
          </w:tcPr>
          <w:p w14:paraId="0773B102" w14:textId="77777777" w:rsidR="00FC6222" w:rsidRPr="0058349C" w:rsidRDefault="00FC6222" w:rsidP="00FC6222">
            <w:pPr>
              <w:pStyle w:val="Table1"/>
              <w:numPr>
                <w:ilvl w:val="0"/>
                <w:numId w:val="18"/>
              </w:numPr>
              <w:ind w:left="242" w:hanging="242"/>
              <w:rPr>
                <w:rFonts w:ascii="Garamond" w:eastAsia="Calibri" w:hAnsi="Garamond"/>
                <w:sz w:val="18"/>
                <w:szCs w:val="20"/>
              </w:rPr>
            </w:pPr>
            <w:r w:rsidRPr="0058349C">
              <w:rPr>
                <w:rFonts w:ascii="Garamond" w:eastAsia="Calibri" w:hAnsi="Garamond"/>
                <w:sz w:val="18"/>
                <w:szCs w:val="20"/>
              </w:rPr>
              <w:t>Përfitues janë fermat blegtorale që prodhojnë qumësht.</w:t>
            </w:r>
          </w:p>
          <w:p w14:paraId="0773B103" w14:textId="77777777" w:rsidR="00FC6222" w:rsidRPr="0058349C" w:rsidRDefault="00FC6222" w:rsidP="00FC6222">
            <w:pPr>
              <w:pStyle w:val="Table1"/>
              <w:numPr>
                <w:ilvl w:val="0"/>
                <w:numId w:val="18"/>
              </w:numPr>
              <w:ind w:left="242" w:hanging="242"/>
              <w:rPr>
                <w:rFonts w:ascii="Garamond" w:eastAsia="Calibri" w:hAnsi="Garamond"/>
                <w:sz w:val="18"/>
                <w:szCs w:val="20"/>
              </w:rPr>
            </w:pPr>
            <w:r w:rsidRPr="0058349C">
              <w:rPr>
                <w:rFonts w:ascii="Garamond" w:eastAsia="Calibri" w:hAnsi="Garamond"/>
                <w:sz w:val="18"/>
                <w:szCs w:val="20"/>
              </w:rPr>
              <w:t>Pagesat duhet të bëhen për çdo litër qumështi të dorëzuar në nj</w:t>
            </w:r>
            <w:r w:rsidRPr="0058349C">
              <w:rPr>
                <w:rFonts w:ascii="Garamond" w:hAnsi="Garamond"/>
                <w:sz w:val="18"/>
                <w:szCs w:val="20"/>
              </w:rPr>
              <w:t>ësi</w:t>
            </w:r>
            <w:r w:rsidRPr="0058349C">
              <w:rPr>
                <w:rFonts w:ascii="Garamond" w:eastAsia="Calibri" w:hAnsi="Garamond"/>
                <w:sz w:val="18"/>
                <w:szCs w:val="20"/>
              </w:rPr>
              <w:t xml:space="preserve"> përpunimi, të diferencuara </w:t>
            </w:r>
            <w:r w:rsidRPr="0058349C">
              <w:rPr>
                <w:rFonts w:ascii="Garamond" w:hAnsi="Garamond"/>
                <w:sz w:val="18"/>
                <w:szCs w:val="20"/>
              </w:rPr>
              <w:t xml:space="preserve">t </w:t>
            </w:r>
            <w:r w:rsidRPr="0058349C">
              <w:rPr>
                <w:rFonts w:ascii="Garamond" w:eastAsia="Calibri" w:hAnsi="Garamond"/>
                <w:sz w:val="18"/>
                <w:szCs w:val="20"/>
              </w:rPr>
              <w:t>në varësi të cilësisë së tij.</w:t>
            </w:r>
          </w:p>
        </w:tc>
        <w:tc>
          <w:tcPr>
            <w:tcW w:w="535" w:type="pct"/>
          </w:tcPr>
          <w:p w14:paraId="0773B104"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1.1, 1.2, 1.6</w:t>
            </w:r>
          </w:p>
        </w:tc>
        <w:tc>
          <w:tcPr>
            <w:tcW w:w="645" w:type="pct"/>
          </w:tcPr>
          <w:p w14:paraId="0773B105"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Buxheti Kombëtar</w:t>
            </w:r>
          </w:p>
        </w:tc>
      </w:tr>
      <w:tr w:rsidR="00FC6222" w:rsidRPr="0058349C" w14:paraId="0773B108" w14:textId="77777777" w:rsidTr="00543FCB">
        <w:trPr>
          <w:trHeight w:val="20"/>
        </w:trPr>
        <w:tc>
          <w:tcPr>
            <w:tcW w:w="5000" w:type="pct"/>
            <w:gridSpan w:val="7"/>
            <w:shd w:val="clear" w:color="auto" w:fill="E5F7CA"/>
          </w:tcPr>
          <w:p w14:paraId="0773B107" w14:textId="57C271B6" w:rsidR="00FC6222" w:rsidRPr="0058349C" w:rsidRDefault="009A2EF6" w:rsidP="009B643E">
            <w:pPr>
              <w:pStyle w:val="Table1"/>
              <w:spacing w:before="60"/>
              <w:jc w:val="center"/>
              <w:rPr>
                <w:rFonts w:ascii="Garamond" w:eastAsia="Calibri" w:hAnsi="Garamond"/>
                <w:b/>
                <w:bCs/>
                <w:sz w:val="18"/>
                <w:szCs w:val="20"/>
              </w:rPr>
            </w:pPr>
            <w:r w:rsidRPr="009A2EF6">
              <w:rPr>
                <w:rFonts w:ascii="Garamond" w:eastAsia="Calibri" w:hAnsi="Garamond"/>
                <w:b/>
                <w:bCs/>
                <w:sz w:val="18"/>
                <w:szCs w:val="20"/>
              </w:rPr>
              <w:t>2</w:t>
            </w:r>
            <w:r w:rsidR="009B643E">
              <w:rPr>
                <w:rFonts w:ascii="Garamond" w:eastAsia="Calibri" w:hAnsi="Garamond"/>
                <w:b/>
                <w:bCs/>
                <w:sz w:val="18"/>
                <w:szCs w:val="20"/>
              </w:rPr>
              <w:t xml:space="preserve">. </w:t>
            </w:r>
            <w:r w:rsidR="00FC6222" w:rsidRPr="0058349C">
              <w:rPr>
                <w:rFonts w:ascii="Garamond" w:eastAsia="Calibri" w:hAnsi="Garamond"/>
                <w:b/>
                <w:bCs/>
                <w:sz w:val="18"/>
                <w:szCs w:val="20"/>
              </w:rPr>
              <w:t xml:space="preserve">Zhvillimi Rural (masa </w:t>
            </w:r>
            <w:r w:rsidR="00FC6222" w:rsidRPr="008C565D">
              <w:rPr>
                <w:rFonts w:ascii="Garamond" w:eastAsia="Calibri" w:hAnsi="Garamond"/>
                <w:b/>
                <w:bCs/>
                <w:sz w:val="18"/>
                <w:szCs w:val="20"/>
              </w:rPr>
              <w:t>t</w:t>
            </w:r>
            <w:r w:rsidR="00FC6222" w:rsidRPr="008C565D">
              <w:rPr>
                <w:rFonts w:ascii="Garamond" w:hAnsi="Garamond"/>
                <w:b/>
                <w:bCs/>
                <w:sz w:val="18"/>
                <w:szCs w:val="20"/>
              </w:rPr>
              <w:t>ë tipit</w:t>
            </w:r>
            <w:r w:rsidR="00FC6222" w:rsidRPr="008C565D">
              <w:rPr>
                <w:rFonts w:ascii="Garamond" w:eastAsia="Calibri" w:hAnsi="Garamond"/>
                <w:b/>
                <w:bCs/>
                <w:sz w:val="18"/>
                <w:szCs w:val="20"/>
              </w:rPr>
              <w:t xml:space="preserve"> t</w:t>
            </w:r>
            <w:r w:rsidR="00FC6222" w:rsidRPr="008C565D">
              <w:rPr>
                <w:rFonts w:ascii="Garamond" w:hAnsi="Garamond"/>
                <w:b/>
                <w:bCs/>
                <w:sz w:val="18"/>
                <w:szCs w:val="20"/>
              </w:rPr>
              <w:t>ë</w:t>
            </w:r>
            <w:r w:rsidR="00FC6222" w:rsidRPr="0058349C">
              <w:rPr>
                <w:rFonts w:ascii="Garamond" w:eastAsia="Calibri" w:hAnsi="Garamond"/>
                <w:b/>
                <w:bCs/>
                <w:sz w:val="18"/>
                <w:szCs w:val="20"/>
              </w:rPr>
              <w:t xml:space="preserve"> </w:t>
            </w:r>
            <w:r w:rsidR="008C565D" w:rsidRPr="0058349C">
              <w:rPr>
                <w:rFonts w:ascii="Garamond" w:eastAsia="Calibri" w:hAnsi="Garamond"/>
                <w:b/>
                <w:bCs/>
                <w:sz w:val="18"/>
                <w:szCs w:val="20"/>
              </w:rPr>
              <w:t xml:space="preserve">shtyllës </w:t>
            </w:r>
            <w:r w:rsidR="00FC6222" w:rsidRPr="0058349C">
              <w:rPr>
                <w:rFonts w:ascii="Garamond" w:eastAsia="Calibri" w:hAnsi="Garamond"/>
                <w:b/>
                <w:bCs/>
                <w:sz w:val="18"/>
                <w:szCs w:val="20"/>
              </w:rPr>
              <w:t>II)</w:t>
            </w:r>
          </w:p>
        </w:tc>
      </w:tr>
      <w:tr w:rsidR="00FC6222" w:rsidRPr="0058349C" w14:paraId="0773B114" w14:textId="77777777" w:rsidTr="00543FCB">
        <w:trPr>
          <w:gridAfter w:val="1"/>
          <w:wAfter w:w="4" w:type="pct"/>
          <w:trHeight w:val="20"/>
        </w:trPr>
        <w:tc>
          <w:tcPr>
            <w:tcW w:w="983" w:type="pct"/>
            <w:gridSpan w:val="3"/>
          </w:tcPr>
          <w:p w14:paraId="0773B109"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6. Grandet për investime në asetet fizike të ekonomive bujqësore</w:t>
            </w:r>
          </w:p>
        </w:tc>
        <w:tc>
          <w:tcPr>
            <w:tcW w:w="2833" w:type="pct"/>
          </w:tcPr>
          <w:p w14:paraId="0773B10A" w14:textId="56D92478" w:rsidR="00FC6222" w:rsidRPr="0058349C" w:rsidRDefault="00FC6222" w:rsidP="00FC6222">
            <w:pPr>
              <w:pStyle w:val="Table1"/>
              <w:numPr>
                <w:ilvl w:val="0"/>
                <w:numId w:val="18"/>
              </w:numPr>
              <w:ind w:left="242" w:hanging="242"/>
              <w:rPr>
                <w:rFonts w:ascii="Garamond" w:eastAsia="Calibri" w:hAnsi="Garamond"/>
                <w:sz w:val="18"/>
                <w:szCs w:val="20"/>
              </w:rPr>
            </w:pPr>
            <w:r w:rsidRPr="0058349C">
              <w:rPr>
                <w:rFonts w:ascii="Garamond" w:eastAsia="Calibri" w:hAnsi="Garamond"/>
                <w:sz w:val="18"/>
                <w:szCs w:val="20"/>
              </w:rPr>
              <w:t>Përfitues janë fermerët</w:t>
            </w:r>
            <w:r w:rsidR="00797859">
              <w:rPr>
                <w:rFonts w:ascii="Garamond" w:eastAsia="Calibri" w:hAnsi="Garamond"/>
                <w:sz w:val="18"/>
                <w:szCs w:val="20"/>
              </w:rPr>
              <w:t>/</w:t>
            </w:r>
            <w:r w:rsidRPr="0058349C">
              <w:rPr>
                <w:rFonts w:ascii="Garamond" w:eastAsia="Calibri" w:hAnsi="Garamond"/>
                <w:sz w:val="18"/>
                <w:szCs w:val="20"/>
              </w:rPr>
              <w:t xml:space="preserve">grupe fermerësh, si </w:t>
            </w:r>
            <w:r w:rsidR="008C565D">
              <w:rPr>
                <w:rFonts w:ascii="Garamond" w:eastAsia="Calibri" w:hAnsi="Garamond"/>
                <w:sz w:val="18"/>
                <w:szCs w:val="20"/>
              </w:rPr>
              <w:t>persona fizikë dhe/ose juridikë</w:t>
            </w:r>
            <w:r w:rsidRPr="0058349C">
              <w:rPr>
                <w:rFonts w:ascii="Garamond" w:eastAsia="Calibri" w:hAnsi="Garamond"/>
                <w:sz w:val="18"/>
                <w:szCs w:val="20"/>
              </w:rPr>
              <w:t>.</w:t>
            </w:r>
          </w:p>
          <w:p w14:paraId="0773B10B" w14:textId="77777777" w:rsidR="00FC6222" w:rsidRPr="0058349C" w:rsidRDefault="00FC6222" w:rsidP="00FC6222">
            <w:pPr>
              <w:pStyle w:val="Table1"/>
              <w:numPr>
                <w:ilvl w:val="0"/>
                <w:numId w:val="18"/>
              </w:numPr>
              <w:ind w:left="242" w:hanging="242"/>
              <w:jc w:val="both"/>
              <w:rPr>
                <w:rFonts w:ascii="Garamond" w:eastAsia="Calibri" w:hAnsi="Garamond"/>
                <w:sz w:val="18"/>
                <w:szCs w:val="20"/>
              </w:rPr>
            </w:pPr>
            <w:r w:rsidRPr="0058349C">
              <w:rPr>
                <w:rFonts w:ascii="Garamond" w:eastAsia="Calibri" w:hAnsi="Garamond"/>
                <w:sz w:val="18"/>
                <w:szCs w:val="20"/>
              </w:rPr>
              <w:t>Qëndrueshmëria ekonomike e përfituesve duhet të vërtetohet përmes planeve të biznesit.</w:t>
            </w:r>
          </w:p>
          <w:p w14:paraId="0773B10C" w14:textId="77777777" w:rsidR="00FC6222" w:rsidRPr="0058349C" w:rsidRDefault="00FC6222" w:rsidP="00FC6222">
            <w:pPr>
              <w:pStyle w:val="Table1"/>
              <w:numPr>
                <w:ilvl w:val="0"/>
                <w:numId w:val="18"/>
              </w:numPr>
              <w:ind w:left="242" w:hanging="242"/>
              <w:jc w:val="both"/>
              <w:rPr>
                <w:rFonts w:ascii="Garamond" w:eastAsia="Calibri" w:hAnsi="Garamond"/>
                <w:sz w:val="18"/>
                <w:szCs w:val="20"/>
              </w:rPr>
            </w:pPr>
            <w:r w:rsidRPr="0058349C">
              <w:rPr>
                <w:rFonts w:ascii="Garamond" w:eastAsia="Calibri" w:hAnsi="Garamond"/>
                <w:sz w:val="18"/>
                <w:szCs w:val="20"/>
              </w:rPr>
              <w:t xml:space="preserve">Investimi duhet të jetë në përputhje me standardet e BE-së për mbrojtjen e mjedisit dhe mirëqenien e kafshëve </w:t>
            </w:r>
          </w:p>
          <w:p w14:paraId="0773B10D" w14:textId="77777777" w:rsidR="00FC6222" w:rsidRPr="0058349C" w:rsidRDefault="00FC6222" w:rsidP="00FC6222">
            <w:pPr>
              <w:pStyle w:val="Table1"/>
              <w:numPr>
                <w:ilvl w:val="0"/>
                <w:numId w:val="18"/>
              </w:numPr>
              <w:ind w:left="242" w:hanging="242"/>
              <w:jc w:val="both"/>
              <w:rPr>
                <w:rFonts w:ascii="Garamond" w:eastAsia="Calibri" w:hAnsi="Garamond"/>
                <w:sz w:val="18"/>
                <w:szCs w:val="20"/>
              </w:rPr>
            </w:pPr>
            <w:r w:rsidRPr="0058349C">
              <w:rPr>
                <w:rFonts w:ascii="Garamond" w:eastAsia="Calibri" w:hAnsi="Garamond"/>
                <w:sz w:val="18"/>
                <w:szCs w:val="20"/>
              </w:rPr>
              <w:t>Intensiteti i ndihmës duhet të jetë më i lartë për fermerët e rinj, gratë</w:t>
            </w:r>
            <w:r w:rsidRPr="0058349C">
              <w:rPr>
                <w:rFonts w:ascii="Garamond" w:hAnsi="Garamond"/>
                <w:sz w:val="18"/>
                <w:szCs w:val="20"/>
              </w:rPr>
              <w:t xml:space="preserve">, </w:t>
            </w:r>
            <w:r w:rsidRPr="0058349C">
              <w:rPr>
                <w:rFonts w:ascii="Garamond" w:eastAsia="Calibri" w:hAnsi="Garamond"/>
                <w:sz w:val="18"/>
                <w:szCs w:val="20"/>
              </w:rPr>
              <w:t>organizatat e prodhuesve, p</w:t>
            </w:r>
            <w:r w:rsidRPr="0058349C">
              <w:rPr>
                <w:rFonts w:ascii="Garamond" w:hAnsi="Garamond"/>
                <w:sz w:val="18"/>
                <w:szCs w:val="20"/>
              </w:rPr>
              <w:t xml:space="preserve">ër </w:t>
            </w:r>
            <w:r w:rsidRPr="0058349C">
              <w:rPr>
                <w:rFonts w:ascii="Garamond" w:eastAsia="Calibri" w:hAnsi="Garamond"/>
                <w:sz w:val="18"/>
                <w:szCs w:val="20"/>
              </w:rPr>
              <w:t>investimet në zonat malore, për përputhsh</w:t>
            </w:r>
            <w:r w:rsidRPr="0058349C">
              <w:rPr>
                <w:rFonts w:ascii="Garamond" w:hAnsi="Garamond"/>
                <w:sz w:val="18"/>
                <w:szCs w:val="20"/>
              </w:rPr>
              <w:t>mërinë</w:t>
            </w:r>
            <w:r w:rsidRPr="0058349C">
              <w:rPr>
                <w:rFonts w:ascii="Garamond" w:eastAsia="Calibri" w:hAnsi="Garamond"/>
                <w:sz w:val="18"/>
                <w:szCs w:val="20"/>
              </w:rPr>
              <w:t xml:space="preserve"> me standardet e BE-së, dhe për bujqësinë organike dhe investime të tjera të lidhura me mjedisin dhe klimën.</w:t>
            </w:r>
          </w:p>
          <w:p w14:paraId="0773B10E" w14:textId="04B175CC" w:rsidR="00FC6222" w:rsidRPr="0058349C" w:rsidRDefault="00FC6222" w:rsidP="00FC6222">
            <w:pPr>
              <w:pStyle w:val="Table1"/>
              <w:numPr>
                <w:ilvl w:val="0"/>
                <w:numId w:val="18"/>
              </w:numPr>
              <w:ind w:left="242" w:hanging="242"/>
              <w:jc w:val="both"/>
              <w:rPr>
                <w:rFonts w:ascii="Garamond" w:eastAsia="Calibri" w:hAnsi="Garamond"/>
                <w:sz w:val="18"/>
                <w:szCs w:val="20"/>
              </w:rPr>
            </w:pPr>
            <w:r w:rsidRPr="0058349C">
              <w:rPr>
                <w:rFonts w:ascii="Garamond" w:eastAsia="Calibri" w:hAnsi="Garamond"/>
                <w:sz w:val="18"/>
                <w:szCs w:val="20"/>
              </w:rPr>
              <w:t>Kriteret e përzgjedhjes</w:t>
            </w:r>
            <w:r w:rsidR="008C565D">
              <w:rPr>
                <w:rFonts w:ascii="Garamond" w:eastAsia="Calibri" w:hAnsi="Garamond"/>
                <w:sz w:val="18"/>
                <w:szCs w:val="20"/>
              </w:rPr>
              <w:t>,</w:t>
            </w:r>
            <w:r w:rsidR="00CF7694" w:rsidRPr="0058349C">
              <w:rPr>
                <w:rFonts w:ascii="Garamond" w:eastAsia="Calibri" w:hAnsi="Garamond"/>
                <w:sz w:val="18"/>
                <w:szCs w:val="20"/>
              </w:rPr>
              <w:t xml:space="preserve"> </w:t>
            </w:r>
            <w:r w:rsidRPr="0058349C">
              <w:rPr>
                <w:rFonts w:ascii="Garamond" w:eastAsia="Calibri" w:hAnsi="Garamond"/>
                <w:sz w:val="18"/>
                <w:szCs w:val="20"/>
              </w:rPr>
              <w:t>gjithashtu</w:t>
            </w:r>
            <w:r w:rsidR="008C565D">
              <w:rPr>
                <w:rFonts w:ascii="Garamond" w:eastAsia="Calibri" w:hAnsi="Garamond"/>
                <w:sz w:val="18"/>
                <w:szCs w:val="20"/>
              </w:rPr>
              <w:t>,</w:t>
            </w:r>
            <w:r w:rsidRPr="0058349C">
              <w:rPr>
                <w:rFonts w:ascii="Garamond" w:eastAsia="Calibri" w:hAnsi="Garamond"/>
                <w:sz w:val="18"/>
                <w:szCs w:val="20"/>
              </w:rPr>
              <w:t xml:space="preserve"> do të adresojnë sfidat e sektorëve (të identifikuara në këtë strategji) ose për të mb</w:t>
            </w:r>
            <w:r w:rsidRPr="0058349C">
              <w:rPr>
                <w:rFonts w:ascii="Garamond" w:hAnsi="Garamond"/>
                <w:sz w:val="18"/>
                <w:szCs w:val="20"/>
              </w:rPr>
              <w:t>ështetur</w:t>
            </w:r>
            <w:r w:rsidRPr="0058349C">
              <w:rPr>
                <w:rFonts w:ascii="Garamond" w:eastAsia="Calibri" w:hAnsi="Garamond"/>
                <w:sz w:val="18"/>
                <w:szCs w:val="20"/>
              </w:rPr>
              <w:t xml:space="preserve"> zhvillimin e sektorëve me vlerë të shtuar të lartë (p.sh. blegtoria, pemët frutore, ullishtat, sip</w:t>
            </w:r>
            <w:r w:rsidRPr="0058349C">
              <w:rPr>
                <w:rFonts w:ascii="Garamond" w:hAnsi="Garamond"/>
                <w:sz w:val="18"/>
                <w:szCs w:val="20"/>
              </w:rPr>
              <w:t>ërfaqet</w:t>
            </w:r>
            <w:r w:rsidRPr="0058349C">
              <w:rPr>
                <w:rFonts w:ascii="Garamond" w:eastAsia="Calibri" w:hAnsi="Garamond"/>
                <w:sz w:val="18"/>
                <w:szCs w:val="20"/>
              </w:rPr>
              <w:t xml:space="preserve"> e kultivuara me perime), prioritizimin i organizatave të prodhuesve dhe përafrimin me standardet e BE-së, duke përfshirë mir</w:t>
            </w:r>
            <w:r w:rsidR="008C565D">
              <w:rPr>
                <w:rFonts w:ascii="Garamond" w:hAnsi="Garamond"/>
                <w:sz w:val="18"/>
                <w:szCs w:val="20"/>
              </w:rPr>
              <w:t>ë</w:t>
            </w:r>
            <w:r w:rsidRPr="0058349C">
              <w:rPr>
                <w:rFonts w:ascii="Garamond" w:hAnsi="Garamond"/>
                <w:sz w:val="18"/>
                <w:szCs w:val="20"/>
              </w:rPr>
              <w:t>menaxhimin dhe depozitimin</w:t>
            </w:r>
            <w:r w:rsidRPr="0058349C">
              <w:rPr>
                <w:rFonts w:ascii="Garamond" w:eastAsia="Calibri" w:hAnsi="Garamond"/>
                <w:sz w:val="18"/>
                <w:szCs w:val="20"/>
              </w:rPr>
              <w:t xml:space="preserve"> e plehut organik.</w:t>
            </w:r>
          </w:p>
          <w:p w14:paraId="0773B10F" w14:textId="79A333F9" w:rsidR="00FC6222" w:rsidRPr="0058349C" w:rsidRDefault="00FC6222" w:rsidP="00FC6222">
            <w:pPr>
              <w:pStyle w:val="Table1"/>
              <w:numPr>
                <w:ilvl w:val="0"/>
                <w:numId w:val="18"/>
              </w:numPr>
              <w:ind w:left="242" w:hanging="242"/>
              <w:jc w:val="both"/>
              <w:rPr>
                <w:rFonts w:ascii="Garamond" w:eastAsia="Calibri" w:hAnsi="Garamond"/>
                <w:sz w:val="18"/>
                <w:szCs w:val="20"/>
              </w:rPr>
            </w:pPr>
            <w:r w:rsidRPr="0058349C">
              <w:rPr>
                <w:rFonts w:ascii="Garamond" w:eastAsia="Calibri" w:hAnsi="Garamond"/>
                <w:sz w:val="18"/>
                <w:szCs w:val="20"/>
              </w:rPr>
              <w:t>Sistemet efektive t</w:t>
            </w:r>
            <w:r w:rsidRPr="0058349C">
              <w:rPr>
                <w:rFonts w:ascii="Garamond" w:hAnsi="Garamond"/>
                <w:sz w:val="18"/>
                <w:szCs w:val="20"/>
              </w:rPr>
              <w:t>ë</w:t>
            </w:r>
            <w:r w:rsidR="00CF7694" w:rsidRPr="0058349C">
              <w:rPr>
                <w:rFonts w:ascii="Garamond" w:hAnsi="Garamond"/>
                <w:sz w:val="18"/>
                <w:szCs w:val="20"/>
              </w:rPr>
              <w:t xml:space="preserve"> </w:t>
            </w:r>
            <w:r w:rsidRPr="0058349C">
              <w:rPr>
                <w:rFonts w:ascii="Garamond" w:eastAsia="Calibri" w:hAnsi="Garamond"/>
                <w:sz w:val="18"/>
                <w:szCs w:val="20"/>
              </w:rPr>
              <w:t>ujitjes do duhet të jenë të detyrueshme për investimet në sektorët e fruta-perimeve.</w:t>
            </w:r>
          </w:p>
          <w:p w14:paraId="0773B110" w14:textId="77777777" w:rsidR="00FC6222" w:rsidRPr="0058349C" w:rsidRDefault="00FC6222" w:rsidP="00FC6222">
            <w:pPr>
              <w:pStyle w:val="Table1"/>
              <w:numPr>
                <w:ilvl w:val="0"/>
                <w:numId w:val="18"/>
              </w:numPr>
              <w:ind w:left="242" w:hanging="242"/>
              <w:jc w:val="both"/>
              <w:rPr>
                <w:rFonts w:ascii="Garamond" w:eastAsia="Calibri" w:hAnsi="Garamond"/>
                <w:sz w:val="18"/>
                <w:szCs w:val="20"/>
              </w:rPr>
            </w:pPr>
            <w:r w:rsidRPr="0058349C">
              <w:rPr>
                <w:rFonts w:ascii="Garamond" w:eastAsia="Calibri" w:hAnsi="Garamond"/>
                <w:sz w:val="18"/>
                <w:szCs w:val="20"/>
              </w:rPr>
              <w:lastRenderedPageBreak/>
              <w:t>Në përfundim të investimit duhet të vërehet një rritje e madhësisë së fermës (përmasa fizike ose ekonomike).</w:t>
            </w:r>
          </w:p>
          <w:p w14:paraId="0773B111" w14:textId="03A93CA2" w:rsidR="00FC6222" w:rsidRPr="0058349C" w:rsidRDefault="00FC6222" w:rsidP="002B079D">
            <w:pPr>
              <w:pStyle w:val="Table1"/>
              <w:numPr>
                <w:ilvl w:val="0"/>
                <w:numId w:val="18"/>
              </w:numPr>
              <w:ind w:left="242" w:hanging="242"/>
              <w:rPr>
                <w:rFonts w:ascii="Garamond" w:eastAsia="Calibri" w:hAnsi="Garamond"/>
                <w:sz w:val="18"/>
                <w:szCs w:val="20"/>
              </w:rPr>
            </w:pPr>
            <w:r w:rsidRPr="00803588">
              <w:rPr>
                <w:rFonts w:ascii="Garamond" w:eastAsia="Calibri" w:hAnsi="Garamond"/>
                <w:sz w:val="18"/>
                <w:szCs w:val="20"/>
              </w:rPr>
              <w:t>Të ardhurat e parashikuara, siç përmende</w:t>
            </w:r>
            <w:r w:rsidR="002B079D" w:rsidRPr="00803588">
              <w:rPr>
                <w:rFonts w:ascii="Garamond" w:eastAsia="Calibri" w:hAnsi="Garamond"/>
                <w:sz w:val="18"/>
                <w:szCs w:val="20"/>
              </w:rPr>
              <w:t xml:space="preserve">t në planet e biznesit duhet t’u </w:t>
            </w:r>
            <w:r w:rsidRPr="00803588">
              <w:rPr>
                <w:rFonts w:ascii="Garamond" w:eastAsia="Calibri" w:hAnsi="Garamond"/>
                <w:sz w:val="18"/>
                <w:szCs w:val="20"/>
              </w:rPr>
              <w:t>nënshtrohen kontrolleve</w:t>
            </w:r>
            <w:r w:rsidR="00183135">
              <w:rPr>
                <w:rFonts w:ascii="Garamond" w:eastAsia="Calibri" w:hAnsi="Garamond"/>
                <w:sz w:val="18"/>
                <w:szCs w:val="20"/>
              </w:rPr>
              <w:t>,</w:t>
            </w:r>
            <w:r w:rsidRPr="00803588">
              <w:rPr>
                <w:rFonts w:ascii="Garamond" w:eastAsia="Calibri" w:hAnsi="Garamond"/>
                <w:sz w:val="18"/>
                <w:szCs w:val="20"/>
              </w:rPr>
              <w:t xml:space="preserve"> pasi investimi </w:t>
            </w:r>
            <w:r w:rsidRPr="00803588">
              <w:rPr>
                <w:rFonts w:ascii="Garamond" w:hAnsi="Garamond"/>
                <w:sz w:val="18"/>
                <w:szCs w:val="20"/>
              </w:rPr>
              <w:t>është funksional</w:t>
            </w:r>
            <w:r w:rsidRPr="00803588">
              <w:rPr>
                <w:rFonts w:ascii="Garamond" w:eastAsia="Calibri" w:hAnsi="Garamond"/>
                <w:sz w:val="18"/>
                <w:szCs w:val="20"/>
              </w:rPr>
              <w:t>, duke stimuluar kështu formalizimin fiskal të sektori</w:t>
            </w:r>
            <w:r w:rsidR="00803588">
              <w:rPr>
                <w:rFonts w:ascii="Garamond" w:eastAsia="Calibri" w:hAnsi="Garamond"/>
                <w:sz w:val="18"/>
                <w:szCs w:val="20"/>
              </w:rPr>
              <w:t>t.</w:t>
            </w:r>
          </w:p>
        </w:tc>
        <w:tc>
          <w:tcPr>
            <w:tcW w:w="535" w:type="pct"/>
          </w:tcPr>
          <w:p w14:paraId="0773B112"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lastRenderedPageBreak/>
              <w:t>1.2, 1.4, 1.6, 1.7, 1.8, 1.9, 1.10, 1.11, 2.4, 2.5</w:t>
            </w:r>
          </w:p>
        </w:tc>
        <w:tc>
          <w:tcPr>
            <w:tcW w:w="645" w:type="pct"/>
          </w:tcPr>
          <w:p w14:paraId="0773B113" w14:textId="0E421D6F" w:rsidR="00FC6222" w:rsidRPr="0058349C" w:rsidRDefault="00FC6222" w:rsidP="00E01238">
            <w:pPr>
              <w:pStyle w:val="Table1"/>
              <w:rPr>
                <w:rFonts w:ascii="Garamond" w:eastAsia="Calibri" w:hAnsi="Garamond"/>
                <w:sz w:val="18"/>
                <w:szCs w:val="20"/>
              </w:rPr>
            </w:pPr>
            <w:r w:rsidRPr="0058349C">
              <w:rPr>
                <w:rFonts w:ascii="Garamond" w:eastAsia="Calibri" w:hAnsi="Garamond"/>
                <w:sz w:val="18"/>
                <w:szCs w:val="20"/>
              </w:rPr>
              <w:t>EU IPARD III + Buxheti Kombëtar (bashkëfinancim)</w:t>
            </w:r>
          </w:p>
        </w:tc>
      </w:tr>
      <w:tr w:rsidR="00FC6222" w:rsidRPr="0058349C" w14:paraId="0773B11E" w14:textId="77777777" w:rsidTr="00543FCB">
        <w:trPr>
          <w:gridAfter w:val="1"/>
          <w:wAfter w:w="4" w:type="pct"/>
          <w:trHeight w:val="20"/>
        </w:trPr>
        <w:tc>
          <w:tcPr>
            <w:tcW w:w="983" w:type="pct"/>
            <w:gridSpan w:val="3"/>
          </w:tcPr>
          <w:p w14:paraId="0773B115"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lastRenderedPageBreak/>
              <w:t xml:space="preserve">7. Grandet për investime në asete fizike që kanë të bëjnë me përpunimin dhe tregtimin e produkteve bujqësore </w:t>
            </w:r>
          </w:p>
        </w:tc>
        <w:tc>
          <w:tcPr>
            <w:tcW w:w="2833" w:type="pct"/>
          </w:tcPr>
          <w:p w14:paraId="0773B116" w14:textId="1BE2CA43" w:rsidR="00FC6222" w:rsidRPr="0058349C" w:rsidRDefault="00251F7C" w:rsidP="00FC6222">
            <w:pPr>
              <w:pStyle w:val="Table1"/>
              <w:numPr>
                <w:ilvl w:val="0"/>
                <w:numId w:val="18"/>
              </w:numPr>
              <w:ind w:left="242" w:hanging="242"/>
              <w:jc w:val="both"/>
              <w:rPr>
                <w:rFonts w:ascii="Garamond" w:eastAsia="Calibri" w:hAnsi="Garamond"/>
                <w:sz w:val="18"/>
                <w:szCs w:val="20"/>
              </w:rPr>
            </w:pPr>
            <w:r>
              <w:rPr>
                <w:rFonts w:ascii="Garamond" w:eastAsia="Calibri" w:hAnsi="Garamond"/>
                <w:sz w:val="18"/>
                <w:szCs w:val="20"/>
              </w:rPr>
              <w:t>Përfitues janë ndërmarrjet</w:t>
            </w:r>
            <w:r w:rsidR="00797859">
              <w:rPr>
                <w:rFonts w:ascii="Garamond" w:eastAsia="Calibri" w:hAnsi="Garamond"/>
                <w:sz w:val="18"/>
                <w:szCs w:val="20"/>
              </w:rPr>
              <w:t>/</w:t>
            </w:r>
            <w:r w:rsidR="00FC6222" w:rsidRPr="0058349C">
              <w:rPr>
                <w:rFonts w:ascii="Garamond" w:eastAsia="Calibri" w:hAnsi="Garamond"/>
                <w:sz w:val="18"/>
                <w:szCs w:val="20"/>
              </w:rPr>
              <w:t>nj</w:t>
            </w:r>
            <w:r w:rsidR="00FC6222" w:rsidRPr="0058349C">
              <w:rPr>
                <w:rFonts w:ascii="Garamond" w:hAnsi="Garamond"/>
                <w:sz w:val="18"/>
                <w:szCs w:val="20"/>
              </w:rPr>
              <w:t>ësitë</w:t>
            </w:r>
            <w:r w:rsidR="00FC6222" w:rsidRPr="0058349C">
              <w:rPr>
                <w:rFonts w:ascii="Garamond" w:eastAsia="Calibri" w:hAnsi="Garamond"/>
                <w:sz w:val="18"/>
                <w:szCs w:val="20"/>
              </w:rPr>
              <w:t xml:space="preserve"> e përpunimit të ushqimit.</w:t>
            </w:r>
          </w:p>
          <w:p w14:paraId="0773B117" w14:textId="77777777" w:rsidR="00FC6222" w:rsidRPr="0058349C" w:rsidRDefault="00FC6222" w:rsidP="00FC6222">
            <w:pPr>
              <w:pStyle w:val="Table1"/>
              <w:numPr>
                <w:ilvl w:val="0"/>
                <w:numId w:val="18"/>
              </w:numPr>
              <w:ind w:left="242" w:hanging="242"/>
              <w:jc w:val="both"/>
              <w:rPr>
                <w:rFonts w:ascii="Garamond" w:eastAsia="Calibri" w:hAnsi="Garamond"/>
                <w:sz w:val="18"/>
                <w:szCs w:val="20"/>
              </w:rPr>
            </w:pPr>
            <w:r w:rsidRPr="0058349C">
              <w:rPr>
                <w:rFonts w:ascii="Garamond" w:eastAsia="Calibri" w:hAnsi="Garamond"/>
                <w:sz w:val="18"/>
                <w:szCs w:val="20"/>
              </w:rPr>
              <w:t>Intensiteti i ndihmës është më i lartë për investimet q</w:t>
            </w:r>
            <w:r w:rsidRPr="0058349C">
              <w:rPr>
                <w:rFonts w:ascii="Garamond" w:hAnsi="Garamond"/>
                <w:sz w:val="18"/>
                <w:szCs w:val="20"/>
              </w:rPr>
              <w:t xml:space="preserve">ë realizojnë </w:t>
            </w:r>
            <w:r w:rsidRPr="0058349C">
              <w:rPr>
                <w:rFonts w:ascii="Garamond" w:eastAsia="Calibri" w:hAnsi="Garamond"/>
                <w:sz w:val="18"/>
                <w:szCs w:val="20"/>
              </w:rPr>
              <w:t>përputhshm</w:t>
            </w:r>
            <w:r w:rsidRPr="0058349C">
              <w:rPr>
                <w:rFonts w:ascii="Garamond" w:hAnsi="Garamond"/>
                <w:sz w:val="18"/>
                <w:szCs w:val="20"/>
              </w:rPr>
              <w:t>ërinë</w:t>
            </w:r>
            <w:r w:rsidRPr="0058349C">
              <w:rPr>
                <w:rFonts w:ascii="Garamond" w:eastAsia="Calibri" w:hAnsi="Garamond"/>
                <w:sz w:val="18"/>
                <w:szCs w:val="20"/>
              </w:rPr>
              <w:t xml:space="preserve"> me standardet e BE-së.</w:t>
            </w:r>
          </w:p>
          <w:p w14:paraId="0773B118" w14:textId="613012BC" w:rsidR="00FC6222" w:rsidRPr="0058349C" w:rsidRDefault="00FC6222" w:rsidP="00FC6222">
            <w:pPr>
              <w:pStyle w:val="Table1"/>
              <w:numPr>
                <w:ilvl w:val="0"/>
                <w:numId w:val="18"/>
              </w:numPr>
              <w:ind w:left="242" w:hanging="242"/>
              <w:jc w:val="both"/>
              <w:rPr>
                <w:rFonts w:ascii="Garamond" w:eastAsia="Calibri" w:hAnsi="Garamond"/>
                <w:sz w:val="18"/>
                <w:szCs w:val="20"/>
              </w:rPr>
            </w:pPr>
            <w:r w:rsidRPr="0058349C">
              <w:rPr>
                <w:rFonts w:ascii="Garamond" w:eastAsia="Calibri" w:hAnsi="Garamond"/>
                <w:sz w:val="18"/>
                <w:szCs w:val="20"/>
              </w:rPr>
              <w:t>Prioritet</w:t>
            </w:r>
            <w:r w:rsidR="00CF7694" w:rsidRPr="0058349C">
              <w:rPr>
                <w:rFonts w:ascii="Garamond" w:eastAsia="Calibri" w:hAnsi="Garamond"/>
                <w:sz w:val="18"/>
                <w:szCs w:val="20"/>
              </w:rPr>
              <w:t xml:space="preserve"> </w:t>
            </w:r>
            <w:r w:rsidRPr="0058349C">
              <w:rPr>
                <w:rFonts w:ascii="Garamond" w:eastAsia="Calibri" w:hAnsi="Garamond"/>
                <w:sz w:val="18"/>
                <w:szCs w:val="20"/>
              </w:rPr>
              <w:t xml:space="preserve">i jepet përafrimit të standardeve të BE-së, veçanërisht për sigurinë ushqimore dhe menaxhimin e mbetjeve (trajtimi i ujit dhe ripërdorimi i mbetjeve) dhe për integrimin e prodhimit të prodhuesve </w:t>
            </w:r>
            <w:r w:rsidR="00BC084C">
              <w:rPr>
                <w:rFonts w:ascii="Garamond" w:eastAsia="Calibri" w:hAnsi="Garamond"/>
                <w:sz w:val="18"/>
                <w:szCs w:val="20"/>
              </w:rPr>
              <w:t>vendës</w:t>
            </w:r>
            <w:r w:rsidR="00797859">
              <w:rPr>
                <w:rFonts w:ascii="Garamond" w:eastAsia="Calibri" w:hAnsi="Garamond"/>
                <w:sz w:val="18"/>
                <w:szCs w:val="20"/>
              </w:rPr>
              <w:t>/</w:t>
            </w:r>
            <w:r w:rsidR="00251F7C">
              <w:rPr>
                <w:rFonts w:ascii="Garamond" w:eastAsia="Calibri" w:hAnsi="Garamond"/>
                <w:sz w:val="18"/>
                <w:szCs w:val="20"/>
              </w:rPr>
              <w:t xml:space="preserve"> </w:t>
            </w:r>
            <w:r w:rsidRPr="0058349C">
              <w:rPr>
                <w:rFonts w:ascii="Garamond" w:eastAsia="Calibri" w:hAnsi="Garamond"/>
                <w:sz w:val="18"/>
                <w:szCs w:val="20"/>
              </w:rPr>
              <w:t xml:space="preserve">inkurajimin e zinxhirëve të furnizimit të shkurtër. </w:t>
            </w:r>
          </w:p>
          <w:p w14:paraId="0773B119" w14:textId="77777777" w:rsidR="00FC6222" w:rsidRPr="0058349C" w:rsidRDefault="00FC6222" w:rsidP="00FC6222">
            <w:pPr>
              <w:pStyle w:val="Table1"/>
              <w:numPr>
                <w:ilvl w:val="0"/>
                <w:numId w:val="18"/>
              </w:numPr>
              <w:ind w:left="242" w:hanging="242"/>
              <w:jc w:val="both"/>
              <w:rPr>
                <w:rFonts w:ascii="Garamond" w:eastAsia="Calibri" w:hAnsi="Garamond"/>
                <w:sz w:val="18"/>
                <w:szCs w:val="20"/>
              </w:rPr>
            </w:pPr>
            <w:r w:rsidRPr="0058349C">
              <w:rPr>
                <w:rFonts w:ascii="Garamond" w:eastAsia="Calibri" w:hAnsi="Garamond"/>
                <w:sz w:val="18"/>
                <w:szCs w:val="20"/>
              </w:rPr>
              <w:t>Kriteret për zinxhirët e produkteve lokale duhet të pasqyrojnë objektivave e barazisë gjinore dhe të sigurojnë përfshirjen e grave dhe të rinjve.</w:t>
            </w:r>
          </w:p>
          <w:p w14:paraId="0773B11A" w14:textId="77777777" w:rsidR="00FC6222" w:rsidRPr="0058349C" w:rsidRDefault="00FC6222" w:rsidP="00FC6222">
            <w:pPr>
              <w:pStyle w:val="Table1"/>
              <w:numPr>
                <w:ilvl w:val="0"/>
                <w:numId w:val="18"/>
              </w:numPr>
              <w:ind w:left="242" w:hanging="242"/>
              <w:jc w:val="both"/>
              <w:rPr>
                <w:rFonts w:ascii="Garamond" w:eastAsia="Calibri" w:hAnsi="Garamond"/>
                <w:sz w:val="18"/>
                <w:szCs w:val="20"/>
              </w:rPr>
            </w:pPr>
            <w:r w:rsidRPr="0058349C">
              <w:rPr>
                <w:rFonts w:ascii="Garamond" w:eastAsia="Calibri" w:hAnsi="Garamond"/>
                <w:sz w:val="18"/>
                <w:szCs w:val="20"/>
              </w:rPr>
              <w:t>Duhet të mundësohen paradhënie.</w:t>
            </w:r>
          </w:p>
          <w:p w14:paraId="0773B11B" w14:textId="77777777" w:rsidR="00FC6222" w:rsidRPr="0058349C" w:rsidRDefault="00FC6222" w:rsidP="00FC6222">
            <w:pPr>
              <w:pStyle w:val="Table1"/>
              <w:numPr>
                <w:ilvl w:val="0"/>
                <w:numId w:val="18"/>
              </w:numPr>
              <w:ind w:left="242" w:hanging="242"/>
              <w:jc w:val="both"/>
              <w:rPr>
                <w:rFonts w:ascii="Garamond" w:eastAsia="Calibri" w:hAnsi="Garamond"/>
                <w:sz w:val="18"/>
                <w:szCs w:val="20"/>
              </w:rPr>
            </w:pPr>
            <w:r w:rsidRPr="0058349C">
              <w:rPr>
                <w:rFonts w:ascii="Garamond" w:eastAsia="Calibri" w:hAnsi="Garamond"/>
                <w:sz w:val="18"/>
                <w:szCs w:val="20"/>
              </w:rPr>
              <w:t>Në përfundim të investimit, i gjithë objekti ku kryhet investimi duhet të jetë në përputhje me të gjitha standardet kombëtare, ndërsa investimi me rregullat e BE-së.</w:t>
            </w:r>
          </w:p>
        </w:tc>
        <w:tc>
          <w:tcPr>
            <w:tcW w:w="535" w:type="pct"/>
          </w:tcPr>
          <w:p w14:paraId="0773B11C" w14:textId="7FFA55FF"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1.6, 1.8, 1.9, 1.11</w:t>
            </w:r>
            <w:r w:rsidR="00CF7694" w:rsidRPr="0058349C">
              <w:rPr>
                <w:rFonts w:ascii="Garamond" w:eastAsia="Calibri" w:hAnsi="Garamond"/>
                <w:sz w:val="18"/>
                <w:szCs w:val="20"/>
              </w:rPr>
              <w:t xml:space="preserve"> </w:t>
            </w:r>
          </w:p>
        </w:tc>
        <w:tc>
          <w:tcPr>
            <w:tcW w:w="645" w:type="pct"/>
          </w:tcPr>
          <w:p w14:paraId="0773B11D" w14:textId="64B75331"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EU IPARD III + Buxheti Kombëtar (</w:t>
            </w:r>
            <w:r w:rsidR="003E7483">
              <w:rPr>
                <w:rFonts w:ascii="Garamond" w:eastAsia="Calibri" w:hAnsi="Garamond"/>
                <w:sz w:val="18"/>
                <w:szCs w:val="20"/>
              </w:rPr>
              <w:t>bashkëfinancim</w:t>
            </w:r>
            <w:r w:rsidRPr="0058349C">
              <w:rPr>
                <w:rFonts w:ascii="Garamond" w:eastAsia="Calibri" w:hAnsi="Garamond"/>
                <w:sz w:val="18"/>
                <w:szCs w:val="20"/>
              </w:rPr>
              <w:t>)</w:t>
            </w:r>
          </w:p>
        </w:tc>
      </w:tr>
      <w:tr w:rsidR="00FC6222" w:rsidRPr="0058349C" w14:paraId="0773B124" w14:textId="77777777" w:rsidTr="00543FCB">
        <w:trPr>
          <w:gridAfter w:val="1"/>
          <w:wAfter w:w="4" w:type="pct"/>
          <w:trHeight w:val="20"/>
        </w:trPr>
        <w:tc>
          <w:tcPr>
            <w:tcW w:w="983" w:type="pct"/>
            <w:gridSpan w:val="3"/>
          </w:tcPr>
          <w:p w14:paraId="0773B11F"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8. Grande për rehabilitimin e sistemit të ujitjes dhe kullimit</w:t>
            </w:r>
          </w:p>
        </w:tc>
        <w:tc>
          <w:tcPr>
            <w:tcW w:w="2833" w:type="pct"/>
          </w:tcPr>
          <w:p w14:paraId="0773B121" w14:textId="0C4BB322" w:rsidR="00FC6222" w:rsidRPr="0058349C" w:rsidRDefault="00FC6222" w:rsidP="00251F7C">
            <w:pPr>
              <w:pStyle w:val="ListParagraph"/>
              <w:numPr>
                <w:ilvl w:val="0"/>
                <w:numId w:val="18"/>
              </w:numPr>
              <w:overflowPunct w:val="0"/>
              <w:autoSpaceDE w:val="0"/>
              <w:autoSpaceDN w:val="0"/>
              <w:adjustRightInd w:val="0"/>
              <w:spacing w:after="0" w:line="240" w:lineRule="auto"/>
              <w:ind w:left="242" w:hanging="242"/>
              <w:jc w:val="both"/>
              <w:textAlignment w:val="baseline"/>
              <w:rPr>
                <w:rFonts w:ascii="Garamond" w:eastAsia="Calibri" w:hAnsi="Garamond"/>
                <w:sz w:val="18"/>
                <w:szCs w:val="20"/>
              </w:rPr>
            </w:pPr>
            <w:r w:rsidRPr="0058349C">
              <w:rPr>
                <w:rFonts w:ascii="Garamond" w:eastAsia="Calibri" w:hAnsi="Garamond"/>
                <w:sz w:val="18"/>
                <w:szCs w:val="20"/>
                <w:lang w:val="sq-AL"/>
              </w:rPr>
              <w:t>Përfitues janë bashkitë për rehabilitimin dhe ose ndërtimin e infrastrukturës publike për ujitjen dhe kullimin në administrim të tyre, ndërsa fermerët përfitojnë mbështetje me investime për ujitjen brenda fermës.</w:t>
            </w:r>
          </w:p>
        </w:tc>
        <w:tc>
          <w:tcPr>
            <w:tcW w:w="535" w:type="pct"/>
          </w:tcPr>
          <w:p w14:paraId="0773B122"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1.7</w:t>
            </w:r>
          </w:p>
        </w:tc>
        <w:tc>
          <w:tcPr>
            <w:tcW w:w="645" w:type="pct"/>
          </w:tcPr>
          <w:p w14:paraId="0773B123"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Buxheti Kombëtar, Donatorët</w:t>
            </w:r>
          </w:p>
        </w:tc>
      </w:tr>
      <w:tr w:rsidR="00FC6222" w:rsidRPr="0058349C" w14:paraId="0773B12F" w14:textId="77777777" w:rsidTr="00543FCB">
        <w:trPr>
          <w:gridAfter w:val="1"/>
          <w:wAfter w:w="4" w:type="pct"/>
          <w:trHeight w:val="20"/>
        </w:trPr>
        <w:tc>
          <w:tcPr>
            <w:tcW w:w="983" w:type="pct"/>
            <w:gridSpan w:val="3"/>
          </w:tcPr>
          <w:p w14:paraId="0773B125"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9. Grande për fermerët e rinj</w:t>
            </w:r>
          </w:p>
        </w:tc>
        <w:tc>
          <w:tcPr>
            <w:tcW w:w="2833" w:type="pct"/>
          </w:tcPr>
          <w:p w14:paraId="0773B126" w14:textId="77777777" w:rsidR="00FC6222" w:rsidRPr="0058349C" w:rsidRDefault="00FC6222" w:rsidP="00FC6222">
            <w:pPr>
              <w:pStyle w:val="Table1"/>
              <w:numPr>
                <w:ilvl w:val="0"/>
                <w:numId w:val="18"/>
              </w:numPr>
              <w:ind w:left="242" w:hanging="242"/>
              <w:rPr>
                <w:rFonts w:ascii="Garamond" w:eastAsia="Calibri" w:hAnsi="Garamond"/>
                <w:sz w:val="18"/>
                <w:szCs w:val="20"/>
              </w:rPr>
            </w:pPr>
            <w:r w:rsidRPr="0058349C">
              <w:rPr>
                <w:rFonts w:ascii="Garamond" w:eastAsia="Calibri" w:hAnsi="Garamond"/>
                <w:sz w:val="18"/>
                <w:szCs w:val="20"/>
              </w:rPr>
              <w:t>Përfitues janë fermerë të rinj meshkuj dhe femra (deri në 40 vjeç), drejtues të fermës me trajnime apo aftësi të përshtatshme.</w:t>
            </w:r>
          </w:p>
          <w:p w14:paraId="0773B127" w14:textId="77777777" w:rsidR="00FC6222" w:rsidRPr="0058349C" w:rsidRDefault="00FC6222" w:rsidP="00FC6222">
            <w:pPr>
              <w:pStyle w:val="Table1"/>
              <w:numPr>
                <w:ilvl w:val="0"/>
                <w:numId w:val="18"/>
              </w:numPr>
              <w:ind w:left="242" w:hanging="242"/>
              <w:rPr>
                <w:rFonts w:ascii="Garamond" w:eastAsia="Calibri" w:hAnsi="Garamond"/>
                <w:sz w:val="18"/>
                <w:szCs w:val="20"/>
              </w:rPr>
            </w:pPr>
            <w:r w:rsidRPr="0058349C">
              <w:rPr>
                <w:rFonts w:ascii="Garamond" w:eastAsia="Calibri" w:hAnsi="Garamond"/>
                <w:sz w:val="18"/>
                <w:szCs w:val="20"/>
              </w:rPr>
              <w:t xml:space="preserve">Mbështetja financiare do të sigurohet për fillimin e bizneseve rurale </w:t>
            </w:r>
            <w:r w:rsidRPr="00BD3641">
              <w:rPr>
                <w:rFonts w:ascii="Garamond" w:eastAsia="Calibri" w:hAnsi="Garamond"/>
                <w:i/>
                <w:iCs/>
                <w:sz w:val="18"/>
                <w:szCs w:val="20"/>
              </w:rPr>
              <w:t>(start-up)</w:t>
            </w:r>
            <w:r w:rsidRPr="0058349C">
              <w:rPr>
                <w:rFonts w:ascii="Garamond" w:eastAsia="Calibri" w:hAnsi="Garamond"/>
                <w:sz w:val="18"/>
                <w:szCs w:val="20"/>
              </w:rPr>
              <w:t xml:space="preserve"> të lidhura me bujqësinë, duke përfshirë krijimin e fermave të reja, bazuar në një plan biznesi. </w:t>
            </w:r>
          </w:p>
          <w:p w14:paraId="0773B128" w14:textId="77777777" w:rsidR="00FC6222" w:rsidRPr="0058349C" w:rsidRDefault="00FC6222" w:rsidP="00FC6222">
            <w:pPr>
              <w:pStyle w:val="Table1"/>
              <w:numPr>
                <w:ilvl w:val="0"/>
                <w:numId w:val="18"/>
              </w:numPr>
              <w:ind w:left="242" w:hanging="242"/>
              <w:rPr>
                <w:rFonts w:ascii="Garamond" w:eastAsia="Calibri" w:hAnsi="Garamond"/>
                <w:sz w:val="18"/>
                <w:szCs w:val="20"/>
              </w:rPr>
            </w:pPr>
            <w:r w:rsidRPr="0058349C">
              <w:rPr>
                <w:rFonts w:ascii="Garamond" w:eastAsia="Calibri" w:hAnsi="Garamond"/>
                <w:sz w:val="18"/>
                <w:szCs w:val="20"/>
              </w:rPr>
              <w:t>75% e mbështetjes duhet të jepet menjëherë pas miratimit të planit të biznesit dhe lidhjes së kontratës, dhe pjesa tjetër prej 25% në përfundim të zbatimit të planit të biznesit, por jo më vonë se 3 vjet nga momenti i nënshkrimit të kontratës.</w:t>
            </w:r>
          </w:p>
          <w:p w14:paraId="0773B129" w14:textId="3E8EFF1A" w:rsidR="00FC6222" w:rsidRPr="0058349C" w:rsidRDefault="00FC6222" w:rsidP="00FC6222">
            <w:pPr>
              <w:pStyle w:val="Table1"/>
              <w:numPr>
                <w:ilvl w:val="0"/>
                <w:numId w:val="18"/>
              </w:numPr>
              <w:ind w:left="242" w:hanging="242"/>
              <w:rPr>
                <w:rFonts w:ascii="Garamond" w:eastAsia="Calibri" w:hAnsi="Garamond"/>
                <w:sz w:val="18"/>
                <w:szCs w:val="20"/>
              </w:rPr>
            </w:pPr>
            <w:r w:rsidRPr="0058349C">
              <w:rPr>
                <w:rFonts w:ascii="Garamond" w:eastAsia="Calibri" w:hAnsi="Garamond"/>
                <w:sz w:val="18"/>
                <w:szCs w:val="20"/>
              </w:rPr>
              <w:t>Plani i biznesit duhet të përfshijë detyrimisht përafrimin e standardeve</w:t>
            </w:r>
            <w:r w:rsidR="00E74850">
              <w:rPr>
                <w:rFonts w:ascii="Garamond" w:eastAsia="Calibri" w:hAnsi="Garamond"/>
                <w:sz w:val="18"/>
                <w:szCs w:val="20"/>
              </w:rPr>
              <w:t>, mekanizimin</w:t>
            </w:r>
            <w:r w:rsidR="00797859">
              <w:rPr>
                <w:rFonts w:ascii="Garamond" w:eastAsia="Calibri" w:hAnsi="Garamond"/>
                <w:sz w:val="18"/>
                <w:szCs w:val="20"/>
              </w:rPr>
              <w:t>/</w:t>
            </w:r>
            <w:r w:rsidRPr="0058349C">
              <w:rPr>
                <w:rFonts w:ascii="Garamond" w:eastAsia="Calibri" w:hAnsi="Garamond"/>
                <w:sz w:val="18"/>
                <w:szCs w:val="20"/>
              </w:rPr>
              <w:t>përmirësimin e produktivitetit të punës dhe përmirësimin e aksesit në treg.</w:t>
            </w:r>
          </w:p>
          <w:p w14:paraId="0773B12A" w14:textId="0EDD5819" w:rsidR="00FC6222" w:rsidRPr="0058349C" w:rsidRDefault="00FC6222" w:rsidP="00FC6222">
            <w:pPr>
              <w:pStyle w:val="Table1"/>
              <w:numPr>
                <w:ilvl w:val="0"/>
                <w:numId w:val="18"/>
              </w:numPr>
              <w:ind w:left="242" w:hanging="242"/>
              <w:rPr>
                <w:rFonts w:ascii="Garamond" w:eastAsia="Calibri" w:hAnsi="Garamond"/>
                <w:sz w:val="18"/>
                <w:szCs w:val="20"/>
              </w:rPr>
            </w:pPr>
            <w:r w:rsidRPr="0058349C">
              <w:rPr>
                <w:rFonts w:ascii="Garamond" w:eastAsia="Calibri" w:hAnsi="Garamond"/>
                <w:sz w:val="18"/>
                <w:szCs w:val="20"/>
              </w:rPr>
              <w:t>Përparësi kanë sektorët me vlerë të lartë të shtuar dhe bujqësia organike</w:t>
            </w:r>
            <w:r w:rsidR="00E74850">
              <w:rPr>
                <w:rFonts w:ascii="Garamond" w:eastAsia="Calibri" w:hAnsi="Garamond"/>
                <w:sz w:val="18"/>
                <w:szCs w:val="20"/>
              </w:rPr>
              <w:t>,</w:t>
            </w:r>
            <w:r w:rsidRPr="0058349C">
              <w:rPr>
                <w:rFonts w:ascii="Garamond" w:eastAsia="Calibri" w:hAnsi="Garamond"/>
                <w:sz w:val="18"/>
                <w:szCs w:val="20"/>
              </w:rPr>
              <w:t xml:space="preserve"> si dhe të diplomuarit e rinj meshkuj dhe femra të universiteteve bujqësore.</w:t>
            </w:r>
          </w:p>
          <w:p w14:paraId="0773B12B" w14:textId="41C212AB" w:rsidR="00FC6222" w:rsidRPr="0058349C" w:rsidRDefault="00FC6222" w:rsidP="00FC6222">
            <w:pPr>
              <w:pStyle w:val="Table1"/>
              <w:numPr>
                <w:ilvl w:val="0"/>
                <w:numId w:val="18"/>
              </w:numPr>
              <w:ind w:left="242" w:hanging="242"/>
              <w:jc w:val="both"/>
              <w:rPr>
                <w:rFonts w:ascii="Garamond" w:eastAsia="Calibri" w:hAnsi="Garamond"/>
                <w:sz w:val="18"/>
                <w:szCs w:val="20"/>
              </w:rPr>
            </w:pPr>
            <w:r w:rsidRPr="0058349C">
              <w:rPr>
                <w:rFonts w:ascii="Garamond" w:eastAsia="Calibri" w:hAnsi="Garamond"/>
                <w:sz w:val="18"/>
                <w:szCs w:val="20"/>
              </w:rPr>
              <w:t>Fermerët e rinj duhet të kenë përparësi në</w:t>
            </w:r>
            <w:r w:rsidR="00CF7694" w:rsidRPr="0058349C">
              <w:rPr>
                <w:rFonts w:ascii="Garamond" w:eastAsia="Calibri" w:hAnsi="Garamond"/>
                <w:sz w:val="18"/>
                <w:szCs w:val="20"/>
              </w:rPr>
              <w:t xml:space="preserve"> </w:t>
            </w:r>
            <w:r w:rsidRPr="0058349C">
              <w:rPr>
                <w:rFonts w:ascii="Garamond" w:eastAsia="Calibri" w:hAnsi="Garamond"/>
                <w:sz w:val="18"/>
                <w:szCs w:val="20"/>
              </w:rPr>
              <w:t>trajnimet e lidhura me inovacionin.</w:t>
            </w:r>
          </w:p>
          <w:p w14:paraId="0773B12C" w14:textId="77777777" w:rsidR="00FC6222" w:rsidRPr="0058349C" w:rsidRDefault="00FC6222" w:rsidP="00FC6222">
            <w:pPr>
              <w:pStyle w:val="Table1"/>
              <w:numPr>
                <w:ilvl w:val="0"/>
                <w:numId w:val="18"/>
              </w:numPr>
              <w:ind w:left="242" w:hanging="242"/>
              <w:jc w:val="both"/>
              <w:rPr>
                <w:rFonts w:ascii="Garamond" w:eastAsia="Calibri" w:hAnsi="Garamond"/>
                <w:sz w:val="18"/>
                <w:szCs w:val="20"/>
              </w:rPr>
            </w:pPr>
            <w:r w:rsidRPr="0058349C">
              <w:rPr>
                <w:rFonts w:ascii="Garamond" w:eastAsia="Calibri" w:hAnsi="Garamond"/>
                <w:sz w:val="18"/>
                <w:szCs w:val="20"/>
              </w:rPr>
              <w:t>Në përfundim të zbatimit të planit të biznesit, ferma duhet të jetë në përputhje me të gjitha standardet kombëtare.</w:t>
            </w:r>
          </w:p>
        </w:tc>
        <w:tc>
          <w:tcPr>
            <w:tcW w:w="535" w:type="pct"/>
          </w:tcPr>
          <w:p w14:paraId="0773B12D"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1.2, 1.4, 1.5, 1.6, 1.8, 1.11, 1.13</w:t>
            </w:r>
          </w:p>
        </w:tc>
        <w:tc>
          <w:tcPr>
            <w:tcW w:w="645" w:type="pct"/>
          </w:tcPr>
          <w:p w14:paraId="0773B12E"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Buxheti Kombëtar, Donatorët (TA dhe skema pilot)</w:t>
            </w:r>
          </w:p>
        </w:tc>
      </w:tr>
      <w:tr w:rsidR="00FC6222" w:rsidRPr="0058349C" w14:paraId="0773B135" w14:textId="77777777" w:rsidTr="00543FCB">
        <w:trPr>
          <w:gridAfter w:val="1"/>
          <w:wAfter w:w="4" w:type="pct"/>
          <w:trHeight w:val="20"/>
        </w:trPr>
        <w:tc>
          <w:tcPr>
            <w:tcW w:w="983" w:type="pct"/>
            <w:gridSpan w:val="3"/>
          </w:tcPr>
          <w:p w14:paraId="0773B130"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10. Grupet e prodhuesve për ullinj, fruta dhe perime</w:t>
            </w:r>
          </w:p>
        </w:tc>
        <w:tc>
          <w:tcPr>
            <w:tcW w:w="2833" w:type="pct"/>
          </w:tcPr>
          <w:p w14:paraId="0773B131" w14:textId="77777777" w:rsidR="00FC6222" w:rsidRPr="0058349C" w:rsidRDefault="00FC6222" w:rsidP="00FC6222">
            <w:pPr>
              <w:pStyle w:val="Table1"/>
              <w:numPr>
                <w:ilvl w:val="0"/>
                <w:numId w:val="18"/>
              </w:numPr>
              <w:ind w:left="254" w:right="-458" w:hanging="254"/>
              <w:rPr>
                <w:rFonts w:ascii="Garamond" w:eastAsia="Calibri" w:hAnsi="Garamond"/>
                <w:sz w:val="18"/>
                <w:szCs w:val="20"/>
              </w:rPr>
            </w:pPr>
            <w:r w:rsidRPr="0058349C">
              <w:rPr>
                <w:rFonts w:ascii="Garamond" w:eastAsia="Calibri" w:hAnsi="Garamond"/>
                <w:sz w:val="18"/>
                <w:szCs w:val="20"/>
              </w:rPr>
              <w:t>Përfitues janë grupet e prodhuesve të regjistruar.</w:t>
            </w:r>
          </w:p>
          <w:p w14:paraId="0773B132" w14:textId="5833DC5E" w:rsidR="00FC6222" w:rsidRPr="0058349C" w:rsidRDefault="00FC6222" w:rsidP="00E74850">
            <w:pPr>
              <w:pStyle w:val="Table1"/>
              <w:numPr>
                <w:ilvl w:val="0"/>
                <w:numId w:val="18"/>
              </w:numPr>
              <w:ind w:left="254" w:right="55" w:hanging="254"/>
              <w:rPr>
                <w:rFonts w:ascii="Garamond" w:eastAsia="Calibri" w:hAnsi="Garamond"/>
                <w:sz w:val="18"/>
                <w:szCs w:val="20"/>
              </w:rPr>
            </w:pPr>
            <w:r w:rsidRPr="0058349C">
              <w:rPr>
                <w:rFonts w:ascii="Garamond" w:eastAsia="Calibri" w:hAnsi="Garamond"/>
                <w:sz w:val="18"/>
                <w:szCs w:val="20"/>
              </w:rPr>
              <w:t>Mbështetja është e kufizuar në 10% të prodhimit të tregtuar gjatë pesë v</w:t>
            </w:r>
            <w:r w:rsidR="00E74850">
              <w:rPr>
                <w:rFonts w:ascii="Garamond" w:eastAsia="Calibri" w:hAnsi="Garamond"/>
                <w:sz w:val="18"/>
                <w:szCs w:val="20"/>
              </w:rPr>
              <w:t>jetëve</w:t>
            </w:r>
            <w:r w:rsidRPr="0058349C">
              <w:rPr>
                <w:rFonts w:ascii="Garamond" w:eastAsia="Calibri" w:hAnsi="Garamond"/>
                <w:sz w:val="18"/>
                <w:szCs w:val="20"/>
              </w:rPr>
              <w:t xml:space="preserve"> të para pas regjistrimit dhe nuk mund të kalojë nj</w:t>
            </w:r>
            <w:r w:rsidRPr="0058349C">
              <w:rPr>
                <w:rFonts w:ascii="Garamond" w:eastAsia="Arial" w:hAnsi="Garamond"/>
                <w:sz w:val="18"/>
                <w:szCs w:val="20"/>
              </w:rPr>
              <w:t>ë nivel të caktuar, por që është stimulus.</w:t>
            </w:r>
          </w:p>
        </w:tc>
        <w:tc>
          <w:tcPr>
            <w:tcW w:w="535" w:type="pct"/>
          </w:tcPr>
          <w:p w14:paraId="0773B133" w14:textId="77777777" w:rsidR="00FC6222" w:rsidRPr="0058349C" w:rsidRDefault="00FC6222" w:rsidP="00830F27">
            <w:pPr>
              <w:pStyle w:val="Table1"/>
              <w:ind w:left="254" w:right="-458" w:hanging="254"/>
              <w:rPr>
                <w:rFonts w:ascii="Garamond" w:eastAsia="Calibri" w:hAnsi="Garamond"/>
                <w:sz w:val="18"/>
                <w:szCs w:val="20"/>
              </w:rPr>
            </w:pPr>
            <w:r w:rsidRPr="0058349C">
              <w:rPr>
                <w:rFonts w:ascii="Garamond" w:eastAsia="Calibri" w:hAnsi="Garamond"/>
                <w:sz w:val="18"/>
                <w:szCs w:val="20"/>
              </w:rPr>
              <w:t>1.6, 1.10</w:t>
            </w:r>
          </w:p>
        </w:tc>
        <w:tc>
          <w:tcPr>
            <w:tcW w:w="645" w:type="pct"/>
          </w:tcPr>
          <w:p w14:paraId="0773B134"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EU IPA III, Buxheti Kombëtar, Donatorët</w:t>
            </w:r>
          </w:p>
        </w:tc>
      </w:tr>
      <w:tr w:rsidR="00FC6222" w:rsidRPr="0058349C" w14:paraId="0773B13F" w14:textId="77777777" w:rsidTr="00543FCB">
        <w:trPr>
          <w:gridAfter w:val="1"/>
          <w:wAfter w:w="4" w:type="pct"/>
          <w:trHeight w:val="20"/>
        </w:trPr>
        <w:tc>
          <w:tcPr>
            <w:tcW w:w="511" w:type="pct"/>
            <w:vMerge w:val="restart"/>
          </w:tcPr>
          <w:p w14:paraId="0773B136"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11. Skemat agromjedisore dhe klimatike</w:t>
            </w:r>
          </w:p>
        </w:tc>
        <w:tc>
          <w:tcPr>
            <w:tcW w:w="472" w:type="pct"/>
            <w:gridSpan w:val="2"/>
          </w:tcPr>
          <w:p w14:paraId="0773B137"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Racat lokale</w:t>
            </w:r>
          </w:p>
        </w:tc>
        <w:tc>
          <w:tcPr>
            <w:tcW w:w="2833" w:type="pct"/>
          </w:tcPr>
          <w:p w14:paraId="0773B138" w14:textId="77777777" w:rsidR="00FC6222" w:rsidRPr="0058349C" w:rsidRDefault="00FC6222" w:rsidP="00FC6222">
            <w:pPr>
              <w:pStyle w:val="ListParagraph"/>
              <w:numPr>
                <w:ilvl w:val="0"/>
                <w:numId w:val="18"/>
              </w:numPr>
              <w:overflowPunct w:val="0"/>
              <w:autoSpaceDE w:val="0"/>
              <w:autoSpaceDN w:val="0"/>
              <w:adjustRightInd w:val="0"/>
              <w:spacing w:after="0" w:line="240" w:lineRule="auto"/>
              <w:ind w:left="254" w:right="-35" w:hanging="254"/>
              <w:textAlignment w:val="baseline"/>
              <w:rPr>
                <w:rFonts w:ascii="Garamond" w:eastAsia="Calibri" w:hAnsi="Garamond"/>
                <w:sz w:val="18"/>
                <w:szCs w:val="20"/>
                <w:lang w:val="sq-AL"/>
              </w:rPr>
            </w:pPr>
            <w:r w:rsidRPr="0058349C">
              <w:rPr>
                <w:rFonts w:ascii="Garamond" w:eastAsia="Calibri" w:hAnsi="Garamond"/>
                <w:sz w:val="18"/>
                <w:szCs w:val="20"/>
                <w:lang w:val="sq-AL"/>
              </w:rPr>
              <w:t>Përfitues janë fermat blegtorale.</w:t>
            </w:r>
          </w:p>
          <w:p w14:paraId="0773B139" w14:textId="50CC9CF1" w:rsidR="00FC6222" w:rsidRPr="0058349C" w:rsidRDefault="00FC6222" w:rsidP="00E74850">
            <w:pPr>
              <w:pStyle w:val="ListParagraph"/>
              <w:numPr>
                <w:ilvl w:val="0"/>
                <w:numId w:val="18"/>
              </w:numPr>
              <w:overflowPunct w:val="0"/>
              <w:autoSpaceDE w:val="0"/>
              <w:autoSpaceDN w:val="0"/>
              <w:adjustRightInd w:val="0"/>
              <w:spacing w:after="0" w:line="240" w:lineRule="auto"/>
              <w:ind w:left="254" w:right="-35" w:hanging="254"/>
              <w:textAlignment w:val="baseline"/>
              <w:rPr>
                <w:rFonts w:ascii="Garamond" w:eastAsia="Calibri" w:hAnsi="Garamond"/>
                <w:sz w:val="18"/>
                <w:szCs w:val="20"/>
                <w:lang w:val="sq-AL"/>
              </w:rPr>
            </w:pPr>
            <w:r w:rsidRPr="0058349C">
              <w:rPr>
                <w:rFonts w:ascii="Garamond" w:eastAsia="Calibri" w:hAnsi="Garamond"/>
                <w:sz w:val="18"/>
                <w:szCs w:val="20"/>
                <w:lang w:val="sq-AL"/>
              </w:rPr>
              <w:t>Rregullat për menaxhimin e plehut organik, mirëqenien e kafshëve dhe shëndetin e kafshëve duhet të jenë pjesë e rregullave bazë</w:t>
            </w:r>
            <w:r w:rsidR="00797859">
              <w:rPr>
                <w:rFonts w:ascii="Garamond" w:eastAsia="Calibri" w:hAnsi="Garamond"/>
                <w:sz w:val="18"/>
                <w:szCs w:val="20"/>
                <w:lang w:val="sq-AL"/>
              </w:rPr>
              <w:t>/</w:t>
            </w:r>
            <w:r w:rsidRPr="0058349C">
              <w:rPr>
                <w:rFonts w:ascii="Garamond" w:eastAsia="Calibri" w:hAnsi="Garamond"/>
                <w:sz w:val="18"/>
                <w:szCs w:val="20"/>
                <w:lang w:val="sq-AL"/>
              </w:rPr>
              <w:t>standardeve minimale të detyrueshme. Gjithashtu, duhet të përcaktohen dhe zbatohen kërkesat e thjeshtuara të KMBM</w:t>
            </w:r>
            <w:r w:rsidR="00E74850">
              <w:rPr>
                <w:rFonts w:ascii="Garamond" w:eastAsia="Calibri" w:hAnsi="Garamond"/>
                <w:sz w:val="18"/>
                <w:szCs w:val="20"/>
                <w:lang w:val="sq-AL"/>
              </w:rPr>
              <w:t>-së</w:t>
            </w:r>
            <w:r w:rsidRPr="0058349C">
              <w:rPr>
                <w:rFonts w:ascii="Garamond" w:eastAsia="Calibri" w:hAnsi="Garamond"/>
                <w:sz w:val="18"/>
                <w:szCs w:val="20"/>
                <w:lang w:val="sq-AL"/>
              </w:rPr>
              <w:t>.</w:t>
            </w:r>
          </w:p>
          <w:p w14:paraId="0773B13A" w14:textId="13DBDAF5" w:rsidR="00FC6222" w:rsidRPr="0058349C" w:rsidRDefault="00FC6222" w:rsidP="00FC6222">
            <w:pPr>
              <w:pStyle w:val="ListParagraph"/>
              <w:numPr>
                <w:ilvl w:val="0"/>
                <w:numId w:val="18"/>
              </w:numPr>
              <w:overflowPunct w:val="0"/>
              <w:autoSpaceDE w:val="0"/>
              <w:autoSpaceDN w:val="0"/>
              <w:adjustRightInd w:val="0"/>
              <w:spacing w:after="0" w:line="240" w:lineRule="auto"/>
              <w:ind w:left="254" w:right="-35" w:hanging="254"/>
              <w:textAlignment w:val="baseline"/>
              <w:rPr>
                <w:rFonts w:ascii="Garamond" w:eastAsia="Calibri" w:hAnsi="Garamond"/>
                <w:sz w:val="18"/>
                <w:szCs w:val="20"/>
                <w:lang w:val="sq-AL"/>
              </w:rPr>
            </w:pPr>
            <w:r w:rsidRPr="0058349C">
              <w:rPr>
                <w:rFonts w:ascii="Garamond" w:eastAsia="Calibri" w:hAnsi="Garamond"/>
                <w:sz w:val="18"/>
                <w:szCs w:val="20"/>
                <w:lang w:val="sq-AL"/>
              </w:rPr>
              <w:t>Fermerët përfitues duhet të kenë akses në njohuri</w:t>
            </w:r>
            <w:r w:rsidR="00797859">
              <w:rPr>
                <w:rFonts w:ascii="Garamond" w:eastAsia="Calibri" w:hAnsi="Garamond"/>
                <w:sz w:val="18"/>
                <w:szCs w:val="20"/>
                <w:lang w:val="sq-AL"/>
              </w:rPr>
              <w:t>/</w:t>
            </w:r>
            <w:r w:rsidRPr="0058349C">
              <w:rPr>
                <w:rFonts w:ascii="Garamond" w:eastAsia="Calibri" w:hAnsi="Garamond"/>
                <w:sz w:val="18"/>
                <w:szCs w:val="20"/>
                <w:lang w:val="sq-AL"/>
              </w:rPr>
              <w:t>kenë trajnimin përkatës.</w:t>
            </w:r>
          </w:p>
          <w:p w14:paraId="0773B13B" w14:textId="492AB636" w:rsidR="00FC6222" w:rsidRPr="0058349C" w:rsidRDefault="00FC6222" w:rsidP="00FC6222">
            <w:pPr>
              <w:pStyle w:val="Table1"/>
              <w:numPr>
                <w:ilvl w:val="0"/>
                <w:numId w:val="18"/>
              </w:numPr>
              <w:ind w:left="254" w:right="-35" w:hanging="254"/>
              <w:rPr>
                <w:rFonts w:ascii="Garamond" w:eastAsia="Calibri" w:hAnsi="Garamond"/>
                <w:sz w:val="18"/>
                <w:szCs w:val="20"/>
              </w:rPr>
            </w:pPr>
            <w:r w:rsidRPr="0058349C">
              <w:rPr>
                <w:rFonts w:ascii="Garamond" w:eastAsia="Calibri" w:hAnsi="Garamond"/>
                <w:sz w:val="18"/>
                <w:szCs w:val="20"/>
              </w:rPr>
              <w:t>Pagesat duhet të bëhen çdo vit</w:t>
            </w:r>
            <w:r w:rsidR="00CF7694" w:rsidRPr="0058349C">
              <w:rPr>
                <w:rFonts w:ascii="Garamond" w:eastAsia="Calibri" w:hAnsi="Garamond"/>
                <w:sz w:val="18"/>
                <w:szCs w:val="20"/>
              </w:rPr>
              <w:t xml:space="preserve"> </w:t>
            </w:r>
            <w:r w:rsidRPr="0058349C">
              <w:rPr>
                <w:rFonts w:ascii="Garamond" w:eastAsia="Calibri" w:hAnsi="Garamond"/>
                <w:sz w:val="18"/>
                <w:szCs w:val="20"/>
              </w:rPr>
              <w:t>për krerë kafshësh, me synimin për t</w:t>
            </w:r>
            <w:r w:rsidR="00BB27DF">
              <w:rPr>
                <w:rFonts w:ascii="Garamond" w:eastAsia="Calibri" w:hAnsi="Garamond"/>
                <w:sz w:val="18"/>
                <w:szCs w:val="20"/>
              </w:rPr>
              <w:t>’</w:t>
            </w:r>
            <w:r w:rsidRPr="0058349C">
              <w:rPr>
                <w:rFonts w:ascii="Garamond" w:eastAsia="Calibri" w:hAnsi="Garamond"/>
                <w:sz w:val="18"/>
                <w:szCs w:val="20"/>
              </w:rPr>
              <w:t xml:space="preserve">i vijuar për një periudhë </w:t>
            </w:r>
            <w:r w:rsidRPr="0058349C">
              <w:rPr>
                <w:rFonts w:ascii="Garamond" w:eastAsia="Arial" w:hAnsi="Garamond"/>
                <w:sz w:val="18"/>
                <w:szCs w:val="20"/>
              </w:rPr>
              <w:t>afatmesme</w:t>
            </w:r>
            <w:r w:rsidRPr="0058349C">
              <w:rPr>
                <w:rFonts w:ascii="Garamond" w:eastAsia="Calibri" w:hAnsi="Garamond"/>
                <w:sz w:val="18"/>
                <w:szCs w:val="20"/>
              </w:rPr>
              <w:t>.</w:t>
            </w:r>
          </w:p>
        </w:tc>
        <w:tc>
          <w:tcPr>
            <w:tcW w:w="535" w:type="pct"/>
          </w:tcPr>
          <w:p w14:paraId="0773B13C" w14:textId="77777777" w:rsidR="00FC6222" w:rsidRPr="0058349C" w:rsidRDefault="00FC6222" w:rsidP="00830F27">
            <w:pPr>
              <w:pStyle w:val="Table1"/>
              <w:ind w:left="-16" w:right="-458" w:firstLine="16"/>
              <w:rPr>
                <w:rFonts w:ascii="Garamond" w:eastAsia="Calibri" w:hAnsi="Garamond"/>
                <w:sz w:val="18"/>
                <w:szCs w:val="20"/>
              </w:rPr>
            </w:pPr>
            <w:r w:rsidRPr="0058349C">
              <w:rPr>
                <w:rFonts w:ascii="Garamond" w:eastAsia="Calibri" w:hAnsi="Garamond"/>
                <w:sz w:val="18"/>
                <w:szCs w:val="20"/>
              </w:rPr>
              <w:t>2.1, 2.2, 2.5, 2.6,</w:t>
            </w:r>
          </w:p>
          <w:p w14:paraId="0773B13D" w14:textId="77777777" w:rsidR="00FC6222" w:rsidRPr="0058349C" w:rsidRDefault="00FC6222" w:rsidP="00830F27">
            <w:pPr>
              <w:pStyle w:val="Table1"/>
              <w:ind w:left="-16" w:right="-458" w:firstLine="16"/>
              <w:rPr>
                <w:rFonts w:ascii="Garamond" w:eastAsia="Calibri" w:hAnsi="Garamond"/>
                <w:sz w:val="18"/>
                <w:szCs w:val="20"/>
              </w:rPr>
            </w:pPr>
            <w:r w:rsidRPr="0058349C">
              <w:rPr>
                <w:rFonts w:ascii="Garamond" w:eastAsia="Calibri" w:hAnsi="Garamond"/>
                <w:sz w:val="18"/>
                <w:szCs w:val="20"/>
              </w:rPr>
              <w:t>2.7</w:t>
            </w:r>
          </w:p>
        </w:tc>
        <w:tc>
          <w:tcPr>
            <w:tcW w:w="645" w:type="pct"/>
          </w:tcPr>
          <w:p w14:paraId="0773B13E" w14:textId="4D879441"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EU IPARD III + Buxheti Kombëtar (</w:t>
            </w:r>
            <w:r w:rsidR="003E7483">
              <w:rPr>
                <w:rFonts w:ascii="Garamond" w:eastAsia="Calibri" w:hAnsi="Garamond"/>
                <w:sz w:val="18"/>
                <w:szCs w:val="20"/>
              </w:rPr>
              <w:t>bashkëfinancim</w:t>
            </w:r>
            <w:r w:rsidRPr="0058349C">
              <w:rPr>
                <w:rFonts w:ascii="Garamond" w:eastAsia="Calibri" w:hAnsi="Garamond"/>
                <w:sz w:val="18"/>
                <w:szCs w:val="20"/>
              </w:rPr>
              <w:t>)</w:t>
            </w:r>
          </w:p>
        </w:tc>
      </w:tr>
      <w:tr w:rsidR="00FC6222" w:rsidRPr="0058349C" w14:paraId="0773B149" w14:textId="77777777" w:rsidTr="00543FCB">
        <w:trPr>
          <w:gridAfter w:val="1"/>
          <w:wAfter w:w="4" w:type="pct"/>
          <w:trHeight w:val="20"/>
        </w:trPr>
        <w:tc>
          <w:tcPr>
            <w:tcW w:w="511" w:type="pct"/>
            <w:vMerge/>
            <w:vAlign w:val="center"/>
          </w:tcPr>
          <w:p w14:paraId="0773B140" w14:textId="77777777" w:rsidR="00FC6222" w:rsidRPr="0058349C" w:rsidRDefault="00FC6222" w:rsidP="00830F27">
            <w:pPr>
              <w:pStyle w:val="Table1"/>
              <w:rPr>
                <w:rFonts w:ascii="Garamond" w:hAnsi="Garamond"/>
                <w:b/>
                <w:bCs/>
                <w:sz w:val="18"/>
                <w:szCs w:val="20"/>
              </w:rPr>
            </w:pPr>
          </w:p>
        </w:tc>
        <w:tc>
          <w:tcPr>
            <w:tcW w:w="472" w:type="pct"/>
            <w:gridSpan w:val="2"/>
          </w:tcPr>
          <w:p w14:paraId="0773B141"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Ullishte tradicionale</w:t>
            </w:r>
          </w:p>
        </w:tc>
        <w:tc>
          <w:tcPr>
            <w:tcW w:w="2833" w:type="pct"/>
          </w:tcPr>
          <w:p w14:paraId="0773B142" w14:textId="77777777" w:rsidR="00FC6222" w:rsidRPr="0058349C" w:rsidRDefault="00FC6222" w:rsidP="00FC6222">
            <w:pPr>
              <w:pStyle w:val="Table1"/>
              <w:numPr>
                <w:ilvl w:val="0"/>
                <w:numId w:val="18"/>
              </w:numPr>
              <w:ind w:left="254" w:right="-35" w:hanging="254"/>
              <w:jc w:val="both"/>
              <w:rPr>
                <w:rFonts w:ascii="Garamond" w:eastAsia="Calibri" w:hAnsi="Garamond"/>
                <w:sz w:val="18"/>
                <w:szCs w:val="20"/>
              </w:rPr>
            </w:pPr>
            <w:r w:rsidRPr="0058349C">
              <w:rPr>
                <w:rFonts w:ascii="Garamond" w:eastAsia="Calibri" w:hAnsi="Garamond"/>
                <w:sz w:val="18"/>
                <w:szCs w:val="20"/>
              </w:rPr>
              <w:t>Përfitues janë fermerët që kultivojnë ullishte tradicionale.</w:t>
            </w:r>
          </w:p>
          <w:p w14:paraId="0773B143" w14:textId="00587E45" w:rsidR="00FC6222" w:rsidRPr="0058349C" w:rsidRDefault="00FC6222" w:rsidP="00D3476A">
            <w:pPr>
              <w:pStyle w:val="Table1"/>
              <w:numPr>
                <w:ilvl w:val="0"/>
                <w:numId w:val="18"/>
              </w:numPr>
              <w:ind w:left="254" w:right="-35" w:hanging="254"/>
              <w:jc w:val="both"/>
              <w:rPr>
                <w:rFonts w:ascii="Garamond" w:eastAsia="Calibri" w:hAnsi="Garamond"/>
                <w:sz w:val="18"/>
                <w:szCs w:val="20"/>
              </w:rPr>
            </w:pPr>
            <w:r w:rsidRPr="0058349C">
              <w:rPr>
                <w:rFonts w:ascii="Garamond" w:eastAsia="Calibri" w:hAnsi="Garamond"/>
                <w:sz w:val="18"/>
                <w:szCs w:val="20"/>
              </w:rPr>
              <w:t>Kërkesat e thjeshtuara të KMBM duhet të përcaktohen dhe zbatohen si pjesë e standardeve bazë</w:t>
            </w:r>
            <w:r w:rsidR="00797859">
              <w:rPr>
                <w:rFonts w:ascii="Garamond" w:eastAsia="Calibri" w:hAnsi="Garamond"/>
                <w:sz w:val="18"/>
                <w:szCs w:val="20"/>
              </w:rPr>
              <w:t>/</w:t>
            </w:r>
            <w:r w:rsidRPr="0058349C">
              <w:rPr>
                <w:rFonts w:ascii="Garamond" w:eastAsia="Calibri" w:hAnsi="Garamond"/>
                <w:sz w:val="18"/>
                <w:szCs w:val="20"/>
              </w:rPr>
              <w:t>minimale të detyrueshme.</w:t>
            </w:r>
          </w:p>
          <w:p w14:paraId="0773B144" w14:textId="77777777" w:rsidR="00FC6222" w:rsidRPr="0058349C" w:rsidRDefault="00FC6222" w:rsidP="00FC6222">
            <w:pPr>
              <w:pStyle w:val="Table1"/>
              <w:numPr>
                <w:ilvl w:val="0"/>
                <w:numId w:val="18"/>
              </w:numPr>
              <w:ind w:left="254" w:right="-35" w:hanging="254"/>
              <w:jc w:val="both"/>
              <w:rPr>
                <w:rFonts w:ascii="Garamond" w:eastAsia="Calibri" w:hAnsi="Garamond"/>
                <w:sz w:val="18"/>
                <w:szCs w:val="20"/>
              </w:rPr>
            </w:pPr>
            <w:r w:rsidRPr="0058349C">
              <w:rPr>
                <w:rFonts w:ascii="Garamond" w:eastAsia="Calibri" w:hAnsi="Garamond"/>
                <w:sz w:val="18"/>
                <w:szCs w:val="20"/>
              </w:rPr>
              <w:t>Krasitja vjetore dhe ndalimi i inputeve kimike janë të detyrueshme.</w:t>
            </w:r>
          </w:p>
          <w:p w14:paraId="0773B145" w14:textId="08D18300" w:rsidR="00FC6222" w:rsidRPr="0058349C" w:rsidRDefault="00FC6222" w:rsidP="00FC6222">
            <w:pPr>
              <w:pStyle w:val="ListParagraph"/>
              <w:numPr>
                <w:ilvl w:val="0"/>
                <w:numId w:val="18"/>
              </w:numPr>
              <w:overflowPunct w:val="0"/>
              <w:autoSpaceDE w:val="0"/>
              <w:autoSpaceDN w:val="0"/>
              <w:adjustRightInd w:val="0"/>
              <w:spacing w:after="0" w:line="240" w:lineRule="auto"/>
              <w:ind w:left="254" w:right="-35" w:hanging="254"/>
              <w:textAlignment w:val="baseline"/>
              <w:rPr>
                <w:rFonts w:ascii="Garamond" w:eastAsia="Calibri" w:hAnsi="Garamond"/>
                <w:sz w:val="18"/>
                <w:szCs w:val="20"/>
                <w:lang w:val="sq-AL"/>
              </w:rPr>
            </w:pPr>
            <w:r w:rsidRPr="0058349C">
              <w:rPr>
                <w:rFonts w:ascii="Garamond" w:eastAsia="Calibri" w:hAnsi="Garamond"/>
                <w:sz w:val="18"/>
                <w:szCs w:val="20"/>
                <w:lang w:val="sq-AL"/>
              </w:rPr>
              <w:t>Fermerët përfitues duhet të kenë akses në njohuri</w:t>
            </w:r>
            <w:r w:rsidR="00797859">
              <w:rPr>
                <w:rFonts w:ascii="Garamond" w:eastAsia="Calibri" w:hAnsi="Garamond"/>
                <w:sz w:val="18"/>
                <w:szCs w:val="20"/>
                <w:lang w:val="sq-AL"/>
              </w:rPr>
              <w:t>/</w:t>
            </w:r>
            <w:r w:rsidRPr="0058349C">
              <w:rPr>
                <w:rFonts w:ascii="Garamond" w:eastAsia="Calibri" w:hAnsi="Garamond"/>
                <w:sz w:val="18"/>
                <w:szCs w:val="20"/>
                <w:lang w:val="sq-AL"/>
              </w:rPr>
              <w:t>kenë trajnimin përkatës.</w:t>
            </w:r>
          </w:p>
          <w:p w14:paraId="0773B146" w14:textId="52012272" w:rsidR="00FC6222" w:rsidRPr="0058349C" w:rsidRDefault="00FC6222" w:rsidP="00FC6222">
            <w:pPr>
              <w:pStyle w:val="Table1"/>
              <w:numPr>
                <w:ilvl w:val="0"/>
                <w:numId w:val="18"/>
              </w:numPr>
              <w:ind w:left="254" w:right="-35" w:hanging="254"/>
              <w:jc w:val="both"/>
              <w:rPr>
                <w:rFonts w:ascii="Garamond" w:eastAsia="Calibri" w:hAnsi="Garamond"/>
                <w:sz w:val="18"/>
                <w:szCs w:val="20"/>
              </w:rPr>
            </w:pPr>
            <w:r w:rsidRPr="0058349C">
              <w:rPr>
                <w:rFonts w:ascii="Garamond" w:eastAsia="Calibri" w:hAnsi="Garamond"/>
                <w:sz w:val="18"/>
                <w:szCs w:val="20"/>
              </w:rPr>
              <w:t>Pagesat duhet të bëhen çdo vit</w:t>
            </w:r>
            <w:r w:rsidR="00CF7694" w:rsidRPr="0058349C">
              <w:rPr>
                <w:rFonts w:ascii="Garamond" w:eastAsia="Calibri" w:hAnsi="Garamond"/>
                <w:sz w:val="18"/>
                <w:szCs w:val="20"/>
              </w:rPr>
              <w:t xml:space="preserve"> </w:t>
            </w:r>
            <w:r w:rsidRPr="0058349C">
              <w:rPr>
                <w:rFonts w:ascii="Garamond" w:eastAsia="Calibri" w:hAnsi="Garamond"/>
                <w:sz w:val="18"/>
                <w:szCs w:val="20"/>
              </w:rPr>
              <w:t>për ha, me synimin për t</w:t>
            </w:r>
            <w:r w:rsidR="00D3476A">
              <w:rPr>
                <w:rFonts w:ascii="Garamond" w:eastAsia="Calibri" w:hAnsi="Garamond"/>
                <w:sz w:val="18"/>
                <w:szCs w:val="20"/>
              </w:rPr>
              <w:t>’</w:t>
            </w:r>
            <w:r w:rsidRPr="0058349C">
              <w:rPr>
                <w:rFonts w:ascii="Garamond" w:eastAsia="Calibri" w:hAnsi="Garamond"/>
                <w:sz w:val="18"/>
                <w:szCs w:val="20"/>
              </w:rPr>
              <w:t xml:space="preserve">i vijuar për një periudhë </w:t>
            </w:r>
            <w:r w:rsidRPr="0058349C">
              <w:rPr>
                <w:rFonts w:ascii="Garamond" w:eastAsia="Arial" w:hAnsi="Garamond"/>
                <w:sz w:val="18"/>
                <w:szCs w:val="20"/>
              </w:rPr>
              <w:t>afatmesme</w:t>
            </w:r>
            <w:r w:rsidRPr="0058349C">
              <w:rPr>
                <w:rFonts w:ascii="Garamond" w:eastAsia="Calibri" w:hAnsi="Garamond"/>
                <w:sz w:val="18"/>
                <w:szCs w:val="20"/>
              </w:rPr>
              <w:t>.</w:t>
            </w:r>
          </w:p>
        </w:tc>
        <w:tc>
          <w:tcPr>
            <w:tcW w:w="535" w:type="pct"/>
          </w:tcPr>
          <w:p w14:paraId="0773B147" w14:textId="77777777" w:rsidR="00FC6222" w:rsidRPr="0058349C" w:rsidRDefault="00FC6222" w:rsidP="00830F27">
            <w:pPr>
              <w:pStyle w:val="Table1"/>
              <w:ind w:left="254" w:right="-458" w:hanging="254"/>
              <w:rPr>
                <w:rFonts w:ascii="Garamond" w:eastAsia="Calibri" w:hAnsi="Garamond"/>
                <w:sz w:val="18"/>
                <w:szCs w:val="20"/>
              </w:rPr>
            </w:pPr>
            <w:r w:rsidRPr="0058349C">
              <w:rPr>
                <w:rFonts w:ascii="Garamond" w:eastAsia="Calibri" w:hAnsi="Garamond"/>
                <w:sz w:val="18"/>
                <w:szCs w:val="20"/>
              </w:rPr>
              <w:t>2.2, 2.5, 2.6, 2.7</w:t>
            </w:r>
          </w:p>
        </w:tc>
        <w:tc>
          <w:tcPr>
            <w:tcW w:w="645" w:type="pct"/>
          </w:tcPr>
          <w:p w14:paraId="0773B148" w14:textId="30156715"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EU IPARD III + Buxheti Kombëtar (</w:t>
            </w:r>
            <w:r w:rsidR="003E7483">
              <w:rPr>
                <w:rFonts w:ascii="Garamond" w:eastAsia="Calibri" w:hAnsi="Garamond"/>
                <w:sz w:val="18"/>
                <w:szCs w:val="20"/>
              </w:rPr>
              <w:t>bashkëfinancim</w:t>
            </w:r>
            <w:r w:rsidRPr="0058349C">
              <w:rPr>
                <w:rFonts w:ascii="Garamond" w:eastAsia="Calibri" w:hAnsi="Garamond"/>
                <w:sz w:val="18"/>
                <w:szCs w:val="20"/>
              </w:rPr>
              <w:t>)</w:t>
            </w:r>
          </w:p>
        </w:tc>
      </w:tr>
      <w:tr w:rsidR="00FC6222" w:rsidRPr="0058349C" w14:paraId="0773B152" w14:textId="77777777" w:rsidTr="00543FCB">
        <w:trPr>
          <w:gridAfter w:val="1"/>
          <w:wAfter w:w="4" w:type="pct"/>
          <w:trHeight w:val="20"/>
        </w:trPr>
        <w:tc>
          <w:tcPr>
            <w:tcW w:w="511" w:type="pct"/>
            <w:vMerge/>
            <w:vAlign w:val="center"/>
          </w:tcPr>
          <w:p w14:paraId="0773B14A" w14:textId="77777777" w:rsidR="00FC6222" w:rsidRPr="0058349C" w:rsidRDefault="00FC6222" w:rsidP="00830F27">
            <w:pPr>
              <w:pStyle w:val="Table1"/>
              <w:rPr>
                <w:rFonts w:ascii="Garamond" w:hAnsi="Garamond"/>
                <w:b/>
                <w:bCs/>
                <w:sz w:val="18"/>
                <w:szCs w:val="20"/>
              </w:rPr>
            </w:pPr>
          </w:p>
        </w:tc>
        <w:tc>
          <w:tcPr>
            <w:tcW w:w="472" w:type="pct"/>
            <w:gridSpan w:val="2"/>
          </w:tcPr>
          <w:p w14:paraId="0773B14B"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Bujqësia organike</w:t>
            </w:r>
          </w:p>
        </w:tc>
        <w:tc>
          <w:tcPr>
            <w:tcW w:w="2833" w:type="pct"/>
          </w:tcPr>
          <w:p w14:paraId="0773B14C" w14:textId="77777777" w:rsidR="00FC6222" w:rsidRPr="0058349C" w:rsidRDefault="00FC6222" w:rsidP="00FC6222">
            <w:pPr>
              <w:pStyle w:val="Table1"/>
              <w:numPr>
                <w:ilvl w:val="0"/>
                <w:numId w:val="18"/>
              </w:numPr>
              <w:ind w:left="254" w:right="-35" w:hanging="254"/>
              <w:jc w:val="both"/>
              <w:rPr>
                <w:rFonts w:ascii="Garamond" w:eastAsia="Calibri" w:hAnsi="Garamond"/>
                <w:sz w:val="18"/>
                <w:szCs w:val="20"/>
              </w:rPr>
            </w:pPr>
            <w:r w:rsidRPr="0058349C">
              <w:rPr>
                <w:rFonts w:ascii="Garamond" w:eastAsia="Calibri" w:hAnsi="Garamond"/>
                <w:sz w:val="18"/>
                <w:szCs w:val="20"/>
              </w:rPr>
              <w:t>Përfitues janë fermerët që kultivojnë sipërfaqe, në proces konvertimi ose të certifikuara si organike.</w:t>
            </w:r>
          </w:p>
          <w:p w14:paraId="0773B14D" w14:textId="11D120EA" w:rsidR="00FC6222" w:rsidRPr="0058349C" w:rsidRDefault="00FC6222" w:rsidP="00D3476A">
            <w:pPr>
              <w:pStyle w:val="Table1"/>
              <w:numPr>
                <w:ilvl w:val="0"/>
                <w:numId w:val="18"/>
              </w:numPr>
              <w:ind w:left="254" w:right="-35" w:hanging="254"/>
              <w:jc w:val="both"/>
              <w:rPr>
                <w:rFonts w:ascii="Garamond" w:eastAsia="Calibri" w:hAnsi="Garamond"/>
                <w:sz w:val="18"/>
                <w:szCs w:val="20"/>
              </w:rPr>
            </w:pPr>
            <w:r w:rsidRPr="0058349C">
              <w:rPr>
                <w:rFonts w:ascii="Garamond" w:eastAsia="Calibri" w:hAnsi="Garamond"/>
                <w:sz w:val="18"/>
                <w:szCs w:val="20"/>
              </w:rPr>
              <w:t>Kërkesat e thjeshtuara të KMBM</w:t>
            </w:r>
            <w:r w:rsidR="00D3476A">
              <w:rPr>
                <w:rFonts w:ascii="Garamond" w:eastAsia="Calibri" w:hAnsi="Garamond"/>
                <w:sz w:val="18"/>
                <w:szCs w:val="20"/>
              </w:rPr>
              <w:t>-së</w:t>
            </w:r>
            <w:r w:rsidRPr="0058349C">
              <w:rPr>
                <w:rFonts w:ascii="Garamond" w:eastAsia="Calibri" w:hAnsi="Garamond"/>
                <w:sz w:val="18"/>
                <w:szCs w:val="20"/>
              </w:rPr>
              <w:t xml:space="preserve"> duhet të përcaktohen dhe zbatohen si pjesë e standardeve bazë</w:t>
            </w:r>
            <w:r w:rsidR="00797859">
              <w:rPr>
                <w:rFonts w:ascii="Garamond" w:eastAsia="Calibri" w:hAnsi="Garamond"/>
                <w:sz w:val="18"/>
                <w:szCs w:val="20"/>
              </w:rPr>
              <w:t>/</w:t>
            </w:r>
            <w:r w:rsidRPr="0058349C">
              <w:rPr>
                <w:rFonts w:ascii="Garamond" w:eastAsia="Calibri" w:hAnsi="Garamond"/>
                <w:sz w:val="18"/>
                <w:szCs w:val="20"/>
              </w:rPr>
              <w:t>minimale të detyrueshme.</w:t>
            </w:r>
          </w:p>
          <w:p w14:paraId="71A106AC" w14:textId="77777777" w:rsidR="00E95771" w:rsidRDefault="00FC6222" w:rsidP="00E95771">
            <w:pPr>
              <w:pStyle w:val="ListParagraph"/>
              <w:numPr>
                <w:ilvl w:val="0"/>
                <w:numId w:val="18"/>
              </w:numPr>
              <w:overflowPunct w:val="0"/>
              <w:autoSpaceDE w:val="0"/>
              <w:autoSpaceDN w:val="0"/>
              <w:adjustRightInd w:val="0"/>
              <w:spacing w:after="0" w:line="240" w:lineRule="auto"/>
              <w:ind w:left="254" w:right="-35" w:hanging="254"/>
              <w:textAlignment w:val="baseline"/>
              <w:rPr>
                <w:rFonts w:ascii="Garamond" w:eastAsia="Calibri" w:hAnsi="Garamond"/>
                <w:sz w:val="18"/>
                <w:szCs w:val="20"/>
                <w:lang w:val="sq-AL"/>
              </w:rPr>
            </w:pPr>
            <w:r w:rsidRPr="0058349C">
              <w:rPr>
                <w:rFonts w:ascii="Garamond" w:eastAsia="Calibri" w:hAnsi="Garamond"/>
                <w:sz w:val="18"/>
                <w:szCs w:val="20"/>
                <w:lang w:val="sq-AL"/>
              </w:rPr>
              <w:t>Fermerët përfitues duhet të kenë akses në njohuri</w:t>
            </w:r>
            <w:r w:rsidR="00797859">
              <w:rPr>
                <w:rFonts w:ascii="Garamond" w:eastAsia="Calibri" w:hAnsi="Garamond"/>
                <w:sz w:val="18"/>
                <w:szCs w:val="20"/>
                <w:lang w:val="sq-AL"/>
              </w:rPr>
              <w:t>/</w:t>
            </w:r>
            <w:r w:rsidRPr="0058349C">
              <w:rPr>
                <w:rFonts w:ascii="Garamond" w:eastAsia="Calibri" w:hAnsi="Garamond"/>
                <w:sz w:val="18"/>
                <w:szCs w:val="20"/>
                <w:lang w:val="sq-AL"/>
              </w:rPr>
              <w:t>kenë trajnimin përkatës.</w:t>
            </w:r>
          </w:p>
          <w:p w14:paraId="0773B14F" w14:textId="4989F5F6" w:rsidR="00FC6222" w:rsidRPr="00E95771" w:rsidRDefault="00FC6222" w:rsidP="00E95771">
            <w:pPr>
              <w:pStyle w:val="ListParagraph"/>
              <w:numPr>
                <w:ilvl w:val="0"/>
                <w:numId w:val="18"/>
              </w:numPr>
              <w:overflowPunct w:val="0"/>
              <w:autoSpaceDE w:val="0"/>
              <w:autoSpaceDN w:val="0"/>
              <w:adjustRightInd w:val="0"/>
              <w:spacing w:after="0" w:line="240" w:lineRule="auto"/>
              <w:ind w:left="254" w:right="-35" w:hanging="254"/>
              <w:textAlignment w:val="baseline"/>
              <w:rPr>
                <w:rFonts w:ascii="Garamond" w:eastAsia="Calibri" w:hAnsi="Garamond"/>
                <w:sz w:val="18"/>
                <w:szCs w:val="20"/>
                <w:lang w:val="sq-AL"/>
              </w:rPr>
            </w:pPr>
            <w:r w:rsidRPr="00E95771">
              <w:rPr>
                <w:rFonts w:ascii="Garamond" w:eastAsia="Calibri" w:hAnsi="Garamond"/>
                <w:sz w:val="18"/>
                <w:szCs w:val="20"/>
                <w:lang w:val="sq-AL"/>
              </w:rPr>
              <w:t>Pagesat duhet të bëhen çdo vit</w:t>
            </w:r>
            <w:r w:rsidR="00CF7694" w:rsidRPr="00E95771">
              <w:rPr>
                <w:rFonts w:ascii="Garamond" w:eastAsia="Calibri" w:hAnsi="Garamond"/>
                <w:sz w:val="18"/>
                <w:szCs w:val="20"/>
                <w:lang w:val="sq-AL"/>
              </w:rPr>
              <w:t xml:space="preserve"> </w:t>
            </w:r>
            <w:r w:rsidRPr="00E95771">
              <w:rPr>
                <w:rFonts w:ascii="Garamond" w:eastAsia="Calibri" w:hAnsi="Garamond"/>
                <w:sz w:val="18"/>
                <w:szCs w:val="20"/>
                <w:lang w:val="sq-AL"/>
              </w:rPr>
              <w:t>për ha, me synimin për t</w:t>
            </w:r>
            <w:r w:rsidR="00E95771" w:rsidRPr="00E95771">
              <w:rPr>
                <w:rFonts w:ascii="Garamond" w:eastAsia="Calibri" w:hAnsi="Garamond"/>
                <w:sz w:val="18"/>
                <w:szCs w:val="20"/>
                <w:lang w:val="sq-AL"/>
              </w:rPr>
              <w:t>’</w:t>
            </w:r>
            <w:r w:rsidRPr="00E95771">
              <w:rPr>
                <w:rFonts w:ascii="Garamond" w:eastAsia="Calibri" w:hAnsi="Garamond"/>
                <w:sz w:val="18"/>
                <w:szCs w:val="20"/>
                <w:lang w:val="sq-AL"/>
              </w:rPr>
              <w:t xml:space="preserve">i vijuar për një periudhë </w:t>
            </w:r>
            <w:r w:rsidRPr="00E95771">
              <w:rPr>
                <w:rFonts w:ascii="Garamond" w:eastAsia="Arial" w:hAnsi="Garamond"/>
                <w:sz w:val="18"/>
                <w:szCs w:val="20"/>
                <w:lang w:val="sq-AL"/>
              </w:rPr>
              <w:t>afatmesme</w:t>
            </w:r>
            <w:r w:rsidRPr="00E95771">
              <w:rPr>
                <w:rFonts w:ascii="Garamond" w:eastAsia="Calibri" w:hAnsi="Garamond"/>
                <w:sz w:val="18"/>
                <w:szCs w:val="20"/>
                <w:lang w:val="sq-AL"/>
              </w:rPr>
              <w:t>.</w:t>
            </w:r>
          </w:p>
        </w:tc>
        <w:tc>
          <w:tcPr>
            <w:tcW w:w="535" w:type="pct"/>
          </w:tcPr>
          <w:p w14:paraId="0773B150" w14:textId="77777777" w:rsidR="00FC6222" w:rsidRPr="0058349C" w:rsidRDefault="00FC6222" w:rsidP="00830F27">
            <w:pPr>
              <w:pStyle w:val="Table1"/>
              <w:ind w:left="-16" w:right="-458" w:firstLine="16"/>
              <w:rPr>
                <w:rFonts w:ascii="Garamond" w:eastAsia="Calibri" w:hAnsi="Garamond"/>
                <w:sz w:val="18"/>
                <w:szCs w:val="20"/>
              </w:rPr>
            </w:pPr>
            <w:r w:rsidRPr="0058349C">
              <w:rPr>
                <w:rFonts w:ascii="Garamond" w:eastAsia="Calibri" w:hAnsi="Garamond"/>
                <w:sz w:val="18"/>
                <w:szCs w:val="20"/>
              </w:rPr>
              <w:t>2.4, 2.5, 2.6, 2.7</w:t>
            </w:r>
          </w:p>
        </w:tc>
        <w:tc>
          <w:tcPr>
            <w:tcW w:w="645" w:type="pct"/>
          </w:tcPr>
          <w:p w14:paraId="0773B151" w14:textId="33F24E2D"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EU IPARD III + Buxheti Kombëtar (</w:t>
            </w:r>
            <w:r w:rsidR="003E7483">
              <w:rPr>
                <w:rFonts w:ascii="Garamond" w:eastAsia="Calibri" w:hAnsi="Garamond"/>
                <w:sz w:val="18"/>
                <w:szCs w:val="20"/>
              </w:rPr>
              <w:t>bashkëfinancim</w:t>
            </w:r>
            <w:r w:rsidRPr="0058349C">
              <w:rPr>
                <w:rFonts w:ascii="Garamond" w:eastAsia="Calibri" w:hAnsi="Garamond"/>
                <w:sz w:val="18"/>
                <w:szCs w:val="20"/>
              </w:rPr>
              <w:t>)</w:t>
            </w:r>
          </w:p>
        </w:tc>
      </w:tr>
      <w:tr w:rsidR="00FC6222" w:rsidRPr="0058349C" w14:paraId="0773B15D" w14:textId="77777777" w:rsidTr="00543FCB">
        <w:trPr>
          <w:gridAfter w:val="1"/>
          <w:wAfter w:w="4" w:type="pct"/>
          <w:trHeight w:val="20"/>
        </w:trPr>
        <w:tc>
          <w:tcPr>
            <w:tcW w:w="511" w:type="pct"/>
            <w:vMerge/>
            <w:vAlign w:val="center"/>
          </w:tcPr>
          <w:p w14:paraId="0773B153" w14:textId="77777777" w:rsidR="00FC6222" w:rsidRPr="0058349C" w:rsidRDefault="00FC6222" w:rsidP="00830F27">
            <w:pPr>
              <w:pStyle w:val="Table1"/>
              <w:rPr>
                <w:rFonts w:ascii="Garamond" w:hAnsi="Garamond"/>
                <w:b/>
                <w:bCs/>
                <w:sz w:val="18"/>
                <w:szCs w:val="20"/>
              </w:rPr>
            </w:pPr>
          </w:p>
        </w:tc>
        <w:tc>
          <w:tcPr>
            <w:tcW w:w="472" w:type="pct"/>
            <w:gridSpan w:val="2"/>
          </w:tcPr>
          <w:p w14:paraId="0773B154"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Menaxhimi i i shfrytëzimit ekstensiv të kullotave</w:t>
            </w:r>
          </w:p>
        </w:tc>
        <w:tc>
          <w:tcPr>
            <w:tcW w:w="2833" w:type="pct"/>
          </w:tcPr>
          <w:p w14:paraId="0773B155" w14:textId="77777777" w:rsidR="00FC6222" w:rsidRPr="0058349C" w:rsidRDefault="00FC6222" w:rsidP="00FC6222">
            <w:pPr>
              <w:pStyle w:val="Table1"/>
              <w:numPr>
                <w:ilvl w:val="0"/>
                <w:numId w:val="18"/>
              </w:numPr>
              <w:ind w:left="254" w:right="-458" w:hanging="254"/>
              <w:rPr>
                <w:rFonts w:ascii="Garamond" w:eastAsia="Calibri" w:hAnsi="Garamond"/>
                <w:sz w:val="18"/>
                <w:szCs w:val="20"/>
              </w:rPr>
            </w:pPr>
            <w:r w:rsidRPr="0058349C">
              <w:rPr>
                <w:rFonts w:ascii="Garamond" w:eastAsia="Calibri" w:hAnsi="Garamond"/>
                <w:sz w:val="18"/>
                <w:szCs w:val="20"/>
              </w:rPr>
              <w:t>Përfitues janë përdoruesit e kullotave tradicionale të angazhuara</w:t>
            </w:r>
            <w:r w:rsidRPr="0058349C">
              <w:rPr>
                <w:rFonts w:ascii="Garamond" w:hAnsi="Garamond"/>
                <w:sz w:val="18"/>
                <w:szCs w:val="20"/>
              </w:rPr>
              <w:t xml:space="preserve"> në shfry</w:t>
            </w:r>
            <w:r w:rsidRPr="0058349C">
              <w:rPr>
                <w:rFonts w:ascii="Garamond" w:eastAsia="Calibri" w:hAnsi="Garamond"/>
                <w:sz w:val="18"/>
                <w:szCs w:val="20"/>
              </w:rPr>
              <w:t>tëzimin e kullotave në respektim të kritereve të</w:t>
            </w:r>
            <w:r w:rsidRPr="0058349C">
              <w:rPr>
                <w:rFonts w:ascii="Garamond" w:hAnsi="Garamond"/>
                <w:sz w:val="18"/>
                <w:szCs w:val="20"/>
              </w:rPr>
              <w:t xml:space="preserve"> mir</w:t>
            </w:r>
            <w:r w:rsidRPr="0058349C">
              <w:rPr>
                <w:rFonts w:ascii="Garamond" w:eastAsia="Calibri" w:hAnsi="Garamond"/>
                <w:sz w:val="18"/>
                <w:szCs w:val="20"/>
              </w:rPr>
              <w:t>ë menaxhimit.</w:t>
            </w:r>
          </w:p>
          <w:p w14:paraId="0773B156" w14:textId="232999A2" w:rsidR="00FC6222" w:rsidRPr="0058349C" w:rsidRDefault="00FC6222" w:rsidP="00FC6222">
            <w:pPr>
              <w:pStyle w:val="Table1"/>
              <w:numPr>
                <w:ilvl w:val="0"/>
                <w:numId w:val="18"/>
              </w:numPr>
              <w:ind w:left="254" w:right="250" w:hanging="254"/>
              <w:rPr>
                <w:rFonts w:ascii="Garamond" w:eastAsia="Calibri" w:hAnsi="Garamond"/>
                <w:sz w:val="18"/>
                <w:szCs w:val="20"/>
              </w:rPr>
            </w:pPr>
            <w:r w:rsidRPr="0058349C">
              <w:rPr>
                <w:rFonts w:ascii="Garamond" w:eastAsia="Calibri" w:hAnsi="Garamond"/>
                <w:sz w:val="18"/>
                <w:szCs w:val="20"/>
              </w:rPr>
              <w:t>Kërkesat e KMBM duhet të përcaktohen dhe zbato</w:t>
            </w:r>
            <w:r w:rsidR="00A37EAA">
              <w:rPr>
                <w:rFonts w:ascii="Garamond" w:eastAsia="Calibri" w:hAnsi="Garamond"/>
                <w:sz w:val="18"/>
                <w:szCs w:val="20"/>
              </w:rPr>
              <w:t>hen si pjesë e standardeve bazë</w:t>
            </w:r>
            <w:r w:rsidR="00797859">
              <w:rPr>
                <w:rFonts w:ascii="Garamond" w:eastAsia="Calibri" w:hAnsi="Garamond"/>
                <w:sz w:val="18"/>
                <w:szCs w:val="20"/>
              </w:rPr>
              <w:t>/</w:t>
            </w:r>
            <w:r w:rsidRPr="0058349C">
              <w:rPr>
                <w:rFonts w:ascii="Garamond" w:eastAsia="Calibri" w:hAnsi="Garamond"/>
                <w:sz w:val="18"/>
                <w:szCs w:val="20"/>
              </w:rPr>
              <w:t>minimale të detyrueshme.</w:t>
            </w:r>
          </w:p>
          <w:p w14:paraId="0773B157" w14:textId="77777777" w:rsidR="00FC6222" w:rsidRPr="0058349C" w:rsidRDefault="00FC6222" w:rsidP="00FC6222">
            <w:pPr>
              <w:pStyle w:val="Table1"/>
              <w:numPr>
                <w:ilvl w:val="0"/>
                <w:numId w:val="18"/>
              </w:numPr>
              <w:ind w:left="254" w:right="250" w:hanging="254"/>
              <w:rPr>
                <w:rFonts w:ascii="Garamond" w:eastAsia="Calibri" w:hAnsi="Garamond"/>
                <w:sz w:val="18"/>
                <w:szCs w:val="20"/>
              </w:rPr>
            </w:pPr>
            <w:r w:rsidRPr="0058349C">
              <w:rPr>
                <w:rFonts w:ascii="Garamond" w:eastAsia="Calibri" w:hAnsi="Garamond"/>
                <w:sz w:val="18"/>
                <w:szCs w:val="20"/>
              </w:rPr>
              <w:t>Duhet të merren parasysh rregullat për sigurimin e një densiteti maksimal të kullotjes dhe kositjes së vonshme të livadheve, të ndalohen inputet kimike, ndërsa plehrat organike të jenë të kufizuara.</w:t>
            </w:r>
          </w:p>
          <w:p w14:paraId="0773B158" w14:textId="412BECF5" w:rsidR="00FC6222" w:rsidRPr="0058349C" w:rsidRDefault="00FC6222" w:rsidP="00FC6222">
            <w:pPr>
              <w:pStyle w:val="Table1"/>
              <w:numPr>
                <w:ilvl w:val="0"/>
                <w:numId w:val="18"/>
              </w:numPr>
              <w:ind w:left="254" w:right="-458" w:hanging="254"/>
              <w:rPr>
                <w:rFonts w:ascii="Garamond" w:eastAsia="Calibri" w:hAnsi="Garamond"/>
                <w:sz w:val="18"/>
                <w:szCs w:val="20"/>
              </w:rPr>
            </w:pPr>
            <w:r w:rsidRPr="0058349C">
              <w:rPr>
                <w:rFonts w:ascii="Garamond" w:eastAsia="Calibri" w:hAnsi="Garamond"/>
                <w:sz w:val="18"/>
                <w:szCs w:val="20"/>
              </w:rPr>
              <w:t>Përdoruesit e kullotave duhet të kenë akses në njohuri</w:t>
            </w:r>
            <w:r w:rsidR="00797859">
              <w:rPr>
                <w:rFonts w:ascii="Garamond" w:eastAsia="Calibri" w:hAnsi="Garamond"/>
                <w:sz w:val="18"/>
                <w:szCs w:val="20"/>
              </w:rPr>
              <w:t>/</w:t>
            </w:r>
            <w:r w:rsidRPr="0058349C">
              <w:rPr>
                <w:rFonts w:ascii="Garamond" w:eastAsia="Calibri" w:hAnsi="Garamond"/>
                <w:sz w:val="18"/>
                <w:szCs w:val="20"/>
              </w:rPr>
              <w:t>kenë trajnimin përkatës.</w:t>
            </w:r>
          </w:p>
          <w:p w14:paraId="0773B159" w14:textId="1F6FEEBB" w:rsidR="00FC6222" w:rsidRPr="0058349C" w:rsidRDefault="00FC6222" w:rsidP="00FC6222">
            <w:pPr>
              <w:pStyle w:val="Table1"/>
              <w:numPr>
                <w:ilvl w:val="0"/>
                <w:numId w:val="18"/>
              </w:numPr>
              <w:ind w:left="254" w:right="-458" w:hanging="254"/>
              <w:rPr>
                <w:rFonts w:ascii="Garamond" w:eastAsia="Calibri" w:hAnsi="Garamond"/>
                <w:sz w:val="18"/>
                <w:szCs w:val="20"/>
              </w:rPr>
            </w:pPr>
            <w:r w:rsidRPr="0058349C">
              <w:rPr>
                <w:rFonts w:ascii="Garamond" w:eastAsia="Calibri" w:hAnsi="Garamond"/>
                <w:sz w:val="18"/>
                <w:szCs w:val="20"/>
              </w:rPr>
              <w:t>Pagesat duhet të bëhen çdo vit</w:t>
            </w:r>
            <w:r w:rsidR="00CF7694" w:rsidRPr="0058349C">
              <w:rPr>
                <w:rFonts w:ascii="Garamond" w:eastAsia="Calibri" w:hAnsi="Garamond"/>
                <w:sz w:val="18"/>
                <w:szCs w:val="20"/>
              </w:rPr>
              <w:t xml:space="preserve"> </w:t>
            </w:r>
            <w:r w:rsidRPr="0058349C">
              <w:rPr>
                <w:rFonts w:ascii="Garamond" w:eastAsia="Calibri" w:hAnsi="Garamond"/>
                <w:sz w:val="18"/>
                <w:szCs w:val="20"/>
              </w:rPr>
              <w:t>për ha, me synimin për t</w:t>
            </w:r>
            <w:r w:rsidR="00A37EAA">
              <w:rPr>
                <w:rFonts w:ascii="Garamond" w:eastAsia="Calibri" w:hAnsi="Garamond"/>
                <w:sz w:val="18"/>
                <w:szCs w:val="20"/>
              </w:rPr>
              <w:t>’</w:t>
            </w:r>
            <w:r w:rsidRPr="0058349C">
              <w:rPr>
                <w:rFonts w:ascii="Garamond" w:eastAsia="Calibri" w:hAnsi="Garamond"/>
                <w:sz w:val="18"/>
                <w:szCs w:val="20"/>
              </w:rPr>
              <w:t xml:space="preserve">i vijuar për një periudhë </w:t>
            </w:r>
            <w:r w:rsidRPr="0058349C">
              <w:rPr>
                <w:rFonts w:ascii="Garamond" w:eastAsia="Arial" w:hAnsi="Garamond"/>
                <w:sz w:val="18"/>
                <w:szCs w:val="20"/>
              </w:rPr>
              <w:t>afatmesme</w:t>
            </w:r>
            <w:r w:rsidR="00A37EAA">
              <w:rPr>
                <w:rFonts w:ascii="Garamond" w:eastAsia="Calibri" w:hAnsi="Garamond"/>
                <w:sz w:val="18"/>
                <w:szCs w:val="20"/>
              </w:rPr>
              <w:t>.</w:t>
            </w:r>
          </w:p>
        </w:tc>
        <w:tc>
          <w:tcPr>
            <w:tcW w:w="535" w:type="pct"/>
          </w:tcPr>
          <w:p w14:paraId="0773B15A" w14:textId="77777777" w:rsidR="00FC6222" w:rsidRPr="0058349C" w:rsidRDefault="00FC6222" w:rsidP="00830F27">
            <w:pPr>
              <w:pStyle w:val="Table1"/>
              <w:ind w:right="-458"/>
              <w:rPr>
                <w:rFonts w:ascii="Garamond" w:eastAsia="Calibri" w:hAnsi="Garamond"/>
                <w:sz w:val="18"/>
                <w:szCs w:val="20"/>
              </w:rPr>
            </w:pPr>
            <w:r w:rsidRPr="0058349C">
              <w:rPr>
                <w:rFonts w:ascii="Garamond" w:eastAsia="Calibri" w:hAnsi="Garamond"/>
                <w:sz w:val="18"/>
                <w:szCs w:val="20"/>
              </w:rPr>
              <w:t>2.1, 2.2, 2.5, 2.6.</w:t>
            </w:r>
          </w:p>
          <w:p w14:paraId="0773B15B" w14:textId="77777777" w:rsidR="00FC6222" w:rsidRPr="0058349C" w:rsidRDefault="00FC6222" w:rsidP="00830F27">
            <w:pPr>
              <w:pStyle w:val="Table1"/>
              <w:ind w:left="254" w:right="-458" w:hanging="254"/>
              <w:rPr>
                <w:rFonts w:ascii="Garamond" w:eastAsia="Calibri" w:hAnsi="Garamond"/>
                <w:sz w:val="18"/>
                <w:szCs w:val="20"/>
              </w:rPr>
            </w:pPr>
            <w:r w:rsidRPr="0058349C">
              <w:rPr>
                <w:rFonts w:ascii="Garamond" w:eastAsia="Calibri" w:hAnsi="Garamond"/>
                <w:sz w:val="18"/>
                <w:szCs w:val="20"/>
              </w:rPr>
              <w:t xml:space="preserve">2.7, </w:t>
            </w:r>
          </w:p>
        </w:tc>
        <w:tc>
          <w:tcPr>
            <w:tcW w:w="645" w:type="pct"/>
          </w:tcPr>
          <w:p w14:paraId="0773B15C"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Buxheti Kombëtar, Donatorët</w:t>
            </w:r>
          </w:p>
        </w:tc>
      </w:tr>
      <w:tr w:rsidR="00FC6222" w:rsidRPr="0058349C" w14:paraId="0773B166" w14:textId="77777777" w:rsidTr="00543FCB">
        <w:trPr>
          <w:gridAfter w:val="1"/>
          <w:wAfter w:w="4" w:type="pct"/>
          <w:trHeight w:val="20"/>
        </w:trPr>
        <w:tc>
          <w:tcPr>
            <w:tcW w:w="511" w:type="pct"/>
            <w:vMerge/>
          </w:tcPr>
          <w:p w14:paraId="0773B15E" w14:textId="77777777" w:rsidR="00FC6222" w:rsidRPr="0058349C" w:rsidRDefault="00FC6222" w:rsidP="00830F27">
            <w:pPr>
              <w:pStyle w:val="Table1"/>
              <w:rPr>
                <w:rFonts w:ascii="Garamond" w:hAnsi="Garamond"/>
                <w:sz w:val="18"/>
                <w:szCs w:val="20"/>
              </w:rPr>
            </w:pPr>
          </w:p>
        </w:tc>
        <w:tc>
          <w:tcPr>
            <w:tcW w:w="472" w:type="pct"/>
            <w:gridSpan w:val="2"/>
          </w:tcPr>
          <w:p w14:paraId="0773B15F"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 xml:space="preserve">Skemat ekologjike </w:t>
            </w:r>
          </w:p>
        </w:tc>
        <w:tc>
          <w:tcPr>
            <w:tcW w:w="2833" w:type="pct"/>
          </w:tcPr>
          <w:p w14:paraId="0773B160" w14:textId="5897BC1F" w:rsidR="00FC6222" w:rsidRPr="0058349C" w:rsidRDefault="00FC6222" w:rsidP="00FC6222">
            <w:pPr>
              <w:pStyle w:val="Table1"/>
              <w:numPr>
                <w:ilvl w:val="0"/>
                <w:numId w:val="18"/>
              </w:numPr>
              <w:ind w:left="254" w:hanging="254"/>
              <w:rPr>
                <w:rFonts w:ascii="Garamond" w:eastAsia="Calibri" w:hAnsi="Garamond"/>
                <w:sz w:val="18"/>
                <w:szCs w:val="20"/>
              </w:rPr>
            </w:pPr>
            <w:r w:rsidRPr="0058349C">
              <w:rPr>
                <w:rFonts w:ascii="Garamond" w:eastAsia="Calibri" w:hAnsi="Garamond"/>
                <w:sz w:val="18"/>
                <w:szCs w:val="20"/>
              </w:rPr>
              <w:t>Përfit</w:t>
            </w:r>
            <w:r w:rsidR="00A37EAA">
              <w:rPr>
                <w:rFonts w:ascii="Garamond" w:eastAsia="Calibri" w:hAnsi="Garamond"/>
                <w:sz w:val="18"/>
                <w:szCs w:val="20"/>
              </w:rPr>
              <w:t>ues janë fermerët burra dhe gra.</w:t>
            </w:r>
          </w:p>
          <w:p w14:paraId="0773B161" w14:textId="77777777" w:rsidR="00FC6222" w:rsidRPr="0058349C" w:rsidRDefault="00FC6222" w:rsidP="00FC6222">
            <w:pPr>
              <w:pStyle w:val="Table1"/>
              <w:numPr>
                <w:ilvl w:val="0"/>
                <w:numId w:val="18"/>
              </w:numPr>
              <w:ind w:left="254" w:hanging="254"/>
              <w:rPr>
                <w:rFonts w:ascii="Garamond" w:eastAsia="Calibri" w:hAnsi="Garamond"/>
                <w:sz w:val="18"/>
                <w:szCs w:val="20"/>
              </w:rPr>
            </w:pPr>
            <w:r w:rsidRPr="0058349C">
              <w:rPr>
                <w:rFonts w:ascii="Garamond" w:eastAsia="Calibri" w:hAnsi="Garamond"/>
                <w:sz w:val="18"/>
                <w:szCs w:val="20"/>
              </w:rPr>
              <w:t xml:space="preserve">Duhet të përgatiten dhe zbatohen skemat ekologjike pilot që synojnë mirëmbajtjen dhe përmirësimin e mjedisit dhe zbutjen dhe përshtatjen e ndryshimeve klimatike (siç lidhet me ndërgjegjësimin e AGJBP), duke rritur në këtë mënyrë kapacitetin institucional dhe ndërgjegjësimin. </w:t>
            </w:r>
          </w:p>
          <w:p w14:paraId="0773B162" w14:textId="77777777" w:rsidR="00FC6222" w:rsidRPr="0058349C" w:rsidRDefault="00FC6222" w:rsidP="00FC6222">
            <w:pPr>
              <w:pStyle w:val="Table1"/>
              <w:numPr>
                <w:ilvl w:val="0"/>
                <w:numId w:val="18"/>
              </w:numPr>
              <w:ind w:left="254" w:hanging="254"/>
              <w:rPr>
                <w:rFonts w:ascii="Garamond" w:eastAsia="Calibri" w:hAnsi="Garamond"/>
                <w:sz w:val="18"/>
                <w:szCs w:val="20"/>
              </w:rPr>
            </w:pPr>
            <w:r w:rsidRPr="0058349C">
              <w:rPr>
                <w:rFonts w:ascii="Garamond" w:eastAsia="Calibri" w:hAnsi="Garamond"/>
                <w:sz w:val="18"/>
                <w:szCs w:val="20"/>
              </w:rPr>
              <w:t>Pagesat duhet të bëhen çdo vit dhe të jenë të lidhura me mbështetje për investim në makineri të specializuara.</w:t>
            </w:r>
          </w:p>
          <w:p w14:paraId="0773B163" w14:textId="5018D6CA" w:rsidR="00FC6222" w:rsidRPr="0058349C" w:rsidRDefault="00FC6222" w:rsidP="00FC6222">
            <w:pPr>
              <w:pStyle w:val="Table1"/>
              <w:numPr>
                <w:ilvl w:val="0"/>
                <w:numId w:val="18"/>
              </w:numPr>
              <w:ind w:left="254" w:hanging="254"/>
              <w:rPr>
                <w:rFonts w:ascii="Garamond" w:eastAsia="Calibri" w:hAnsi="Garamond"/>
                <w:sz w:val="18"/>
                <w:szCs w:val="20"/>
              </w:rPr>
            </w:pPr>
            <w:r w:rsidRPr="0058349C">
              <w:rPr>
                <w:rFonts w:ascii="Garamond" w:eastAsia="Calibri" w:hAnsi="Garamond"/>
                <w:sz w:val="18"/>
                <w:szCs w:val="20"/>
              </w:rPr>
              <w:t>Në të ardhmen, skemat ekologjike (vullnetare) do të jenë</w:t>
            </w:r>
            <w:r w:rsidR="00CF7694" w:rsidRPr="0058349C">
              <w:rPr>
                <w:rFonts w:ascii="Garamond" w:eastAsia="Calibri" w:hAnsi="Garamond"/>
                <w:sz w:val="18"/>
                <w:szCs w:val="20"/>
              </w:rPr>
              <w:t xml:space="preserve"> </w:t>
            </w:r>
            <w:r w:rsidRPr="0058349C">
              <w:rPr>
                <w:rFonts w:ascii="Garamond" w:eastAsia="Calibri" w:hAnsi="Garamond"/>
                <w:sz w:val="18"/>
                <w:szCs w:val="20"/>
              </w:rPr>
              <w:t>pjesë e skemave</w:t>
            </w:r>
            <w:r w:rsidR="00CF7694" w:rsidRPr="0058349C">
              <w:rPr>
                <w:rFonts w:ascii="Garamond" w:eastAsia="Calibri" w:hAnsi="Garamond"/>
                <w:sz w:val="18"/>
                <w:szCs w:val="20"/>
              </w:rPr>
              <w:t xml:space="preserve"> </w:t>
            </w:r>
            <w:r w:rsidRPr="0058349C">
              <w:rPr>
                <w:rFonts w:ascii="Garamond" w:eastAsia="Calibri" w:hAnsi="Garamond"/>
                <w:sz w:val="18"/>
                <w:szCs w:val="20"/>
              </w:rPr>
              <w:t>të pagesave direkte (si në shtetet anëtare të BE-së)</w:t>
            </w:r>
            <w:r w:rsidR="00A37EAA">
              <w:rPr>
                <w:rFonts w:ascii="Garamond" w:eastAsia="Calibri" w:hAnsi="Garamond"/>
                <w:sz w:val="18"/>
                <w:szCs w:val="20"/>
              </w:rPr>
              <w:t>.</w:t>
            </w:r>
          </w:p>
        </w:tc>
        <w:tc>
          <w:tcPr>
            <w:tcW w:w="535" w:type="pct"/>
          </w:tcPr>
          <w:p w14:paraId="0773B164"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2.1, 2.2, 2.5, 2.6, 2.7</w:t>
            </w:r>
          </w:p>
        </w:tc>
        <w:tc>
          <w:tcPr>
            <w:tcW w:w="645" w:type="pct"/>
          </w:tcPr>
          <w:p w14:paraId="0773B165"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EU IPA III, Donatorët</w:t>
            </w:r>
          </w:p>
        </w:tc>
      </w:tr>
      <w:tr w:rsidR="00FC6222" w:rsidRPr="0058349C" w14:paraId="0773B16F" w14:textId="77777777" w:rsidTr="00543FCB">
        <w:trPr>
          <w:gridAfter w:val="1"/>
          <w:wAfter w:w="4" w:type="pct"/>
          <w:trHeight w:val="20"/>
        </w:trPr>
        <w:tc>
          <w:tcPr>
            <w:tcW w:w="983" w:type="pct"/>
            <w:gridSpan w:val="3"/>
          </w:tcPr>
          <w:p w14:paraId="0773B167"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12. Grandet për sistemet ushqimore lokale dhe zinxhirët e furnizimit të shkurtër</w:t>
            </w:r>
          </w:p>
        </w:tc>
        <w:tc>
          <w:tcPr>
            <w:tcW w:w="2833" w:type="pct"/>
          </w:tcPr>
          <w:p w14:paraId="0773B168" w14:textId="77777777" w:rsidR="00FC6222" w:rsidRPr="0058349C" w:rsidRDefault="00FC6222" w:rsidP="00FC6222">
            <w:pPr>
              <w:pStyle w:val="Table1"/>
              <w:numPr>
                <w:ilvl w:val="0"/>
                <w:numId w:val="18"/>
              </w:numPr>
              <w:ind w:left="248" w:hanging="248"/>
              <w:rPr>
                <w:rFonts w:ascii="Garamond" w:eastAsia="Calibri" w:hAnsi="Garamond"/>
                <w:sz w:val="18"/>
                <w:szCs w:val="20"/>
              </w:rPr>
            </w:pPr>
            <w:r w:rsidRPr="0058349C">
              <w:rPr>
                <w:rFonts w:ascii="Garamond" w:eastAsia="Calibri" w:hAnsi="Garamond"/>
                <w:sz w:val="18"/>
                <w:szCs w:val="20"/>
              </w:rPr>
              <w:t>Përfitues janë fermerë burra dhe gra, fermerë të vogël (marketing i drejtpërdrejtë) dhe prodhues të vegjël ushqimorë ruralë në zonat rurale;</w:t>
            </w:r>
          </w:p>
          <w:p w14:paraId="0773B169" w14:textId="77777777" w:rsidR="00FC6222" w:rsidRPr="0058349C" w:rsidRDefault="00FC6222" w:rsidP="00FC6222">
            <w:pPr>
              <w:pStyle w:val="Table1"/>
              <w:numPr>
                <w:ilvl w:val="0"/>
                <w:numId w:val="18"/>
              </w:numPr>
              <w:ind w:left="248" w:hanging="248"/>
              <w:rPr>
                <w:rFonts w:ascii="Garamond" w:eastAsia="Calibri" w:hAnsi="Garamond"/>
                <w:sz w:val="18"/>
                <w:szCs w:val="20"/>
              </w:rPr>
            </w:pPr>
            <w:r w:rsidRPr="0058349C">
              <w:rPr>
                <w:rFonts w:ascii="Garamond" w:eastAsia="Calibri" w:hAnsi="Garamond"/>
                <w:sz w:val="18"/>
                <w:szCs w:val="20"/>
              </w:rPr>
              <w:t>Prioritet për personat e regjistruar si prodhues të vegjël të ushqimit që përjashtohen nga rregullat HACCP, por që zbatojnë standardet minimale të higjienës dhe sigurisë ushqimore sipas praktikave të mira.</w:t>
            </w:r>
          </w:p>
          <w:p w14:paraId="0773B16A" w14:textId="77777777" w:rsidR="00FC6222" w:rsidRPr="0058349C" w:rsidRDefault="00FC6222" w:rsidP="00FC6222">
            <w:pPr>
              <w:pStyle w:val="Table1"/>
              <w:numPr>
                <w:ilvl w:val="0"/>
                <w:numId w:val="18"/>
              </w:numPr>
              <w:ind w:left="248" w:hanging="248"/>
              <w:rPr>
                <w:rFonts w:ascii="Garamond" w:eastAsia="Calibri" w:hAnsi="Garamond"/>
                <w:sz w:val="18"/>
                <w:szCs w:val="20"/>
              </w:rPr>
            </w:pPr>
            <w:r w:rsidRPr="0058349C">
              <w:rPr>
                <w:rFonts w:ascii="Garamond" w:eastAsia="Calibri" w:hAnsi="Garamond"/>
                <w:sz w:val="18"/>
                <w:szCs w:val="20"/>
              </w:rPr>
              <w:t>Investime në rinovimin dhe pajisjen e pikave të shitjes, objekteve të përpunimit për prodhimin artizanal të produkteve ushqimore (tradicionale) për shitje direkte.</w:t>
            </w:r>
          </w:p>
          <w:p w14:paraId="0773B16B" w14:textId="77777777" w:rsidR="00FC6222" w:rsidRPr="0058349C" w:rsidRDefault="00FC6222" w:rsidP="00FC6222">
            <w:pPr>
              <w:pStyle w:val="Table1"/>
              <w:numPr>
                <w:ilvl w:val="0"/>
                <w:numId w:val="18"/>
              </w:numPr>
              <w:ind w:left="248" w:hanging="248"/>
              <w:rPr>
                <w:rFonts w:ascii="Garamond" w:eastAsia="Calibri" w:hAnsi="Garamond"/>
                <w:sz w:val="18"/>
                <w:szCs w:val="20"/>
              </w:rPr>
            </w:pPr>
            <w:r w:rsidRPr="0058349C">
              <w:rPr>
                <w:rFonts w:ascii="Garamond" w:eastAsia="Calibri" w:hAnsi="Garamond"/>
                <w:sz w:val="18"/>
                <w:szCs w:val="20"/>
              </w:rPr>
              <w:t>Investimet në tregjet e kafshëve të gjalla.</w:t>
            </w:r>
          </w:p>
          <w:p w14:paraId="0773B16C" w14:textId="63F4E1F1" w:rsidR="00FC6222" w:rsidRPr="0058349C" w:rsidRDefault="00FC6222" w:rsidP="00FC6222">
            <w:pPr>
              <w:pStyle w:val="Table1"/>
              <w:numPr>
                <w:ilvl w:val="0"/>
                <w:numId w:val="18"/>
              </w:numPr>
              <w:ind w:left="248" w:hanging="248"/>
              <w:rPr>
                <w:rFonts w:ascii="Garamond" w:eastAsia="Calibri" w:hAnsi="Garamond"/>
                <w:sz w:val="18"/>
                <w:szCs w:val="20"/>
              </w:rPr>
            </w:pPr>
            <w:r w:rsidRPr="0058349C">
              <w:rPr>
                <w:rFonts w:ascii="Garamond" w:eastAsia="Calibri" w:hAnsi="Garamond"/>
                <w:sz w:val="18"/>
                <w:szCs w:val="20"/>
              </w:rPr>
              <w:t>Zhvillimi i koncepteve/masave të</w:t>
            </w:r>
            <w:r w:rsidR="00CF7694" w:rsidRPr="0058349C">
              <w:rPr>
                <w:rFonts w:ascii="Garamond" w:eastAsia="Calibri" w:hAnsi="Garamond"/>
                <w:sz w:val="18"/>
                <w:szCs w:val="20"/>
              </w:rPr>
              <w:t xml:space="preserve"> </w:t>
            </w:r>
            <w:r w:rsidRPr="0058349C">
              <w:rPr>
                <w:rFonts w:ascii="Garamond" w:eastAsia="Calibri" w:hAnsi="Garamond"/>
                <w:sz w:val="18"/>
                <w:szCs w:val="20"/>
              </w:rPr>
              <w:t>marketingut duke përfshirë edhe shitjen direkte</w:t>
            </w:r>
            <w:r w:rsidR="00A37EAA">
              <w:rPr>
                <w:rFonts w:ascii="Garamond" w:eastAsia="Calibri" w:hAnsi="Garamond"/>
                <w:sz w:val="18"/>
                <w:szCs w:val="20"/>
              </w:rPr>
              <w:t>.</w:t>
            </w:r>
          </w:p>
        </w:tc>
        <w:tc>
          <w:tcPr>
            <w:tcW w:w="535" w:type="pct"/>
          </w:tcPr>
          <w:p w14:paraId="0773B16D"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1.1, 3.1</w:t>
            </w:r>
          </w:p>
        </w:tc>
        <w:tc>
          <w:tcPr>
            <w:tcW w:w="645" w:type="pct"/>
          </w:tcPr>
          <w:p w14:paraId="0773B16E" w14:textId="36A62F7C"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EU IPARD III + Buxheti Kombëtar (</w:t>
            </w:r>
            <w:r w:rsidR="003E7483">
              <w:rPr>
                <w:rFonts w:ascii="Garamond" w:eastAsia="Calibri" w:hAnsi="Garamond"/>
                <w:sz w:val="18"/>
                <w:szCs w:val="20"/>
              </w:rPr>
              <w:t>bashkëfinancim</w:t>
            </w:r>
            <w:r w:rsidRPr="0058349C">
              <w:rPr>
                <w:rFonts w:ascii="Garamond" w:eastAsia="Calibri" w:hAnsi="Garamond"/>
                <w:sz w:val="18"/>
                <w:szCs w:val="20"/>
              </w:rPr>
              <w:t>), Donatorët</w:t>
            </w:r>
          </w:p>
        </w:tc>
      </w:tr>
      <w:tr w:rsidR="00FC6222" w:rsidRPr="0058349C" w14:paraId="0773B177" w14:textId="77777777" w:rsidTr="00543FCB">
        <w:trPr>
          <w:gridAfter w:val="1"/>
          <w:wAfter w:w="4" w:type="pct"/>
          <w:trHeight w:val="20"/>
        </w:trPr>
        <w:tc>
          <w:tcPr>
            <w:tcW w:w="983" w:type="pct"/>
            <w:gridSpan w:val="3"/>
          </w:tcPr>
          <w:p w14:paraId="0773B170"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 xml:space="preserve">13. Grande për bizneset rurale dhe bizneset fillestare </w:t>
            </w:r>
            <w:r w:rsidRPr="00BB27DF">
              <w:rPr>
                <w:rFonts w:ascii="Garamond" w:eastAsia="Calibri" w:hAnsi="Garamond"/>
                <w:b/>
                <w:bCs/>
                <w:i/>
                <w:iCs/>
                <w:sz w:val="18"/>
                <w:szCs w:val="20"/>
              </w:rPr>
              <w:t>(start_up)</w:t>
            </w:r>
          </w:p>
        </w:tc>
        <w:tc>
          <w:tcPr>
            <w:tcW w:w="2833" w:type="pct"/>
          </w:tcPr>
          <w:p w14:paraId="0773B171" w14:textId="77777777" w:rsidR="00FC6222" w:rsidRPr="0058349C" w:rsidRDefault="00FC6222" w:rsidP="00FC6222">
            <w:pPr>
              <w:pStyle w:val="ListParagraph"/>
              <w:numPr>
                <w:ilvl w:val="0"/>
                <w:numId w:val="18"/>
              </w:numPr>
              <w:overflowPunct w:val="0"/>
              <w:autoSpaceDE w:val="0"/>
              <w:autoSpaceDN w:val="0"/>
              <w:adjustRightInd w:val="0"/>
              <w:spacing w:after="0" w:line="240" w:lineRule="auto"/>
              <w:ind w:left="158" w:hanging="158"/>
              <w:textAlignment w:val="baseline"/>
              <w:rPr>
                <w:rFonts w:ascii="Garamond" w:eastAsia="Calibri" w:hAnsi="Garamond" w:cs="Arial"/>
                <w:sz w:val="18"/>
                <w:szCs w:val="20"/>
                <w:lang w:val="sq-AL"/>
              </w:rPr>
            </w:pPr>
            <w:r w:rsidRPr="0058349C">
              <w:rPr>
                <w:rFonts w:ascii="Garamond" w:eastAsia="Calibri" w:hAnsi="Garamond" w:cs="Arial"/>
                <w:sz w:val="18"/>
                <w:szCs w:val="20"/>
                <w:lang w:val="sq-AL"/>
              </w:rPr>
              <w:t>Përfitues janë ndërmarrjet rurale të regjistruara me aktivitet në zonën rurale.</w:t>
            </w:r>
          </w:p>
          <w:p w14:paraId="0773B172" w14:textId="448CBD3B" w:rsidR="00FC6222" w:rsidRPr="0058349C" w:rsidRDefault="00FC6222" w:rsidP="00FC6222">
            <w:pPr>
              <w:pStyle w:val="Table1"/>
              <w:numPr>
                <w:ilvl w:val="0"/>
                <w:numId w:val="18"/>
              </w:numPr>
              <w:ind w:left="158" w:hanging="158"/>
              <w:rPr>
                <w:rFonts w:ascii="Garamond" w:eastAsia="Calibri" w:hAnsi="Garamond"/>
                <w:sz w:val="18"/>
                <w:szCs w:val="20"/>
              </w:rPr>
            </w:pPr>
            <w:r w:rsidRPr="0058349C">
              <w:rPr>
                <w:rFonts w:ascii="Garamond" w:eastAsia="Calibri" w:hAnsi="Garamond"/>
                <w:sz w:val="18"/>
                <w:szCs w:val="20"/>
              </w:rPr>
              <w:t>Investimet në asetet fikse dhe masat e marketingut të bizneseve ekzistuese rurale ose bizneseve fillestare rurale (biznese fillestare -</w:t>
            </w:r>
            <w:r w:rsidR="00A37EAA">
              <w:rPr>
                <w:rFonts w:ascii="Garamond" w:eastAsia="Calibri" w:hAnsi="Garamond"/>
                <w:sz w:val="18"/>
                <w:szCs w:val="20"/>
              </w:rPr>
              <w:t xml:space="preserve"> </w:t>
            </w:r>
            <w:r w:rsidRPr="00A37EAA">
              <w:rPr>
                <w:rFonts w:ascii="Garamond" w:eastAsia="Calibri" w:hAnsi="Garamond"/>
                <w:i/>
                <w:iCs/>
                <w:sz w:val="18"/>
                <w:szCs w:val="20"/>
              </w:rPr>
              <w:t>start-ups</w:t>
            </w:r>
            <w:r w:rsidRPr="0058349C">
              <w:rPr>
                <w:rFonts w:ascii="Garamond" w:eastAsia="Calibri" w:hAnsi="Garamond"/>
                <w:sz w:val="18"/>
                <w:szCs w:val="20"/>
              </w:rPr>
              <w:t>, vetëm për të rinjtë deri në 40 vjeç dhe sipërmarrëset gra).</w:t>
            </w:r>
          </w:p>
          <w:p w14:paraId="692E06E9" w14:textId="77777777" w:rsidR="00E54A4E" w:rsidRDefault="00FC6222" w:rsidP="00E54A4E">
            <w:pPr>
              <w:pStyle w:val="Table1"/>
              <w:numPr>
                <w:ilvl w:val="0"/>
                <w:numId w:val="18"/>
              </w:numPr>
              <w:ind w:left="158" w:hanging="158"/>
              <w:rPr>
                <w:rFonts w:ascii="Garamond" w:eastAsia="Calibri" w:hAnsi="Garamond"/>
                <w:sz w:val="18"/>
                <w:szCs w:val="20"/>
              </w:rPr>
            </w:pPr>
            <w:r w:rsidRPr="0058349C">
              <w:rPr>
                <w:rFonts w:ascii="Garamond" w:eastAsia="Calibri" w:hAnsi="Garamond"/>
                <w:sz w:val="18"/>
                <w:szCs w:val="20"/>
              </w:rPr>
              <w:t xml:space="preserve">Prioritetet në sektorë: BAM, NTFP, produkte të bletarisë, produkte të akuakulturës, produkte bujqësore </w:t>
            </w:r>
            <w:r w:rsidRPr="0058349C">
              <w:rPr>
                <w:rFonts w:ascii="Garamond" w:eastAsia="Calibri" w:hAnsi="Garamond"/>
                <w:sz w:val="18"/>
                <w:szCs w:val="20"/>
              </w:rPr>
              <w:lastRenderedPageBreak/>
              <w:t>jotipike, aktivitete në sektorin e shërbimeve</w:t>
            </w:r>
            <w:r w:rsidR="00E54A4E">
              <w:rPr>
                <w:rFonts w:ascii="Garamond" w:eastAsia="Calibri" w:hAnsi="Garamond"/>
                <w:sz w:val="18"/>
                <w:szCs w:val="20"/>
              </w:rPr>
              <w:t>,</w:t>
            </w:r>
            <w:r w:rsidRPr="0058349C">
              <w:rPr>
                <w:rFonts w:ascii="Garamond" w:eastAsia="Calibri" w:hAnsi="Garamond"/>
                <w:sz w:val="18"/>
                <w:szCs w:val="20"/>
              </w:rPr>
              <w:t xml:space="preserve"> që janë të favorshme për sipërmarrësit e rinj dhe femra ose aktivitete të lidhura drejtpërdrejt me sektorin bujqësor ose të turizmit rural dhe zejtaria. </w:t>
            </w:r>
          </w:p>
          <w:p w14:paraId="0773B174" w14:textId="279A053C" w:rsidR="00FC6222" w:rsidRPr="00E54A4E" w:rsidRDefault="00FC6222" w:rsidP="00E54A4E">
            <w:pPr>
              <w:pStyle w:val="Table1"/>
              <w:numPr>
                <w:ilvl w:val="0"/>
                <w:numId w:val="18"/>
              </w:numPr>
              <w:ind w:left="158" w:hanging="158"/>
              <w:rPr>
                <w:rFonts w:ascii="Garamond" w:eastAsia="Calibri" w:hAnsi="Garamond"/>
                <w:sz w:val="18"/>
                <w:szCs w:val="20"/>
              </w:rPr>
            </w:pPr>
            <w:r w:rsidRPr="00E54A4E">
              <w:rPr>
                <w:rFonts w:ascii="Garamond" w:eastAsia="Calibri" w:hAnsi="Garamond"/>
                <w:sz w:val="18"/>
                <w:szCs w:val="20"/>
              </w:rPr>
              <w:t>Prioritet në intensitetin e ndihmës për zonat malore, krijimi i punësimit lokal</w:t>
            </w:r>
            <w:r w:rsidR="00223652">
              <w:rPr>
                <w:rFonts w:ascii="Garamond" w:eastAsia="Calibri" w:hAnsi="Garamond"/>
                <w:sz w:val="18"/>
                <w:szCs w:val="20"/>
              </w:rPr>
              <w:t>.</w:t>
            </w:r>
          </w:p>
        </w:tc>
        <w:tc>
          <w:tcPr>
            <w:tcW w:w="535" w:type="pct"/>
          </w:tcPr>
          <w:p w14:paraId="0773B175"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lastRenderedPageBreak/>
              <w:t>3.1, 3.3, 3.4</w:t>
            </w:r>
          </w:p>
        </w:tc>
        <w:tc>
          <w:tcPr>
            <w:tcW w:w="645" w:type="pct"/>
          </w:tcPr>
          <w:p w14:paraId="0773B176"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EU IPARD III + Fondet kombëtare (bashkëfinancim), Donatorët</w:t>
            </w:r>
          </w:p>
        </w:tc>
      </w:tr>
      <w:tr w:rsidR="00FC6222" w:rsidRPr="0058349C" w14:paraId="0773B17F" w14:textId="77777777" w:rsidTr="00543FCB">
        <w:trPr>
          <w:gridAfter w:val="1"/>
          <w:wAfter w:w="4" w:type="pct"/>
          <w:trHeight w:val="20"/>
        </w:trPr>
        <w:tc>
          <w:tcPr>
            <w:tcW w:w="983" w:type="pct"/>
            <w:gridSpan w:val="3"/>
          </w:tcPr>
          <w:p w14:paraId="0773B178"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lastRenderedPageBreak/>
              <w:t>14. Grand për turizmin rural</w:t>
            </w:r>
          </w:p>
        </w:tc>
        <w:tc>
          <w:tcPr>
            <w:tcW w:w="2833" w:type="pct"/>
          </w:tcPr>
          <w:p w14:paraId="0773B179" w14:textId="36C5DC19" w:rsidR="00FC6222" w:rsidRPr="0058349C" w:rsidRDefault="00FC6222" w:rsidP="00223652">
            <w:pPr>
              <w:pStyle w:val="ListParagraph"/>
              <w:numPr>
                <w:ilvl w:val="0"/>
                <w:numId w:val="18"/>
              </w:numPr>
              <w:overflowPunct w:val="0"/>
              <w:autoSpaceDE w:val="0"/>
              <w:autoSpaceDN w:val="0"/>
              <w:adjustRightInd w:val="0"/>
              <w:spacing w:after="0" w:line="240" w:lineRule="auto"/>
              <w:ind w:left="158" w:hanging="158"/>
              <w:textAlignment w:val="baseline"/>
              <w:rPr>
                <w:rFonts w:ascii="Garamond" w:eastAsia="Calibri" w:hAnsi="Garamond" w:cs="Arial"/>
                <w:sz w:val="18"/>
                <w:szCs w:val="20"/>
                <w:lang w:val="sq-AL"/>
              </w:rPr>
            </w:pPr>
            <w:r w:rsidRPr="0058349C">
              <w:rPr>
                <w:rFonts w:ascii="Garamond" w:eastAsia="Calibri" w:hAnsi="Garamond" w:cs="Arial"/>
                <w:sz w:val="18"/>
                <w:szCs w:val="20"/>
                <w:lang w:val="sq-AL"/>
              </w:rPr>
              <w:t>Përfituesit: Fermerët dhe popullsia rurale</w:t>
            </w:r>
            <w:r w:rsidR="00223652">
              <w:rPr>
                <w:rFonts w:ascii="Garamond" w:eastAsia="Calibri" w:hAnsi="Garamond" w:cs="Arial"/>
                <w:sz w:val="18"/>
                <w:szCs w:val="20"/>
                <w:lang w:val="sq-AL"/>
              </w:rPr>
              <w:t>.</w:t>
            </w:r>
          </w:p>
          <w:p w14:paraId="0773B17A" w14:textId="77777777" w:rsidR="00FC6222" w:rsidRPr="0058349C" w:rsidRDefault="00FC6222" w:rsidP="00FC6222">
            <w:pPr>
              <w:pStyle w:val="ListParagraph"/>
              <w:numPr>
                <w:ilvl w:val="0"/>
                <w:numId w:val="18"/>
              </w:numPr>
              <w:overflowPunct w:val="0"/>
              <w:autoSpaceDE w:val="0"/>
              <w:autoSpaceDN w:val="0"/>
              <w:adjustRightInd w:val="0"/>
              <w:spacing w:after="0" w:line="240" w:lineRule="auto"/>
              <w:ind w:left="158" w:hanging="158"/>
              <w:textAlignment w:val="baseline"/>
              <w:rPr>
                <w:rFonts w:ascii="Garamond" w:eastAsia="Calibri" w:hAnsi="Garamond" w:cs="Arial"/>
                <w:sz w:val="18"/>
                <w:szCs w:val="20"/>
                <w:lang w:val="sq-AL"/>
              </w:rPr>
            </w:pPr>
            <w:r w:rsidRPr="0058349C">
              <w:rPr>
                <w:rFonts w:ascii="Garamond" w:eastAsia="Calibri" w:hAnsi="Garamond" w:cs="Arial"/>
                <w:sz w:val="18"/>
                <w:szCs w:val="20"/>
                <w:lang w:val="sq-AL"/>
              </w:rPr>
              <w:t>Infrastruktura turistike në terren: rinovim i shtëpive të fermave dhe shtëpive në stilin arkitektonik tradicional për qëllime akomodimi, mobilim, pajisje profesionale për kuzhinë, pajisje sportive, rekreative dhe agroturistike, rrugë të brendshme dhe vende parkimi, mjedise të ujërave të zeza dhe mbetjeve.</w:t>
            </w:r>
          </w:p>
          <w:p w14:paraId="0773B17B" w14:textId="5F9975C9" w:rsidR="00FC6222" w:rsidRPr="0058349C" w:rsidRDefault="00FC6222" w:rsidP="00FC6222">
            <w:pPr>
              <w:pStyle w:val="ListParagraph"/>
              <w:numPr>
                <w:ilvl w:val="0"/>
                <w:numId w:val="18"/>
              </w:numPr>
              <w:overflowPunct w:val="0"/>
              <w:autoSpaceDE w:val="0"/>
              <w:autoSpaceDN w:val="0"/>
              <w:adjustRightInd w:val="0"/>
              <w:spacing w:after="0" w:line="240" w:lineRule="auto"/>
              <w:ind w:left="158" w:hanging="158"/>
              <w:textAlignment w:val="baseline"/>
              <w:rPr>
                <w:rFonts w:ascii="Garamond" w:eastAsia="Calibri" w:hAnsi="Garamond" w:cs="Arial"/>
                <w:sz w:val="18"/>
                <w:szCs w:val="20"/>
                <w:lang w:val="sq-AL"/>
              </w:rPr>
            </w:pPr>
            <w:r w:rsidRPr="0058349C">
              <w:rPr>
                <w:rFonts w:ascii="Garamond" w:eastAsia="Calibri" w:hAnsi="Garamond" w:cs="Arial"/>
                <w:sz w:val="18"/>
                <w:szCs w:val="20"/>
                <w:lang w:val="sq-AL"/>
              </w:rPr>
              <w:t>Kostot për marketingun e produktit</w:t>
            </w:r>
            <w:r w:rsidR="00223652">
              <w:rPr>
                <w:rFonts w:ascii="Garamond" w:eastAsia="Calibri" w:hAnsi="Garamond" w:cs="Arial"/>
                <w:sz w:val="18"/>
                <w:szCs w:val="20"/>
                <w:lang w:val="sq-AL"/>
              </w:rPr>
              <w:t>.</w:t>
            </w:r>
            <w:r w:rsidRPr="0058349C">
              <w:rPr>
                <w:rFonts w:ascii="Garamond" w:eastAsia="Calibri" w:hAnsi="Garamond" w:cs="Arial"/>
                <w:sz w:val="18"/>
                <w:szCs w:val="20"/>
                <w:lang w:val="sq-AL"/>
              </w:rPr>
              <w:t xml:space="preserve"> </w:t>
            </w:r>
          </w:p>
          <w:p w14:paraId="0773B17C" w14:textId="733B39A0" w:rsidR="00FC6222" w:rsidRPr="0058349C" w:rsidRDefault="00FC6222" w:rsidP="00223652">
            <w:pPr>
              <w:pStyle w:val="Table1"/>
              <w:numPr>
                <w:ilvl w:val="0"/>
                <w:numId w:val="18"/>
              </w:numPr>
              <w:ind w:left="158" w:hanging="158"/>
              <w:rPr>
                <w:rFonts w:ascii="Garamond" w:eastAsia="Calibri" w:hAnsi="Garamond"/>
                <w:sz w:val="18"/>
                <w:szCs w:val="20"/>
              </w:rPr>
            </w:pPr>
            <w:r w:rsidRPr="0058349C">
              <w:rPr>
                <w:rFonts w:ascii="Garamond" w:eastAsia="Calibri" w:hAnsi="Garamond"/>
                <w:sz w:val="18"/>
                <w:szCs w:val="20"/>
              </w:rPr>
              <w:t>Prioritetet e ndërhyrjes do të jenë për: a) zhv</w:t>
            </w:r>
            <w:r w:rsidR="00223652">
              <w:rPr>
                <w:rFonts w:ascii="Garamond" w:eastAsia="Calibri" w:hAnsi="Garamond"/>
                <w:sz w:val="18"/>
                <w:szCs w:val="20"/>
              </w:rPr>
              <w:t>illimin e agroturizmit në fermë;</w:t>
            </w:r>
            <w:r w:rsidRPr="0058349C">
              <w:rPr>
                <w:rFonts w:ascii="Garamond" w:eastAsia="Calibri" w:hAnsi="Garamond"/>
                <w:sz w:val="18"/>
                <w:szCs w:val="20"/>
              </w:rPr>
              <w:t xml:space="preserve"> b) fermerët/et e rinj</w:t>
            </w:r>
            <w:r w:rsidR="00223652">
              <w:rPr>
                <w:rFonts w:ascii="Garamond" w:eastAsia="Calibri" w:hAnsi="Garamond"/>
                <w:sz w:val="18"/>
                <w:szCs w:val="20"/>
              </w:rPr>
              <w:t>/reja;</w:t>
            </w:r>
            <w:r w:rsidRPr="0058349C">
              <w:rPr>
                <w:rFonts w:ascii="Garamond" w:eastAsia="Calibri" w:hAnsi="Garamond"/>
                <w:sz w:val="18"/>
                <w:szCs w:val="20"/>
              </w:rPr>
              <w:t xml:space="preserve"> c) sipërmarrësit/et e rinj</w:t>
            </w:r>
            <w:r w:rsidR="00223652">
              <w:rPr>
                <w:rFonts w:ascii="Garamond" w:eastAsia="Calibri" w:hAnsi="Garamond"/>
                <w:sz w:val="18"/>
                <w:szCs w:val="20"/>
              </w:rPr>
              <w:t>;</w:t>
            </w:r>
            <w:r w:rsidRPr="0058349C">
              <w:rPr>
                <w:rFonts w:ascii="Garamond" w:eastAsia="Calibri" w:hAnsi="Garamond"/>
                <w:sz w:val="18"/>
                <w:szCs w:val="20"/>
              </w:rPr>
              <w:t xml:space="preserve"> e) lidhjen me marketingun e drejtpërdrejtë në fermë</w:t>
            </w:r>
            <w:r w:rsidR="00223652">
              <w:rPr>
                <w:rFonts w:ascii="Garamond" w:eastAsia="Calibri" w:hAnsi="Garamond"/>
                <w:sz w:val="18"/>
                <w:szCs w:val="20"/>
              </w:rPr>
              <w:t>;</w:t>
            </w:r>
            <w:r w:rsidRPr="0058349C">
              <w:rPr>
                <w:rFonts w:ascii="Garamond" w:eastAsia="Calibri" w:hAnsi="Garamond"/>
                <w:sz w:val="18"/>
                <w:szCs w:val="20"/>
              </w:rPr>
              <w:t xml:space="preserve"> d) lidhjen me zhvillimin e integruar rural /iniciativat me bazë komuniteteti, që synojnë përmirësimin e infrastrukturës turistike lokale.</w:t>
            </w:r>
          </w:p>
        </w:tc>
        <w:tc>
          <w:tcPr>
            <w:tcW w:w="535" w:type="pct"/>
          </w:tcPr>
          <w:p w14:paraId="0773B17D"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3.2</w:t>
            </w:r>
          </w:p>
        </w:tc>
        <w:tc>
          <w:tcPr>
            <w:tcW w:w="645" w:type="pct"/>
          </w:tcPr>
          <w:p w14:paraId="0773B17E"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EU IPARD III + Fondet kombëtare (bashkëfinancim)</w:t>
            </w:r>
          </w:p>
        </w:tc>
      </w:tr>
      <w:tr w:rsidR="00FC6222" w:rsidRPr="0058349C" w14:paraId="0773B187" w14:textId="77777777" w:rsidTr="00543FCB">
        <w:trPr>
          <w:gridAfter w:val="1"/>
          <w:wAfter w:w="4" w:type="pct"/>
          <w:trHeight w:val="20"/>
        </w:trPr>
        <w:tc>
          <w:tcPr>
            <w:tcW w:w="983" w:type="pct"/>
            <w:gridSpan w:val="3"/>
          </w:tcPr>
          <w:p w14:paraId="0773B180"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15. Grandet për iniciativat e zhvillimit rural</w:t>
            </w:r>
          </w:p>
        </w:tc>
        <w:tc>
          <w:tcPr>
            <w:tcW w:w="2833" w:type="pct"/>
          </w:tcPr>
          <w:p w14:paraId="0773B181" w14:textId="77777777" w:rsidR="00FC6222" w:rsidRPr="0058349C" w:rsidRDefault="00FC6222" w:rsidP="00FC6222">
            <w:pPr>
              <w:pStyle w:val="ListParagraph"/>
              <w:numPr>
                <w:ilvl w:val="0"/>
                <w:numId w:val="18"/>
              </w:numPr>
              <w:overflowPunct w:val="0"/>
              <w:autoSpaceDE w:val="0"/>
              <w:autoSpaceDN w:val="0"/>
              <w:adjustRightInd w:val="0"/>
              <w:spacing w:after="0" w:line="240" w:lineRule="auto"/>
              <w:ind w:left="158" w:hanging="158"/>
              <w:textAlignment w:val="baseline"/>
              <w:rPr>
                <w:rFonts w:ascii="Garamond" w:eastAsia="Calibri" w:hAnsi="Garamond" w:cs="Arial"/>
                <w:sz w:val="18"/>
                <w:szCs w:val="20"/>
                <w:lang w:val="sq-AL"/>
              </w:rPr>
            </w:pPr>
            <w:r w:rsidRPr="0058349C">
              <w:rPr>
                <w:rFonts w:ascii="Garamond" w:eastAsia="Calibri" w:hAnsi="Garamond" w:cs="Arial"/>
                <w:sz w:val="18"/>
                <w:szCs w:val="20"/>
                <w:lang w:val="sq-AL"/>
              </w:rPr>
              <w:t>Përfituesit: komunitetet lokale, partneritetet lokale (sektori privat, civil, publik)</w:t>
            </w:r>
          </w:p>
          <w:p w14:paraId="0773B182" w14:textId="3CD2CDAA" w:rsidR="00FC6222" w:rsidRPr="0058349C" w:rsidRDefault="00FC6222" w:rsidP="00CB2DEE">
            <w:pPr>
              <w:pStyle w:val="ListParagraph"/>
              <w:numPr>
                <w:ilvl w:val="0"/>
                <w:numId w:val="18"/>
              </w:numPr>
              <w:overflowPunct w:val="0"/>
              <w:autoSpaceDE w:val="0"/>
              <w:autoSpaceDN w:val="0"/>
              <w:adjustRightInd w:val="0"/>
              <w:spacing w:after="0" w:line="240" w:lineRule="auto"/>
              <w:ind w:left="158" w:hanging="158"/>
              <w:textAlignment w:val="baseline"/>
              <w:rPr>
                <w:rFonts w:ascii="Garamond" w:eastAsia="Calibri" w:hAnsi="Garamond" w:cs="Arial"/>
                <w:sz w:val="18"/>
                <w:szCs w:val="20"/>
                <w:lang w:val="sq-AL"/>
              </w:rPr>
            </w:pPr>
            <w:r w:rsidRPr="0058349C">
              <w:rPr>
                <w:rFonts w:ascii="Garamond" w:eastAsia="Calibri" w:hAnsi="Garamond" w:cs="Arial"/>
                <w:sz w:val="18"/>
                <w:szCs w:val="20"/>
                <w:lang w:val="sq-AL"/>
              </w:rPr>
              <w:t>Zbatimi i SZHL</w:t>
            </w:r>
            <w:r w:rsidR="00CB2DEE">
              <w:rPr>
                <w:rFonts w:ascii="Garamond" w:eastAsia="Calibri" w:hAnsi="Garamond" w:cs="Arial"/>
                <w:sz w:val="18"/>
                <w:szCs w:val="20"/>
                <w:lang w:val="sq-AL"/>
              </w:rPr>
              <w:t>-së</w:t>
            </w:r>
            <w:r w:rsidRPr="0058349C">
              <w:rPr>
                <w:rFonts w:ascii="Garamond" w:eastAsia="Calibri" w:hAnsi="Garamond" w:cs="Arial"/>
                <w:sz w:val="18"/>
                <w:szCs w:val="20"/>
                <w:lang w:val="sq-AL"/>
              </w:rPr>
              <w:t xml:space="preserve"> përfshirë veprimet dhe investimet prioritare, duke forcuar kapacitetet financiaro-administrative, menaxhuese dhe komunikuese të koordinatorëve të GVV-ve aktuale dhe të ardhshme</w:t>
            </w:r>
          </w:p>
          <w:p w14:paraId="0773B183" w14:textId="7E28D67C" w:rsidR="00FC6222" w:rsidRPr="0058349C" w:rsidRDefault="00FC6222" w:rsidP="00FC6222">
            <w:pPr>
              <w:pStyle w:val="ListParagraph"/>
              <w:numPr>
                <w:ilvl w:val="0"/>
                <w:numId w:val="18"/>
              </w:numPr>
              <w:overflowPunct w:val="0"/>
              <w:autoSpaceDE w:val="0"/>
              <w:autoSpaceDN w:val="0"/>
              <w:adjustRightInd w:val="0"/>
              <w:spacing w:after="0" w:line="240" w:lineRule="auto"/>
              <w:ind w:left="158" w:hanging="158"/>
              <w:textAlignment w:val="baseline"/>
              <w:rPr>
                <w:rFonts w:ascii="Garamond" w:eastAsia="Calibri" w:hAnsi="Garamond" w:cs="Arial"/>
                <w:sz w:val="18"/>
                <w:szCs w:val="20"/>
                <w:lang w:val="sq-AL"/>
              </w:rPr>
            </w:pPr>
            <w:r w:rsidRPr="0058349C">
              <w:rPr>
                <w:rFonts w:ascii="Garamond" w:eastAsia="Calibri" w:hAnsi="Garamond" w:cs="Arial"/>
                <w:sz w:val="18"/>
                <w:szCs w:val="20"/>
                <w:lang w:val="sq-AL"/>
              </w:rPr>
              <w:t>Forcimi i kapaciteteve të rrjetëzimit ndërmjet GVV-ve</w:t>
            </w:r>
            <w:r w:rsidR="00CB2DEE">
              <w:rPr>
                <w:rFonts w:ascii="Garamond" w:eastAsia="Calibri" w:hAnsi="Garamond" w:cs="Arial"/>
                <w:sz w:val="18"/>
                <w:szCs w:val="20"/>
                <w:lang w:val="sq-AL"/>
              </w:rPr>
              <w:t>.</w:t>
            </w:r>
          </w:p>
          <w:p w14:paraId="0773B184" w14:textId="025FBFB9" w:rsidR="00FC6222" w:rsidRPr="0058349C" w:rsidRDefault="00FC6222" w:rsidP="00CB2DEE">
            <w:pPr>
              <w:pStyle w:val="Table1"/>
              <w:numPr>
                <w:ilvl w:val="0"/>
                <w:numId w:val="18"/>
              </w:numPr>
              <w:ind w:left="158" w:hanging="158"/>
              <w:rPr>
                <w:rFonts w:ascii="Garamond" w:eastAsia="Calibri" w:hAnsi="Garamond"/>
                <w:sz w:val="18"/>
                <w:szCs w:val="20"/>
              </w:rPr>
            </w:pPr>
            <w:r w:rsidRPr="0058349C">
              <w:rPr>
                <w:rFonts w:ascii="Garamond" w:eastAsia="Calibri" w:hAnsi="Garamond"/>
                <w:sz w:val="18"/>
                <w:szCs w:val="20"/>
              </w:rPr>
              <w:t>Ngritja e strukturave të Rrjetit Kombëtar Rural bazuar në kapacitetet sociale të aktorëv</w:t>
            </w:r>
            <w:r w:rsidR="00CB2DEE">
              <w:rPr>
                <w:rFonts w:ascii="Garamond" w:eastAsia="Calibri" w:hAnsi="Garamond"/>
                <w:sz w:val="18"/>
                <w:szCs w:val="20"/>
              </w:rPr>
              <w:t>.</w:t>
            </w:r>
          </w:p>
        </w:tc>
        <w:tc>
          <w:tcPr>
            <w:tcW w:w="535" w:type="pct"/>
          </w:tcPr>
          <w:p w14:paraId="0773B185"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3.6, 3.7</w:t>
            </w:r>
          </w:p>
        </w:tc>
        <w:tc>
          <w:tcPr>
            <w:tcW w:w="645" w:type="pct"/>
          </w:tcPr>
          <w:p w14:paraId="0773B186"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EU IPARD III + Fondet kombëtare (bashkëfinancim), Buxheti kombëtar (bashkiak), Donatorët</w:t>
            </w:r>
          </w:p>
        </w:tc>
      </w:tr>
      <w:tr w:rsidR="00FC6222" w:rsidRPr="0058349C" w14:paraId="0773B18F" w14:textId="77777777" w:rsidTr="00543FCB">
        <w:trPr>
          <w:gridAfter w:val="1"/>
          <w:wAfter w:w="4" w:type="pct"/>
          <w:trHeight w:val="20"/>
        </w:trPr>
        <w:tc>
          <w:tcPr>
            <w:tcW w:w="983" w:type="pct"/>
            <w:gridSpan w:val="3"/>
          </w:tcPr>
          <w:p w14:paraId="0773B188"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16. Grande dhe kredi për infrastrukturën publike rurale</w:t>
            </w:r>
          </w:p>
        </w:tc>
        <w:tc>
          <w:tcPr>
            <w:tcW w:w="2833" w:type="pct"/>
          </w:tcPr>
          <w:p w14:paraId="0773B189" w14:textId="2E4ADD2C" w:rsidR="00FC6222" w:rsidRPr="0058349C" w:rsidRDefault="00FC6222" w:rsidP="00FC6222">
            <w:pPr>
              <w:pStyle w:val="Table1"/>
              <w:numPr>
                <w:ilvl w:val="0"/>
                <w:numId w:val="18"/>
              </w:numPr>
              <w:ind w:left="158" w:hanging="158"/>
              <w:rPr>
                <w:rFonts w:ascii="Garamond" w:eastAsia="Calibri" w:hAnsi="Garamond"/>
                <w:sz w:val="18"/>
                <w:szCs w:val="20"/>
              </w:rPr>
            </w:pPr>
            <w:r w:rsidRPr="0058349C">
              <w:rPr>
                <w:rFonts w:ascii="Garamond" w:eastAsia="Calibri" w:hAnsi="Garamond"/>
                <w:sz w:val="18"/>
                <w:szCs w:val="20"/>
              </w:rPr>
              <w:t>Përfitues janë bashkitë</w:t>
            </w:r>
            <w:r w:rsidR="00CB2DEE">
              <w:rPr>
                <w:rFonts w:ascii="Garamond" w:eastAsia="Calibri" w:hAnsi="Garamond"/>
                <w:sz w:val="18"/>
                <w:szCs w:val="20"/>
              </w:rPr>
              <w:t>.</w:t>
            </w:r>
            <w:r w:rsidRPr="0058349C">
              <w:rPr>
                <w:rFonts w:ascii="Garamond" w:eastAsia="Calibri" w:hAnsi="Garamond"/>
                <w:sz w:val="18"/>
                <w:szCs w:val="20"/>
              </w:rPr>
              <w:t xml:space="preserve"> </w:t>
            </w:r>
          </w:p>
          <w:p w14:paraId="0773B18A" w14:textId="51F95B99" w:rsidR="00FC6222" w:rsidRPr="0058349C" w:rsidRDefault="00FC6222" w:rsidP="00FC6222">
            <w:pPr>
              <w:pStyle w:val="Table1"/>
              <w:numPr>
                <w:ilvl w:val="0"/>
                <w:numId w:val="18"/>
              </w:numPr>
              <w:ind w:left="158" w:hanging="158"/>
              <w:rPr>
                <w:rFonts w:ascii="Garamond" w:eastAsia="Calibri" w:hAnsi="Garamond"/>
                <w:sz w:val="18"/>
                <w:szCs w:val="20"/>
              </w:rPr>
            </w:pPr>
            <w:r w:rsidRPr="0058349C">
              <w:rPr>
                <w:rFonts w:ascii="Garamond" w:eastAsia="Calibri" w:hAnsi="Garamond"/>
                <w:sz w:val="18"/>
                <w:szCs w:val="20"/>
              </w:rPr>
              <w:t>Prioritet ka zhvillimi i ekonomisë, turizmit dhe cilësisë së jetës së popullatës rurale, sipas parimit të mbrojtjes së mjedi</w:t>
            </w:r>
            <w:r w:rsidR="00CB2DEE">
              <w:rPr>
                <w:rFonts w:ascii="Garamond" w:eastAsia="Calibri" w:hAnsi="Garamond"/>
                <w:sz w:val="18"/>
                <w:szCs w:val="20"/>
              </w:rPr>
              <w:t>sit</w:t>
            </w:r>
            <w:r w:rsidRPr="0058349C">
              <w:rPr>
                <w:rFonts w:ascii="Garamond" w:eastAsia="Calibri" w:hAnsi="Garamond"/>
                <w:sz w:val="18"/>
                <w:szCs w:val="20"/>
              </w:rPr>
              <w:t>.</w:t>
            </w:r>
          </w:p>
          <w:p w14:paraId="0773B18B" w14:textId="77777777" w:rsidR="00FC6222" w:rsidRPr="0058349C" w:rsidRDefault="00FC6222" w:rsidP="00FC6222">
            <w:pPr>
              <w:pStyle w:val="Table1"/>
              <w:numPr>
                <w:ilvl w:val="0"/>
                <w:numId w:val="18"/>
              </w:numPr>
              <w:ind w:left="158" w:hanging="158"/>
              <w:rPr>
                <w:rFonts w:ascii="Garamond" w:eastAsia="Calibri" w:hAnsi="Garamond"/>
                <w:sz w:val="18"/>
                <w:szCs w:val="20"/>
              </w:rPr>
            </w:pPr>
            <w:r w:rsidRPr="0058349C">
              <w:rPr>
                <w:rFonts w:ascii="Garamond" w:eastAsia="Calibri" w:hAnsi="Garamond"/>
                <w:sz w:val="18"/>
                <w:szCs w:val="20"/>
              </w:rPr>
              <w:t>Për rrugët rurale, rrugët pyjore me synim parandalimin e zjarreve në pyje, infrastrukturën për shëndetin, ujërat e zeza dhe grumbullimin e mbetjeve, bazuar në investimet dhe planet e menaxhimit të infrastrukturës lokale, instalimet FV për prodhimin e energjisë së rinovueshme në ndërtesat publike.</w:t>
            </w:r>
          </w:p>
          <w:p w14:paraId="0773B18C" w14:textId="663BDED0" w:rsidR="00FC6222" w:rsidRPr="0058349C" w:rsidRDefault="00FC6222" w:rsidP="00FC6222">
            <w:pPr>
              <w:pStyle w:val="Table1"/>
              <w:numPr>
                <w:ilvl w:val="0"/>
                <w:numId w:val="18"/>
              </w:numPr>
              <w:ind w:left="158" w:hanging="158"/>
              <w:rPr>
                <w:rFonts w:ascii="Garamond" w:eastAsia="Calibri" w:hAnsi="Garamond"/>
                <w:sz w:val="18"/>
                <w:szCs w:val="20"/>
              </w:rPr>
            </w:pPr>
            <w:r w:rsidRPr="0058349C">
              <w:rPr>
                <w:rFonts w:ascii="Garamond" w:eastAsia="Calibri" w:hAnsi="Garamond"/>
                <w:sz w:val="18"/>
                <w:szCs w:val="20"/>
              </w:rPr>
              <w:t>Infrastruktura publike turistike (pikat e informacionit, muzetë, tregjet lokale, festivalet dhe atraksione të tjera turistike)</w:t>
            </w:r>
            <w:r w:rsidR="00CB2DEE">
              <w:rPr>
                <w:rFonts w:ascii="Garamond" w:eastAsia="Calibri" w:hAnsi="Garamond"/>
                <w:sz w:val="18"/>
                <w:szCs w:val="20"/>
              </w:rPr>
              <w:t>.</w:t>
            </w:r>
          </w:p>
        </w:tc>
        <w:tc>
          <w:tcPr>
            <w:tcW w:w="535" w:type="pct"/>
          </w:tcPr>
          <w:p w14:paraId="0773B18D"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3.5</w:t>
            </w:r>
          </w:p>
        </w:tc>
        <w:tc>
          <w:tcPr>
            <w:tcW w:w="645" w:type="pct"/>
          </w:tcPr>
          <w:p w14:paraId="0773B18E"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EU IPARD III + Fondet kombëtare (bashkëfinancim), Donatorët (Ndihma financiare)</w:t>
            </w:r>
          </w:p>
        </w:tc>
      </w:tr>
      <w:tr w:rsidR="00FC6222" w:rsidRPr="0058349C" w14:paraId="0773B19A" w14:textId="77777777" w:rsidTr="00543FCB">
        <w:trPr>
          <w:gridAfter w:val="1"/>
          <w:wAfter w:w="4" w:type="pct"/>
          <w:trHeight w:val="20"/>
        </w:trPr>
        <w:tc>
          <w:tcPr>
            <w:tcW w:w="983" w:type="pct"/>
            <w:gridSpan w:val="3"/>
          </w:tcPr>
          <w:p w14:paraId="0773B190"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17. Grandet për pyllëzim</w:t>
            </w:r>
          </w:p>
        </w:tc>
        <w:tc>
          <w:tcPr>
            <w:tcW w:w="2833" w:type="pct"/>
          </w:tcPr>
          <w:p w14:paraId="0773B191" w14:textId="77777777" w:rsidR="00FC6222" w:rsidRPr="0058349C" w:rsidRDefault="00FC6222" w:rsidP="00FC6222">
            <w:pPr>
              <w:pStyle w:val="ListParagraph"/>
              <w:numPr>
                <w:ilvl w:val="0"/>
                <w:numId w:val="18"/>
              </w:numPr>
              <w:overflowPunct w:val="0"/>
              <w:autoSpaceDE w:val="0"/>
              <w:autoSpaceDN w:val="0"/>
              <w:adjustRightInd w:val="0"/>
              <w:spacing w:after="0" w:line="240" w:lineRule="auto"/>
              <w:ind w:left="217" w:right="-465" w:hanging="217"/>
              <w:textAlignment w:val="baseline"/>
              <w:rPr>
                <w:rFonts w:ascii="Garamond" w:eastAsia="Calibri" w:hAnsi="Garamond" w:cs="Arial"/>
                <w:sz w:val="18"/>
                <w:szCs w:val="20"/>
                <w:lang w:val="sq-AL"/>
              </w:rPr>
            </w:pPr>
            <w:r w:rsidRPr="0058349C">
              <w:rPr>
                <w:rFonts w:ascii="Garamond" w:eastAsia="Calibri" w:hAnsi="Garamond" w:cs="Arial"/>
                <w:sz w:val="18"/>
                <w:szCs w:val="20"/>
                <w:lang w:val="sq-AL"/>
              </w:rPr>
              <w:t xml:space="preserve">Përfitues janë personat fizikë ose juridikë që angazhohen për pyllëzim. </w:t>
            </w:r>
          </w:p>
          <w:p w14:paraId="0773B192" w14:textId="1D7FF76D" w:rsidR="00FC6222" w:rsidRPr="0058349C" w:rsidRDefault="00CB2DEE" w:rsidP="00FC6222">
            <w:pPr>
              <w:pStyle w:val="ListParagraph"/>
              <w:numPr>
                <w:ilvl w:val="0"/>
                <w:numId w:val="18"/>
              </w:numPr>
              <w:overflowPunct w:val="0"/>
              <w:autoSpaceDE w:val="0"/>
              <w:autoSpaceDN w:val="0"/>
              <w:adjustRightInd w:val="0"/>
              <w:spacing w:after="0" w:line="240" w:lineRule="auto"/>
              <w:ind w:left="217" w:right="153" w:hanging="217"/>
              <w:textAlignment w:val="baseline"/>
              <w:rPr>
                <w:rFonts w:ascii="Garamond" w:eastAsia="Calibri" w:hAnsi="Garamond" w:cs="Arial"/>
                <w:sz w:val="18"/>
                <w:szCs w:val="20"/>
                <w:lang w:val="sq-AL"/>
              </w:rPr>
            </w:pPr>
            <w:r>
              <w:rPr>
                <w:rFonts w:ascii="Garamond" w:eastAsia="Calibri" w:hAnsi="Garamond" w:cs="Arial"/>
                <w:sz w:val="18"/>
                <w:szCs w:val="20"/>
                <w:lang w:val="sq-AL"/>
              </w:rPr>
              <w:t>Toka bujqësore dhe jo</w:t>
            </w:r>
            <w:r w:rsidR="00FC6222" w:rsidRPr="0058349C">
              <w:rPr>
                <w:rFonts w:ascii="Garamond" w:eastAsia="Calibri" w:hAnsi="Garamond" w:cs="Arial"/>
                <w:sz w:val="18"/>
                <w:szCs w:val="20"/>
                <w:lang w:val="sq-AL"/>
              </w:rPr>
              <w:t>bujqësore duhet të jetë e lejueshme për pyllëzim.</w:t>
            </w:r>
          </w:p>
          <w:p w14:paraId="0773B193" w14:textId="4A5E0C83" w:rsidR="00FC6222" w:rsidRPr="0058349C" w:rsidRDefault="00FC6222" w:rsidP="00FC6222">
            <w:pPr>
              <w:pStyle w:val="ListParagraph"/>
              <w:numPr>
                <w:ilvl w:val="0"/>
                <w:numId w:val="18"/>
              </w:numPr>
              <w:overflowPunct w:val="0"/>
              <w:autoSpaceDE w:val="0"/>
              <w:autoSpaceDN w:val="0"/>
              <w:adjustRightInd w:val="0"/>
              <w:spacing w:after="0" w:line="240" w:lineRule="auto"/>
              <w:ind w:left="217" w:right="243" w:hanging="217"/>
              <w:textAlignment w:val="baseline"/>
              <w:rPr>
                <w:rFonts w:ascii="Garamond" w:eastAsia="Calibri" w:hAnsi="Garamond" w:cs="Arial"/>
                <w:sz w:val="18"/>
                <w:szCs w:val="20"/>
                <w:lang w:val="sq-AL"/>
              </w:rPr>
            </w:pPr>
            <w:r w:rsidRPr="0058349C">
              <w:rPr>
                <w:rFonts w:ascii="Garamond" w:eastAsia="Calibri" w:hAnsi="Garamond" w:cs="Arial"/>
                <w:sz w:val="18"/>
                <w:szCs w:val="20"/>
                <w:lang w:val="sq-AL"/>
              </w:rPr>
              <w:t>Kërkesat e thjeshtuara të KMBM-ve duhet të përcaktohen dhe zbato</w:t>
            </w:r>
            <w:r w:rsidR="00CB2DEE">
              <w:rPr>
                <w:rFonts w:ascii="Garamond" w:eastAsia="Calibri" w:hAnsi="Garamond" w:cs="Arial"/>
                <w:sz w:val="18"/>
                <w:szCs w:val="20"/>
                <w:lang w:val="sq-AL"/>
              </w:rPr>
              <w:t>hen si pjesë e standardeve bazë</w:t>
            </w:r>
            <w:r w:rsidR="00797859">
              <w:rPr>
                <w:rFonts w:ascii="Garamond" w:eastAsia="Calibri" w:hAnsi="Garamond" w:cs="Arial"/>
                <w:sz w:val="18"/>
                <w:szCs w:val="20"/>
                <w:lang w:val="sq-AL"/>
              </w:rPr>
              <w:t>/</w:t>
            </w:r>
            <w:r w:rsidR="00CB2DEE">
              <w:rPr>
                <w:rFonts w:ascii="Garamond" w:eastAsia="Calibri" w:hAnsi="Garamond" w:cs="Arial"/>
                <w:sz w:val="18"/>
                <w:szCs w:val="20"/>
                <w:lang w:val="sq-AL"/>
              </w:rPr>
              <w:t xml:space="preserve"> </w:t>
            </w:r>
            <w:r w:rsidRPr="0058349C">
              <w:rPr>
                <w:rFonts w:ascii="Garamond" w:eastAsia="Calibri" w:hAnsi="Garamond" w:cs="Arial"/>
                <w:sz w:val="18"/>
                <w:szCs w:val="20"/>
                <w:lang w:val="sq-AL"/>
              </w:rPr>
              <w:t>minimale të detyrueshme për pjesën tjetër të tokës bujqësore të përdorur nga përfituesi.</w:t>
            </w:r>
          </w:p>
          <w:p w14:paraId="0773B194" w14:textId="77777777" w:rsidR="00FC6222" w:rsidRPr="0058349C" w:rsidRDefault="00FC6222" w:rsidP="00FC6222">
            <w:pPr>
              <w:pStyle w:val="ListParagraph"/>
              <w:numPr>
                <w:ilvl w:val="0"/>
                <w:numId w:val="18"/>
              </w:numPr>
              <w:overflowPunct w:val="0"/>
              <w:autoSpaceDE w:val="0"/>
              <w:autoSpaceDN w:val="0"/>
              <w:adjustRightInd w:val="0"/>
              <w:spacing w:after="0" w:line="240" w:lineRule="auto"/>
              <w:ind w:left="217" w:right="-465" w:hanging="217"/>
              <w:textAlignment w:val="baseline"/>
              <w:rPr>
                <w:rFonts w:ascii="Garamond" w:eastAsia="Calibri" w:hAnsi="Garamond" w:cs="Arial"/>
                <w:sz w:val="18"/>
                <w:szCs w:val="20"/>
                <w:lang w:val="sq-AL"/>
              </w:rPr>
            </w:pPr>
            <w:r w:rsidRPr="0058349C">
              <w:rPr>
                <w:rFonts w:ascii="Garamond" w:eastAsia="Calibri" w:hAnsi="Garamond" w:cs="Arial"/>
                <w:sz w:val="18"/>
                <w:szCs w:val="20"/>
                <w:lang w:val="sq-AL"/>
              </w:rPr>
              <w:t>Pyllëzimi i tokës që rrezikohet nga erozioni dhe tokave të abandonuara duhet të jetë prioritet.</w:t>
            </w:r>
          </w:p>
          <w:p w14:paraId="0773B196" w14:textId="1512CA18" w:rsidR="00FC6222" w:rsidRPr="0058349C" w:rsidRDefault="00FC6222" w:rsidP="00CB2DEE">
            <w:pPr>
              <w:pStyle w:val="ListParagraph"/>
              <w:numPr>
                <w:ilvl w:val="0"/>
                <w:numId w:val="18"/>
              </w:numPr>
              <w:overflowPunct w:val="0"/>
              <w:autoSpaceDE w:val="0"/>
              <w:autoSpaceDN w:val="0"/>
              <w:adjustRightInd w:val="0"/>
              <w:spacing w:after="0" w:line="240" w:lineRule="auto"/>
              <w:ind w:left="217" w:right="-27" w:hanging="217"/>
              <w:textAlignment w:val="baseline"/>
              <w:rPr>
                <w:rFonts w:ascii="Garamond" w:eastAsia="Calibri" w:hAnsi="Garamond"/>
                <w:sz w:val="18"/>
                <w:szCs w:val="20"/>
              </w:rPr>
            </w:pPr>
            <w:r w:rsidRPr="0058349C">
              <w:rPr>
                <w:rFonts w:ascii="Garamond" w:eastAsia="Calibri" w:hAnsi="Garamond" w:cs="Arial"/>
                <w:sz w:val="18"/>
                <w:szCs w:val="20"/>
                <w:lang w:val="sq-AL"/>
              </w:rPr>
              <w:t>Përfitohet mbështetje për përgatitjen e dokumentacionit teknik, kostot e mbjelljes dhe mirëmbajtjes.</w:t>
            </w:r>
          </w:p>
        </w:tc>
        <w:tc>
          <w:tcPr>
            <w:tcW w:w="535" w:type="pct"/>
          </w:tcPr>
          <w:p w14:paraId="0773B197" w14:textId="77777777" w:rsidR="00FC6222" w:rsidRPr="0058349C" w:rsidRDefault="00FC6222" w:rsidP="00830F27">
            <w:pPr>
              <w:pStyle w:val="Table1"/>
              <w:ind w:right="-465"/>
              <w:rPr>
                <w:rFonts w:ascii="Garamond" w:eastAsia="Calibri" w:hAnsi="Garamond"/>
                <w:sz w:val="18"/>
                <w:szCs w:val="20"/>
              </w:rPr>
            </w:pPr>
            <w:r w:rsidRPr="0058349C">
              <w:rPr>
                <w:rFonts w:ascii="Garamond" w:eastAsia="Calibri" w:hAnsi="Garamond"/>
                <w:sz w:val="18"/>
                <w:szCs w:val="20"/>
              </w:rPr>
              <w:t xml:space="preserve">2.1, 2.5, 2.10, </w:t>
            </w:r>
          </w:p>
          <w:p w14:paraId="0773B198" w14:textId="77777777" w:rsidR="00FC6222" w:rsidRPr="0058349C" w:rsidRDefault="00FC6222" w:rsidP="00830F27">
            <w:pPr>
              <w:pStyle w:val="Table1"/>
              <w:ind w:right="-465"/>
              <w:rPr>
                <w:rFonts w:ascii="Garamond" w:eastAsia="Calibri" w:hAnsi="Garamond"/>
                <w:sz w:val="18"/>
                <w:szCs w:val="20"/>
              </w:rPr>
            </w:pPr>
            <w:r w:rsidRPr="0058349C">
              <w:rPr>
                <w:rFonts w:ascii="Garamond" w:eastAsia="Calibri" w:hAnsi="Garamond"/>
                <w:sz w:val="18"/>
                <w:szCs w:val="20"/>
              </w:rPr>
              <w:t>3.4</w:t>
            </w:r>
          </w:p>
        </w:tc>
        <w:tc>
          <w:tcPr>
            <w:tcW w:w="645" w:type="pct"/>
          </w:tcPr>
          <w:p w14:paraId="0773B199"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EU IPARD III, Fondet kombëtare (bashkëfinancim)</w:t>
            </w:r>
          </w:p>
        </w:tc>
      </w:tr>
      <w:tr w:rsidR="00FC6222" w:rsidRPr="0058349C" w14:paraId="0773B1A6" w14:textId="77777777" w:rsidTr="00CB2DEE">
        <w:trPr>
          <w:gridAfter w:val="1"/>
          <w:wAfter w:w="4" w:type="pct"/>
          <w:trHeight w:val="20"/>
        </w:trPr>
        <w:tc>
          <w:tcPr>
            <w:tcW w:w="586" w:type="pct"/>
            <w:gridSpan w:val="2"/>
            <w:vMerge w:val="restart"/>
          </w:tcPr>
          <w:p w14:paraId="0773B19B"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18. Instrumentet financiare</w:t>
            </w:r>
          </w:p>
        </w:tc>
        <w:tc>
          <w:tcPr>
            <w:tcW w:w="397" w:type="pct"/>
          </w:tcPr>
          <w:p w14:paraId="0773B19C"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Skemat e garancisë</w:t>
            </w:r>
          </w:p>
        </w:tc>
        <w:tc>
          <w:tcPr>
            <w:tcW w:w="2833" w:type="pct"/>
          </w:tcPr>
          <w:p w14:paraId="0773B19D" w14:textId="77777777" w:rsidR="00FC6222" w:rsidRPr="0058349C" w:rsidRDefault="00FC6222" w:rsidP="00CB2DEE">
            <w:pPr>
              <w:pStyle w:val="ListParagraph"/>
              <w:numPr>
                <w:ilvl w:val="0"/>
                <w:numId w:val="18"/>
              </w:numPr>
              <w:overflowPunct w:val="0"/>
              <w:autoSpaceDE w:val="0"/>
              <w:autoSpaceDN w:val="0"/>
              <w:adjustRightInd w:val="0"/>
              <w:spacing w:after="0" w:line="240" w:lineRule="auto"/>
              <w:ind w:left="217" w:right="-117" w:hanging="217"/>
              <w:textAlignment w:val="baseline"/>
              <w:rPr>
                <w:rFonts w:ascii="Garamond" w:eastAsia="Calibri" w:hAnsi="Garamond" w:cs="Arial"/>
                <w:sz w:val="18"/>
                <w:szCs w:val="20"/>
                <w:lang w:val="sq-AL"/>
              </w:rPr>
            </w:pPr>
            <w:r w:rsidRPr="0058349C">
              <w:rPr>
                <w:rFonts w:ascii="Garamond" w:eastAsia="Calibri" w:hAnsi="Garamond" w:cs="Arial"/>
                <w:sz w:val="18"/>
                <w:szCs w:val="20"/>
                <w:lang w:val="sq-AL"/>
              </w:rPr>
              <w:t>Përfshihen përfituesit nga IPARD III, fermerë të tjerë dhe sipërmarrës ruralë.</w:t>
            </w:r>
          </w:p>
          <w:p w14:paraId="0773B19E" w14:textId="77777777" w:rsidR="00FC6222" w:rsidRPr="0058349C" w:rsidRDefault="00FC6222" w:rsidP="00CB2DEE">
            <w:pPr>
              <w:pStyle w:val="ListParagraph"/>
              <w:numPr>
                <w:ilvl w:val="0"/>
                <w:numId w:val="18"/>
              </w:numPr>
              <w:overflowPunct w:val="0"/>
              <w:autoSpaceDE w:val="0"/>
              <w:autoSpaceDN w:val="0"/>
              <w:adjustRightInd w:val="0"/>
              <w:spacing w:after="0" w:line="240" w:lineRule="auto"/>
              <w:ind w:left="217" w:right="-117" w:hanging="217"/>
              <w:textAlignment w:val="baseline"/>
              <w:rPr>
                <w:rFonts w:ascii="Garamond" w:eastAsia="Calibri" w:hAnsi="Garamond" w:cs="Arial"/>
                <w:sz w:val="18"/>
                <w:szCs w:val="20"/>
                <w:lang w:val="sq-AL"/>
              </w:rPr>
            </w:pPr>
            <w:r w:rsidRPr="0058349C">
              <w:rPr>
                <w:rFonts w:ascii="Garamond" w:eastAsia="Calibri" w:hAnsi="Garamond" w:cs="Arial"/>
                <w:sz w:val="18"/>
                <w:szCs w:val="20"/>
                <w:lang w:val="sq-AL"/>
              </w:rPr>
              <w:t>Nd</w:t>
            </w:r>
            <w:r w:rsidRPr="0058349C">
              <w:rPr>
                <w:rFonts w:ascii="Garamond" w:eastAsia="Calibri" w:hAnsi="Garamond"/>
                <w:sz w:val="18"/>
                <w:szCs w:val="20"/>
                <w:lang w:val="sq-AL"/>
              </w:rPr>
              <w:t>ërmjetës dhe p</w:t>
            </w:r>
            <w:r w:rsidRPr="0058349C">
              <w:rPr>
                <w:rFonts w:ascii="Garamond" w:eastAsia="Calibri" w:hAnsi="Garamond" w:cs="Arial"/>
                <w:sz w:val="18"/>
                <w:szCs w:val="20"/>
                <w:lang w:val="sq-AL"/>
              </w:rPr>
              <w:t>ërfitues direkt janë institucionet financiare të përzgjedhura për menaxhimin e fondit t</w:t>
            </w:r>
            <w:r w:rsidRPr="0058349C">
              <w:rPr>
                <w:rFonts w:ascii="Garamond" w:eastAsia="Calibri" w:hAnsi="Garamond"/>
                <w:sz w:val="18"/>
                <w:szCs w:val="20"/>
                <w:lang w:val="sq-AL"/>
              </w:rPr>
              <w:t>ë garancisë</w:t>
            </w:r>
            <w:r w:rsidRPr="0058349C">
              <w:rPr>
                <w:rFonts w:ascii="Garamond" w:eastAsia="Calibri" w:hAnsi="Garamond" w:cs="Arial"/>
                <w:sz w:val="18"/>
                <w:szCs w:val="20"/>
                <w:lang w:val="sq-AL"/>
              </w:rPr>
              <w:t>.</w:t>
            </w:r>
          </w:p>
          <w:p w14:paraId="0773B19F" w14:textId="77777777" w:rsidR="00FC6222" w:rsidRPr="0058349C" w:rsidRDefault="00FC6222" w:rsidP="00CB2DEE">
            <w:pPr>
              <w:pStyle w:val="ListParagraph"/>
              <w:numPr>
                <w:ilvl w:val="0"/>
                <w:numId w:val="18"/>
              </w:numPr>
              <w:overflowPunct w:val="0"/>
              <w:autoSpaceDE w:val="0"/>
              <w:autoSpaceDN w:val="0"/>
              <w:adjustRightInd w:val="0"/>
              <w:spacing w:after="0" w:line="240" w:lineRule="auto"/>
              <w:ind w:left="217" w:right="-117" w:hanging="217"/>
              <w:textAlignment w:val="baseline"/>
              <w:rPr>
                <w:rFonts w:ascii="Garamond" w:eastAsia="Calibri" w:hAnsi="Garamond" w:cs="Arial"/>
                <w:sz w:val="18"/>
                <w:szCs w:val="20"/>
                <w:lang w:val="sq-AL"/>
              </w:rPr>
            </w:pPr>
            <w:r w:rsidRPr="0058349C">
              <w:rPr>
                <w:rFonts w:ascii="Garamond" w:eastAsia="Calibri" w:hAnsi="Garamond" w:cs="Arial"/>
                <w:sz w:val="18"/>
                <w:szCs w:val="20"/>
                <w:lang w:val="sq-AL"/>
              </w:rPr>
              <w:t>Garancia duhet të synojë paradhëniet për fondet e mbështetjes dhe kreditë rurale në përputhje me këtë strategji.</w:t>
            </w:r>
          </w:p>
          <w:p w14:paraId="0773B1A0" w14:textId="77777777" w:rsidR="00FC6222" w:rsidRPr="0058349C" w:rsidRDefault="00FC6222" w:rsidP="00CB2DEE">
            <w:pPr>
              <w:pStyle w:val="ListParagraph"/>
              <w:numPr>
                <w:ilvl w:val="0"/>
                <w:numId w:val="18"/>
              </w:numPr>
              <w:overflowPunct w:val="0"/>
              <w:autoSpaceDE w:val="0"/>
              <w:autoSpaceDN w:val="0"/>
              <w:adjustRightInd w:val="0"/>
              <w:spacing w:after="0" w:line="240" w:lineRule="auto"/>
              <w:ind w:left="217" w:right="-465" w:hanging="217"/>
              <w:textAlignment w:val="baseline"/>
              <w:rPr>
                <w:rFonts w:ascii="Garamond" w:eastAsia="Calibri" w:hAnsi="Garamond" w:cs="Arial"/>
                <w:sz w:val="18"/>
                <w:szCs w:val="20"/>
                <w:lang w:val="sq-AL"/>
              </w:rPr>
            </w:pPr>
            <w:r w:rsidRPr="0058349C">
              <w:rPr>
                <w:rFonts w:ascii="Garamond" w:eastAsia="Calibri" w:hAnsi="Garamond" w:cs="Arial"/>
                <w:sz w:val="18"/>
                <w:szCs w:val="20"/>
                <w:lang w:val="sq-AL"/>
              </w:rPr>
              <w:t>Garancitë duhet të çojnë në ulje të nivelit të kolateraleve dhe rritje të vëllimit të kredive rurale.</w:t>
            </w:r>
          </w:p>
          <w:p w14:paraId="0773B1A1" w14:textId="77777777" w:rsidR="00FC6222" w:rsidRPr="0058349C" w:rsidRDefault="00FC6222" w:rsidP="00CB2DEE">
            <w:pPr>
              <w:pStyle w:val="Table1"/>
              <w:numPr>
                <w:ilvl w:val="0"/>
                <w:numId w:val="18"/>
              </w:numPr>
              <w:ind w:left="217" w:right="-465" w:hanging="217"/>
              <w:rPr>
                <w:rFonts w:ascii="Garamond" w:eastAsia="Calibri" w:hAnsi="Garamond"/>
                <w:sz w:val="18"/>
                <w:szCs w:val="20"/>
              </w:rPr>
            </w:pPr>
            <w:r w:rsidRPr="0058349C">
              <w:rPr>
                <w:rFonts w:ascii="Garamond" w:eastAsia="Calibri" w:hAnsi="Garamond"/>
                <w:sz w:val="18"/>
                <w:szCs w:val="20"/>
              </w:rPr>
              <w:t>Kostot për garancitë duhet të mbulojnë rrezikun; garancitë duhet të jenë të ri përdorshme.</w:t>
            </w:r>
          </w:p>
        </w:tc>
        <w:tc>
          <w:tcPr>
            <w:tcW w:w="535" w:type="pct"/>
            <w:vMerge w:val="restart"/>
          </w:tcPr>
          <w:p w14:paraId="0773B1A2" w14:textId="77777777" w:rsidR="00FC6222" w:rsidRPr="0058349C" w:rsidRDefault="00FC6222" w:rsidP="00830F27">
            <w:pPr>
              <w:pStyle w:val="Table1"/>
              <w:ind w:left="-16" w:right="-465" w:firstLine="16"/>
              <w:rPr>
                <w:rFonts w:ascii="Garamond" w:eastAsia="Calibri" w:hAnsi="Garamond"/>
                <w:sz w:val="18"/>
                <w:szCs w:val="20"/>
              </w:rPr>
            </w:pPr>
            <w:r w:rsidRPr="0058349C">
              <w:rPr>
                <w:rFonts w:ascii="Garamond" w:eastAsia="Calibri" w:hAnsi="Garamond"/>
                <w:sz w:val="18"/>
                <w:szCs w:val="20"/>
              </w:rPr>
              <w:t xml:space="preserve">1.4, 1.5, 1.6, 1.8, 1.9,1.10, 1.11, </w:t>
            </w:r>
          </w:p>
          <w:p w14:paraId="0773B1A3" w14:textId="77777777" w:rsidR="00FC6222" w:rsidRPr="0058349C" w:rsidRDefault="00FC6222" w:rsidP="00830F27">
            <w:pPr>
              <w:pStyle w:val="Table1"/>
              <w:ind w:left="-16" w:right="-465" w:firstLine="16"/>
              <w:rPr>
                <w:rFonts w:ascii="Garamond" w:eastAsia="Calibri" w:hAnsi="Garamond"/>
                <w:sz w:val="18"/>
                <w:szCs w:val="20"/>
              </w:rPr>
            </w:pPr>
            <w:r w:rsidRPr="0058349C">
              <w:rPr>
                <w:rFonts w:ascii="Garamond" w:eastAsia="Calibri" w:hAnsi="Garamond"/>
                <w:sz w:val="18"/>
                <w:szCs w:val="20"/>
              </w:rPr>
              <w:t xml:space="preserve">2.1, 2.3, 3.1, </w:t>
            </w:r>
          </w:p>
          <w:p w14:paraId="0773B1A4" w14:textId="77777777" w:rsidR="00FC6222" w:rsidRPr="0058349C" w:rsidRDefault="00FC6222" w:rsidP="00830F27">
            <w:pPr>
              <w:pStyle w:val="Table1"/>
              <w:ind w:left="-16" w:right="-465" w:firstLine="16"/>
              <w:rPr>
                <w:rFonts w:ascii="Garamond" w:eastAsia="Calibri" w:hAnsi="Garamond"/>
                <w:sz w:val="18"/>
                <w:szCs w:val="20"/>
              </w:rPr>
            </w:pPr>
            <w:r w:rsidRPr="0058349C">
              <w:rPr>
                <w:rFonts w:ascii="Garamond" w:eastAsia="Calibri" w:hAnsi="Garamond"/>
                <w:sz w:val="18"/>
                <w:szCs w:val="20"/>
              </w:rPr>
              <w:t>3.2, 3.3</w:t>
            </w:r>
          </w:p>
        </w:tc>
        <w:tc>
          <w:tcPr>
            <w:tcW w:w="645" w:type="pct"/>
            <w:vMerge w:val="restart"/>
          </w:tcPr>
          <w:p w14:paraId="0773B1A5" w14:textId="47A90F54"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Fondet e BE-së + Buxheti Kombëtar (</w:t>
            </w:r>
            <w:r w:rsidR="003E7483">
              <w:rPr>
                <w:rFonts w:ascii="Garamond" w:eastAsia="Calibri" w:hAnsi="Garamond"/>
                <w:sz w:val="18"/>
                <w:szCs w:val="20"/>
              </w:rPr>
              <w:t>bashkëfinancim</w:t>
            </w:r>
            <w:r w:rsidRPr="0058349C">
              <w:rPr>
                <w:rFonts w:ascii="Garamond" w:eastAsia="Calibri" w:hAnsi="Garamond"/>
                <w:sz w:val="18"/>
                <w:szCs w:val="20"/>
              </w:rPr>
              <w:t>), Buxheti Kombëtar</w:t>
            </w:r>
          </w:p>
        </w:tc>
      </w:tr>
      <w:tr w:rsidR="00FC6222" w:rsidRPr="0058349C" w14:paraId="0773B1AF" w14:textId="77777777" w:rsidTr="00543FCB">
        <w:trPr>
          <w:gridAfter w:val="1"/>
          <w:wAfter w:w="4" w:type="pct"/>
          <w:trHeight w:val="20"/>
        </w:trPr>
        <w:tc>
          <w:tcPr>
            <w:tcW w:w="586" w:type="pct"/>
            <w:gridSpan w:val="2"/>
            <w:vMerge/>
            <w:vAlign w:val="center"/>
          </w:tcPr>
          <w:p w14:paraId="0773B1A7" w14:textId="77777777" w:rsidR="00FC6222" w:rsidRPr="0058349C" w:rsidRDefault="00FC6222" w:rsidP="00830F27">
            <w:pPr>
              <w:pStyle w:val="Table1"/>
              <w:rPr>
                <w:rFonts w:ascii="Garamond" w:hAnsi="Garamond"/>
                <w:b/>
                <w:bCs/>
                <w:sz w:val="18"/>
                <w:szCs w:val="20"/>
              </w:rPr>
            </w:pPr>
          </w:p>
        </w:tc>
        <w:tc>
          <w:tcPr>
            <w:tcW w:w="397" w:type="pct"/>
          </w:tcPr>
          <w:p w14:paraId="0773B1A8" w14:textId="77777777" w:rsidR="00FC6222" w:rsidRPr="0058349C" w:rsidRDefault="00FC6222" w:rsidP="00830F27">
            <w:pPr>
              <w:pStyle w:val="Table1"/>
              <w:ind w:left="36" w:hanging="36"/>
              <w:rPr>
                <w:rFonts w:ascii="Garamond" w:eastAsia="Calibri" w:hAnsi="Garamond"/>
                <w:b/>
                <w:bCs/>
                <w:sz w:val="18"/>
                <w:szCs w:val="20"/>
              </w:rPr>
            </w:pPr>
            <w:r w:rsidRPr="0058349C">
              <w:rPr>
                <w:rFonts w:ascii="Garamond" w:eastAsia="Calibri" w:hAnsi="Garamond"/>
                <w:b/>
                <w:bCs/>
                <w:sz w:val="18"/>
                <w:szCs w:val="20"/>
              </w:rPr>
              <w:t xml:space="preserve">Hua për ndarjen e </w:t>
            </w:r>
            <w:r w:rsidRPr="0058349C">
              <w:rPr>
                <w:rFonts w:ascii="Garamond" w:eastAsia="Calibri" w:hAnsi="Garamond"/>
                <w:b/>
                <w:bCs/>
                <w:sz w:val="18"/>
                <w:szCs w:val="20"/>
              </w:rPr>
              <w:lastRenderedPageBreak/>
              <w:t xml:space="preserve">riskut </w:t>
            </w:r>
          </w:p>
        </w:tc>
        <w:tc>
          <w:tcPr>
            <w:tcW w:w="2833" w:type="pct"/>
            <w:vAlign w:val="center"/>
          </w:tcPr>
          <w:p w14:paraId="0773B1A9" w14:textId="77777777" w:rsidR="00FC6222" w:rsidRPr="0058349C" w:rsidRDefault="00FC6222" w:rsidP="00FC6222">
            <w:pPr>
              <w:pStyle w:val="Table1"/>
              <w:numPr>
                <w:ilvl w:val="0"/>
                <w:numId w:val="18"/>
              </w:numPr>
              <w:ind w:left="248" w:hanging="248"/>
              <w:rPr>
                <w:rFonts w:ascii="Garamond" w:eastAsia="Calibri" w:hAnsi="Garamond"/>
                <w:sz w:val="18"/>
                <w:szCs w:val="20"/>
              </w:rPr>
            </w:pPr>
            <w:r w:rsidRPr="0058349C">
              <w:rPr>
                <w:rFonts w:ascii="Garamond" w:eastAsia="Calibri" w:hAnsi="Garamond"/>
                <w:sz w:val="18"/>
                <w:szCs w:val="20"/>
              </w:rPr>
              <w:lastRenderedPageBreak/>
              <w:t>Përfshihen përfituesit nga IPARD III, fermerë të tjerë dhe sipërmarrës ruralë.</w:t>
            </w:r>
          </w:p>
          <w:p w14:paraId="0773B1AA" w14:textId="77777777" w:rsidR="00FC6222" w:rsidRPr="0058349C" w:rsidRDefault="00FC6222" w:rsidP="00FC6222">
            <w:pPr>
              <w:pStyle w:val="Table1"/>
              <w:numPr>
                <w:ilvl w:val="0"/>
                <w:numId w:val="18"/>
              </w:numPr>
              <w:ind w:left="248" w:hanging="248"/>
              <w:rPr>
                <w:rFonts w:ascii="Garamond" w:eastAsia="Calibri" w:hAnsi="Garamond"/>
                <w:sz w:val="18"/>
                <w:szCs w:val="20"/>
              </w:rPr>
            </w:pPr>
            <w:r w:rsidRPr="0058349C">
              <w:rPr>
                <w:rFonts w:ascii="Garamond" w:eastAsia="Calibri" w:hAnsi="Garamond"/>
                <w:sz w:val="18"/>
                <w:szCs w:val="20"/>
              </w:rPr>
              <w:t>Zbatues dhe përfitues direkt janë institucionet financiare të përzgjedhura për menaxhimin e fondeve.</w:t>
            </w:r>
          </w:p>
          <w:p w14:paraId="0773B1AB" w14:textId="0FA92F87" w:rsidR="00FC6222" w:rsidRPr="0058349C" w:rsidRDefault="00FC6222" w:rsidP="00CB2DEE">
            <w:pPr>
              <w:pStyle w:val="Table1"/>
              <w:numPr>
                <w:ilvl w:val="0"/>
                <w:numId w:val="18"/>
              </w:numPr>
              <w:ind w:left="248" w:hanging="248"/>
              <w:rPr>
                <w:rFonts w:ascii="Garamond" w:eastAsia="Calibri" w:hAnsi="Garamond"/>
                <w:sz w:val="18"/>
                <w:szCs w:val="20"/>
              </w:rPr>
            </w:pPr>
            <w:r w:rsidRPr="0058349C">
              <w:rPr>
                <w:rFonts w:ascii="Garamond" w:eastAsia="Calibri" w:hAnsi="Garamond"/>
                <w:sz w:val="18"/>
                <w:szCs w:val="20"/>
              </w:rPr>
              <w:lastRenderedPageBreak/>
              <w:t>Huat duhet të mbulohen me 70% kapital nga MBZHR-ja. Rreziku mbi kapitalin financiar të siguruar nga MBZHR-ja duhet të mbështetet nga</w:t>
            </w:r>
            <w:r w:rsidR="00CF7694" w:rsidRPr="0058349C">
              <w:rPr>
                <w:rFonts w:ascii="Garamond" w:eastAsia="Calibri" w:hAnsi="Garamond"/>
                <w:sz w:val="18"/>
                <w:szCs w:val="20"/>
              </w:rPr>
              <w:t xml:space="preserve"> </w:t>
            </w:r>
            <w:r w:rsidRPr="0058349C">
              <w:rPr>
                <w:rFonts w:ascii="Garamond" w:eastAsia="Calibri" w:hAnsi="Garamond"/>
                <w:sz w:val="18"/>
                <w:szCs w:val="20"/>
              </w:rPr>
              <w:t>bankat. Norma e interesit për kapitalin e ofruar nga MBZHR-ja duhet të jetë zero, por bankat të kompensohen për shërbimet e tyre.</w:t>
            </w:r>
          </w:p>
          <w:p w14:paraId="0773B1AC" w14:textId="1C6D2E94" w:rsidR="00FC6222" w:rsidRPr="0058349C" w:rsidRDefault="00FC6222" w:rsidP="00CB2DEE">
            <w:pPr>
              <w:pStyle w:val="Table1"/>
              <w:numPr>
                <w:ilvl w:val="0"/>
                <w:numId w:val="18"/>
              </w:numPr>
              <w:ind w:left="248" w:hanging="248"/>
              <w:rPr>
                <w:rFonts w:ascii="Garamond" w:eastAsia="Calibri" w:hAnsi="Garamond"/>
                <w:sz w:val="18"/>
                <w:szCs w:val="20"/>
              </w:rPr>
            </w:pPr>
            <w:r w:rsidRPr="0058349C">
              <w:rPr>
                <w:rFonts w:ascii="Garamond" w:eastAsia="Calibri" w:hAnsi="Garamond"/>
                <w:sz w:val="18"/>
                <w:szCs w:val="20"/>
              </w:rPr>
              <w:t>Huat duhet të synojnë bashkëfinancimin e grandeve IPARD III dhe masat mbështetëse të skemës kombëtare.</w:t>
            </w:r>
          </w:p>
        </w:tc>
        <w:tc>
          <w:tcPr>
            <w:tcW w:w="535" w:type="pct"/>
            <w:vMerge/>
            <w:vAlign w:val="center"/>
          </w:tcPr>
          <w:p w14:paraId="0773B1AD" w14:textId="77777777" w:rsidR="00FC6222" w:rsidRPr="0058349C" w:rsidRDefault="00FC6222" w:rsidP="00830F27">
            <w:pPr>
              <w:pStyle w:val="Table1"/>
              <w:rPr>
                <w:rFonts w:ascii="Garamond" w:hAnsi="Garamond"/>
                <w:sz w:val="18"/>
                <w:szCs w:val="20"/>
              </w:rPr>
            </w:pPr>
          </w:p>
        </w:tc>
        <w:tc>
          <w:tcPr>
            <w:tcW w:w="645" w:type="pct"/>
            <w:vMerge/>
            <w:vAlign w:val="center"/>
          </w:tcPr>
          <w:p w14:paraId="0773B1AE" w14:textId="77777777" w:rsidR="00FC6222" w:rsidRPr="0058349C" w:rsidRDefault="00FC6222" w:rsidP="00830F27">
            <w:pPr>
              <w:pStyle w:val="Table1"/>
              <w:rPr>
                <w:rFonts w:ascii="Garamond" w:hAnsi="Garamond"/>
                <w:sz w:val="18"/>
                <w:szCs w:val="20"/>
              </w:rPr>
            </w:pPr>
          </w:p>
        </w:tc>
      </w:tr>
      <w:tr w:rsidR="00FC6222" w:rsidRPr="0058349C" w14:paraId="0773B1B4" w14:textId="77777777" w:rsidTr="00543FCB">
        <w:trPr>
          <w:gridAfter w:val="1"/>
          <w:wAfter w:w="4" w:type="pct"/>
          <w:trHeight w:val="20"/>
        </w:trPr>
        <w:tc>
          <w:tcPr>
            <w:tcW w:w="983" w:type="pct"/>
            <w:gridSpan w:val="3"/>
          </w:tcPr>
          <w:p w14:paraId="0773B1B0" w14:textId="7FCA7DDB" w:rsidR="00FC6222" w:rsidRPr="0058349C" w:rsidRDefault="00FC6222" w:rsidP="00830F27">
            <w:pPr>
              <w:pStyle w:val="Table1"/>
              <w:ind w:left="248" w:hanging="248"/>
              <w:rPr>
                <w:rFonts w:ascii="Garamond" w:eastAsia="Calibri" w:hAnsi="Garamond"/>
                <w:b/>
                <w:bCs/>
                <w:sz w:val="18"/>
                <w:szCs w:val="20"/>
              </w:rPr>
            </w:pPr>
            <w:r w:rsidRPr="0058349C">
              <w:rPr>
                <w:rFonts w:ascii="Garamond" w:eastAsia="Calibri" w:hAnsi="Garamond"/>
                <w:b/>
                <w:bCs/>
                <w:sz w:val="18"/>
                <w:szCs w:val="20"/>
              </w:rPr>
              <w:lastRenderedPageBreak/>
              <w:t xml:space="preserve">19. Skemat e </w:t>
            </w:r>
            <w:r w:rsidR="00CB2DEE" w:rsidRPr="0058349C">
              <w:rPr>
                <w:rFonts w:ascii="Garamond" w:eastAsia="Calibri" w:hAnsi="Garamond"/>
                <w:b/>
                <w:bCs/>
                <w:sz w:val="18"/>
                <w:szCs w:val="20"/>
              </w:rPr>
              <w:t>sigurimeve</w:t>
            </w:r>
          </w:p>
        </w:tc>
        <w:tc>
          <w:tcPr>
            <w:tcW w:w="2833" w:type="pct"/>
          </w:tcPr>
          <w:p w14:paraId="0773B1B1" w14:textId="2168C28D" w:rsidR="00FC6222" w:rsidRPr="0058349C" w:rsidRDefault="00FC6222" w:rsidP="00FC6222">
            <w:pPr>
              <w:pStyle w:val="Table1"/>
              <w:numPr>
                <w:ilvl w:val="0"/>
                <w:numId w:val="18"/>
              </w:numPr>
              <w:ind w:left="248" w:hanging="248"/>
              <w:rPr>
                <w:rFonts w:ascii="Garamond" w:eastAsia="Calibri" w:hAnsi="Garamond"/>
                <w:sz w:val="18"/>
                <w:szCs w:val="20"/>
              </w:rPr>
            </w:pPr>
            <w:r w:rsidRPr="0058349C">
              <w:rPr>
                <w:rFonts w:ascii="Garamond" w:eastAsia="Calibri" w:hAnsi="Garamond"/>
                <w:sz w:val="18"/>
                <w:szCs w:val="20"/>
              </w:rPr>
              <w:t>Përfitues janë fermerët që nënshkruajnë kontratat e sigurimit për asetet/prodhimin</w:t>
            </w:r>
            <w:r w:rsidR="00CF7694" w:rsidRPr="0058349C">
              <w:rPr>
                <w:rFonts w:ascii="Garamond" w:eastAsia="Calibri" w:hAnsi="Garamond"/>
                <w:sz w:val="18"/>
                <w:szCs w:val="20"/>
              </w:rPr>
              <w:t xml:space="preserve"> </w:t>
            </w:r>
            <w:r w:rsidRPr="0058349C">
              <w:rPr>
                <w:rFonts w:ascii="Garamond" w:eastAsia="Calibri" w:hAnsi="Garamond"/>
                <w:sz w:val="18"/>
                <w:szCs w:val="20"/>
              </w:rPr>
              <w:t>e fermave të tyre ndaj rreziqeve në bujqësi.</w:t>
            </w:r>
          </w:p>
        </w:tc>
        <w:tc>
          <w:tcPr>
            <w:tcW w:w="535" w:type="pct"/>
          </w:tcPr>
          <w:p w14:paraId="0773B1B2"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1.3</w:t>
            </w:r>
          </w:p>
        </w:tc>
        <w:tc>
          <w:tcPr>
            <w:tcW w:w="645" w:type="pct"/>
          </w:tcPr>
          <w:p w14:paraId="0773B1B3"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Buxheti Kombëtar</w:t>
            </w:r>
          </w:p>
        </w:tc>
      </w:tr>
      <w:tr w:rsidR="00FC6222" w:rsidRPr="0058349C" w14:paraId="0773B1BC" w14:textId="77777777" w:rsidTr="00543FCB">
        <w:trPr>
          <w:gridAfter w:val="1"/>
          <w:wAfter w:w="4" w:type="pct"/>
          <w:trHeight w:val="20"/>
        </w:trPr>
        <w:tc>
          <w:tcPr>
            <w:tcW w:w="983" w:type="pct"/>
            <w:gridSpan w:val="3"/>
          </w:tcPr>
          <w:p w14:paraId="0773B1B5"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20. Kontratat e shërbimeve dhe mbështetje direkte financiare për ofrimin e shërbimeve këshillimore për fermerët</w:t>
            </w:r>
          </w:p>
        </w:tc>
        <w:tc>
          <w:tcPr>
            <w:tcW w:w="2833" w:type="pct"/>
          </w:tcPr>
          <w:p w14:paraId="0773B1B6" w14:textId="77777777" w:rsidR="00FC6222" w:rsidRPr="0058349C" w:rsidRDefault="00FC6222" w:rsidP="00FC6222">
            <w:pPr>
              <w:pStyle w:val="Table1"/>
              <w:numPr>
                <w:ilvl w:val="0"/>
                <w:numId w:val="18"/>
              </w:numPr>
              <w:ind w:left="248" w:hanging="248"/>
              <w:rPr>
                <w:rFonts w:ascii="Garamond" w:eastAsia="Calibri" w:hAnsi="Garamond"/>
                <w:sz w:val="18"/>
                <w:szCs w:val="20"/>
              </w:rPr>
            </w:pPr>
            <w:r w:rsidRPr="0058349C">
              <w:rPr>
                <w:rFonts w:ascii="Garamond" w:eastAsia="Calibri" w:hAnsi="Garamond"/>
                <w:sz w:val="18"/>
                <w:szCs w:val="20"/>
              </w:rPr>
              <w:t>Përfituesit për shërbimin e këshillimit mund të jenë kompani konsulence, organizata fermerësh, OJQ/organizata të shoqërisë civile.</w:t>
            </w:r>
          </w:p>
          <w:p w14:paraId="0773B1B7" w14:textId="5C797AD9" w:rsidR="00FC6222" w:rsidRPr="0058349C" w:rsidRDefault="00FC6222" w:rsidP="00CB2DEE">
            <w:pPr>
              <w:pStyle w:val="Table1"/>
              <w:numPr>
                <w:ilvl w:val="0"/>
                <w:numId w:val="18"/>
              </w:numPr>
              <w:ind w:left="248" w:hanging="248"/>
              <w:rPr>
                <w:rFonts w:ascii="Garamond" w:eastAsia="Calibri" w:hAnsi="Garamond"/>
                <w:sz w:val="18"/>
                <w:szCs w:val="20"/>
              </w:rPr>
            </w:pPr>
            <w:r w:rsidRPr="0058349C">
              <w:rPr>
                <w:rFonts w:ascii="Garamond" w:eastAsia="Calibri" w:hAnsi="Garamond"/>
                <w:sz w:val="18"/>
                <w:szCs w:val="20"/>
              </w:rPr>
              <w:t>Këshillimi duhet të synojë gratë, fermerët e rinj, skemat e agromjedisit dhe ndryshimeve klimatike, përmbushjen e standardeve të BE-së dhe kombëtare, ngritjen e grupeve operacionale (SNJIB)</w:t>
            </w:r>
            <w:r w:rsidR="00CB2DEE">
              <w:rPr>
                <w:rFonts w:ascii="Garamond" w:eastAsia="Calibri" w:hAnsi="Garamond"/>
                <w:sz w:val="18"/>
                <w:szCs w:val="20"/>
              </w:rPr>
              <w:t>.</w:t>
            </w:r>
          </w:p>
          <w:p w14:paraId="0773B1B8" w14:textId="77777777" w:rsidR="00FC6222" w:rsidRPr="0058349C" w:rsidRDefault="00FC6222" w:rsidP="00FC6222">
            <w:pPr>
              <w:pStyle w:val="Table1"/>
              <w:numPr>
                <w:ilvl w:val="0"/>
                <w:numId w:val="18"/>
              </w:numPr>
              <w:ind w:left="248" w:hanging="248"/>
              <w:rPr>
                <w:rFonts w:ascii="Garamond" w:eastAsia="Calibri" w:hAnsi="Garamond"/>
                <w:sz w:val="18"/>
                <w:szCs w:val="20"/>
              </w:rPr>
            </w:pPr>
            <w:r w:rsidRPr="0058349C">
              <w:rPr>
                <w:rFonts w:ascii="Garamond" w:eastAsia="Calibri" w:hAnsi="Garamond"/>
                <w:sz w:val="18"/>
                <w:szCs w:val="20"/>
              </w:rPr>
              <w:t>AREB/QTTB duhet të marrin mbështetje të drejtpërdrejtë në dhënien e këshillave për fermerët bazuar në plane të qarta veprimi.</w:t>
            </w:r>
          </w:p>
          <w:p w14:paraId="0773B1B9" w14:textId="77777777" w:rsidR="00FC6222" w:rsidRPr="0058349C" w:rsidRDefault="00FC6222" w:rsidP="00FC6222">
            <w:pPr>
              <w:pStyle w:val="Table1"/>
              <w:numPr>
                <w:ilvl w:val="0"/>
                <w:numId w:val="18"/>
              </w:numPr>
              <w:ind w:left="248" w:hanging="248"/>
              <w:rPr>
                <w:rFonts w:ascii="Garamond" w:eastAsia="Calibri" w:hAnsi="Garamond"/>
                <w:sz w:val="18"/>
                <w:szCs w:val="20"/>
              </w:rPr>
            </w:pPr>
            <w:r w:rsidRPr="0058349C">
              <w:rPr>
                <w:rFonts w:ascii="Garamond" w:eastAsia="Calibri" w:hAnsi="Garamond"/>
                <w:sz w:val="18"/>
                <w:szCs w:val="20"/>
              </w:rPr>
              <w:t>Inovacioni dhe transferimi i njohurive duhet të jenë pjesë e çdo sistemi këshillimor.</w:t>
            </w:r>
          </w:p>
        </w:tc>
        <w:tc>
          <w:tcPr>
            <w:tcW w:w="535" w:type="pct"/>
          </w:tcPr>
          <w:p w14:paraId="0773B1BA"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1.11, 1.12, 1.13, 2.1, 2.2, 2.3, 2.4, 2.5, 2.6, 2.7, 3.3, 3.2, 3.1</w:t>
            </w:r>
          </w:p>
        </w:tc>
        <w:tc>
          <w:tcPr>
            <w:tcW w:w="645" w:type="pct"/>
          </w:tcPr>
          <w:p w14:paraId="0773B1BB"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EU IPARD III + Fondet kombëtare (bashkëfinancim); Buxheti Kombëtar, Donatorët</w:t>
            </w:r>
          </w:p>
        </w:tc>
      </w:tr>
      <w:tr w:rsidR="00FC6222" w:rsidRPr="0058349C" w14:paraId="0773B1C4" w14:textId="77777777" w:rsidTr="00543FCB">
        <w:trPr>
          <w:gridAfter w:val="1"/>
          <w:wAfter w:w="4" w:type="pct"/>
          <w:trHeight w:val="20"/>
        </w:trPr>
        <w:tc>
          <w:tcPr>
            <w:tcW w:w="983" w:type="pct"/>
            <w:gridSpan w:val="3"/>
          </w:tcPr>
          <w:p w14:paraId="0773B1BD" w14:textId="4AFC518C"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21. Grandet për menaxhimin kolektiv të mbetjeve (plehut</w:t>
            </w:r>
            <w:r w:rsidR="00CF7694" w:rsidRPr="0058349C">
              <w:rPr>
                <w:rFonts w:ascii="Garamond" w:eastAsia="Calibri" w:hAnsi="Garamond"/>
                <w:b/>
                <w:bCs/>
                <w:sz w:val="18"/>
                <w:szCs w:val="20"/>
              </w:rPr>
              <w:t xml:space="preserve"> </w:t>
            </w:r>
            <w:r w:rsidRPr="00CB2DEE">
              <w:rPr>
                <w:rFonts w:ascii="Garamond" w:eastAsia="Calibri" w:hAnsi="Garamond"/>
                <w:b/>
                <w:bCs/>
                <w:sz w:val="18"/>
                <w:szCs w:val="20"/>
              </w:rPr>
              <w:t>të kafshëve)</w:t>
            </w:r>
          </w:p>
        </w:tc>
        <w:tc>
          <w:tcPr>
            <w:tcW w:w="2833" w:type="pct"/>
          </w:tcPr>
          <w:p w14:paraId="0773B1BE" w14:textId="77777777" w:rsidR="00FC6222" w:rsidRPr="0058349C" w:rsidRDefault="00FC6222" w:rsidP="00FC6222">
            <w:pPr>
              <w:pStyle w:val="Table1"/>
              <w:numPr>
                <w:ilvl w:val="0"/>
                <w:numId w:val="18"/>
              </w:numPr>
              <w:ind w:left="248" w:hanging="248"/>
              <w:rPr>
                <w:rFonts w:ascii="Garamond" w:eastAsia="Calibri" w:hAnsi="Garamond"/>
                <w:sz w:val="18"/>
                <w:szCs w:val="20"/>
              </w:rPr>
            </w:pPr>
            <w:r w:rsidRPr="0058349C">
              <w:rPr>
                <w:rFonts w:ascii="Garamond" w:eastAsia="Calibri" w:hAnsi="Garamond"/>
                <w:sz w:val="18"/>
                <w:szCs w:val="20"/>
              </w:rPr>
              <w:t>Përfitues janë bashkitë.</w:t>
            </w:r>
          </w:p>
          <w:p w14:paraId="0773B1BF" w14:textId="77777777" w:rsidR="00FC6222" w:rsidRPr="0058349C" w:rsidRDefault="00FC6222" w:rsidP="00FC6222">
            <w:pPr>
              <w:pStyle w:val="Table1"/>
              <w:numPr>
                <w:ilvl w:val="0"/>
                <w:numId w:val="18"/>
              </w:numPr>
              <w:ind w:left="248" w:hanging="248"/>
              <w:rPr>
                <w:rFonts w:ascii="Garamond" w:eastAsia="Calibri" w:hAnsi="Garamond"/>
                <w:sz w:val="18"/>
                <w:szCs w:val="20"/>
              </w:rPr>
            </w:pPr>
            <w:r w:rsidRPr="0058349C">
              <w:rPr>
                <w:rFonts w:ascii="Garamond" w:eastAsia="Calibri" w:hAnsi="Garamond"/>
                <w:sz w:val="18"/>
                <w:szCs w:val="20"/>
              </w:rPr>
              <w:t>Investimet e pranueshme janë platformat/magazinat e plehut organik dhe pajisjet për transportin e plehut organik, kompostimin dhe aplikimin në terren.</w:t>
            </w:r>
          </w:p>
          <w:p w14:paraId="0773B1C0" w14:textId="77777777" w:rsidR="00FC6222" w:rsidRPr="0058349C" w:rsidRDefault="00FC6222" w:rsidP="00FC6222">
            <w:pPr>
              <w:pStyle w:val="Table1"/>
              <w:numPr>
                <w:ilvl w:val="0"/>
                <w:numId w:val="18"/>
              </w:numPr>
              <w:ind w:left="248" w:hanging="248"/>
              <w:rPr>
                <w:rFonts w:ascii="Garamond" w:eastAsia="Calibri" w:hAnsi="Garamond"/>
                <w:sz w:val="18"/>
                <w:szCs w:val="20"/>
              </w:rPr>
            </w:pPr>
            <w:r w:rsidRPr="0058349C">
              <w:rPr>
                <w:rFonts w:ascii="Garamond" w:eastAsia="Calibri" w:hAnsi="Garamond"/>
                <w:sz w:val="18"/>
                <w:szCs w:val="20"/>
              </w:rPr>
              <w:t>Investimet duhet të synojnë zonat me numër të madh kafshësh nga fermat e vogla dhe të mesme.</w:t>
            </w:r>
          </w:p>
          <w:p w14:paraId="0773B1C1" w14:textId="77777777" w:rsidR="00FC6222" w:rsidRPr="0058349C" w:rsidRDefault="00FC6222" w:rsidP="00FC6222">
            <w:pPr>
              <w:pStyle w:val="Table1"/>
              <w:numPr>
                <w:ilvl w:val="0"/>
                <w:numId w:val="18"/>
              </w:numPr>
              <w:ind w:left="248" w:hanging="248"/>
              <w:rPr>
                <w:rFonts w:ascii="Garamond" w:eastAsia="Calibri" w:hAnsi="Garamond"/>
                <w:sz w:val="18"/>
                <w:szCs w:val="20"/>
              </w:rPr>
            </w:pPr>
            <w:r w:rsidRPr="0058349C">
              <w:rPr>
                <w:rFonts w:ascii="Garamond" w:eastAsia="Calibri" w:hAnsi="Garamond"/>
                <w:sz w:val="18"/>
                <w:szCs w:val="20"/>
              </w:rPr>
              <w:t>Investimet duhet të shërbejnë edhe për trajnime për menaxhimin e plehut organik.</w:t>
            </w:r>
          </w:p>
        </w:tc>
        <w:tc>
          <w:tcPr>
            <w:tcW w:w="535" w:type="pct"/>
          </w:tcPr>
          <w:p w14:paraId="0773B1C2"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1.11, 2.1, 2.2, 2.3, 2.4, 2.5, 2.6, 2.7</w:t>
            </w:r>
          </w:p>
        </w:tc>
        <w:tc>
          <w:tcPr>
            <w:tcW w:w="645" w:type="pct"/>
          </w:tcPr>
          <w:p w14:paraId="0773B1C3"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Donatorët</w:t>
            </w:r>
          </w:p>
        </w:tc>
      </w:tr>
      <w:tr w:rsidR="00FC6222" w:rsidRPr="0058349C" w14:paraId="0773B1CC" w14:textId="77777777" w:rsidTr="00543FCB">
        <w:trPr>
          <w:gridAfter w:val="1"/>
          <w:wAfter w:w="4" w:type="pct"/>
          <w:trHeight w:val="20"/>
        </w:trPr>
        <w:tc>
          <w:tcPr>
            <w:tcW w:w="983" w:type="pct"/>
            <w:gridSpan w:val="3"/>
          </w:tcPr>
          <w:p w14:paraId="0773B1C5" w14:textId="77777777" w:rsidR="00FC6222" w:rsidRPr="0058349C" w:rsidRDefault="00FC6222" w:rsidP="00830F27">
            <w:pPr>
              <w:pStyle w:val="Table1"/>
              <w:ind w:left="248" w:hanging="248"/>
              <w:rPr>
                <w:rFonts w:ascii="Garamond" w:eastAsia="Calibri" w:hAnsi="Garamond"/>
                <w:b/>
                <w:bCs/>
                <w:sz w:val="18"/>
                <w:szCs w:val="20"/>
              </w:rPr>
            </w:pPr>
            <w:r w:rsidRPr="0058349C">
              <w:rPr>
                <w:rFonts w:ascii="Garamond" w:eastAsia="Calibri" w:hAnsi="Garamond"/>
                <w:b/>
                <w:bCs/>
                <w:sz w:val="18"/>
                <w:szCs w:val="20"/>
              </w:rPr>
              <w:t>22. Fermat për qëllime demonstrimi</w:t>
            </w:r>
          </w:p>
        </w:tc>
        <w:tc>
          <w:tcPr>
            <w:tcW w:w="2833" w:type="pct"/>
          </w:tcPr>
          <w:p w14:paraId="0773B1C6" w14:textId="77777777" w:rsidR="00FC6222" w:rsidRPr="0058349C" w:rsidRDefault="00FC6222" w:rsidP="00CB2DEE">
            <w:pPr>
              <w:pStyle w:val="Table1"/>
              <w:numPr>
                <w:ilvl w:val="0"/>
                <w:numId w:val="18"/>
              </w:numPr>
              <w:ind w:left="217" w:right="50" w:hanging="217"/>
              <w:rPr>
                <w:rFonts w:ascii="Garamond" w:eastAsia="Calibri" w:hAnsi="Garamond"/>
                <w:sz w:val="18"/>
                <w:szCs w:val="20"/>
              </w:rPr>
            </w:pPr>
            <w:r w:rsidRPr="0058349C">
              <w:rPr>
                <w:rFonts w:ascii="Garamond" w:eastAsia="Calibri" w:hAnsi="Garamond"/>
                <w:sz w:val="18"/>
                <w:szCs w:val="20"/>
              </w:rPr>
              <w:t>Përfitues janë fermerët/organizatat e fermerëve.</w:t>
            </w:r>
          </w:p>
          <w:p w14:paraId="0773B1C7" w14:textId="7DDFE14A" w:rsidR="00FC6222" w:rsidRPr="0058349C" w:rsidRDefault="00FC6222" w:rsidP="00CB2DEE">
            <w:pPr>
              <w:pStyle w:val="Table1"/>
              <w:numPr>
                <w:ilvl w:val="0"/>
                <w:numId w:val="18"/>
              </w:numPr>
              <w:ind w:left="217" w:right="50" w:hanging="217"/>
              <w:rPr>
                <w:rFonts w:ascii="Garamond" w:eastAsia="Calibri" w:hAnsi="Garamond"/>
                <w:sz w:val="18"/>
                <w:szCs w:val="20"/>
              </w:rPr>
            </w:pPr>
            <w:r w:rsidRPr="0058349C">
              <w:rPr>
                <w:rFonts w:ascii="Garamond" w:eastAsia="Calibri" w:hAnsi="Garamond"/>
                <w:sz w:val="18"/>
                <w:szCs w:val="20"/>
              </w:rPr>
              <w:t>Prioritet duhet t</w:t>
            </w:r>
            <w:r w:rsidR="00CB2DEE">
              <w:rPr>
                <w:rFonts w:ascii="Garamond" w:eastAsia="Calibri" w:hAnsi="Garamond"/>
                <w:sz w:val="18"/>
                <w:szCs w:val="20"/>
              </w:rPr>
              <w:t>’</w:t>
            </w:r>
            <w:r w:rsidRPr="0058349C">
              <w:rPr>
                <w:rFonts w:ascii="Garamond" w:eastAsia="Calibri" w:hAnsi="Garamond"/>
                <w:sz w:val="18"/>
                <w:szCs w:val="20"/>
              </w:rPr>
              <w:t>i jepet demonstrimeve që lidhen me zbatimin e skemave të agromjedisit dhe</w:t>
            </w:r>
            <w:r w:rsidR="00CF7694" w:rsidRPr="0058349C">
              <w:rPr>
                <w:rFonts w:ascii="Garamond" w:eastAsia="Calibri" w:hAnsi="Garamond"/>
                <w:sz w:val="18"/>
                <w:szCs w:val="20"/>
              </w:rPr>
              <w:t xml:space="preserve"> </w:t>
            </w:r>
            <w:r w:rsidRPr="0058349C">
              <w:rPr>
                <w:rFonts w:ascii="Garamond" w:eastAsia="Calibri" w:hAnsi="Garamond"/>
                <w:sz w:val="18"/>
                <w:szCs w:val="20"/>
              </w:rPr>
              <w:t>ndryshimeve klimatike, sipas standardeve të BE-së dhe ato kombëtare, dhe më vlerë në aspektet gjinore dhe sociale. Mbështetja përfshin</w:t>
            </w:r>
            <w:r w:rsidR="00CF7694" w:rsidRPr="0058349C">
              <w:rPr>
                <w:rFonts w:ascii="Garamond" w:eastAsia="Calibri" w:hAnsi="Garamond"/>
                <w:sz w:val="18"/>
                <w:szCs w:val="20"/>
              </w:rPr>
              <w:t xml:space="preserve"> </w:t>
            </w:r>
            <w:r w:rsidR="00CB2DEE">
              <w:rPr>
                <w:rFonts w:ascii="Garamond" w:eastAsia="Calibri" w:hAnsi="Garamond"/>
                <w:sz w:val="18"/>
                <w:szCs w:val="20"/>
              </w:rPr>
              <w:t>kostot e ndërtimit</w:t>
            </w:r>
            <w:r w:rsidR="00797859">
              <w:rPr>
                <w:rFonts w:ascii="Garamond" w:eastAsia="Calibri" w:hAnsi="Garamond"/>
                <w:sz w:val="18"/>
                <w:szCs w:val="20"/>
              </w:rPr>
              <w:t>/</w:t>
            </w:r>
            <w:r w:rsidRPr="0058349C">
              <w:rPr>
                <w:rFonts w:ascii="Garamond" w:eastAsia="Calibri" w:hAnsi="Garamond"/>
                <w:sz w:val="18"/>
                <w:szCs w:val="20"/>
              </w:rPr>
              <w:t>rehabilitimit dhe modernizimit, kostot për makineritë, pajisjet dhe trajnimin sipas projektit të miratuar.</w:t>
            </w:r>
          </w:p>
          <w:p w14:paraId="0773B1C8" w14:textId="77777777" w:rsidR="00FC6222" w:rsidRPr="0058349C" w:rsidRDefault="00FC6222" w:rsidP="00CB2DEE">
            <w:pPr>
              <w:pStyle w:val="Table1"/>
              <w:numPr>
                <w:ilvl w:val="0"/>
                <w:numId w:val="18"/>
              </w:numPr>
              <w:ind w:left="217" w:right="50" w:hanging="217"/>
              <w:rPr>
                <w:rFonts w:ascii="Garamond" w:eastAsia="Calibri" w:hAnsi="Garamond"/>
                <w:sz w:val="18"/>
                <w:szCs w:val="20"/>
              </w:rPr>
            </w:pPr>
            <w:r w:rsidRPr="0058349C">
              <w:rPr>
                <w:rFonts w:ascii="Garamond" w:eastAsia="Calibri" w:hAnsi="Garamond"/>
                <w:sz w:val="18"/>
                <w:szCs w:val="20"/>
              </w:rPr>
              <w:t>Fermat demonstruese shërbejnë për trajnime.</w:t>
            </w:r>
          </w:p>
          <w:p w14:paraId="0773B1C9" w14:textId="77777777" w:rsidR="00FC6222" w:rsidRPr="0058349C" w:rsidRDefault="00FC6222" w:rsidP="00CB2DEE">
            <w:pPr>
              <w:pStyle w:val="Table1"/>
              <w:numPr>
                <w:ilvl w:val="0"/>
                <w:numId w:val="18"/>
              </w:numPr>
              <w:ind w:left="217" w:right="50" w:hanging="217"/>
              <w:rPr>
                <w:rFonts w:ascii="Garamond" w:eastAsia="Calibri" w:hAnsi="Garamond"/>
                <w:sz w:val="18"/>
                <w:szCs w:val="20"/>
              </w:rPr>
            </w:pPr>
            <w:r w:rsidRPr="0058349C">
              <w:rPr>
                <w:rFonts w:ascii="Garamond" w:eastAsia="Calibri" w:hAnsi="Garamond"/>
                <w:sz w:val="18"/>
                <w:szCs w:val="20"/>
              </w:rPr>
              <w:t>Të gjitha të dhënat për kostot për investime, kostot operative, kostot e mirëmbajtjes si edhe projektet teknike, dhe duhet të jenë të disponueshme për të interesuarit.</w:t>
            </w:r>
          </w:p>
        </w:tc>
        <w:tc>
          <w:tcPr>
            <w:tcW w:w="535" w:type="pct"/>
          </w:tcPr>
          <w:p w14:paraId="0773B1CA" w14:textId="77777777" w:rsidR="00FC6222" w:rsidRPr="0058349C" w:rsidRDefault="00FC6222" w:rsidP="00830F27">
            <w:pPr>
              <w:pStyle w:val="Table1"/>
              <w:ind w:left="217" w:right="50" w:hanging="217"/>
              <w:rPr>
                <w:rFonts w:ascii="Garamond" w:eastAsia="Calibri" w:hAnsi="Garamond"/>
                <w:sz w:val="18"/>
                <w:szCs w:val="20"/>
              </w:rPr>
            </w:pPr>
            <w:r w:rsidRPr="0058349C">
              <w:rPr>
                <w:rFonts w:ascii="Garamond" w:eastAsia="Calibri" w:hAnsi="Garamond"/>
                <w:sz w:val="18"/>
                <w:szCs w:val="20"/>
              </w:rPr>
              <w:t>1.11, 1.12, 2.1, 2.2, 2.3, 2.4, 2.5, 2.6, 2.7</w:t>
            </w:r>
          </w:p>
        </w:tc>
        <w:tc>
          <w:tcPr>
            <w:tcW w:w="645" w:type="pct"/>
          </w:tcPr>
          <w:p w14:paraId="0773B1CB" w14:textId="0327FAB0"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 xml:space="preserve">Donatorët ose IPARD III në kuadër të masës </w:t>
            </w:r>
            <w:r w:rsidR="00664693" w:rsidRPr="0058349C">
              <w:rPr>
                <w:rFonts w:ascii="Garamond" w:eastAsia="Calibri" w:hAnsi="Garamond"/>
                <w:sz w:val="18"/>
                <w:szCs w:val="20"/>
              </w:rPr>
              <w:t>“</w:t>
            </w:r>
            <w:r w:rsidRPr="0058349C">
              <w:rPr>
                <w:rFonts w:ascii="Garamond" w:eastAsia="Calibri" w:hAnsi="Garamond"/>
                <w:sz w:val="18"/>
                <w:szCs w:val="20"/>
              </w:rPr>
              <w:t>Infrastruktura rurale publike</w:t>
            </w:r>
            <w:r w:rsidR="00664693" w:rsidRPr="0058349C">
              <w:rPr>
                <w:rFonts w:ascii="Garamond" w:eastAsia="Calibri" w:hAnsi="Garamond"/>
                <w:sz w:val="18"/>
                <w:szCs w:val="20"/>
              </w:rPr>
              <w:t>”</w:t>
            </w:r>
          </w:p>
        </w:tc>
      </w:tr>
      <w:tr w:rsidR="00FC6222" w:rsidRPr="0058349C" w14:paraId="0773B1CE" w14:textId="77777777" w:rsidTr="00543FCB">
        <w:trPr>
          <w:trHeight w:val="20"/>
        </w:trPr>
        <w:tc>
          <w:tcPr>
            <w:tcW w:w="5000" w:type="pct"/>
            <w:gridSpan w:val="7"/>
            <w:shd w:val="clear" w:color="auto" w:fill="E5F7CA"/>
          </w:tcPr>
          <w:p w14:paraId="0773B1CD" w14:textId="348A213E" w:rsidR="00FC6222" w:rsidRPr="0058349C" w:rsidRDefault="009A2EF6" w:rsidP="00CB2DEE">
            <w:pPr>
              <w:pStyle w:val="Table1"/>
              <w:ind w:right="50"/>
              <w:jc w:val="center"/>
              <w:rPr>
                <w:rFonts w:ascii="Garamond" w:eastAsia="Calibri" w:hAnsi="Garamond"/>
                <w:b/>
                <w:bCs/>
                <w:sz w:val="18"/>
                <w:szCs w:val="20"/>
              </w:rPr>
            </w:pPr>
            <w:r>
              <w:rPr>
                <w:rFonts w:ascii="Garamond" w:eastAsia="Calibri" w:hAnsi="Garamond"/>
                <w:b/>
                <w:bCs/>
                <w:sz w:val="18"/>
                <w:szCs w:val="20"/>
              </w:rPr>
              <w:t>3</w:t>
            </w:r>
            <w:r w:rsidR="00CB2DEE">
              <w:rPr>
                <w:rFonts w:ascii="Garamond" w:eastAsia="Calibri" w:hAnsi="Garamond"/>
                <w:b/>
                <w:bCs/>
                <w:sz w:val="18"/>
                <w:szCs w:val="20"/>
              </w:rPr>
              <w:t xml:space="preserve">. </w:t>
            </w:r>
            <w:r w:rsidR="00FC6222" w:rsidRPr="0058349C">
              <w:rPr>
                <w:rFonts w:ascii="Garamond" w:eastAsia="Calibri" w:hAnsi="Garamond"/>
                <w:b/>
                <w:bCs/>
                <w:sz w:val="18"/>
                <w:szCs w:val="20"/>
              </w:rPr>
              <w:t>Forcimi i kapaciteteve institucionale dhe administrative në procesin e përafrimit me BE; transferimi i njohurive dhe promovimi i inovacionit</w:t>
            </w:r>
          </w:p>
        </w:tc>
      </w:tr>
      <w:tr w:rsidR="00FC6222" w:rsidRPr="0058349C" w14:paraId="0773B1D5" w14:textId="77777777" w:rsidTr="00543FCB">
        <w:trPr>
          <w:gridAfter w:val="1"/>
          <w:wAfter w:w="4" w:type="pct"/>
          <w:trHeight w:val="20"/>
        </w:trPr>
        <w:tc>
          <w:tcPr>
            <w:tcW w:w="983" w:type="pct"/>
            <w:gridSpan w:val="3"/>
          </w:tcPr>
          <w:p w14:paraId="0773B1CF" w14:textId="297384CE"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 xml:space="preserve">23. Projekti AT </w:t>
            </w:r>
            <w:r w:rsidRPr="00136BEA">
              <w:rPr>
                <w:rFonts w:ascii="Garamond" w:eastAsia="Calibri" w:hAnsi="Garamond"/>
                <w:b/>
                <w:bCs/>
                <w:sz w:val="18"/>
                <w:szCs w:val="20"/>
              </w:rPr>
              <w:t>(asistencës teknike)</w:t>
            </w:r>
            <w:r w:rsidR="00CF7694" w:rsidRPr="00136BEA">
              <w:rPr>
                <w:rFonts w:ascii="Garamond" w:eastAsia="Calibri" w:hAnsi="Garamond"/>
                <w:b/>
                <w:bCs/>
                <w:sz w:val="18"/>
                <w:szCs w:val="20"/>
              </w:rPr>
              <w:t xml:space="preserve"> </w:t>
            </w:r>
            <w:r w:rsidRPr="00136BEA">
              <w:rPr>
                <w:rFonts w:ascii="Garamond" w:eastAsia="Calibri" w:hAnsi="Garamond"/>
                <w:b/>
                <w:bCs/>
                <w:sz w:val="18"/>
                <w:szCs w:val="20"/>
              </w:rPr>
              <w:t>për konsolidimin e njësisë së AT për IPARD III në MBZHR</w:t>
            </w:r>
          </w:p>
        </w:tc>
        <w:tc>
          <w:tcPr>
            <w:tcW w:w="2833" w:type="pct"/>
          </w:tcPr>
          <w:p w14:paraId="0773B1D0" w14:textId="77777777" w:rsidR="00FC6222" w:rsidRPr="0058349C" w:rsidRDefault="00FC6222" w:rsidP="00FC6222">
            <w:pPr>
              <w:pStyle w:val="Table1"/>
              <w:numPr>
                <w:ilvl w:val="0"/>
                <w:numId w:val="18"/>
              </w:numPr>
              <w:ind w:left="217" w:right="50" w:hanging="217"/>
              <w:rPr>
                <w:rFonts w:ascii="Garamond" w:eastAsia="Calibri" w:hAnsi="Garamond"/>
                <w:sz w:val="18"/>
                <w:szCs w:val="20"/>
              </w:rPr>
            </w:pPr>
            <w:r w:rsidRPr="0058349C">
              <w:rPr>
                <w:rFonts w:ascii="Garamond" w:eastAsia="Calibri" w:hAnsi="Garamond"/>
                <w:sz w:val="18"/>
                <w:szCs w:val="20"/>
              </w:rPr>
              <w:t>Përfituesi është Autoriteti menaxhues i IPARD, veçanërisht njësia e asistencës teknike IPARD III.</w:t>
            </w:r>
          </w:p>
          <w:p w14:paraId="0773B1D1" w14:textId="3FFF0DC0" w:rsidR="00FC6222" w:rsidRPr="0058349C" w:rsidRDefault="00FC6222" w:rsidP="00FC6222">
            <w:pPr>
              <w:pStyle w:val="Table1"/>
              <w:numPr>
                <w:ilvl w:val="0"/>
                <w:numId w:val="18"/>
              </w:numPr>
              <w:ind w:left="217" w:right="50" w:hanging="217"/>
              <w:rPr>
                <w:rFonts w:ascii="Garamond" w:eastAsia="Calibri" w:hAnsi="Garamond"/>
                <w:sz w:val="18"/>
                <w:szCs w:val="20"/>
              </w:rPr>
            </w:pPr>
            <w:r w:rsidRPr="0058349C">
              <w:rPr>
                <w:rFonts w:ascii="Garamond" w:eastAsia="Calibri" w:hAnsi="Garamond"/>
                <w:sz w:val="18"/>
                <w:szCs w:val="20"/>
              </w:rPr>
              <w:t>Stafi lokal duhet të trajnohet përmes misioneve afatmesme TAIEX për përdorimin e rregullave të PRAG</w:t>
            </w:r>
            <w:r w:rsidR="00136BEA">
              <w:rPr>
                <w:rFonts w:ascii="Garamond" w:eastAsia="Calibri" w:hAnsi="Garamond"/>
                <w:sz w:val="18"/>
                <w:szCs w:val="20"/>
              </w:rPr>
              <w:t>-së</w:t>
            </w:r>
            <w:r w:rsidRPr="0058349C">
              <w:rPr>
                <w:rFonts w:ascii="Garamond" w:eastAsia="Calibri" w:hAnsi="Garamond"/>
                <w:sz w:val="18"/>
                <w:szCs w:val="20"/>
              </w:rPr>
              <w:t>.</w:t>
            </w:r>
          </w:p>
          <w:p w14:paraId="0773B1D2" w14:textId="77777777" w:rsidR="00FC6222" w:rsidRPr="0058349C" w:rsidRDefault="00FC6222" w:rsidP="00FC6222">
            <w:pPr>
              <w:pStyle w:val="Table1"/>
              <w:numPr>
                <w:ilvl w:val="0"/>
                <w:numId w:val="18"/>
              </w:numPr>
              <w:ind w:left="217" w:right="50" w:hanging="217"/>
              <w:rPr>
                <w:rFonts w:ascii="Garamond" w:hAnsi="Garamond"/>
                <w:sz w:val="18"/>
                <w:szCs w:val="20"/>
              </w:rPr>
            </w:pPr>
            <w:r w:rsidRPr="0058349C">
              <w:rPr>
                <w:rFonts w:ascii="Garamond" w:eastAsia="Calibri" w:hAnsi="Garamond"/>
                <w:sz w:val="18"/>
                <w:szCs w:val="20"/>
              </w:rPr>
              <w:t>MBZHR duhet të verë në dispozicion burimet e nevojshme njerëzore për njësinë.</w:t>
            </w:r>
            <w:r w:rsidRPr="0058349C">
              <w:rPr>
                <w:rFonts w:ascii="Garamond" w:eastAsia="Arial Narrow" w:hAnsi="Garamond"/>
                <w:b/>
                <w:sz w:val="18"/>
                <w:szCs w:val="20"/>
              </w:rPr>
              <w:t xml:space="preserve"> </w:t>
            </w:r>
          </w:p>
        </w:tc>
        <w:tc>
          <w:tcPr>
            <w:tcW w:w="535" w:type="pct"/>
          </w:tcPr>
          <w:p w14:paraId="0773B1D3" w14:textId="77777777" w:rsidR="00FC6222" w:rsidRPr="0058349C" w:rsidRDefault="00FC6222" w:rsidP="00830F27">
            <w:pPr>
              <w:pStyle w:val="Table1"/>
              <w:ind w:left="217" w:right="50" w:hanging="217"/>
              <w:rPr>
                <w:rFonts w:ascii="Garamond" w:eastAsia="Arial Narrow" w:hAnsi="Garamond"/>
                <w:sz w:val="18"/>
                <w:szCs w:val="20"/>
              </w:rPr>
            </w:pPr>
            <w:r w:rsidRPr="0058349C">
              <w:rPr>
                <w:rFonts w:ascii="Garamond" w:eastAsia="Arial Narrow" w:hAnsi="Garamond"/>
                <w:sz w:val="18"/>
                <w:szCs w:val="20"/>
              </w:rPr>
              <w:t>1.14</w:t>
            </w:r>
          </w:p>
        </w:tc>
        <w:tc>
          <w:tcPr>
            <w:tcW w:w="645" w:type="pct"/>
          </w:tcPr>
          <w:p w14:paraId="0773B1D4"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 xml:space="preserve">TAIEX, Donatorët, Masa AT e programit IPARD </w:t>
            </w:r>
          </w:p>
        </w:tc>
      </w:tr>
      <w:tr w:rsidR="00FC6222" w:rsidRPr="0058349C" w14:paraId="0773B1E4" w14:textId="77777777" w:rsidTr="00543FCB">
        <w:trPr>
          <w:gridAfter w:val="1"/>
          <w:wAfter w:w="4" w:type="pct"/>
          <w:trHeight w:val="20"/>
        </w:trPr>
        <w:tc>
          <w:tcPr>
            <w:tcW w:w="586" w:type="pct"/>
            <w:gridSpan w:val="2"/>
            <w:vMerge w:val="restart"/>
          </w:tcPr>
          <w:p w14:paraId="0773B1D6"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24. Projekti AT për përafrimin e legjislacionit të BE-së</w:t>
            </w:r>
          </w:p>
        </w:tc>
        <w:tc>
          <w:tcPr>
            <w:tcW w:w="397" w:type="pct"/>
          </w:tcPr>
          <w:p w14:paraId="0773B1D7"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24.1 Kapitulli 11</w:t>
            </w:r>
          </w:p>
        </w:tc>
        <w:tc>
          <w:tcPr>
            <w:tcW w:w="2833" w:type="pct"/>
          </w:tcPr>
          <w:p w14:paraId="0773B1D8" w14:textId="0610C49A" w:rsidR="00FC6222" w:rsidRPr="0058349C" w:rsidRDefault="00FC6222" w:rsidP="00FC6222">
            <w:pPr>
              <w:pStyle w:val="Table1"/>
              <w:numPr>
                <w:ilvl w:val="0"/>
                <w:numId w:val="18"/>
              </w:numPr>
              <w:ind w:left="217" w:right="50" w:hanging="217"/>
              <w:rPr>
                <w:rFonts w:ascii="Garamond" w:eastAsia="Calibri" w:hAnsi="Garamond"/>
                <w:sz w:val="18"/>
                <w:szCs w:val="20"/>
              </w:rPr>
            </w:pPr>
            <w:r w:rsidRPr="0058349C">
              <w:rPr>
                <w:rFonts w:ascii="Garamond" w:eastAsia="Calibri" w:hAnsi="Garamond"/>
                <w:sz w:val="18"/>
                <w:szCs w:val="20"/>
              </w:rPr>
              <w:t>Përfituesi është IPARD</w:t>
            </w:r>
            <w:r w:rsidR="00797859">
              <w:rPr>
                <w:rFonts w:ascii="Garamond" w:eastAsia="Calibri" w:hAnsi="Garamond"/>
                <w:sz w:val="18"/>
                <w:szCs w:val="20"/>
              </w:rPr>
              <w:t>/</w:t>
            </w:r>
            <w:r w:rsidRPr="0058349C">
              <w:rPr>
                <w:rFonts w:ascii="Garamond" w:eastAsia="Calibri" w:hAnsi="Garamond"/>
                <w:sz w:val="18"/>
                <w:szCs w:val="20"/>
              </w:rPr>
              <w:t>MBZHR dhe AZHBR, si dhe njësia përgjegjëse për politikat në MBZHR</w:t>
            </w:r>
          </w:p>
          <w:p w14:paraId="0773B1D9" w14:textId="4FBA8BDB" w:rsidR="00FC6222" w:rsidRPr="0058349C" w:rsidRDefault="00FC6222" w:rsidP="00FC6222">
            <w:pPr>
              <w:pStyle w:val="Table1"/>
              <w:numPr>
                <w:ilvl w:val="0"/>
                <w:numId w:val="18"/>
              </w:numPr>
              <w:ind w:left="217" w:right="50" w:hanging="217"/>
              <w:rPr>
                <w:rFonts w:ascii="Garamond" w:eastAsia="Calibri" w:hAnsi="Garamond"/>
                <w:sz w:val="18"/>
                <w:szCs w:val="20"/>
              </w:rPr>
            </w:pPr>
            <w:r w:rsidRPr="0058349C">
              <w:rPr>
                <w:rFonts w:ascii="Garamond" w:eastAsia="Calibri" w:hAnsi="Garamond"/>
                <w:sz w:val="18"/>
                <w:szCs w:val="20"/>
              </w:rPr>
              <w:t>Projekte të</w:t>
            </w:r>
            <w:r w:rsidR="00CF7694" w:rsidRPr="0058349C">
              <w:rPr>
                <w:rFonts w:ascii="Garamond" w:eastAsia="Calibri" w:hAnsi="Garamond"/>
                <w:sz w:val="18"/>
                <w:szCs w:val="20"/>
              </w:rPr>
              <w:t xml:space="preserve"> </w:t>
            </w:r>
            <w:r w:rsidRPr="0058349C">
              <w:rPr>
                <w:rFonts w:ascii="Garamond" w:eastAsia="Calibri" w:hAnsi="Garamond"/>
                <w:sz w:val="18"/>
                <w:szCs w:val="20"/>
              </w:rPr>
              <w:t>veçanta të AT duhet të synojnë:</w:t>
            </w:r>
          </w:p>
          <w:p w14:paraId="0773B1DA" w14:textId="11A7AE1C" w:rsidR="00FC6222" w:rsidRPr="0058349C" w:rsidRDefault="00167C37" w:rsidP="00167C37">
            <w:pPr>
              <w:pStyle w:val="Table1"/>
              <w:ind w:left="576" w:right="43"/>
              <w:rPr>
                <w:rFonts w:ascii="Garamond" w:eastAsia="Calibri" w:hAnsi="Garamond"/>
                <w:sz w:val="18"/>
                <w:szCs w:val="20"/>
              </w:rPr>
            </w:pPr>
            <w:r w:rsidRPr="0058349C">
              <w:rPr>
                <w:rFonts w:ascii="Garamond" w:eastAsia="Calibri" w:hAnsi="Garamond"/>
                <w:sz w:val="18"/>
                <w:szCs w:val="20"/>
              </w:rPr>
              <w:t xml:space="preserve">- </w:t>
            </w:r>
            <w:r w:rsidR="00FC6222" w:rsidRPr="0058349C">
              <w:rPr>
                <w:rFonts w:ascii="Garamond" w:eastAsia="Calibri" w:hAnsi="Garamond"/>
                <w:sz w:val="18"/>
                <w:szCs w:val="20"/>
              </w:rPr>
              <w:t>Krijimin e FADN dhe të një njësie të MBZHR-së për analiza ekonomike;</w:t>
            </w:r>
          </w:p>
          <w:p w14:paraId="0773B1DB" w14:textId="4C9E9D9A" w:rsidR="00FC6222" w:rsidRPr="0058349C" w:rsidRDefault="00167C37" w:rsidP="00167C37">
            <w:pPr>
              <w:pStyle w:val="Table1"/>
              <w:ind w:left="576" w:right="43"/>
              <w:rPr>
                <w:rFonts w:ascii="Garamond" w:eastAsia="Calibri" w:hAnsi="Garamond"/>
                <w:sz w:val="18"/>
                <w:szCs w:val="20"/>
              </w:rPr>
            </w:pPr>
            <w:r w:rsidRPr="0058349C">
              <w:rPr>
                <w:rFonts w:ascii="Garamond" w:eastAsia="Calibri" w:hAnsi="Garamond"/>
                <w:sz w:val="18"/>
                <w:szCs w:val="20"/>
              </w:rPr>
              <w:t xml:space="preserve">- </w:t>
            </w:r>
            <w:r w:rsidR="00FC6222" w:rsidRPr="0058349C">
              <w:rPr>
                <w:rFonts w:ascii="Garamond" w:eastAsia="Calibri" w:hAnsi="Garamond"/>
                <w:sz w:val="18"/>
                <w:szCs w:val="20"/>
              </w:rPr>
              <w:t>Konsolidimin e regjistrit të fermave (përfshirë lidhjen e tij me bazat e tjera të të</w:t>
            </w:r>
            <w:r w:rsidR="00CF7694" w:rsidRPr="0058349C">
              <w:rPr>
                <w:rFonts w:ascii="Garamond" w:eastAsia="Calibri" w:hAnsi="Garamond"/>
                <w:sz w:val="18"/>
                <w:szCs w:val="20"/>
              </w:rPr>
              <w:t xml:space="preserve"> </w:t>
            </w:r>
            <w:r w:rsidR="00FC6222" w:rsidRPr="0058349C">
              <w:rPr>
                <w:rFonts w:ascii="Garamond" w:eastAsia="Calibri" w:hAnsi="Garamond"/>
                <w:sz w:val="18"/>
                <w:szCs w:val="20"/>
              </w:rPr>
              <w:t>dhënave);</w:t>
            </w:r>
          </w:p>
          <w:p w14:paraId="0773B1DC" w14:textId="36BF6388" w:rsidR="00FC6222" w:rsidRPr="0058349C" w:rsidRDefault="00167C37" w:rsidP="00167C37">
            <w:pPr>
              <w:pStyle w:val="Table1"/>
              <w:ind w:left="576" w:right="43"/>
              <w:rPr>
                <w:rFonts w:ascii="Garamond" w:eastAsia="Calibri" w:hAnsi="Garamond"/>
                <w:sz w:val="18"/>
                <w:szCs w:val="20"/>
              </w:rPr>
            </w:pPr>
            <w:r w:rsidRPr="0058349C">
              <w:rPr>
                <w:rFonts w:ascii="Garamond" w:eastAsia="Calibri" w:hAnsi="Garamond"/>
                <w:sz w:val="18"/>
                <w:szCs w:val="20"/>
              </w:rPr>
              <w:t xml:space="preserve">- </w:t>
            </w:r>
            <w:r w:rsidR="00FC6222" w:rsidRPr="0058349C">
              <w:rPr>
                <w:rFonts w:ascii="Garamond" w:eastAsia="Calibri" w:hAnsi="Garamond"/>
                <w:sz w:val="18"/>
                <w:szCs w:val="20"/>
              </w:rPr>
              <w:t>Zhvillimi i mëtejshëm i</w:t>
            </w:r>
            <w:r w:rsidR="00CF7694" w:rsidRPr="0058349C">
              <w:rPr>
                <w:rFonts w:ascii="Garamond" w:eastAsia="Calibri" w:hAnsi="Garamond"/>
                <w:sz w:val="18"/>
                <w:szCs w:val="20"/>
              </w:rPr>
              <w:t xml:space="preserve"> </w:t>
            </w:r>
            <w:r w:rsidR="00FC6222" w:rsidRPr="0058349C">
              <w:rPr>
                <w:rFonts w:ascii="Garamond" w:eastAsia="Calibri" w:hAnsi="Garamond"/>
                <w:sz w:val="18"/>
                <w:szCs w:val="20"/>
              </w:rPr>
              <w:t>sistemit të administrimit dhe kontrollit (IACS)</w:t>
            </w:r>
            <w:r w:rsidR="00A20C91">
              <w:rPr>
                <w:rFonts w:ascii="Garamond" w:eastAsia="Calibri" w:hAnsi="Garamond"/>
                <w:sz w:val="18"/>
                <w:szCs w:val="20"/>
              </w:rPr>
              <w:t>,</w:t>
            </w:r>
            <w:r w:rsidR="00FC6222" w:rsidRPr="0058349C">
              <w:rPr>
                <w:rFonts w:ascii="Garamond" w:eastAsia="Calibri" w:hAnsi="Garamond"/>
                <w:sz w:val="18"/>
                <w:szCs w:val="20"/>
              </w:rPr>
              <w:t xml:space="preserve"> përfshirë zhvillimin e</w:t>
            </w:r>
            <w:r w:rsidR="00CF7694" w:rsidRPr="0058349C">
              <w:rPr>
                <w:rFonts w:ascii="Garamond" w:eastAsia="Calibri" w:hAnsi="Garamond"/>
                <w:sz w:val="18"/>
                <w:szCs w:val="20"/>
              </w:rPr>
              <w:t xml:space="preserve"> </w:t>
            </w:r>
            <w:r w:rsidR="00FC6222" w:rsidRPr="0058349C">
              <w:rPr>
                <w:rFonts w:ascii="Garamond" w:eastAsia="Calibri" w:hAnsi="Garamond"/>
                <w:sz w:val="18"/>
                <w:szCs w:val="20"/>
              </w:rPr>
              <w:t>sistemit të parcelave të tokë (LPIS)</w:t>
            </w:r>
            <w:r w:rsidR="00136BEA">
              <w:rPr>
                <w:rFonts w:ascii="Garamond" w:eastAsia="Calibri" w:hAnsi="Garamond"/>
                <w:sz w:val="18"/>
                <w:szCs w:val="20"/>
              </w:rPr>
              <w:t>;</w:t>
            </w:r>
          </w:p>
          <w:p w14:paraId="0773B1DD" w14:textId="341454F5" w:rsidR="00FC6222" w:rsidRPr="0058349C" w:rsidRDefault="00167C37" w:rsidP="00167C37">
            <w:pPr>
              <w:pStyle w:val="Table1"/>
              <w:ind w:left="576" w:right="43"/>
              <w:rPr>
                <w:rFonts w:ascii="Garamond" w:eastAsia="Calibri" w:hAnsi="Garamond"/>
                <w:sz w:val="18"/>
                <w:szCs w:val="20"/>
              </w:rPr>
            </w:pPr>
            <w:r w:rsidRPr="0058349C">
              <w:rPr>
                <w:rFonts w:ascii="Garamond" w:eastAsia="Calibri" w:hAnsi="Garamond"/>
                <w:sz w:val="18"/>
                <w:szCs w:val="20"/>
              </w:rPr>
              <w:t xml:space="preserve">- </w:t>
            </w:r>
            <w:r w:rsidR="00FC6222" w:rsidRPr="0058349C">
              <w:rPr>
                <w:rFonts w:ascii="Garamond" w:eastAsia="Calibri" w:hAnsi="Garamond"/>
                <w:sz w:val="18"/>
                <w:szCs w:val="20"/>
              </w:rPr>
              <w:t>Përgatitja e akreditimit për masat e reja IPARD III;</w:t>
            </w:r>
          </w:p>
          <w:p w14:paraId="0773B1DE" w14:textId="0B0C0603" w:rsidR="00FC6222" w:rsidRPr="0058349C" w:rsidRDefault="00167C37" w:rsidP="00167C37">
            <w:pPr>
              <w:pStyle w:val="Table1"/>
              <w:ind w:left="576" w:right="43"/>
              <w:rPr>
                <w:rFonts w:ascii="Garamond" w:eastAsia="Calibri" w:hAnsi="Garamond"/>
                <w:sz w:val="18"/>
                <w:szCs w:val="20"/>
              </w:rPr>
            </w:pPr>
            <w:r w:rsidRPr="0058349C">
              <w:rPr>
                <w:rFonts w:ascii="Garamond" w:eastAsia="Calibri" w:hAnsi="Garamond"/>
                <w:sz w:val="18"/>
                <w:szCs w:val="20"/>
              </w:rPr>
              <w:lastRenderedPageBreak/>
              <w:t xml:space="preserve">- </w:t>
            </w:r>
            <w:r w:rsidR="00FC6222" w:rsidRPr="0058349C">
              <w:rPr>
                <w:rFonts w:ascii="Garamond" w:eastAsia="Calibri" w:hAnsi="Garamond"/>
                <w:sz w:val="18"/>
                <w:szCs w:val="20"/>
              </w:rPr>
              <w:t>Përditësimi i legjislacionit për bujqësinë organike dhe ngritja e një njësie në MBZHR me staf për këtë sektor;</w:t>
            </w:r>
          </w:p>
          <w:p w14:paraId="0773B1DF" w14:textId="2D69A991" w:rsidR="00FC6222" w:rsidRPr="0058349C" w:rsidRDefault="00167C37" w:rsidP="00136BEA">
            <w:pPr>
              <w:pStyle w:val="Table1"/>
              <w:ind w:left="576" w:right="43"/>
              <w:rPr>
                <w:rFonts w:ascii="Garamond" w:eastAsia="Calibri" w:hAnsi="Garamond"/>
                <w:sz w:val="18"/>
                <w:szCs w:val="20"/>
              </w:rPr>
            </w:pPr>
            <w:r w:rsidRPr="0058349C">
              <w:rPr>
                <w:rFonts w:ascii="Garamond" w:eastAsia="Calibri" w:hAnsi="Garamond"/>
                <w:sz w:val="18"/>
                <w:szCs w:val="20"/>
              </w:rPr>
              <w:t xml:space="preserve">- </w:t>
            </w:r>
            <w:r w:rsidR="00FC6222" w:rsidRPr="0058349C">
              <w:rPr>
                <w:rFonts w:ascii="Garamond" w:eastAsia="Calibri" w:hAnsi="Garamond"/>
                <w:sz w:val="18"/>
                <w:szCs w:val="20"/>
              </w:rPr>
              <w:t>Zbatimi i qasjes LEADER duke përfshirë krijimin e rrjetit</w:t>
            </w:r>
            <w:r w:rsidR="00136BEA">
              <w:rPr>
                <w:rFonts w:ascii="Garamond" w:eastAsia="Calibri" w:hAnsi="Garamond"/>
                <w:sz w:val="18"/>
                <w:szCs w:val="20"/>
              </w:rPr>
              <w:t>.</w:t>
            </w:r>
          </w:p>
          <w:p w14:paraId="0773B1E0" w14:textId="69840523" w:rsidR="00FC6222" w:rsidRPr="0058349C" w:rsidRDefault="00FC6222" w:rsidP="00FC6222">
            <w:pPr>
              <w:pStyle w:val="Table1"/>
              <w:numPr>
                <w:ilvl w:val="0"/>
                <w:numId w:val="18"/>
              </w:numPr>
              <w:ind w:left="217" w:right="50" w:hanging="217"/>
              <w:rPr>
                <w:rFonts w:ascii="Garamond" w:eastAsia="Calibri" w:hAnsi="Garamond"/>
                <w:sz w:val="18"/>
                <w:szCs w:val="20"/>
              </w:rPr>
            </w:pPr>
            <w:r w:rsidRPr="0058349C">
              <w:rPr>
                <w:rFonts w:ascii="Garamond" w:eastAsia="Calibri" w:hAnsi="Garamond"/>
                <w:sz w:val="18"/>
                <w:szCs w:val="20"/>
              </w:rPr>
              <w:t>Kë</w:t>
            </w:r>
            <w:r w:rsidR="00136BEA">
              <w:rPr>
                <w:rFonts w:ascii="Garamond" w:eastAsia="Calibri" w:hAnsi="Garamond"/>
                <w:sz w:val="18"/>
                <w:szCs w:val="20"/>
              </w:rPr>
              <w:t>shillim për negociatat me BE-në.</w:t>
            </w:r>
          </w:p>
          <w:p w14:paraId="0773B1E1" w14:textId="77777777" w:rsidR="00FC6222" w:rsidRPr="0058349C" w:rsidRDefault="00FC6222" w:rsidP="00FC6222">
            <w:pPr>
              <w:pStyle w:val="Table1"/>
              <w:numPr>
                <w:ilvl w:val="0"/>
                <w:numId w:val="18"/>
              </w:numPr>
              <w:ind w:left="217" w:right="50" w:hanging="217"/>
              <w:rPr>
                <w:rFonts w:ascii="Garamond" w:eastAsia="Calibri" w:hAnsi="Garamond"/>
                <w:sz w:val="18"/>
                <w:szCs w:val="20"/>
              </w:rPr>
            </w:pPr>
            <w:r w:rsidRPr="0058349C">
              <w:rPr>
                <w:rFonts w:ascii="Garamond" w:eastAsia="Calibri" w:hAnsi="Garamond"/>
                <w:sz w:val="18"/>
                <w:szCs w:val="20"/>
              </w:rPr>
              <w:t>MBZHR-ja duhet të sigurojë burime të mjaftueshme dhe të përshtatshme njerëzore për njësitë e saj teknike.</w:t>
            </w:r>
          </w:p>
        </w:tc>
        <w:tc>
          <w:tcPr>
            <w:tcW w:w="535" w:type="pct"/>
          </w:tcPr>
          <w:p w14:paraId="0773B1E2" w14:textId="55622752" w:rsidR="00FC6222" w:rsidRPr="0058349C" w:rsidRDefault="00FC6222" w:rsidP="009A6913">
            <w:pPr>
              <w:pStyle w:val="Table1"/>
              <w:rPr>
                <w:rFonts w:ascii="Garamond" w:eastAsia="Arial Narrow" w:hAnsi="Garamond"/>
                <w:sz w:val="18"/>
                <w:szCs w:val="20"/>
              </w:rPr>
            </w:pPr>
            <w:r w:rsidRPr="0058349C">
              <w:rPr>
                <w:rFonts w:ascii="Garamond" w:eastAsia="Arial Narrow" w:hAnsi="Garamond"/>
                <w:sz w:val="18"/>
                <w:szCs w:val="20"/>
              </w:rPr>
              <w:lastRenderedPageBreak/>
              <w:t>1.14, 1.11, 1.12, 2.5, 2.8, 3.9</w:t>
            </w:r>
            <w:r w:rsidR="00CF7694" w:rsidRPr="0058349C">
              <w:rPr>
                <w:rFonts w:ascii="Garamond" w:eastAsia="Arial Narrow" w:hAnsi="Garamond"/>
                <w:sz w:val="18"/>
                <w:szCs w:val="20"/>
              </w:rPr>
              <w:t xml:space="preserve"> </w:t>
            </w:r>
            <w:r w:rsidRPr="0058349C">
              <w:rPr>
                <w:rFonts w:ascii="Garamond" w:eastAsia="Calibri" w:hAnsi="Garamond"/>
                <w:sz w:val="18"/>
                <w:szCs w:val="20"/>
              </w:rPr>
              <w:t>Objektivi ndërsektorial 1, kapitulli Objektivi ndë</w:t>
            </w:r>
            <w:r w:rsidR="009A6913">
              <w:rPr>
                <w:rFonts w:ascii="Garamond" w:eastAsia="Calibri" w:hAnsi="Garamond"/>
                <w:sz w:val="18"/>
                <w:szCs w:val="20"/>
              </w:rPr>
              <w:t>r</w:t>
            </w:r>
            <w:r w:rsidRPr="0058349C">
              <w:rPr>
                <w:rFonts w:ascii="Garamond" w:eastAsia="Calibri" w:hAnsi="Garamond"/>
                <w:sz w:val="18"/>
                <w:szCs w:val="20"/>
              </w:rPr>
              <w:t xml:space="preserve">sektorial 1: Forcimi i </w:t>
            </w:r>
            <w:r w:rsidRPr="0058349C">
              <w:rPr>
                <w:rFonts w:ascii="Garamond" w:eastAsia="Calibri" w:hAnsi="Garamond"/>
                <w:sz w:val="18"/>
                <w:szCs w:val="20"/>
              </w:rPr>
              <w:lastRenderedPageBreak/>
              <w:t xml:space="preserve">kapaciteteve institucionale dhe administrative për përafrimin me </w:t>
            </w:r>
            <w:r w:rsidR="00B25257" w:rsidRPr="00B25257">
              <w:rPr>
                <w:rFonts w:ascii="Garamond" w:eastAsia="Calibri" w:hAnsi="Garamond"/>
                <w:i/>
                <w:iCs/>
                <w:sz w:val="18"/>
                <w:szCs w:val="20"/>
              </w:rPr>
              <w:t>acquis</w:t>
            </w:r>
            <w:r w:rsidRPr="0058349C">
              <w:rPr>
                <w:rFonts w:ascii="Garamond" w:eastAsia="Calibri" w:hAnsi="Garamond"/>
                <w:sz w:val="18"/>
                <w:szCs w:val="20"/>
              </w:rPr>
              <w:t xml:space="preserve"> të BE-së </w:t>
            </w:r>
          </w:p>
        </w:tc>
        <w:tc>
          <w:tcPr>
            <w:tcW w:w="645" w:type="pct"/>
          </w:tcPr>
          <w:p w14:paraId="0773B1E3" w14:textId="28B1D6D2" w:rsidR="00FC6222" w:rsidRPr="0058349C" w:rsidRDefault="00FC6222" w:rsidP="00830F27">
            <w:pPr>
              <w:pStyle w:val="Table1"/>
              <w:rPr>
                <w:rFonts w:ascii="Garamond" w:eastAsia="Calibri" w:hAnsi="Garamond"/>
                <w:sz w:val="18"/>
                <w:szCs w:val="20"/>
              </w:rPr>
            </w:pPr>
            <w:r w:rsidRPr="0058349C">
              <w:rPr>
                <w:rFonts w:ascii="Garamond" w:eastAsia="Arial Narrow" w:hAnsi="Garamond"/>
                <w:sz w:val="18"/>
                <w:szCs w:val="20"/>
              </w:rPr>
              <w:lastRenderedPageBreak/>
              <w:t xml:space="preserve">TAIEX </w:t>
            </w:r>
            <w:r w:rsidR="00797859">
              <w:rPr>
                <w:rFonts w:ascii="Garamond" w:eastAsia="Arial Narrow" w:hAnsi="Garamond"/>
                <w:sz w:val="18"/>
                <w:szCs w:val="20"/>
              </w:rPr>
              <w:t>/</w:t>
            </w:r>
            <w:r w:rsidRPr="0058349C">
              <w:rPr>
                <w:rFonts w:ascii="Garamond" w:eastAsia="Arial Narrow" w:hAnsi="Garamond"/>
                <w:sz w:val="18"/>
                <w:szCs w:val="20"/>
              </w:rPr>
              <w:t>IPA III, IPARD III Masa AT, Donatorët</w:t>
            </w:r>
          </w:p>
        </w:tc>
      </w:tr>
      <w:tr w:rsidR="00FC6222" w:rsidRPr="0058349C" w14:paraId="0773B1F7" w14:textId="77777777" w:rsidTr="00543FCB">
        <w:trPr>
          <w:gridAfter w:val="1"/>
          <w:wAfter w:w="4" w:type="pct"/>
          <w:trHeight w:val="20"/>
        </w:trPr>
        <w:tc>
          <w:tcPr>
            <w:tcW w:w="586" w:type="pct"/>
            <w:gridSpan w:val="2"/>
            <w:vMerge/>
            <w:vAlign w:val="center"/>
          </w:tcPr>
          <w:p w14:paraId="0773B1E5" w14:textId="77777777" w:rsidR="00FC6222" w:rsidRPr="0058349C" w:rsidRDefault="00FC6222" w:rsidP="00830F27">
            <w:pPr>
              <w:pStyle w:val="Table1"/>
              <w:rPr>
                <w:rFonts w:ascii="Garamond" w:hAnsi="Garamond"/>
                <w:b/>
                <w:bCs/>
                <w:sz w:val="18"/>
                <w:szCs w:val="20"/>
              </w:rPr>
            </w:pPr>
          </w:p>
        </w:tc>
        <w:tc>
          <w:tcPr>
            <w:tcW w:w="397" w:type="pct"/>
          </w:tcPr>
          <w:p w14:paraId="0773B1E6"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24.2 Kapitulli 12</w:t>
            </w:r>
          </w:p>
        </w:tc>
        <w:tc>
          <w:tcPr>
            <w:tcW w:w="2833" w:type="pct"/>
          </w:tcPr>
          <w:p w14:paraId="0773B1E7" w14:textId="41641BCF" w:rsidR="00FC6222" w:rsidRPr="0058349C" w:rsidRDefault="00167C37" w:rsidP="00167C37">
            <w:pPr>
              <w:pStyle w:val="Table1"/>
              <w:ind w:right="50"/>
              <w:rPr>
                <w:rFonts w:ascii="Garamond" w:eastAsia="Arial Narrow" w:hAnsi="Garamond"/>
                <w:sz w:val="18"/>
                <w:szCs w:val="20"/>
              </w:rPr>
            </w:pPr>
            <w:r w:rsidRPr="0058349C">
              <w:rPr>
                <w:rFonts w:ascii="Garamond" w:eastAsia="Arial Narrow" w:hAnsi="Garamond"/>
                <w:sz w:val="18"/>
                <w:szCs w:val="20"/>
              </w:rPr>
              <w:t xml:space="preserve">- </w:t>
            </w:r>
            <w:r w:rsidR="00FC6222" w:rsidRPr="0058349C">
              <w:rPr>
                <w:rFonts w:ascii="Garamond" w:eastAsia="Arial Narrow" w:hAnsi="Garamond"/>
                <w:sz w:val="18"/>
                <w:szCs w:val="20"/>
              </w:rPr>
              <w:t>Përfitues është MBZHR dhe autoritetet/agjencitë përgjegjëse për çështjet e sigurisë ushqimore, veterinare dhe mbrojtjes së bimëve.</w:t>
            </w:r>
          </w:p>
          <w:p w14:paraId="0773B1E8" w14:textId="35E58676" w:rsidR="00FC6222" w:rsidRPr="0058349C" w:rsidRDefault="00167C37" w:rsidP="00167C37">
            <w:pPr>
              <w:pStyle w:val="Table1"/>
              <w:ind w:right="50"/>
              <w:rPr>
                <w:rFonts w:ascii="Garamond" w:eastAsia="Arial Narrow" w:hAnsi="Garamond"/>
                <w:sz w:val="18"/>
                <w:szCs w:val="20"/>
              </w:rPr>
            </w:pPr>
            <w:r w:rsidRPr="0058349C">
              <w:rPr>
                <w:rFonts w:ascii="Garamond" w:eastAsia="Arial Narrow" w:hAnsi="Garamond"/>
                <w:sz w:val="18"/>
                <w:szCs w:val="20"/>
              </w:rPr>
              <w:t xml:space="preserve">- </w:t>
            </w:r>
            <w:r w:rsidR="00FC6222" w:rsidRPr="0058349C">
              <w:rPr>
                <w:rFonts w:ascii="Garamond" w:eastAsia="Arial Narrow" w:hAnsi="Garamond"/>
                <w:sz w:val="18"/>
                <w:szCs w:val="20"/>
              </w:rPr>
              <w:t>Mbështetja AT duhet të synojë:</w:t>
            </w:r>
          </w:p>
          <w:p w14:paraId="0773B1E9" w14:textId="7A92217F" w:rsidR="00FC6222" w:rsidRPr="0058349C" w:rsidRDefault="00167C37" w:rsidP="00167C37">
            <w:pPr>
              <w:pStyle w:val="Table1"/>
              <w:ind w:right="50"/>
              <w:rPr>
                <w:rFonts w:ascii="Garamond" w:eastAsia="Arial Narrow" w:hAnsi="Garamond"/>
                <w:sz w:val="18"/>
                <w:szCs w:val="20"/>
              </w:rPr>
            </w:pPr>
            <w:r w:rsidRPr="0058349C">
              <w:rPr>
                <w:rFonts w:ascii="Garamond" w:eastAsia="Arial Narrow" w:hAnsi="Garamond"/>
                <w:sz w:val="18"/>
                <w:szCs w:val="20"/>
              </w:rPr>
              <w:t xml:space="preserve">- </w:t>
            </w:r>
            <w:r w:rsidR="00FC6222" w:rsidRPr="0058349C">
              <w:rPr>
                <w:rFonts w:ascii="Garamond" w:eastAsia="Arial Narrow" w:hAnsi="Garamond"/>
                <w:sz w:val="18"/>
                <w:szCs w:val="20"/>
              </w:rPr>
              <w:t>Përditësimin dhe përmirësimin e mëtejshëm të bazës së të dhënave të Regjistrit të Kafshëve, sigurimin e një lidhjeje të mirë me bazat e tjera të të dhënave dhe përditësimin e bazës ligjore përkatëse;</w:t>
            </w:r>
          </w:p>
          <w:p w14:paraId="0773B1EA" w14:textId="56D9D505" w:rsidR="00FC6222" w:rsidRPr="0058349C" w:rsidRDefault="00167C37" w:rsidP="00167C37">
            <w:pPr>
              <w:pStyle w:val="Table1"/>
              <w:ind w:right="50"/>
              <w:rPr>
                <w:rFonts w:ascii="Garamond" w:eastAsia="Arial Narrow" w:hAnsi="Garamond"/>
                <w:sz w:val="18"/>
                <w:szCs w:val="20"/>
              </w:rPr>
            </w:pPr>
            <w:r w:rsidRPr="0058349C">
              <w:rPr>
                <w:rFonts w:ascii="Garamond" w:eastAsia="Arial Narrow" w:hAnsi="Garamond"/>
                <w:sz w:val="18"/>
                <w:szCs w:val="20"/>
              </w:rPr>
              <w:t xml:space="preserve">- </w:t>
            </w:r>
            <w:r w:rsidR="00FC6222" w:rsidRPr="0058349C">
              <w:rPr>
                <w:rFonts w:ascii="Garamond" w:eastAsia="Arial Narrow" w:hAnsi="Garamond"/>
                <w:sz w:val="18"/>
                <w:szCs w:val="20"/>
              </w:rPr>
              <w:t>Përgatitjen e planeve të veprimit për boshllëqet institucionale që kanë të bëjnë me ushqimin e kafshëve, gjurmueshmërinë e nënprodukteve shtazore (mish dhe produkte qumështi), konsolidimin e mëtejshëm të programeve të kontrollit të sëmundjeve të kafshëve (plani i monitorimit në lidhje me sëmundjet e kafshëve dhe për nënproduktet/vlerësimin e rrezikut për fermat dhe për operatorët e biznesit) etj.;</w:t>
            </w:r>
          </w:p>
          <w:p w14:paraId="0773B1EB" w14:textId="7DCDFCFA" w:rsidR="00FC6222" w:rsidRPr="0058349C" w:rsidRDefault="00167C37" w:rsidP="00167C37">
            <w:pPr>
              <w:pStyle w:val="Table1"/>
              <w:ind w:right="50"/>
              <w:rPr>
                <w:rFonts w:ascii="Garamond" w:eastAsia="Calibri" w:hAnsi="Garamond"/>
                <w:sz w:val="18"/>
                <w:szCs w:val="20"/>
              </w:rPr>
            </w:pPr>
            <w:r w:rsidRPr="0058349C">
              <w:rPr>
                <w:rFonts w:ascii="Garamond" w:eastAsia="Arial Narrow" w:hAnsi="Garamond"/>
                <w:sz w:val="18"/>
                <w:szCs w:val="20"/>
              </w:rPr>
              <w:t xml:space="preserve">- </w:t>
            </w:r>
            <w:r w:rsidR="00FC6222" w:rsidRPr="0058349C">
              <w:rPr>
                <w:rFonts w:ascii="Garamond" w:eastAsia="Arial Narrow" w:hAnsi="Garamond"/>
                <w:sz w:val="18"/>
                <w:szCs w:val="20"/>
              </w:rPr>
              <w:t>Përmirësimin e të gjitha procedurave të kontrollit, logjistikës së nevojshme për kontrollet (përfshirë laboratorët e specializuar) dhe bazat e të dhënave përkatëse</w:t>
            </w:r>
            <w:r w:rsidR="00FC6222" w:rsidRPr="0058349C">
              <w:rPr>
                <w:rFonts w:ascii="Garamond" w:eastAsia="Calibri" w:hAnsi="Garamond"/>
                <w:sz w:val="18"/>
                <w:szCs w:val="20"/>
              </w:rPr>
              <w:t>;</w:t>
            </w:r>
          </w:p>
          <w:p w14:paraId="0773B1EC" w14:textId="626EECB1" w:rsidR="00FC6222" w:rsidRPr="0058349C" w:rsidRDefault="00167C37" w:rsidP="00167C37">
            <w:pPr>
              <w:pStyle w:val="Table1"/>
              <w:ind w:right="50"/>
              <w:rPr>
                <w:rFonts w:ascii="Garamond" w:eastAsia="Calibri" w:hAnsi="Garamond"/>
                <w:sz w:val="18"/>
                <w:szCs w:val="20"/>
              </w:rPr>
            </w:pPr>
            <w:r w:rsidRPr="0058349C">
              <w:rPr>
                <w:rFonts w:ascii="Garamond" w:eastAsia="Calibri" w:hAnsi="Garamond"/>
                <w:sz w:val="18"/>
                <w:szCs w:val="20"/>
              </w:rPr>
              <w:t xml:space="preserve">- </w:t>
            </w:r>
            <w:r w:rsidR="00FC6222" w:rsidRPr="0058349C">
              <w:rPr>
                <w:rFonts w:ascii="Garamond" w:eastAsia="Calibri" w:hAnsi="Garamond"/>
                <w:sz w:val="18"/>
                <w:szCs w:val="20"/>
              </w:rPr>
              <w:t>Bashkëpunimin ndërkufitar për parandalimin e sëmundjeve endemike rajonale dhe për sëmundjet e reja/shpërthimet e reja;</w:t>
            </w:r>
          </w:p>
          <w:p w14:paraId="0773B1ED" w14:textId="547B3577" w:rsidR="00FC6222" w:rsidRPr="0058349C" w:rsidRDefault="00167C37" w:rsidP="00167C37">
            <w:pPr>
              <w:pStyle w:val="Table1"/>
              <w:ind w:right="50"/>
              <w:rPr>
                <w:rFonts w:ascii="Garamond" w:eastAsia="Calibri" w:hAnsi="Garamond"/>
                <w:sz w:val="18"/>
                <w:szCs w:val="20"/>
              </w:rPr>
            </w:pPr>
            <w:r w:rsidRPr="0058349C">
              <w:rPr>
                <w:rFonts w:ascii="Garamond" w:eastAsia="Calibri" w:hAnsi="Garamond"/>
                <w:sz w:val="18"/>
                <w:szCs w:val="20"/>
              </w:rPr>
              <w:t xml:space="preserve">- </w:t>
            </w:r>
            <w:r w:rsidR="00FC6222" w:rsidRPr="0058349C">
              <w:rPr>
                <w:rFonts w:ascii="Garamond" w:eastAsia="Calibri" w:hAnsi="Garamond"/>
                <w:sz w:val="18"/>
                <w:szCs w:val="20"/>
              </w:rPr>
              <w:t>Përdorimin e pesticideve në nivel ferme dhe zbulimin e mbetjeve të pesticideve në bimë;</w:t>
            </w:r>
          </w:p>
          <w:p w14:paraId="0773B1EE" w14:textId="66FECCD6" w:rsidR="00FC6222" w:rsidRPr="0058349C" w:rsidRDefault="00167C37" w:rsidP="00167C37">
            <w:pPr>
              <w:pStyle w:val="Table1"/>
              <w:ind w:right="50"/>
              <w:rPr>
                <w:rFonts w:ascii="Garamond" w:eastAsia="Calibri" w:hAnsi="Garamond"/>
                <w:sz w:val="18"/>
                <w:szCs w:val="20"/>
              </w:rPr>
            </w:pPr>
            <w:r w:rsidRPr="0058349C">
              <w:rPr>
                <w:rFonts w:ascii="Garamond" w:eastAsia="Calibri" w:hAnsi="Garamond"/>
                <w:sz w:val="18"/>
                <w:szCs w:val="20"/>
              </w:rPr>
              <w:t xml:space="preserve">- </w:t>
            </w:r>
            <w:r w:rsidR="00FC6222" w:rsidRPr="0058349C">
              <w:rPr>
                <w:rFonts w:ascii="Garamond" w:eastAsia="Calibri" w:hAnsi="Garamond"/>
                <w:sz w:val="18"/>
                <w:szCs w:val="20"/>
              </w:rPr>
              <w:t>Unifikimin e procedurave të ndryshme të regjistrimit për inputet bujqësore;</w:t>
            </w:r>
          </w:p>
          <w:p w14:paraId="0773B1EF" w14:textId="58051ECF" w:rsidR="00FC6222" w:rsidRPr="0058349C" w:rsidRDefault="00167C37" w:rsidP="00167C37">
            <w:pPr>
              <w:pStyle w:val="Table1"/>
              <w:ind w:right="50"/>
              <w:rPr>
                <w:rFonts w:ascii="Garamond" w:eastAsia="Calibri" w:hAnsi="Garamond"/>
                <w:sz w:val="18"/>
                <w:szCs w:val="20"/>
              </w:rPr>
            </w:pPr>
            <w:r w:rsidRPr="0058349C">
              <w:rPr>
                <w:rFonts w:ascii="Garamond" w:eastAsia="Calibri" w:hAnsi="Garamond"/>
                <w:sz w:val="18"/>
                <w:szCs w:val="20"/>
              </w:rPr>
              <w:t xml:space="preserve">- </w:t>
            </w:r>
            <w:r w:rsidR="00FC6222" w:rsidRPr="0058349C">
              <w:rPr>
                <w:rFonts w:ascii="Garamond" w:eastAsia="Calibri" w:hAnsi="Garamond"/>
                <w:sz w:val="18"/>
                <w:szCs w:val="20"/>
              </w:rPr>
              <w:t>Monitorimin e standardeve të sigurisë ushqimore për njësitë</w:t>
            </w:r>
            <w:r w:rsidR="00CF7694" w:rsidRPr="0058349C">
              <w:rPr>
                <w:rFonts w:ascii="Garamond" w:eastAsia="Calibri" w:hAnsi="Garamond"/>
                <w:sz w:val="18"/>
                <w:szCs w:val="20"/>
              </w:rPr>
              <w:t xml:space="preserve"> </w:t>
            </w:r>
            <w:r w:rsidR="00FC6222" w:rsidRPr="0058349C">
              <w:rPr>
                <w:rFonts w:ascii="Garamond" w:eastAsia="Calibri" w:hAnsi="Garamond"/>
                <w:sz w:val="18"/>
                <w:szCs w:val="20"/>
              </w:rPr>
              <w:t>e agropërpunimit;</w:t>
            </w:r>
          </w:p>
          <w:p w14:paraId="0773B1F0" w14:textId="577BC8B5" w:rsidR="00FC6222" w:rsidRPr="0058349C" w:rsidRDefault="00167C37" w:rsidP="00167C37">
            <w:pPr>
              <w:pStyle w:val="Table1"/>
              <w:ind w:right="50"/>
              <w:rPr>
                <w:rFonts w:ascii="Garamond" w:eastAsia="Calibri" w:hAnsi="Garamond"/>
                <w:sz w:val="18"/>
                <w:szCs w:val="20"/>
              </w:rPr>
            </w:pPr>
            <w:r w:rsidRPr="0058349C">
              <w:rPr>
                <w:rFonts w:ascii="Garamond" w:eastAsia="Calibri" w:hAnsi="Garamond"/>
                <w:sz w:val="18"/>
                <w:szCs w:val="20"/>
              </w:rPr>
              <w:t xml:space="preserve">- </w:t>
            </w:r>
            <w:r w:rsidR="00FC6222" w:rsidRPr="0058349C">
              <w:rPr>
                <w:rFonts w:ascii="Garamond" w:eastAsia="Calibri" w:hAnsi="Garamond"/>
                <w:sz w:val="18"/>
                <w:szCs w:val="20"/>
              </w:rPr>
              <w:t>Përmirësimin e kapaciteteve laboratorike për sigurinë ushqimore, shëndetin e kafshëve dhe mbrojtjen e bimëve;</w:t>
            </w:r>
          </w:p>
          <w:p w14:paraId="0773B1F1" w14:textId="42CFBBF8" w:rsidR="00FC6222" w:rsidRPr="0058349C" w:rsidRDefault="00167C37" w:rsidP="00167C37">
            <w:pPr>
              <w:pStyle w:val="Table1"/>
              <w:ind w:right="50"/>
              <w:rPr>
                <w:rFonts w:ascii="Garamond" w:eastAsia="Calibri" w:hAnsi="Garamond"/>
                <w:sz w:val="18"/>
                <w:szCs w:val="20"/>
              </w:rPr>
            </w:pPr>
            <w:r w:rsidRPr="0058349C">
              <w:rPr>
                <w:rFonts w:ascii="Garamond" w:eastAsia="Calibri" w:hAnsi="Garamond"/>
                <w:sz w:val="18"/>
                <w:szCs w:val="20"/>
              </w:rPr>
              <w:t xml:space="preserve">- </w:t>
            </w:r>
            <w:r w:rsidR="00FC6222" w:rsidRPr="0058349C">
              <w:rPr>
                <w:rFonts w:ascii="Garamond" w:eastAsia="Calibri" w:hAnsi="Garamond"/>
                <w:sz w:val="18"/>
                <w:szCs w:val="20"/>
              </w:rPr>
              <w:t>Hartimin e një plani veprimi për përmirësimin e cilësisë së qumështit;</w:t>
            </w:r>
          </w:p>
          <w:p w14:paraId="0773B1F2" w14:textId="00E98111" w:rsidR="00FC6222" w:rsidRPr="0058349C" w:rsidRDefault="00167C37" w:rsidP="003D5826">
            <w:pPr>
              <w:pStyle w:val="Table1"/>
              <w:ind w:right="50"/>
              <w:rPr>
                <w:rFonts w:ascii="Garamond" w:eastAsia="Calibri" w:hAnsi="Garamond"/>
                <w:sz w:val="18"/>
                <w:szCs w:val="20"/>
              </w:rPr>
            </w:pPr>
            <w:r w:rsidRPr="0058349C">
              <w:rPr>
                <w:rFonts w:ascii="Garamond" w:eastAsia="Calibri" w:hAnsi="Garamond"/>
                <w:sz w:val="18"/>
                <w:szCs w:val="20"/>
              </w:rPr>
              <w:t xml:space="preserve">- </w:t>
            </w:r>
            <w:r w:rsidR="00FC6222" w:rsidRPr="0058349C">
              <w:rPr>
                <w:rFonts w:ascii="Garamond" w:eastAsia="Calibri" w:hAnsi="Garamond"/>
                <w:sz w:val="18"/>
                <w:szCs w:val="20"/>
              </w:rPr>
              <w:t>Këshillim për negociatat me BE-në</w:t>
            </w:r>
            <w:r w:rsidR="003D5826">
              <w:rPr>
                <w:rFonts w:ascii="Garamond" w:eastAsia="Calibri" w:hAnsi="Garamond"/>
                <w:sz w:val="18"/>
                <w:szCs w:val="20"/>
              </w:rPr>
              <w:t>;</w:t>
            </w:r>
          </w:p>
          <w:p w14:paraId="0773B1F3" w14:textId="00497135" w:rsidR="00FC6222" w:rsidRPr="0058349C" w:rsidRDefault="00167C37" w:rsidP="00167C37">
            <w:pPr>
              <w:pStyle w:val="Table1"/>
              <w:ind w:right="50"/>
              <w:rPr>
                <w:rFonts w:ascii="Garamond" w:eastAsia="Calibri" w:hAnsi="Garamond"/>
                <w:sz w:val="18"/>
                <w:szCs w:val="20"/>
              </w:rPr>
            </w:pPr>
            <w:r w:rsidRPr="0058349C">
              <w:rPr>
                <w:rFonts w:ascii="Garamond" w:eastAsia="Calibri" w:hAnsi="Garamond"/>
                <w:sz w:val="18"/>
                <w:szCs w:val="20"/>
              </w:rPr>
              <w:t xml:space="preserve">- </w:t>
            </w:r>
            <w:r w:rsidR="00FC6222" w:rsidRPr="0058349C">
              <w:rPr>
                <w:rFonts w:ascii="Garamond" w:eastAsia="Calibri" w:hAnsi="Garamond"/>
                <w:sz w:val="18"/>
                <w:szCs w:val="20"/>
              </w:rPr>
              <w:t>AKU</w:t>
            </w:r>
            <w:r w:rsidR="003D5826">
              <w:rPr>
                <w:rFonts w:ascii="Garamond" w:eastAsia="Calibri" w:hAnsi="Garamond"/>
                <w:sz w:val="18"/>
                <w:szCs w:val="20"/>
              </w:rPr>
              <w:t>-ja</w:t>
            </w:r>
            <w:r w:rsidR="00FC6222" w:rsidRPr="0058349C">
              <w:rPr>
                <w:rFonts w:ascii="Garamond" w:eastAsia="Calibri" w:hAnsi="Garamond"/>
                <w:sz w:val="18"/>
                <w:szCs w:val="20"/>
              </w:rPr>
              <w:t xml:space="preserve"> duhet të sigurojë burime njerëzore të përshtatshme për njës</w:t>
            </w:r>
            <w:r w:rsidR="003D5826">
              <w:rPr>
                <w:rFonts w:ascii="Garamond" w:eastAsia="Calibri" w:hAnsi="Garamond"/>
                <w:sz w:val="18"/>
                <w:szCs w:val="20"/>
              </w:rPr>
              <w:t>itë e saj teknike;</w:t>
            </w:r>
          </w:p>
          <w:p w14:paraId="0773B1F4" w14:textId="120385AE" w:rsidR="00FC6222" w:rsidRPr="0058349C" w:rsidRDefault="00167C37" w:rsidP="00167C37">
            <w:pPr>
              <w:pStyle w:val="Table1"/>
              <w:ind w:right="50"/>
              <w:rPr>
                <w:rFonts w:ascii="Garamond" w:eastAsia="Arial Narrow" w:hAnsi="Garamond"/>
                <w:sz w:val="18"/>
                <w:szCs w:val="20"/>
              </w:rPr>
            </w:pPr>
            <w:r w:rsidRPr="0058349C">
              <w:rPr>
                <w:rFonts w:ascii="Garamond" w:eastAsia="Calibri" w:hAnsi="Garamond"/>
                <w:sz w:val="18"/>
                <w:szCs w:val="20"/>
              </w:rPr>
              <w:t xml:space="preserve">- </w:t>
            </w:r>
            <w:r w:rsidR="00FC6222" w:rsidRPr="0058349C">
              <w:rPr>
                <w:rFonts w:ascii="Garamond" w:eastAsia="Calibri" w:hAnsi="Garamond"/>
                <w:sz w:val="18"/>
                <w:szCs w:val="20"/>
              </w:rPr>
              <w:t>Projektet e AT duhet të përfshijnë të gjithë stafin e njësive teknike</w:t>
            </w:r>
            <w:r w:rsidR="00CF7694" w:rsidRPr="0058349C">
              <w:rPr>
                <w:rFonts w:ascii="Garamond" w:eastAsia="Calibri" w:hAnsi="Garamond"/>
                <w:sz w:val="18"/>
                <w:szCs w:val="20"/>
              </w:rPr>
              <w:t xml:space="preserve"> </w:t>
            </w:r>
            <w:r w:rsidR="00FC6222" w:rsidRPr="0058349C">
              <w:rPr>
                <w:rFonts w:ascii="Garamond" w:eastAsia="Calibri" w:hAnsi="Garamond"/>
                <w:sz w:val="18"/>
                <w:szCs w:val="20"/>
              </w:rPr>
              <w:t>përkatëse të MBZHR-së.</w:t>
            </w:r>
          </w:p>
        </w:tc>
        <w:tc>
          <w:tcPr>
            <w:tcW w:w="535" w:type="pct"/>
          </w:tcPr>
          <w:p w14:paraId="0773B1F5" w14:textId="4B2B8771" w:rsidR="00FC6222" w:rsidRPr="0058349C" w:rsidRDefault="00FC6222" w:rsidP="003D5826">
            <w:pPr>
              <w:pStyle w:val="Table1"/>
              <w:ind w:right="43"/>
              <w:rPr>
                <w:rFonts w:ascii="Garamond" w:hAnsi="Garamond"/>
                <w:sz w:val="18"/>
                <w:szCs w:val="20"/>
              </w:rPr>
            </w:pPr>
            <w:r w:rsidRPr="0058349C">
              <w:rPr>
                <w:rFonts w:ascii="Garamond" w:eastAsia="Arial Narrow" w:hAnsi="Garamond"/>
                <w:sz w:val="18"/>
                <w:szCs w:val="20"/>
              </w:rPr>
              <w:t xml:space="preserve">1.6, 1.11., </w:t>
            </w:r>
            <w:r w:rsidRPr="0058349C">
              <w:rPr>
                <w:rFonts w:ascii="Garamond" w:eastAsia="Calibri" w:hAnsi="Garamond"/>
                <w:sz w:val="18"/>
                <w:szCs w:val="20"/>
              </w:rPr>
              <w:t>Objektivi ndërsektori</w:t>
            </w:r>
            <w:r w:rsidR="009A6913">
              <w:rPr>
                <w:rFonts w:ascii="Garamond" w:eastAsia="Calibri" w:hAnsi="Garamond"/>
                <w:sz w:val="18"/>
                <w:szCs w:val="20"/>
              </w:rPr>
              <w:t>al 1, kapitulli Objektivi ndër</w:t>
            </w:r>
            <w:r w:rsidRPr="0058349C">
              <w:rPr>
                <w:rFonts w:ascii="Garamond" w:eastAsia="Calibri" w:hAnsi="Garamond"/>
                <w:sz w:val="18"/>
                <w:szCs w:val="20"/>
              </w:rPr>
              <w:t xml:space="preserve">ektorial 1: Forcimi i kapaciteteve institucionale dhe administrative për përafrimin me </w:t>
            </w:r>
            <w:r w:rsidR="00B25257" w:rsidRPr="00B25257">
              <w:rPr>
                <w:rFonts w:ascii="Garamond" w:eastAsia="Calibri" w:hAnsi="Garamond"/>
                <w:i/>
                <w:iCs/>
                <w:sz w:val="18"/>
                <w:szCs w:val="20"/>
              </w:rPr>
              <w:t>acquis</w:t>
            </w:r>
            <w:r w:rsidRPr="0058349C">
              <w:rPr>
                <w:rFonts w:ascii="Garamond" w:eastAsia="Calibri" w:hAnsi="Garamond"/>
                <w:sz w:val="18"/>
                <w:szCs w:val="20"/>
              </w:rPr>
              <w:t xml:space="preserve"> të BE-së </w:t>
            </w:r>
          </w:p>
        </w:tc>
        <w:tc>
          <w:tcPr>
            <w:tcW w:w="645" w:type="pct"/>
            <w:vAlign w:val="center"/>
          </w:tcPr>
          <w:p w14:paraId="0773B1F6" w14:textId="23B8BBEA" w:rsidR="00FC6222" w:rsidRPr="0058349C" w:rsidRDefault="00FC6222" w:rsidP="00830F27">
            <w:pPr>
              <w:pStyle w:val="Table1"/>
              <w:rPr>
                <w:rFonts w:ascii="Garamond" w:eastAsia="Arial Narrow" w:hAnsi="Garamond"/>
                <w:sz w:val="18"/>
                <w:szCs w:val="20"/>
              </w:rPr>
            </w:pPr>
            <w:r w:rsidRPr="0058349C">
              <w:rPr>
                <w:rFonts w:ascii="Garamond" w:eastAsia="Arial Narrow" w:hAnsi="Garamond"/>
                <w:sz w:val="18"/>
                <w:szCs w:val="20"/>
              </w:rPr>
              <w:t xml:space="preserve">TAIEX </w:t>
            </w:r>
            <w:r w:rsidR="00797859">
              <w:rPr>
                <w:rFonts w:ascii="Garamond" w:eastAsia="Arial Narrow" w:hAnsi="Garamond"/>
                <w:sz w:val="18"/>
                <w:szCs w:val="20"/>
              </w:rPr>
              <w:t>/</w:t>
            </w:r>
            <w:r w:rsidRPr="0058349C">
              <w:rPr>
                <w:rFonts w:ascii="Garamond" w:eastAsia="Arial Narrow" w:hAnsi="Garamond"/>
                <w:sz w:val="18"/>
                <w:szCs w:val="20"/>
              </w:rPr>
              <w:t xml:space="preserve">IPA III, IPARD III TA </w:t>
            </w:r>
            <w:r w:rsidR="00797859">
              <w:rPr>
                <w:rFonts w:ascii="Garamond" w:eastAsia="Arial Narrow" w:hAnsi="Garamond"/>
                <w:sz w:val="18"/>
                <w:szCs w:val="20"/>
              </w:rPr>
              <w:t>/</w:t>
            </w:r>
            <w:r w:rsidRPr="0058349C">
              <w:rPr>
                <w:rFonts w:ascii="Garamond" w:eastAsia="Arial Narrow" w:hAnsi="Garamond"/>
                <w:sz w:val="18"/>
                <w:szCs w:val="20"/>
              </w:rPr>
              <w:t>Donatorët</w:t>
            </w:r>
          </w:p>
        </w:tc>
      </w:tr>
      <w:tr w:rsidR="00FC6222" w:rsidRPr="0058349C" w14:paraId="0773B200" w14:textId="77777777" w:rsidTr="00543FCB">
        <w:trPr>
          <w:gridAfter w:val="1"/>
          <w:wAfter w:w="4" w:type="pct"/>
          <w:trHeight w:val="20"/>
        </w:trPr>
        <w:tc>
          <w:tcPr>
            <w:tcW w:w="983" w:type="pct"/>
            <w:gridSpan w:val="3"/>
          </w:tcPr>
          <w:p w14:paraId="0773B1F8"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 xml:space="preserve">25. AT për të dhënat statistikore për treguesit bazë të sektorit </w:t>
            </w:r>
          </w:p>
        </w:tc>
        <w:tc>
          <w:tcPr>
            <w:tcW w:w="2833" w:type="pct"/>
          </w:tcPr>
          <w:p w14:paraId="0773B1F9" w14:textId="43E1CB7D" w:rsidR="00FC6222" w:rsidRPr="0058349C" w:rsidRDefault="00FC6222" w:rsidP="003D5826">
            <w:pPr>
              <w:pStyle w:val="Table1"/>
              <w:numPr>
                <w:ilvl w:val="0"/>
                <w:numId w:val="18"/>
              </w:numPr>
              <w:ind w:left="248" w:hanging="270"/>
              <w:jc w:val="both"/>
              <w:rPr>
                <w:rFonts w:ascii="Garamond" w:eastAsia="Arial Narrow" w:hAnsi="Garamond"/>
                <w:sz w:val="18"/>
                <w:szCs w:val="20"/>
              </w:rPr>
            </w:pPr>
            <w:r w:rsidRPr="0058349C">
              <w:rPr>
                <w:rFonts w:ascii="Garamond" w:eastAsia="Arial Narrow" w:hAnsi="Garamond"/>
                <w:sz w:val="18"/>
                <w:szCs w:val="20"/>
              </w:rPr>
              <w:t>Treguesit bazë të sektorit duhet të jenë të disponueshëm për monitorimin e ndikimit të strategjisë; disa prej tyre janë pjesë e FADN-së</w:t>
            </w:r>
            <w:r w:rsidR="003D5826">
              <w:rPr>
                <w:rFonts w:ascii="Garamond" w:eastAsia="Arial Narrow" w:hAnsi="Garamond"/>
                <w:sz w:val="18"/>
                <w:szCs w:val="20"/>
              </w:rPr>
              <w:t>;</w:t>
            </w:r>
          </w:p>
          <w:p w14:paraId="0773B1FA" w14:textId="48485F60" w:rsidR="00FC6222" w:rsidRPr="0058349C" w:rsidRDefault="00FC6222" w:rsidP="00FC6222">
            <w:pPr>
              <w:pStyle w:val="Table1"/>
              <w:numPr>
                <w:ilvl w:val="0"/>
                <w:numId w:val="18"/>
              </w:numPr>
              <w:ind w:left="248" w:hanging="270"/>
              <w:jc w:val="both"/>
              <w:rPr>
                <w:rFonts w:ascii="Garamond" w:eastAsia="Arial Narrow" w:hAnsi="Garamond"/>
                <w:sz w:val="18"/>
                <w:szCs w:val="20"/>
              </w:rPr>
            </w:pPr>
            <w:r w:rsidRPr="0058349C">
              <w:rPr>
                <w:rFonts w:ascii="Garamond" w:eastAsia="Arial Narrow" w:hAnsi="Garamond"/>
                <w:sz w:val="18"/>
                <w:szCs w:val="20"/>
              </w:rPr>
              <w:t>Të dhënat sipas gjinive të mblidhen aty ku nuk janë të disponueshme</w:t>
            </w:r>
            <w:r w:rsidR="003D5826">
              <w:rPr>
                <w:rFonts w:ascii="Garamond" w:eastAsia="Arial Narrow" w:hAnsi="Garamond"/>
                <w:sz w:val="18"/>
                <w:szCs w:val="20"/>
              </w:rPr>
              <w:t>;</w:t>
            </w:r>
          </w:p>
          <w:p w14:paraId="0773B1FB" w14:textId="7BED9D24" w:rsidR="00FC6222" w:rsidRPr="0058349C" w:rsidRDefault="00FC6222" w:rsidP="00FC6222">
            <w:pPr>
              <w:pStyle w:val="Table1"/>
              <w:numPr>
                <w:ilvl w:val="0"/>
                <w:numId w:val="18"/>
              </w:numPr>
              <w:ind w:left="248" w:hanging="270"/>
              <w:rPr>
                <w:rFonts w:ascii="Garamond" w:eastAsia="Arial Narrow" w:hAnsi="Garamond" w:cs="Arial Narrow"/>
                <w:sz w:val="18"/>
                <w:szCs w:val="20"/>
              </w:rPr>
            </w:pPr>
            <w:r w:rsidRPr="0058349C">
              <w:rPr>
                <w:rFonts w:ascii="Garamond" w:eastAsia="Arial Narrow" w:hAnsi="Garamond"/>
                <w:sz w:val="18"/>
                <w:szCs w:val="20"/>
              </w:rPr>
              <w:t>Njësia për monitorimin dhe vlerësimin e IPARD III, duhet të përgatisë një analizë të mangësive dhe mbështetet më një projekt AT</w:t>
            </w:r>
            <w:r w:rsidR="00CF7694" w:rsidRPr="0058349C">
              <w:rPr>
                <w:rFonts w:ascii="Garamond" w:eastAsia="Arial Narrow" w:hAnsi="Garamond"/>
                <w:sz w:val="18"/>
                <w:szCs w:val="20"/>
              </w:rPr>
              <w:t xml:space="preserve"> </w:t>
            </w:r>
            <w:r w:rsidRPr="0058349C">
              <w:rPr>
                <w:rFonts w:ascii="Garamond" w:eastAsia="Arial Narrow" w:hAnsi="Garamond"/>
                <w:sz w:val="18"/>
                <w:szCs w:val="20"/>
              </w:rPr>
              <w:t>për mbledhjen</w:t>
            </w:r>
            <w:r w:rsidR="00CF7694" w:rsidRPr="0058349C">
              <w:rPr>
                <w:rFonts w:ascii="Garamond" w:eastAsia="Arial Narrow" w:hAnsi="Garamond"/>
                <w:sz w:val="18"/>
                <w:szCs w:val="20"/>
              </w:rPr>
              <w:t xml:space="preserve"> </w:t>
            </w:r>
            <w:r w:rsidRPr="0058349C">
              <w:rPr>
                <w:rFonts w:ascii="Garamond" w:eastAsia="Arial Narrow" w:hAnsi="Garamond"/>
                <w:sz w:val="18"/>
                <w:szCs w:val="20"/>
              </w:rPr>
              <w:t>e treguesve, në përputhje me ud</w:t>
            </w:r>
            <w:r w:rsidR="003D5826">
              <w:rPr>
                <w:rFonts w:ascii="Garamond" w:eastAsia="Arial Narrow" w:hAnsi="Garamond"/>
                <w:sz w:val="18"/>
                <w:szCs w:val="20"/>
              </w:rPr>
              <w:t>hëzimet e BE-së (C13–</w:t>
            </w:r>
            <w:r w:rsidRPr="0058349C">
              <w:rPr>
                <w:rFonts w:ascii="Garamond" w:eastAsia="Arial Narrow" w:hAnsi="Garamond"/>
                <w:sz w:val="18"/>
                <w:szCs w:val="20"/>
              </w:rPr>
              <w:t xml:space="preserve">C30), </w:t>
            </w:r>
          </w:p>
          <w:p w14:paraId="0773B1FC" w14:textId="0AEA84EC" w:rsidR="00FC6222" w:rsidRPr="0058349C" w:rsidRDefault="00FC6222" w:rsidP="00FC6222">
            <w:pPr>
              <w:pStyle w:val="Table1"/>
              <w:numPr>
                <w:ilvl w:val="0"/>
                <w:numId w:val="18"/>
              </w:numPr>
              <w:ind w:left="248" w:hanging="270"/>
              <w:rPr>
                <w:rFonts w:ascii="Garamond" w:eastAsia="Arial Narrow" w:hAnsi="Garamond"/>
                <w:sz w:val="18"/>
                <w:szCs w:val="20"/>
              </w:rPr>
            </w:pPr>
            <w:r w:rsidRPr="0058349C">
              <w:rPr>
                <w:rFonts w:ascii="Garamond" w:eastAsia="Arial Narrow" w:hAnsi="Garamond"/>
                <w:sz w:val="18"/>
                <w:szCs w:val="20"/>
              </w:rPr>
              <w:t>Treguesit FADN, duhet të mblidhen në përputhje me metodologjinë e</w:t>
            </w:r>
            <w:r w:rsidR="00CF7694" w:rsidRPr="0058349C">
              <w:rPr>
                <w:rFonts w:ascii="Garamond" w:eastAsia="Arial Narrow" w:hAnsi="Garamond"/>
                <w:sz w:val="18"/>
                <w:szCs w:val="20"/>
              </w:rPr>
              <w:t xml:space="preserve"> </w:t>
            </w:r>
            <w:r w:rsidRPr="0058349C">
              <w:rPr>
                <w:rFonts w:ascii="Garamond" w:eastAsia="Arial Narrow" w:hAnsi="Garamond"/>
                <w:sz w:val="18"/>
                <w:szCs w:val="20"/>
              </w:rPr>
              <w:t>aplikuar në BE.</w:t>
            </w:r>
          </w:p>
          <w:p w14:paraId="0773B1FD" w14:textId="77777777" w:rsidR="00FC6222" w:rsidRPr="0058349C" w:rsidRDefault="00FC6222" w:rsidP="00FC6222">
            <w:pPr>
              <w:pStyle w:val="Table1"/>
              <w:numPr>
                <w:ilvl w:val="0"/>
                <w:numId w:val="18"/>
              </w:numPr>
              <w:ind w:left="248" w:hanging="270"/>
              <w:rPr>
                <w:rFonts w:ascii="Garamond" w:eastAsia="Arial Narrow" w:hAnsi="Garamond"/>
                <w:sz w:val="18"/>
                <w:szCs w:val="20"/>
              </w:rPr>
            </w:pPr>
            <w:r w:rsidRPr="0058349C">
              <w:rPr>
                <w:rFonts w:ascii="Garamond" w:eastAsia="Arial Narrow" w:hAnsi="Garamond"/>
                <w:sz w:val="18"/>
                <w:szCs w:val="20"/>
              </w:rPr>
              <w:t>Duhet të përgatitet një manual për monitorimin e treguesve bazë të sektorit.</w:t>
            </w:r>
          </w:p>
        </w:tc>
        <w:tc>
          <w:tcPr>
            <w:tcW w:w="535" w:type="pct"/>
          </w:tcPr>
          <w:p w14:paraId="0773B1FE" w14:textId="4071D00B"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1.14</w:t>
            </w:r>
            <w:r w:rsidR="00CF7694" w:rsidRPr="0058349C">
              <w:rPr>
                <w:rFonts w:ascii="Garamond" w:eastAsia="Calibri" w:hAnsi="Garamond"/>
                <w:sz w:val="18"/>
                <w:szCs w:val="20"/>
              </w:rPr>
              <w:t xml:space="preserve"> </w:t>
            </w:r>
            <w:r w:rsidR="009A6913">
              <w:rPr>
                <w:rFonts w:ascii="Garamond" w:eastAsia="Calibri" w:hAnsi="Garamond"/>
                <w:sz w:val="18"/>
                <w:szCs w:val="20"/>
              </w:rPr>
              <w:t>Objektivi ndër</w:t>
            </w:r>
            <w:r w:rsidRPr="0058349C">
              <w:rPr>
                <w:rFonts w:ascii="Garamond" w:eastAsia="Calibri" w:hAnsi="Garamond"/>
                <w:sz w:val="18"/>
                <w:szCs w:val="20"/>
              </w:rPr>
              <w:t>sektor</w:t>
            </w:r>
            <w:r w:rsidR="003D5826">
              <w:rPr>
                <w:rFonts w:ascii="Garamond" w:eastAsia="Calibri" w:hAnsi="Garamond"/>
                <w:sz w:val="18"/>
                <w:szCs w:val="20"/>
              </w:rPr>
              <w:t>ial 1, kapitulli Objektivi ndër</w:t>
            </w:r>
            <w:r w:rsidRPr="0058349C">
              <w:rPr>
                <w:rFonts w:ascii="Garamond" w:eastAsia="Calibri" w:hAnsi="Garamond"/>
                <w:sz w:val="18"/>
                <w:szCs w:val="20"/>
              </w:rPr>
              <w:t xml:space="preserve">sektorial 1: Forcimi i kapaciteteve institucionale dhe administrative për përafrimin me </w:t>
            </w:r>
            <w:r w:rsidR="00B25257" w:rsidRPr="00B25257">
              <w:rPr>
                <w:rFonts w:ascii="Garamond" w:eastAsia="Calibri" w:hAnsi="Garamond"/>
                <w:i/>
                <w:iCs/>
                <w:sz w:val="18"/>
                <w:szCs w:val="20"/>
              </w:rPr>
              <w:t>acquis</w:t>
            </w:r>
            <w:r w:rsidRPr="0058349C">
              <w:rPr>
                <w:rFonts w:ascii="Garamond" w:eastAsia="Calibri" w:hAnsi="Garamond"/>
                <w:sz w:val="18"/>
                <w:szCs w:val="20"/>
              </w:rPr>
              <w:t xml:space="preserve"> të BE-së </w:t>
            </w:r>
          </w:p>
        </w:tc>
        <w:tc>
          <w:tcPr>
            <w:tcW w:w="645" w:type="pct"/>
          </w:tcPr>
          <w:p w14:paraId="0773B1FF" w14:textId="55C10F82" w:rsidR="00FC6222" w:rsidRPr="0058349C" w:rsidRDefault="00FC6222" w:rsidP="00830F27">
            <w:pPr>
              <w:pStyle w:val="Table1"/>
              <w:rPr>
                <w:rFonts w:ascii="Garamond" w:eastAsia="Calibri" w:hAnsi="Garamond"/>
                <w:sz w:val="18"/>
                <w:szCs w:val="20"/>
              </w:rPr>
            </w:pPr>
            <w:r w:rsidRPr="0058349C">
              <w:rPr>
                <w:rFonts w:ascii="Garamond" w:eastAsia="Arial Narrow" w:hAnsi="Garamond"/>
                <w:sz w:val="18"/>
                <w:szCs w:val="20"/>
              </w:rPr>
              <w:t>TAIEX</w:t>
            </w:r>
            <w:r w:rsidR="00A20C91">
              <w:rPr>
                <w:rFonts w:ascii="Garamond" w:eastAsia="Arial Narrow" w:hAnsi="Garamond"/>
                <w:sz w:val="18"/>
                <w:szCs w:val="20"/>
              </w:rPr>
              <w:t>,</w:t>
            </w:r>
            <w:r w:rsidR="00797859">
              <w:rPr>
                <w:rFonts w:ascii="Garamond" w:eastAsia="Arial Narrow" w:hAnsi="Garamond"/>
                <w:sz w:val="18"/>
                <w:szCs w:val="20"/>
              </w:rPr>
              <w:t>/</w:t>
            </w:r>
            <w:r w:rsidRPr="0058349C">
              <w:rPr>
                <w:rFonts w:ascii="Garamond" w:eastAsia="Arial Narrow" w:hAnsi="Garamond"/>
                <w:sz w:val="18"/>
                <w:szCs w:val="20"/>
              </w:rPr>
              <w:t xml:space="preserve">IPA III, IPARD III TA </w:t>
            </w:r>
            <w:r w:rsidR="00797859">
              <w:rPr>
                <w:rFonts w:ascii="Garamond" w:eastAsia="Arial Narrow" w:hAnsi="Garamond"/>
                <w:sz w:val="18"/>
                <w:szCs w:val="20"/>
              </w:rPr>
              <w:t>/</w:t>
            </w:r>
            <w:r w:rsidRPr="0058349C">
              <w:rPr>
                <w:rFonts w:ascii="Garamond" w:eastAsia="Arial Narrow" w:hAnsi="Garamond"/>
                <w:sz w:val="18"/>
                <w:szCs w:val="20"/>
              </w:rPr>
              <w:t>Donatorët</w:t>
            </w:r>
          </w:p>
        </w:tc>
      </w:tr>
      <w:tr w:rsidR="00FC6222" w:rsidRPr="0058349C" w14:paraId="0773B207" w14:textId="77777777" w:rsidTr="00543FCB">
        <w:trPr>
          <w:gridAfter w:val="1"/>
          <w:wAfter w:w="4" w:type="pct"/>
          <w:trHeight w:val="20"/>
        </w:trPr>
        <w:tc>
          <w:tcPr>
            <w:tcW w:w="983" w:type="pct"/>
            <w:gridSpan w:val="3"/>
          </w:tcPr>
          <w:p w14:paraId="0773B201"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26. AT për të dhënat statistikore për treguesit mjedisorë bazë</w:t>
            </w:r>
          </w:p>
        </w:tc>
        <w:tc>
          <w:tcPr>
            <w:tcW w:w="2833" w:type="pct"/>
          </w:tcPr>
          <w:p w14:paraId="0773B202" w14:textId="50AF2E64" w:rsidR="00FC6222" w:rsidRPr="0058349C" w:rsidRDefault="00FC6222" w:rsidP="00FC6222">
            <w:pPr>
              <w:pStyle w:val="Table1"/>
              <w:numPr>
                <w:ilvl w:val="0"/>
                <w:numId w:val="18"/>
              </w:numPr>
              <w:ind w:left="248" w:hanging="270"/>
              <w:rPr>
                <w:rFonts w:ascii="Garamond" w:eastAsia="Arial Narrow" w:hAnsi="Garamond"/>
                <w:sz w:val="18"/>
                <w:szCs w:val="20"/>
              </w:rPr>
            </w:pPr>
            <w:r w:rsidRPr="0058349C">
              <w:rPr>
                <w:rFonts w:ascii="Garamond" w:eastAsia="Arial Narrow" w:hAnsi="Garamond"/>
                <w:sz w:val="18"/>
                <w:szCs w:val="20"/>
              </w:rPr>
              <w:t>Treguesit bazë mjedisorë, sipas gjinive duhet</w:t>
            </w:r>
            <w:r w:rsidR="00CF7694" w:rsidRPr="0058349C">
              <w:rPr>
                <w:rFonts w:ascii="Garamond" w:eastAsia="Arial Narrow" w:hAnsi="Garamond"/>
                <w:sz w:val="18"/>
                <w:szCs w:val="20"/>
              </w:rPr>
              <w:t xml:space="preserve"> </w:t>
            </w:r>
            <w:r w:rsidRPr="0058349C">
              <w:rPr>
                <w:rFonts w:ascii="Garamond" w:eastAsia="Arial Narrow" w:hAnsi="Garamond"/>
                <w:sz w:val="18"/>
                <w:szCs w:val="20"/>
              </w:rPr>
              <w:t>të jenë të disponueshëm për monitorimin e ndikimit të strategjisë dhe për IPARD III.</w:t>
            </w:r>
          </w:p>
          <w:p w14:paraId="0773B203" w14:textId="17105850" w:rsidR="00FC6222" w:rsidRPr="0058349C" w:rsidRDefault="00FC6222" w:rsidP="00FC6222">
            <w:pPr>
              <w:pStyle w:val="Table1"/>
              <w:numPr>
                <w:ilvl w:val="0"/>
                <w:numId w:val="18"/>
              </w:numPr>
              <w:ind w:left="248" w:hanging="270"/>
              <w:rPr>
                <w:rFonts w:ascii="Garamond" w:hAnsi="Garamond"/>
                <w:sz w:val="18"/>
                <w:szCs w:val="20"/>
              </w:rPr>
            </w:pPr>
            <w:r w:rsidRPr="0058349C">
              <w:rPr>
                <w:rFonts w:ascii="Garamond" w:eastAsia="Arial Narrow" w:hAnsi="Garamond"/>
                <w:sz w:val="18"/>
                <w:szCs w:val="20"/>
              </w:rPr>
              <w:t xml:space="preserve">Njësia për monitorimin dhe vlerësimin e IPARD III, duhet të përgatisë një analizë të mangësive dhe </w:t>
            </w:r>
            <w:r w:rsidRPr="0058349C">
              <w:rPr>
                <w:rFonts w:ascii="Garamond" w:eastAsia="Arial Narrow" w:hAnsi="Garamond"/>
                <w:sz w:val="18"/>
                <w:szCs w:val="20"/>
              </w:rPr>
              <w:lastRenderedPageBreak/>
              <w:t>mbështetet më një projekt AT</w:t>
            </w:r>
            <w:r w:rsidR="00CF7694" w:rsidRPr="0058349C">
              <w:rPr>
                <w:rFonts w:ascii="Garamond" w:eastAsia="Arial Narrow" w:hAnsi="Garamond"/>
                <w:sz w:val="18"/>
                <w:szCs w:val="20"/>
              </w:rPr>
              <w:t xml:space="preserve"> </w:t>
            </w:r>
            <w:r w:rsidRPr="0058349C">
              <w:rPr>
                <w:rFonts w:ascii="Garamond" w:eastAsia="Arial Narrow" w:hAnsi="Garamond"/>
                <w:sz w:val="18"/>
                <w:szCs w:val="20"/>
              </w:rPr>
              <w:t>për mbledhjen</w:t>
            </w:r>
            <w:r w:rsidR="00CF7694" w:rsidRPr="0058349C">
              <w:rPr>
                <w:rFonts w:ascii="Garamond" w:eastAsia="Arial Narrow" w:hAnsi="Garamond"/>
                <w:sz w:val="18"/>
                <w:szCs w:val="20"/>
              </w:rPr>
              <w:t xml:space="preserve"> </w:t>
            </w:r>
            <w:r w:rsidRPr="0058349C">
              <w:rPr>
                <w:rFonts w:ascii="Garamond" w:eastAsia="Arial Narrow" w:hAnsi="Garamond"/>
                <w:sz w:val="18"/>
                <w:szCs w:val="20"/>
              </w:rPr>
              <w:t>e treguesve, në përputhje me udhëzimet e BE-së (C31 – C45).</w:t>
            </w:r>
          </w:p>
          <w:p w14:paraId="0773B204" w14:textId="4FFA92AC" w:rsidR="00FC6222" w:rsidRPr="0058349C" w:rsidRDefault="00FC6222" w:rsidP="00830F27">
            <w:pPr>
              <w:pStyle w:val="Table1"/>
              <w:rPr>
                <w:rFonts w:ascii="Garamond" w:eastAsia="Arial Narrow" w:hAnsi="Garamond"/>
                <w:sz w:val="18"/>
                <w:szCs w:val="20"/>
              </w:rPr>
            </w:pPr>
            <w:r w:rsidRPr="0058349C">
              <w:rPr>
                <w:rFonts w:ascii="Garamond" w:eastAsia="Arial Narrow" w:hAnsi="Garamond"/>
                <w:sz w:val="18"/>
                <w:szCs w:val="20"/>
              </w:rPr>
              <w:t>Duhet të përgatitet një manual për monitori</w:t>
            </w:r>
            <w:r w:rsidR="00C259A4">
              <w:rPr>
                <w:rFonts w:ascii="Garamond" w:eastAsia="Arial Narrow" w:hAnsi="Garamond"/>
                <w:sz w:val="18"/>
                <w:szCs w:val="20"/>
              </w:rPr>
              <w:t>min e treguesve bazë mjedisorë.</w:t>
            </w:r>
          </w:p>
        </w:tc>
        <w:tc>
          <w:tcPr>
            <w:tcW w:w="535" w:type="pct"/>
          </w:tcPr>
          <w:p w14:paraId="0773B205" w14:textId="7B776D0B" w:rsidR="00FC6222" w:rsidRPr="0058349C" w:rsidRDefault="00FC6222" w:rsidP="009A6913">
            <w:pPr>
              <w:pStyle w:val="Table1"/>
              <w:rPr>
                <w:rFonts w:ascii="Garamond" w:eastAsia="Calibri" w:hAnsi="Garamond"/>
                <w:sz w:val="18"/>
                <w:szCs w:val="20"/>
              </w:rPr>
            </w:pPr>
            <w:r w:rsidRPr="0058349C">
              <w:rPr>
                <w:rFonts w:ascii="Garamond" w:eastAsia="Calibri" w:hAnsi="Garamond"/>
                <w:sz w:val="18"/>
                <w:szCs w:val="20"/>
              </w:rPr>
              <w:lastRenderedPageBreak/>
              <w:t>2.8</w:t>
            </w:r>
            <w:r w:rsidR="00CF7694" w:rsidRPr="0058349C">
              <w:rPr>
                <w:rFonts w:ascii="Garamond" w:eastAsia="Calibri" w:hAnsi="Garamond"/>
                <w:sz w:val="18"/>
                <w:szCs w:val="20"/>
              </w:rPr>
              <w:t xml:space="preserve"> </w:t>
            </w:r>
            <w:r w:rsidRPr="0058349C">
              <w:rPr>
                <w:rFonts w:ascii="Garamond" w:eastAsia="Calibri" w:hAnsi="Garamond"/>
                <w:sz w:val="18"/>
                <w:szCs w:val="20"/>
              </w:rPr>
              <w:t>Objektivi ndërsektor</w:t>
            </w:r>
            <w:r w:rsidR="009A6913">
              <w:rPr>
                <w:rFonts w:ascii="Garamond" w:eastAsia="Calibri" w:hAnsi="Garamond"/>
                <w:sz w:val="18"/>
                <w:szCs w:val="20"/>
              </w:rPr>
              <w:t>ial 1, kapitulli Objektivi ndër</w:t>
            </w:r>
            <w:r w:rsidRPr="0058349C">
              <w:rPr>
                <w:rFonts w:ascii="Garamond" w:eastAsia="Calibri" w:hAnsi="Garamond"/>
                <w:sz w:val="18"/>
                <w:szCs w:val="20"/>
              </w:rPr>
              <w:t xml:space="preserve">sektorial 1: </w:t>
            </w:r>
            <w:r w:rsidRPr="0058349C">
              <w:rPr>
                <w:rFonts w:ascii="Garamond" w:eastAsia="Calibri" w:hAnsi="Garamond"/>
                <w:sz w:val="18"/>
                <w:szCs w:val="20"/>
              </w:rPr>
              <w:lastRenderedPageBreak/>
              <w:t>Forcimi i kapaciteteve institucionale dhe administrative për</w:t>
            </w:r>
            <w:r w:rsidR="00CF7694" w:rsidRPr="0058349C">
              <w:rPr>
                <w:rFonts w:ascii="Garamond" w:eastAsia="Calibri" w:hAnsi="Garamond"/>
                <w:sz w:val="18"/>
                <w:szCs w:val="20"/>
              </w:rPr>
              <w:t xml:space="preserve"> </w:t>
            </w:r>
            <w:r w:rsidRPr="0058349C">
              <w:rPr>
                <w:rFonts w:ascii="Garamond" w:eastAsia="Calibri" w:hAnsi="Garamond"/>
                <w:sz w:val="18"/>
                <w:szCs w:val="20"/>
              </w:rPr>
              <w:t xml:space="preserve">përafrimin me </w:t>
            </w:r>
            <w:r w:rsidR="00B25257" w:rsidRPr="00B25257">
              <w:rPr>
                <w:rFonts w:ascii="Garamond" w:eastAsia="Calibri" w:hAnsi="Garamond"/>
                <w:i/>
                <w:iCs/>
                <w:sz w:val="18"/>
                <w:szCs w:val="20"/>
              </w:rPr>
              <w:t>acquis</w:t>
            </w:r>
            <w:r w:rsidRPr="0058349C">
              <w:rPr>
                <w:rFonts w:ascii="Garamond" w:eastAsia="Calibri" w:hAnsi="Garamond"/>
                <w:sz w:val="18"/>
                <w:szCs w:val="20"/>
              </w:rPr>
              <w:t xml:space="preserve"> të BE-s </w:t>
            </w:r>
          </w:p>
        </w:tc>
        <w:tc>
          <w:tcPr>
            <w:tcW w:w="645" w:type="pct"/>
          </w:tcPr>
          <w:p w14:paraId="0773B206" w14:textId="48CF3DD5" w:rsidR="00FC6222" w:rsidRPr="0058349C" w:rsidRDefault="00FC6222" w:rsidP="00830F27">
            <w:pPr>
              <w:pStyle w:val="Table1"/>
              <w:rPr>
                <w:rFonts w:ascii="Garamond" w:eastAsia="Arial Narrow" w:hAnsi="Garamond"/>
                <w:sz w:val="18"/>
                <w:szCs w:val="20"/>
              </w:rPr>
            </w:pPr>
            <w:r w:rsidRPr="0058349C">
              <w:rPr>
                <w:rFonts w:ascii="Garamond" w:eastAsia="Arial Narrow" w:hAnsi="Garamond"/>
                <w:sz w:val="18"/>
                <w:szCs w:val="20"/>
              </w:rPr>
              <w:lastRenderedPageBreak/>
              <w:t xml:space="preserve">TAIEX </w:t>
            </w:r>
            <w:r w:rsidR="00797859">
              <w:rPr>
                <w:rFonts w:ascii="Garamond" w:eastAsia="Arial Narrow" w:hAnsi="Garamond"/>
                <w:sz w:val="18"/>
                <w:szCs w:val="20"/>
              </w:rPr>
              <w:t>/</w:t>
            </w:r>
            <w:r w:rsidRPr="0058349C">
              <w:rPr>
                <w:rFonts w:ascii="Garamond" w:eastAsia="Arial Narrow" w:hAnsi="Garamond"/>
                <w:sz w:val="18"/>
                <w:szCs w:val="20"/>
              </w:rPr>
              <w:t xml:space="preserve">IPA III, IPARD III TA </w:t>
            </w:r>
            <w:r w:rsidR="00797859">
              <w:rPr>
                <w:rFonts w:ascii="Garamond" w:eastAsia="Arial Narrow" w:hAnsi="Garamond"/>
                <w:sz w:val="18"/>
                <w:szCs w:val="20"/>
              </w:rPr>
              <w:t>/</w:t>
            </w:r>
            <w:r w:rsidRPr="0058349C">
              <w:rPr>
                <w:rFonts w:ascii="Garamond" w:eastAsia="Arial Narrow" w:hAnsi="Garamond"/>
                <w:sz w:val="18"/>
                <w:szCs w:val="20"/>
              </w:rPr>
              <w:t>Donatorët</w:t>
            </w:r>
          </w:p>
        </w:tc>
      </w:tr>
      <w:tr w:rsidR="00FC6222" w:rsidRPr="0058349C" w14:paraId="0773B20D" w14:textId="77777777" w:rsidTr="00543FCB">
        <w:trPr>
          <w:gridAfter w:val="1"/>
          <w:wAfter w:w="4" w:type="pct"/>
          <w:trHeight w:val="20"/>
        </w:trPr>
        <w:tc>
          <w:tcPr>
            <w:tcW w:w="983" w:type="pct"/>
            <w:gridSpan w:val="3"/>
          </w:tcPr>
          <w:p w14:paraId="0773B208"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lastRenderedPageBreak/>
              <w:t>27. AT për ngritjen e FADN-së dhe përgatitjen e analizave ekonomike</w:t>
            </w:r>
          </w:p>
        </w:tc>
        <w:tc>
          <w:tcPr>
            <w:tcW w:w="2833" w:type="pct"/>
          </w:tcPr>
          <w:p w14:paraId="0773B209" w14:textId="77777777"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Krijimi i FADN-së duhet të fillojë me burime të përshtatshme njerëzore të alokuara nga MBZHR-ja.</w:t>
            </w:r>
          </w:p>
          <w:p w14:paraId="0773B20A" w14:textId="77777777"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Njësia FADN (në MBZHR) duhet që në fund të zbatimit të projektit AT të mund të përgatisë dhe publikojë analiza vjetore ekonomike bazuar në FADN.</w:t>
            </w:r>
          </w:p>
        </w:tc>
        <w:tc>
          <w:tcPr>
            <w:tcW w:w="535" w:type="pct"/>
          </w:tcPr>
          <w:p w14:paraId="0773B20B"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1.14</w:t>
            </w:r>
          </w:p>
        </w:tc>
        <w:tc>
          <w:tcPr>
            <w:tcW w:w="645" w:type="pct"/>
          </w:tcPr>
          <w:p w14:paraId="0773B20C" w14:textId="6A58DFC9" w:rsidR="00FC6222" w:rsidRPr="0058349C" w:rsidRDefault="00FC6222" w:rsidP="00830F27">
            <w:pPr>
              <w:pStyle w:val="Table1"/>
              <w:rPr>
                <w:rFonts w:ascii="Garamond" w:eastAsia="Calibri" w:hAnsi="Garamond"/>
                <w:sz w:val="18"/>
                <w:szCs w:val="20"/>
              </w:rPr>
            </w:pPr>
            <w:r w:rsidRPr="0058349C">
              <w:rPr>
                <w:rFonts w:ascii="Garamond" w:eastAsia="Arial Narrow" w:hAnsi="Garamond"/>
                <w:sz w:val="18"/>
                <w:szCs w:val="20"/>
              </w:rPr>
              <w:t xml:space="preserve">TAIEX </w:t>
            </w:r>
            <w:r w:rsidR="00797859">
              <w:rPr>
                <w:rFonts w:ascii="Garamond" w:eastAsia="Arial Narrow" w:hAnsi="Garamond"/>
                <w:sz w:val="18"/>
                <w:szCs w:val="20"/>
              </w:rPr>
              <w:t>/</w:t>
            </w:r>
            <w:r w:rsidR="003D5826">
              <w:rPr>
                <w:rFonts w:ascii="Garamond" w:eastAsia="Arial Narrow" w:hAnsi="Garamond"/>
                <w:sz w:val="18"/>
                <w:szCs w:val="20"/>
              </w:rPr>
              <w:t>IPA III, IPARD III TA</w:t>
            </w:r>
            <w:r w:rsidR="00797859">
              <w:rPr>
                <w:rFonts w:ascii="Garamond" w:eastAsia="Arial Narrow" w:hAnsi="Garamond"/>
                <w:sz w:val="18"/>
                <w:szCs w:val="20"/>
              </w:rPr>
              <w:t>/</w:t>
            </w:r>
            <w:r w:rsidR="003D5826">
              <w:rPr>
                <w:rFonts w:ascii="Garamond" w:eastAsia="Arial Narrow" w:hAnsi="Garamond"/>
                <w:sz w:val="18"/>
                <w:szCs w:val="20"/>
              </w:rPr>
              <w:t xml:space="preserve"> </w:t>
            </w:r>
            <w:r w:rsidRPr="0058349C">
              <w:rPr>
                <w:rFonts w:ascii="Garamond" w:eastAsia="Arial Narrow" w:hAnsi="Garamond"/>
                <w:sz w:val="18"/>
                <w:szCs w:val="20"/>
              </w:rPr>
              <w:t>Donatorët (FAO ka filluar)</w:t>
            </w:r>
          </w:p>
        </w:tc>
      </w:tr>
      <w:tr w:rsidR="00FC6222" w:rsidRPr="0058349C" w14:paraId="0773B217" w14:textId="77777777" w:rsidTr="00543FCB">
        <w:trPr>
          <w:gridAfter w:val="1"/>
          <w:wAfter w:w="4" w:type="pct"/>
          <w:trHeight w:val="20"/>
        </w:trPr>
        <w:tc>
          <w:tcPr>
            <w:tcW w:w="983" w:type="pct"/>
            <w:gridSpan w:val="3"/>
          </w:tcPr>
          <w:p w14:paraId="0773B20E"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28. AT për futjen e KMBM-ve të thjeshtuara</w:t>
            </w:r>
          </w:p>
        </w:tc>
        <w:tc>
          <w:tcPr>
            <w:tcW w:w="2833" w:type="pct"/>
          </w:tcPr>
          <w:p w14:paraId="0773B20F" w14:textId="3EB904CC"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Përfitues është MBZHR</w:t>
            </w:r>
            <w:r w:rsidR="003D5826">
              <w:rPr>
                <w:rFonts w:ascii="Garamond" w:eastAsia="Arial Narrow" w:hAnsi="Garamond"/>
                <w:sz w:val="18"/>
                <w:szCs w:val="20"/>
              </w:rPr>
              <w:t>-ja</w:t>
            </w:r>
            <w:r w:rsidRPr="0058349C">
              <w:rPr>
                <w:rFonts w:ascii="Garamond" w:eastAsia="Arial Narrow" w:hAnsi="Garamond"/>
                <w:sz w:val="18"/>
                <w:szCs w:val="20"/>
              </w:rPr>
              <w:t>.</w:t>
            </w:r>
          </w:p>
          <w:p w14:paraId="0C42A190" w14:textId="77777777" w:rsidR="006C5D1B"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Mbështetja AT duhet të synojë përpunimin e KMBM-ve përfshirë:</w:t>
            </w:r>
          </w:p>
          <w:p w14:paraId="0773B211" w14:textId="388B9DDB" w:rsidR="00FC6222" w:rsidRPr="0058349C" w:rsidRDefault="00167C37" w:rsidP="00167C37">
            <w:pPr>
              <w:pStyle w:val="Table1"/>
              <w:rPr>
                <w:rFonts w:ascii="Garamond" w:eastAsia="Arial Narrow" w:hAnsi="Garamond"/>
                <w:sz w:val="18"/>
                <w:szCs w:val="20"/>
              </w:rPr>
            </w:pPr>
            <w:r w:rsidRPr="0058349C">
              <w:rPr>
                <w:rFonts w:ascii="Garamond" w:eastAsia="Arial Narrow" w:hAnsi="Garamond"/>
                <w:sz w:val="18"/>
                <w:szCs w:val="20"/>
              </w:rPr>
              <w:t xml:space="preserve">- </w:t>
            </w:r>
            <w:r w:rsidR="00FC6222" w:rsidRPr="0058349C">
              <w:rPr>
                <w:rFonts w:ascii="Garamond" w:eastAsia="Arial Narrow" w:hAnsi="Garamond"/>
                <w:sz w:val="18"/>
                <w:szCs w:val="20"/>
              </w:rPr>
              <w:t>Standardet që synojnë të kontribuojnë në zbutjen dhe përshtatjen ndaj ndryshimeve klimatike, për të trajtuar sfidat e ujit, mbrojtjen dhe cilësinë e tokës dhe mbrojtjen dhe cilësinë e biodiversitetit vetëm nëpërmjet praktikave të mira. Nuk duhet të merren parasysh praktikat për të cilat nevojiten makineri/pajisje të specializuara ose investime në asete fizike.</w:t>
            </w:r>
          </w:p>
          <w:p w14:paraId="0773B212" w14:textId="08FEF87A" w:rsidR="00FC6222" w:rsidRPr="0058349C" w:rsidRDefault="00167C37" w:rsidP="00167C37">
            <w:pPr>
              <w:pStyle w:val="Table1"/>
              <w:rPr>
                <w:rFonts w:ascii="Garamond" w:eastAsia="Arial Narrow" w:hAnsi="Garamond"/>
                <w:sz w:val="18"/>
                <w:szCs w:val="20"/>
              </w:rPr>
            </w:pPr>
            <w:r w:rsidRPr="0058349C">
              <w:rPr>
                <w:rFonts w:ascii="Garamond" w:eastAsia="Arial Narrow" w:hAnsi="Garamond"/>
                <w:sz w:val="18"/>
                <w:szCs w:val="20"/>
              </w:rPr>
              <w:t xml:space="preserve">- </w:t>
            </w:r>
            <w:r w:rsidR="00FC6222" w:rsidRPr="0058349C">
              <w:rPr>
                <w:rFonts w:ascii="Garamond" w:eastAsia="Arial Narrow" w:hAnsi="Garamond"/>
                <w:sz w:val="18"/>
                <w:szCs w:val="20"/>
              </w:rPr>
              <w:t>Përfshirja/bashkëpunimi i ngushtë me universitetet dhe institutet kërkimore të vendit dhe konsultime me shoqatat e fermerëve.</w:t>
            </w:r>
          </w:p>
          <w:p w14:paraId="0773B213" w14:textId="0BFB12E6" w:rsidR="00FC6222" w:rsidRPr="0058349C" w:rsidRDefault="00167C37" w:rsidP="00167C37">
            <w:pPr>
              <w:pStyle w:val="Table1"/>
              <w:rPr>
                <w:rFonts w:ascii="Garamond" w:eastAsia="Arial Narrow" w:hAnsi="Garamond"/>
                <w:sz w:val="18"/>
                <w:szCs w:val="20"/>
              </w:rPr>
            </w:pPr>
            <w:r w:rsidRPr="0058349C">
              <w:rPr>
                <w:rFonts w:ascii="Garamond" w:eastAsia="Arial Narrow" w:hAnsi="Garamond"/>
                <w:sz w:val="18"/>
                <w:szCs w:val="20"/>
              </w:rPr>
              <w:t xml:space="preserve">- </w:t>
            </w:r>
            <w:r w:rsidR="00FC6222" w:rsidRPr="0058349C">
              <w:rPr>
                <w:rFonts w:ascii="Garamond" w:eastAsia="Arial Narrow" w:hAnsi="Garamond"/>
                <w:sz w:val="18"/>
                <w:szCs w:val="20"/>
              </w:rPr>
              <w:t>Ngritja dhe operimi i SHKF</w:t>
            </w:r>
            <w:r w:rsidR="006C5D1B">
              <w:rPr>
                <w:rFonts w:ascii="Garamond" w:eastAsia="Arial Narrow" w:hAnsi="Garamond"/>
                <w:sz w:val="18"/>
                <w:szCs w:val="20"/>
              </w:rPr>
              <w:t>-së,</w:t>
            </w:r>
            <w:r w:rsidR="00FC6222" w:rsidRPr="0058349C">
              <w:rPr>
                <w:rFonts w:ascii="Garamond" w:eastAsia="Arial Narrow" w:hAnsi="Garamond"/>
                <w:sz w:val="18"/>
                <w:szCs w:val="20"/>
              </w:rPr>
              <w:t xml:space="preserve"> si një mbështetje e dedikuar informacioni dhe këshillimi institucional për kushtet e reja mjedisore të përfshira.</w:t>
            </w:r>
          </w:p>
          <w:p w14:paraId="0773B214" w14:textId="3729F632" w:rsidR="00FC6222" w:rsidRPr="0058349C" w:rsidRDefault="00167C37" w:rsidP="00167C37">
            <w:pPr>
              <w:pStyle w:val="Table1"/>
              <w:rPr>
                <w:rFonts w:ascii="Garamond" w:eastAsia="Arial Narrow" w:hAnsi="Garamond"/>
                <w:sz w:val="18"/>
                <w:szCs w:val="20"/>
              </w:rPr>
            </w:pPr>
            <w:r w:rsidRPr="0058349C">
              <w:rPr>
                <w:rFonts w:ascii="Garamond" w:eastAsia="Arial Narrow" w:hAnsi="Garamond"/>
                <w:sz w:val="18"/>
                <w:szCs w:val="20"/>
              </w:rPr>
              <w:t xml:space="preserve">- </w:t>
            </w:r>
            <w:r w:rsidR="00FC6222" w:rsidRPr="0058349C">
              <w:rPr>
                <w:rFonts w:ascii="Garamond" w:eastAsia="Arial Narrow" w:hAnsi="Garamond"/>
                <w:sz w:val="18"/>
                <w:szCs w:val="20"/>
              </w:rPr>
              <w:t>Zbatimi i një fushate të madhe ndërgjegjësimi, si dhe përgatitja e kontrolleve administrative dhe në terren</w:t>
            </w:r>
            <w:r w:rsidR="006C5D1B">
              <w:rPr>
                <w:rFonts w:ascii="Garamond" w:eastAsia="Arial Narrow" w:hAnsi="Garamond"/>
                <w:sz w:val="18"/>
                <w:szCs w:val="20"/>
              </w:rPr>
              <w:t>,</w:t>
            </w:r>
            <w:r w:rsidR="00FC6222" w:rsidRPr="0058349C">
              <w:rPr>
                <w:rFonts w:ascii="Garamond" w:eastAsia="Arial Narrow" w:hAnsi="Garamond"/>
                <w:sz w:val="18"/>
                <w:szCs w:val="20"/>
              </w:rPr>
              <w:t xml:space="preserve"> si dhe trajnimi për AZHBR-në. KMBM-të duhet t</w:t>
            </w:r>
            <w:r w:rsidR="006C5D1B">
              <w:rPr>
                <w:rFonts w:ascii="Garamond" w:eastAsia="Arial Narrow" w:hAnsi="Garamond"/>
                <w:sz w:val="18"/>
                <w:szCs w:val="20"/>
              </w:rPr>
              <w:t>’</w:t>
            </w:r>
            <w:r w:rsidR="00FC6222" w:rsidRPr="0058349C">
              <w:rPr>
                <w:rFonts w:ascii="Garamond" w:eastAsia="Arial Narrow" w:hAnsi="Garamond"/>
                <w:sz w:val="18"/>
                <w:szCs w:val="20"/>
              </w:rPr>
              <w:t xml:space="preserve">i nënshtrohen kontrollit minimal prej 1%. </w:t>
            </w:r>
          </w:p>
        </w:tc>
        <w:tc>
          <w:tcPr>
            <w:tcW w:w="535" w:type="pct"/>
          </w:tcPr>
          <w:p w14:paraId="0773B215"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2.5, 2.6</w:t>
            </w:r>
          </w:p>
        </w:tc>
        <w:tc>
          <w:tcPr>
            <w:tcW w:w="645" w:type="pct"/>
          </w:tcPr>
          <w:p w14:paraId="0773B216" w14:textId="73D49DDC" w:rsidR="00FC6222" w:rsidRPr="0058349C" w:rsidRDefault="00FC6222" w:rsidP="00830F27">
            <w:pPr>
              <w:pStyle w:val="Table1"/>
              <w:rPr>
                <w:rFonts w:ascii="Garamond" w:eastAsia="Calibri" w:hAnsi="Garamond"/>
                <w:sz w:val="18"/>
                <w:szCs w:val="20"/>
              </w:rPr>
            </w:pPr>
            <w:r w:rsidRPr="0058349C">
              <w:rPr>
                <w:rFonts w:ascii="Garamond" w:eastAsia="Arial Narrow" w:hAnsi="Garamond"/>
                <w:sz w:val="18"/>
                <w:szCs w:val="20"/>
              </w:rPr>
              <w:t xml:space="preserve">TAIEX </w:t>
            </w:r>
            <w:r w:rsidR="00797859">
              <w:rPr>
                <w:rFonts w:ascii="Garamond" w:eastAsia="Arial Narrow" w:hAnsi="Garamond"/>
                <w:sz w:val="18"/>
                <w:szCs w:val="20"/>
              </w:rPr>
              <w:t>/</w:t>
            </w:r>
            <w:r w:rsidR="003D5826">
              <w:rPr>
                <w:rFonts w:ascii="Garamond" w:eastAsia="Arial Narrow" w:hAnsi="Garamond"/>
                <w:sz w:val="18"/>
                <w:szCs w:val="20"/>
              </w:rPr>
              <w:t>IPA III, IPARD III TA</w:t>
            </w:r>
            <w:r w:rsidR="00797859">
              <w:rPr>
                <w:rFonts w:ascii="Garamond" w:eastAsia="Arial Narrow" w:hAnsi="Garamond"/>
                <w:sz w:val="18"/>
                <w:szCs w:val="20"/>
              </w:rPr>
              <w:t>/</w:t>
            </w:r>
            <w:r w:rsidR="003D5826">
              <w:rPr>
                <w:rFonts w:ascii="Garamond" w:eastAsia="Arial Narrow" w:hAnsi="Garamond"/>
                <w:sz w:val="18"/>
                <w:szCs w:val="20"/>
              </w:rPr>
              <w:t xml:space="preserve"> </w:t>
            </w:r>
            <w:r w:rsidRPr="0058349C">
              <w:rPr>
                <w:rFonts w:ascii="Garamond" w:eastAsia="Arial Narrow" w:hAnsi="Garamond"/>
                <w:sz w:val="18"/>
                <w:szCs w:val="20"/>
              </w:rPr>
              <w:t>Donatorët</w:t>
            </w:r>
          </w:p>
        </w:tc>
      </w:tr>
      <w:tr w:rsidR="00FC6222" w:rsidRPr="0058349C" w14:paraId="0773B21E" w14:textId="77777777" w:rsidTr="00543FCB">
        <w:trPr>
          <w:gridAfter w:val="1"/>
          <w:wAfter w:w="4" w:type="pct"/>
          <w:trHeight w:val="20"/>
        </w:trPr>
        <w:tc>
          <w:tcPr>
            <w:tcW w:w="983" w:type="pct"/>
            <w:gridSpan w:val="3"/>
          </w:tcPr>
          <w:p w14:paraId="0773B218"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29. AT për hartimin/zbatimin e Kodit të Praktikave të Mira Bujqësore për parandalimin dhe reduktimin e ndotjes nga nitratet të shkaktuar nga bujqësia dhe për Kodin e Praktikës së Mirë Bujqësore për Reduktimin e Emetimeve të Amoniakut</w:t>
            </w:r>
          </w:p>
        </w:tc>
        <w:tc>
          <w:tcPr>
            <w:tcW w:w="2833" w:type="pct"/>
          </w:tcPr>
          <w:p w14:paraId="0773B219" w14:textId="498FE75D"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Përfitues është MBZHR</w:t>
            </w:r>
            <w:r w:rsidR="006C5D1B">
              <w:rPr>
                <w:rFonts w:ascii="Garamond" w:eastAsia="Arial Narrow" w:hAnsi="Garamond"/>
                <w:sz w:val="18"/>
                <w:szCs w:val="20"/>
              </w:rPr>
              <w:t>-ja</w:t>
            </w:r>
            <w:r w:rsidRPr="0058349C">
              <w:rPr>
                <w:rFonts w:ascii="Garamond" w:eastAsia="Arial Narrow" w:hAnsi="Garamond"/>
                <w:sz w:val="18"/>
                <w:szCs w:val="20"/>
              </w:rPr>
              <w:t xml:space="preserve"> dhe MTM</w:t>
            </w:r>
            <w:r w:rsidR="006C5D1B">
              <w:rPr>
                <w:rFonts w:ascii="Garamond" w:eastAsia="Arial Narrow" w:hAnsi="Garamond"/>
                <w:sz w:val="18"/>
                <w:szCs w:val="20"/>
              </w:rPr>
              <w:t>-ja</w:t>
            </w:r>
          </w:p>
          <w:p w14:paraId="0773B21A" w14:textId="1A5D131C"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Kodi i Praktikave të Mira Bujqësore për parandalimin dhe reduktimin e ndotjes nga nitratet të shkaktuar nga bujqësia duhet të përgatitet në përputhje me Direktivën e Nitrateve. AT duhet të përfshijë një fushatë ndërgjegjësimi dhe trajnim për fermerët nga sektori i blegtorisë. Trajnimi mund të shoqërohet me grande për investime</w:t>
            </w:r>
            <w:r w:rsidR="00166B6A">
              <w:rPr>
                <w:rFonts w:ascii="Garamond" w:eastAsia="Arial Narrow" w:hAnsi="Garamond"/>
                <w:sz w:val="18"/>
                <w:szCs w:val="20"/>
              </w:rPr>
              <w:t>,</w:t>
            </w:r>
            <w:r w:rsidRPr="0058349C">
              <w:rPr>
                <w:rFonts w:ascii="Garamond" w:eastAsia="Arial Narrow" w:hAnsi="Garamond"/>
                <w:sz w:val="18"/>
                <w:szCs w:val="20"/>
              </w:rPr>
              <w:t xml:space="preserve"> sipas nevojës për përmbushjen e standardeve.</w:t>
            </w:r>
          </w:p>
          <w:p w14:paraId="0773B21B" w14:textId="0DBF8229"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Kodi i Praktikave të Mira Bujqësore për parandalimin dhe reduktimin e ndotjes me nitrate të shkaktuar nga bujqësia duhet të përgatitet në përputhje me Direktivën NEC, e transpozuar me</w:t>
            </w:r>
            <w:r w:rsidR="00CF7694" w:rsidRPr="0058349C">
              <w:rPr>
                <w:rFonts w:ascii="Garamond" w:eastAsia="Arial Narrow" w:hAnsi="Garamond"/>
                <w:sz w:val="18"/>
                <w:szCs w:val="20"/>
              </w:rPr>
              <w:t xml:space="preserve"> </w:t>
            </w:r>
            <w:r w:rsidRPr="0058349C">
              <w:rPr>
                <w:rFonts w:ascii="Garamond" w:hAnsi="Garamond"/>
                <w:sz w:val="18"/>
                <w:szCs w:val="20"/>
              </w:rPr>
              <w:t>VKM</w:t>
            </w:r>
            <w:r w:rsidR="00166B6A">
              <w:rPr>
                <w:rFonts w:ascii="Garamond" w:hAnsi="Garamond"/>
                <w:sz w:val="18"/>
                <w:szCs w:val="20"/>
              </w:rPr>
              <w:t>-në nr. 162, datë 19.</w:t>
            </w:r>
            <w:r w:rsidRPr="0058349C">
              <w:rPr>
                <w:rFonts w:ascii="Garamond" w:hAnsi="Garamond"/>
                <w:sz w:val="18"/>
                <w:szCs w:val="20"/>
              </w:rPr>
              <w:t>2.2020</w:t>
            </w:r>
            <w:r w:rsidR="00A20C91">
              <w:rPr>
                <w:rFonts w:ascii="Garamond" w:hAnsi="Garamond"/>
                <w:sz w:val="18"/>
                <w:szCs w:val="20"/>
              </w:rPr>
              <w:t>,</w:t>
            </w:r>
            <w:r w:rsidR="00D56192" w:rsidRPr="0058349C">
              <w:rPr>
                <w:rFonts w:ascii="Garamond" w:hAnsi="Garamond"/>
                <w:sz w:val="18"/>
                <w:szCs w:val="20"/>
              </w:rPr>
              <w:t xml:space="preserve"> </w:t>
            </w:r>
            <w:r w:rsidR="00664693" w:rsidRPr="0058349C">
              <w:rPr>
                <w:rFonts w:ascii="Garamond" w:hAnsi="Garamond"/>
                <w:sz w:val="18"/>
                <w:szCs w:val="20"/>
              </w:rPr>
              <w:t>“</w:t>
            </w:r>
            <w:r w:rsidR="00D56192" w:rsidRPr="0058349C">
              <w:rPr>
                <w:rFonts w:ascii="Garamond" w:hAnsi="Garamond"/>
                <w:sz w:val="18"/>
                <w:szCs w:val="20"/>
              </w:rPr>
              <w:t>Për</w:t>
            </w:r>
            <w:r w:rsidRPr="0058349C">
              <w:rPr>
                <w:rFonts w:ascii="Garamond" w:hAnsi="Garamond"/>
                <w:sz w:val="18"/>
                <w:szCs w:val="20"/>
              </w:rPr>
              <w:t xml:space="preserve"> rregullat e hollësishme për hartimin, miratimin, rishikimin dhe zbatimin e programeve të pakësimit të shkarkimeve në ajër</w:t>
            </w:r>
            <w:r w:rsidR="00664693" w:rsidRPr="0058349C">
              <w:rPr>
                <w:rFonts w:ascii="Garamond" w:hAnsi="Garamond"/>
                <w:sz w:val="18"/>
                <w:szCs w:val="20"/>
              </w:rPr>
              <w:t>”</w:t>
            </w:r>
            <w:r w:rsidRPr="0058349C">
              <w:rPr>
                <w:rFonts w:ascii="Garamond" w:eastAsia="Arial Narrow" w:hAnsi="Garamond"/>
                <w:sz w:val="18"/>
                <w:szCs w:val="20"/>
              </w:rPr>
              <w:t>. AT</w:t>
            </w:r>
            <w:r w:rsidR="00166B6A">
              <w:rPr>
                <w:rFonts w:ascii="Garamond" w:eastAsia="Arial Narrow" w:hAnsi="Garamond"/>
                <w:sz w:val="18"/>
                <w:szCs w:val="20"/>
              </w:rPr>
              <w:t>-ja</w:t>
            </w:r>
            <w:r w:rsidRPr="0058349C">
              <w:rPr>
                <w:rFonts w:ascii="Garamond" w:eastAsia="Arial Narrow" w:hAnsi="Garamond"/>
                <w:sz w:val="18"/>
                <w:szCs w:val="20"/>
              </w:rPr>
              <w:t xml:space="preserve"> duhet të përfshijë një fushatë ndërgjegjësimi dhe trajnime për fermerët nga sektori i gjedhit. Trajnimi mund të shoqërohet me grande për investime</w:t>
            </w:r>
            <w:r w:rsidR="00166B6A">
              <w:rPr>
                <w:rFonts w:ascii="Garamond" w:eastAsia="Arial Narrow" w:hAnsi="Garamond"/>
                <w:sz w:val="18"/>
                <w:szCs w:val="20"/>
              </w:rPr>
              <w:t>,</w:t>
            </w:r>
            <w:r w:rsidRPr="0058349C">
              <w:rPr>
                <w:rFonts w:ascii="Garamond" w:eastAsia="Arial Narrow" w:hAnsi="Garamond"/>
                <w:sz w:val="18"/>
                <w:szCs w:val="20"/>
              </w:rPr>
              <w:t xml:space="preserve"> sipas nevojës për përmbushjen e standardeve.</w:t>
            </w:r>
          </w:p>
        </w:tc>
        <w:tc>
          <w:tcPr>
            <w:tcW w:w="535" w:type="pct"/>
          </w:tcPr>
          <w:p w14:paraId="0773B21C"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2.5, 2.6</w:t>
            </w:r>
          </w:p>
        </w:tc>
        <w:tc>
          <w:tcPr>
            <w:tcW w:w="645" w:type="pct"/>
          </w:tcPr>
          <w:p w14:paraId="0773B21D"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Donatorët</w:t>
            </w:r>
          </w:p>
        </w:tc>
      </w:tr>
      <w:tr w:rsidR="00FC6222" w:rsidRPr="0058349C" w14:paraId="0773B223" w14:textId="77777777" w:rsidTr="00543FCB">
        <w:trPr>
          <w:gridAfter w:val="1"/>
          <w:wAfter w:w="4" w:type="pct"/>
          <w:trHeight w:val="20"/>
        </w:trPr>
        <w:tc>
          <w:tcPr>
            <w:tcW w:w="983" w:type="pct"/>
            <w:gridSpan w:val="3"/>
          </w:tcPr>
          <w:p w14:paraId="0773B21F"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30. AT për konsolidimin e kapaciteteve institucionale për menaxhimin e sistemeve të ujitjes dhe kullimit</w:t>
            </w:r>
          </w:p>
        </w:tc>
        <w:tc>
          <w:tcPr>
            <w:tcW w:w="2833" w:type="pct"/>
          </w:tcPr>
          <w:p w14:paraId="0773B220" w14:textId="1D5F695A"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MBZHR</w:t>
            </w:r>
            <w:r w:rsidR="00166B6A">
              <w:rPr>
                <w:rFonts w:ascii="Garamond" w:eastAsia="Arial Narrow" w:hAnsi="Garamond"/>
                <w:sz w:val="18"/>
                <w:szCs w:val="20"/>
              </w:rPr>
              <w:t>-ja</w:t>
            </w:r>
            <w:r w:rsidRPr="0058349C">
              <w:rPr>
                <w:rFonts w:ascii="Garamond" w:eastAsia="Arial Narrow" w:hAnsi="Garamond"/>
                <w:sz w:val="18"/>
                <w:szCs w:val="20"/>
              </w:rPr>
              <w:t>, bashkitë dhe OPU-të duhet këshillohen dhe trajnohen për përshpejtimin e procesit të transferimit të të drejtave të përdorimit tek OPU-të për kanalet dytësore dhe terciare dhe për rehabilitimin dhe menaxhimin e sistemeve të ujitjes dhe kullimit.</w:t>
            </w:r>
          </w:p>
        </w:tc>
        <w:tc>
          <w:tcPr>
            <w:tcW w:w="535" w:type="pct"/>
          </w:tcPr>
          <w:p w14:paraId="0773B221"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1.7</w:t>
            </w:r>
          </w:p>
        </w:tc>
        <w:tc>
          <w:tcPr>
            <w:tcW w:w="645" w:type="pct"/>
          </w:tcPr>
          <w:p w14:paraId="0773B222"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Buxheti Kombëtar, Donatorët</w:t>
            </w:r>
          </w:p>
        </w:tc>
      </w:tr>
      <w:tr w:rsidR="00FC6222" w:rsidRPr="0058349C" w14:paraId="0773B22D" w14:textId="77777777" w:rsidTr="00543FCB">
        <w:trPr>
          <w:gridAfter w:val="1"/>
          <w:wAfter w:w="4" w:type="pct"/>
          <w:trHeight w:val="20"/>
        </w:trPr>
        <w:tc>
          <w:tcPr>
            <w:tcW w:w="983" w:type="pct"/>
            <w:gridSpan w:val="3"/>
          </w:tcPr>
          <w:p w14:paraId="0773B224"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30. AT për skemat e cilësisë së ushqimit</w:t>
            </w:r>
          </w:p>
        </w:tc>
        <w:tc>
          <w:tcPr>
            <w:tcW w:w="2833" w:type="pct"/>
          </w:tcPr>
          <w:p w14:paraId="0773B225" w14:textId="77777777"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Përfitues është MBZHR.</w:t>
            </w:r>
          </w:p>
          <w:p w14:paraId="0773B226" w14:textId="77777777"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Legjislacioni dhe procedurat për zbatimin e EOM dhe TMGJ duhet të përmirësohen.</w:t>
            </w:r>
          </w:p>
          <w:p w14:paraId="0773B227" w14:textId="48E7058D"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lastRenderedPageBreak/>
              <w:t>TA</w:t>
            </w:r>
            <w:r w:rsidR="00263104">
              <w:rPr>
                <w:rFonts w:ascii="Garamond" w:eastAsia="Arial Narrow" w:hAnsi="Garamond"/>
                <w:sz w:val="18"/>
                <w:szCs w:val="20"/>
              </w:rPr>
              <w:t>-ja</w:t>
            </w:r>
            <w:r w:rsidRPr="0058349C">
              <w:rPr>
                <w:rFonts w:ascii="Garamond" w:eastAsia="Arial Narrow" w:hAnsi="Garamond"/>
                <w:sz w:val="18"/>
                <w:szCs w:val="20"/>
              </w:rPr>
              <w:t xml:space="preserve"> duhet</w:t>
            </w:r>
            <w:r w:rsidR="00263104">
              <w:rPr>
                <w:rFonts w:ascii="Garamond" w:eastAsia="Arial Narrow" w:hAnsi="Garamond"/>
                <w:sz w:val="18"/>
                <w:szCs w:val="20"/>
              </w:rPr>
              <w:t>,</w:t>
            </w:r>
            <w:r w:rsidRPr="0058349C">
              <w:rPr>
                <w:rFonts w:ascii="Garamond" w:eastAsia="Arial Narrow" w:hAnsi="Garamond"/>
                <w:sz w:val="18"/>
                <w:szCs w:val="20"/>
              </w:rPr>
              <w:t xml:space="preserve"> gjithashtu</w:t>
            </w:r>
            <w:r w:rsidR="00263104">
              <w:rPr>
                <w:rFonts w:ascii="Garamond" w:eastAsia="Arial Narrow" w:hAnsi="Garamond"/>
                <w:sz w:val="18"/>
                <w:szCs w:val="20"/>
              </w:rPr>
              <w:t>,</w:t>
            </w:r>
            <w:r w:rsidRPr="0058349C">
              <w:rPr>
                <w:rFonts w:ascii="Garamond" w:eastAsia="Arial Narrow" w:hAnsi="Garamond"/>
                <w:sz w:val="18"/>
                <w:szCs w:val="20"/>
              </w:rPr>
              <w:t xml:space="preserve"> të përfshijë:</w:t>
            </w:r>
          </w:p>
          <w:p w14:paraId="0773B228" w14:textId="77777777"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Këshillim dhe trajnim për përcaktimin e kompetencave të institucioneve dhe specialistëve të përfshirë në skemën EOM /TMGJ dhe trajnime për procedurat e kontrollit dhe verifikimit të produkteve EOM/TMGJ;</w:t>
            </w:r>
          </w:p>
          <w:p w14:paraId="0773B229" w14:textId="77777777"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Duhet të zbatohet një fushatë e gjerë publike për promovimin e produkteve tradicionale dhe produkteve EOM/TMGJ të regjistruara, me synim rritjen e shikueshmërisë së tyre në tregjet lokale dhe rritjen e besimit të konsumatorëve, me përfshirjen e operatorëve turistikë për arritjen e sinergjive me sektorin e turizmit.</w:t>
            </w:r>
          </w:p>
          <w:p w14:paraId="0773B22A" w14:textId="6D258FC7"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Duhet të merret në konsideratë promovimi i zinxhirëve të furnizimit të shkurtër për nxitjen e konsumit të produk</w:t>
            </w:r>
            <w:r w:rsidR="00C259A4">
              <w:rPr>
                <w:rFonts w:ascii="Garamond" w:eastAsia="Arial Narrow" w:hAnsi="Garamond"/>
                <w:sz w:val="18"/>
                <w:szCs w:val="20"/>
              </w:rPr>
              <w:t>teve lokale me cilësi të lartë.</w:t>
            </w:r>
          </w:p>
        </w:tc>
        <w:tc>
          <w:tcPr>
            <w:tcW w:w="535" w:type="pct"/>
          </w:tcPr>
          <w:p w14:paraId="0773B22B"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lastRenderedPageBreak/>
              <w:t>1.12, 2.4</w:t>
            </w:r>
          </w:p>
        </w:tc>
        <w:tc>
          <w:tcPr>
            <w:tcW w:w="645" w:type="pct"/>
          </w:tcPr>
          <w:p w14:paraId="0773B22C"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Donatorët</w:t>
            </w:r>
          </w:p>
        </w:tc>
      </w:tr>
      <w:tr w:rsidR="00FC6222" w:rsidRPr="0058349C" w14:paraId="0773B239" w14:textId="77777777" w:rsidTr="00543FCB">
        <w:trPr>
          <w:gridAfter w:val="1"/>
          <w:wAfter w:w="4" w:type="pct"/>
          <w:trHeight w:val="20"/>
        </w:trPr>
        <w:tc>
          <w:tcPr>
            <w:tcW w:w="983" w:type="pct"/>
            <w:gridSpan w:val="3"/>
          </w:tcPr>
          <w:p w14:paraId="0773B22E" w14:textId="41F3A10D"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lastRenderedPageBreak/>
              <w:t>31. AT për marketing të drejtpërdrejtë</w:t>
            </w:r>
            <w:r w:rsidR="00797859">
              <w:rPr>
                <w:rFonts w:ascii="Garamond" w:eastAsia="Calibri" w:hAnsi="Garamond"/>
                <w:b/>
                <w:bCs/>
                <w:sz w:val="18"/>
                <w:szCs w:val="20"/>
              </w:rPr>
              <w:t>/</w:t>
            </w:r>
            <w:r w:rsidRPr="0058349C">
              <w:rPr>
                <w:rFonts w:ascii="Garamond" w:eastAsia="Calibri" w:hAnsi="Garamond"/>
                <w:b/>
                <w:bCs/>
                <w:sz w:val="18"/>
                <w:szCs w:val="20"/>
              </w:rPr>
              <w:t>zinxhirët</w:t>
            </w:r>
            <w:r w:rsidR="00CF7694" w:rsidRPr="0058349C">
              <w:rPr>
                <w:rFonts w:ascii="Garamond" w:eastAsia="Calibri" w:hAnsi="Garamond"/>
                <w:b/>
                <w:bCs/>
                <w:sz w:val="18"/>
                <w:szCs w:val="20"/>
              </w:rPr>
              <w:t xml:space="preserve"> </w:t>
            </w:r>
            <w:r w:rsidRPr="0058349C">
              <w:rPr>
                <w:rFonts w:ascii="Garamond" w:eastAsia="Calibri" w:hAnsi="Garamond"/>
                <w:b/>
                <w:bCs/>
                <w:sz w:val="18"/>
                <w:szCs w:val="20"/>
              </w:rPr>
              <w:t>e shkurtër të furnizimit</w:t>
            </w:r>
          </w:p>
        </w:tc>
        <w:tc>
          <w:tcPr>
            <w:tcW w:w="2833" w:type="pct"/>
          </w:tcPr>
          <w:p w14:paraId="0773B22F" w14:textId="77777777"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Përfitues janë MBZHR, AKU, fermerë, prodhues të vegjël ushqimesh dhe shoqatat e tyre.</w:t>
            </w:r>
          </w:p>
          <w:p w14:paraId="0773B230" w14:textId="467E88E2"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 xml:space="preserve">Modifikimi i </w:t>
            </w:r>
            <w:r w:rsidR="00615160" w:rsidRPr="0058349C">
              <w:rPr>
                <w:rFonts w:ascii="Garamond" w:eastAsia="Arial Narrow" w:hAnsi="Garamond"/>
                <w:sz w:val="18"/>
                <w:szCs w:val="20"/>
              </w:rPr>
              <w:t xml:space="preserve">udhëzimit nr. </w:t>
            </w:r>
            <w:r w:rsidRPr="0058349C">
              <w:rPr>
                <w:rFonts w:ascii="Garamond" w:eastAsia="Arial Narrow" w:hAnsi="Garamond"/>
                <w:sz w:val="18"/>
                <w:szCs w:val="20"/>
              </w:rPr>
              <w:t>5</w:t>
            </w:r>
            <w:r w:rsidR="00615160">
              <w:rPr>
                <w:rFonts w:ascii="Garamond" w:eastAsia="Arial Narrow" w:hAnsi="Garamond"/>
                <w:sz w:val="18"/>
                <w:szCs w:val="20"/>
              </w:rPr>
              <w:t>,</w:t>
            </w:r>
            <w:r w:rsidRPr="0058349C">
              <w:rPr>
                <w:rFonts w:ascii="Garamond" w:eastAsia="Arial Narrow" w:hAnsi="Garamond"/>
                <w:sz w:val="18"/>
                <w:szCs w:val="20"/>
              </w:rPr>
              <w:t xml:space="preserve"> datë 4.5.2018</w:t>
            </w:r>
            <w:r w:rsidR="00615160">
              <w:rPr>
                <w:rFonts w:ascii="Garamond" w:eastAsia="Arial Narrow" w:hAnsi="Garamond"/>
                <w:sz w:val="18"/>
                <w:szCs w:val="20"/>
              </w:rPr>
              <w:t>,</w:t>
            </w:r>
            <w:r w:rsidRPr="0058349C">
              <w:rPr>
                <w:rFonts w:ascii="Garamond" w:eastAsia="Arial Narrow" w:hAnsi="Garamond"/>
                <w:sz w:val="18"/>
                <w:szCs w:val="20"/>
              </w:rPr>
              <w:t xml:space="preserve"> të MBZHR-së (regjistrimi i prodhuesve të vegjël ushqimorë, produktet ushqimore tradicionale) dhe lidhja e tij me mbështetjen e investimeve IPARD III (Masa e diversifikimit).</w:t>
            </w:r>
          </w:p>
          <w:p w14:paraId="0773B231" w14:textId="266E9205"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Do të përgatiten përkuf</w:t>
            </w:r>
            <w:r w:rsidR="00615160">
              <w:rPr>
                <w:rFonts w:ascii="Garamond" w:eastAsia="Arial Narrow" w:hAnsi="Garamond"/>
                <w:sz w:val="18"/>
                <w:szCs w:val="20"/>
              </w:rPr>
              <w:t>izimet e mëposhtme: të fermerit</w:t>
            </w:r>
            <w:r w:rsidR="00797859">
              <w:rPr>
                <w:rFonts w:ascii="Garamond" w:eastAsia="Arial Narrow" w:hAnsi="Garamond"/>
                <w:sz w:val="18"/>
                <w:szCs w:val="20"/>
              </w:rPr>
              <w:t>/</w:t>
            </w:r>
            <w:r w:rsidR="00615160">
              <w:rPr>
                <w:rFonts w:ascii="Garamond" w:eastAsia="Arial Narrow" w:hAnsi="Garamond"/>
                <w:sz w:val="18"/>
                <w:szCs w:val="20"/>
              </w:rPr>
              <w:t>fermerit të vogël</w:t>
            </w:r>
            <w:r w:rsidR="00797859">
              <w:rPr>
                <w:rFonts w:ascii="Garamond" w:eastAsia="Arial Narrow" w:hAnsi="Garamond"/>
                <w:sz w:val="18"/>
                <w:szCs w:val="20"/>
              </w:rPr>
              <w:t>/</w:t>
            </w:r>
            <w:r w:rsidRPr="0058349C">
              <w:rPr>
                <w:rFonts w:ascii="Garamond" w:eastAsia="Arial Narrow" w:hAnsi="Garamond"/>
                <w:sz w:val="18"/>
                <w:szCs w:val="20"/>
              </w:rPr>
              <w:t>fermerit gjysmë komercial, shitësit të drejtpërdrejtë dhe zinxhirëve të furnizimit të shkurtër.</w:t>
            </w:r>
          </w:p>
          <w:p w14:paraId="0773B232" w14:textId="4D3E4743"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 xml:space="preserve">Hartimi i </w:t>
            </w:r>
            <w:r w:rsidR="00615160" w:rsidRPr="0058349C">
              <w:rPr>
                <w:rFonts w:ascii="Garamond" w:eastAsia="Arial Narrow" w:hAnsi="Garamond"/>
                <w:sz w:val="18"/>
                <w:szCs w:val="20"/>
              </w:rPr>
              <w:t>udhëzimeve për praktikën e mirë të higjienës ushqimo</w:t>
            </w:r>
            <w:r w:rsidRPr="0058349C">
              <w:rPr>
                <w:rFonts w:ascii="Garamond" w:eastAsia="Arial Narrow" w:hAnsi="Garamond"/>
                <w:sz w:val="18"/>
                <w:szCs w:val="20"/>
              </w:rPr>
              <w:t>re për produktet ushqimore me origjinë shtazore dhe bimore dhe kryerjen e vetëkontrollit nga fermerët dhe përpunuesit artizanal të ushqimit të regjistruar si prodhues të vegjël ushqimesh në MBZHR.</w:t>
            </w:r>
          </w:p>
          <w:p w14:paraId="0773B233" w14:textId="77777777"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Udhëzues dhe material trajnimi për rritjen e njohurive dhe aftësive të prodhuesve të vegjël të ushqimit.</w:t>
            </w:r>
          </w:p>
          <w:p w14:paraId="0773B234" w14:textId="77777777"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Baza që AKU të zbatojë kontrolle të qëndrueshme në të gjithë territorin për të forcuar besueshmërinë e sistemeve të gjurmueshmërisë së ushqimit.</w:t>
            </w:r>
          </w:p>
          <w:p w14:paraId="0773B235" w14:textId="5392239E"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 xml:space="preserve">Përpunimi i skemave të përshtatshme vullnetare të cilësisë së ushqimit (p.sh., </w:t>
            </w:r>
            <w:r w:rsidR="00664693" w:rsidRPr="0058349C">
              <w:rPr>
                <w:rFonts w:ascii="Garamond" w:eastAsia="Arial Narrow" w:hAnsi="Garamond"/>
                <w:sz w:val="18"/>
                <w:szCs w:val="20"/>
              </w:rPr>
              <w:t>“</w:t>
            </w:r>
            <w:r w:rsidRPr="0058349C">
              <w:rPr>
                <w:rFonts w:ascii="Garamond" w:eastAsia="Arial Narrow" w:hAnsi="Garamond"/>
                <w:sz w:val="18"/>
                <w:szCs w:val="20"/>
              </w:rPr>
              <w:t>tregtimi i drejtpërdrejtë bujqësor</w:t>
            </w:r>
            <w:r w:rsidR="00664693" w:rsidRPr="0058349C">
              <w:rPr>
                <w:rFonts w:ascii="Garamond" w:eastAsia="Arial Narrow" w:hAnsi="Garamond"/>
                <w:sz w:val="18"/>
                <w:szCs w:val="20"/>
              </w:rPr>
              <w:t>”</w:t>
            </w:r>
            <w:r w:rsidRPr="0058349C">
              <w:rPr>
                <w:rFonts w:ascii="Garamond" w:eastAsia="Arial Narrow" w:hAnsi="Garamond"/>
                <w:sz w:val="18"/>
                <w:szCs w:val="20"/>
              </w:rPr>
              <w:t xml:space="preserve">, </w:t>
            </w:r>
            <w:r w:rsidR="00664693" w:rsidRPr="0058349C">
              <w:rPr>
                <w:rFonts w:ascii="Garamond" w:eastAsia="Arial Narrow" w:hAnsi="Garamond"/>
                <w:sz w:val="18"/>
                <w:szCs w:val="20"/>
              </w:rPr>
              <w:t>“</w:t>
            </w:r>
            <w:r w:rsidRPr="0058349C">
              <w:rPr>
                <w:rFonts w:ascii="Garamond" w:eastAsia="Arial Narrow" w:hAnsi="Garamond"/>
                <w:sz w:val="18"/>
                <w:szCs w:val="20"/>
              </w:rPr>
              <w:t>blerja në fermë</w:t>
            </w:r>
            <w:r w:rsidR="00664693" w:rsidRPr="0058349C">
              <w:rPr>
                <w:rFonts w:ascii="Garamond" w:eastAsia="Arial Narrow" w:hAnsi="Garamond"/>
                <w:sz w:val="18"/>
                <w:szCs w:val="20"/>
              </w:rPr>
              <w:t>”</w:t>
            </w:r>
            <w:r w:rsidRPr="0058349C">
              <w:rPr>
                <w:rFonts w:ascii="Garamond" w:eastAsia="Arial Narrow" w:hAnsi="Garamond"/>
                <w:sz w:val="18"/>
                <w:szCs w:val="20"/>
              </w:rPr>
              <w:t xml:space="preserve">, </w:t>
            </w:r>
            <w:r w:rsidR="00664693" w:rsidRPr="0058349C">
              <w:rPr>
                <w:rFonts w:ascii="Garamond" w:eastAsia="Arial Narrow" w:hAnsi="Garamond"/>
                <w:sz w:val="18"/>
                <w:szCs w:val="20"/>
              </w:rPr>
              <w:t>“</w:t>
            </w:r>
            <w:r w:rsidRPr="0058349C">
              <w:rPr>
                <w:rFonts w:ascii="Garamond" w:eastAsia="Arial Narrow" w:hAnsi="Garamond"/>
                <w:sz w:val="18"/>
                <w:szCs w:val="20"/>
              </w:rPr>
              <w:t>produkte ushqimore tradicionale të prodhuara në mënyrë artizanale</w:t>
            </w:r>
            <w:r w:rsidR="00664693" w:rsidRPr="0058349C">
              <w:rPr>
                <w:rFonts w:ascii="Garamond" w:eastAsia="Arial Narrow" w:hAnsi="Garamond"/>
                <w:sz w:val="18"/>
                <w:szCs w:val="20"/>
              </w:rPr>
              <w:t>”</w:t>
            </w:r>
            <w:r w:rsidRPr="0058349C">
              <w:rPr>
                <w:rFonts w:ascii="Garamond" w:eastAsia="Arial Narrow" w:hAnsi="Garamond"/>
                <w:sz w:val="18"/>
                <w:szCs w:val="20"/>
              </w:rPr>
              <w:t>) për prodhuesit e vegjël të ushqimit.</w:t>
            </w:r>
          </w:p>
          <w:p w14:paraId="0773B236" w14:textId="49B37E13" w:rsidR="00FC6222" w:rsidRPr="0058349C" w:rsidRDefault="00FC6222" w:rsidP="00615160">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 xml:space="preserve">Trajnim dhe shkëmbim njohurish për fermerët dhe prodhuesit e vegjël të ushqimit në marketing </w:t>
            </w:r>
            <w:r w:rsidR="00615160">
              <w:rPr>
                <w:rFonts w:ascii="Garamond" w:eastAsia="Arial Narrow" w:hAnsi="Garamond"/>
                <w:sz w:val="18"/>
                <w:szCs w:val="20"/>
              </w:rPr>
              <w:t>dhe</w:t>
            </w:r>
            <w:r w:rsidR="00CF7694" w:rsidRPr="0058349C">
              <w:rPr>
                <w:rFonts w:ascii="Garamond" w:eastAsia="Arial Narrow" w:hAnsi="Garamond"/>
                <w:sz w:val="18"/>
                <w:szCs w:val="20"/>
              </w:rPr>
              <w:t xml:space="preserve"> </w:t>
            </w:r>
            <w:r w:rsidRPr="0058349C">
              <w:rPr>
                <w:rFonts w:ascii="Garamond" w:eastAsia="Arial Narrow" w:hAnsi="Garamond"/>
                <w:sz w:val="18"/>
                <w:szCs w:val="20"/>
              </w:rPr>
              <w:t>komunikim për zinxhirët e shkurtër të furnizimit ushqimor (skemat në fermë dhe</w:t>
            </w:r>
            <w:r w:rsidR="00C332AD">
              <w:rPr>
                <w:rFonts w:ascii="Garamond" w:eastAsia="Arial Narrow" w:hAnsi="Garamond"/>
                <w:sz w:val="18"/>
                <w:szCs w:val="20"/>
              </w:rPr>
              <w:t xml:space="preserve"> jashtë fermës), CSA, shitje te</w:t>
            </w:r>
            <w:r w:rsidRPr="0058349C">
              <w:rPr>
                <w:rFonts w:ascii="Garamond" w:eastAsia="Arial Narrow" w:hAnsi="Garamond"/>
                <w:sz w:val="18"/>
                <w:szCs w:val="20"/>
              </w:rPr>
              <w:t xml:space="preserve"> bujtinat etj. </w:t>
            </w:r>
          </w:p>
        </w:tc>
        <w:tc>
          <w:tcPr>
            <w:tcW w:w="535" w:type="pct"/>
          </w:tcPr>
          <w:p w14:paraId="0773B237"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3.1, 1.2</w:t>
            </w:r>
          </w:p>
        </w:tc>
        <w:tc>
          <w:tcPr>
            <w:tcW w:w="645" w:type="pct"/>
          </w:tcPr>
          <w:p w14:paraId="0773B238"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IPARD III + Fondet kombëtare (Masa AT), Donatorët</w:t>
            </w:r>
          </w:p>
        </w:tc>
      </w:tr>
      <w:tr w:rsidR="00FC6222" w:rsidRPr="0058349C" w14:paraId="0773B23F" w14:textId="77777777" w:rsidTr="00543FCB">
        <w:trPr>
          <w:gridAfter w:val="1"/>
          <w:wAfter w:w="4" w:type="pct"/>
          <w:trHeight w:val="20"/>
        </w:trPr>
        <w:tc>
          <w:tcPr>
            <w:tcW w:w="983" w:type="pct"/>
            <w:gridSpan w:val="3"/>
          </w:tcPr>
          <w:p w14:paraId="0773B23A"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32. AT për promovimin e bujqësisë organike</w:t>
            </w:r>
          </w:p>
        </w:tc>
        <w:tc>
          <w:tcPr>
            <w:tcW w:w="2833" w:type="pct"/>
          </w:tcPr>
          <w:p w14:paraId="0773B23B" w14:textId="77777777"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Përfitues është MBZHR, ndërsa përfituesit final janë fermerët. Shërbimet këshilluese publike do të përfshihen.</w:t>
            </w:r>
          </w:p>
          <w:p w14:paraId="0773B23C" w14:textId="77777777"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Do të promovohen përfitimet mjedisore dhe të tregut. Do të sigurohet një numër veprimesh dhe një paketë informacioni praktik për kalimin në bujqësinë organike.</w:t>
            </w:r>
          </w:p>
        </w:tc>
        <w:tc>
          <w:tcPr>
            <w:tcW w:w="535" w:type="pct"/>
          </w:tcPr>
          <w:p w14:paraId="0773B23D"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2.4, 2.5, 2.6, 2.7</w:t>
            </w:r>
          </w:p>
        </w:tc>
        <w:tc>
          <w:tcPr>
            <w:tcW w:w="645" w:type="pct"/>
          </w:tcPr>
          <w:p w14:paraId="0773B23E"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IPA III, Donatorët</w:t>
            </w:r>
          </w:p>
        </w:tc>
      </w:tr>
      <w:tr w:rsidR="00FC6222" w:rsidRPr="0058349C" w14:paraId="0773B245" w14:textId="77777777" w:rsidTr="00543FCB">
        <w:trPr>
          <w:gridAfter w:val="1"/>
          <w:wAfter w:w="4" w:type="pct"/>
          <w:trHeight w:val="20"/>
        </w:trPr>
        <w:tc>
          <w:tcPr>
            <w:tcW w:w="983" w:type="pct"/>
            <w:gridSpan w:val="3"/>
          </w:tcPr>
          <w:p w14:paraId="0773B240"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33. AT për Global G.A.P dhe HACCP</w:t>
            </w:r>
          </w:p>
        </w:tc>
        <w:tc>
          <w:tcPr>
            <w:tcW w:w="2833" w:type="pct"/>
          </w:tcPr>
          <w:p w14:paraId="0773B241" w14:textId="440F2765"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Përfitues janë fermerët dhe përfaqësuesit e përpunuesve agroushqimor</w:t>
            </w:r>
            <w:r w:rsidR="00A73AA0">
              <w:rPr>
                <w:rFonts w:ascii="Garamond" w:eastAsia="Arial Narrow" w:hAnsi="Garamond"/>
                <w:sz w:val="18"/>
                <w:szCs w:val="20"/>
              </w:rPr>
              <w:t>.</w:t>
            </w:r>
          </w:p>
          <w:p w14:paraId="0773B242" w14:textId="77777777"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 xml:space="preserve">Projekti AT duhet të ofrojë trajnime drejt përmbushjes së standardeve GLOBAL G.A.P dhe HACCP për fermerët e orientuar nga tregu dhe operatorët e biznesit ushqimor. Trajnimi mund të shoqërohet me grande për investime sipas nevojës për përmbushjen e standardeve. </w:t>
            </w:r>
          </w:p>
        </w:tc>
        <w:tc>
          <w:tcPr>
            <w:tcW w:w="535" w:type="pct"/>
          </w:tcPr>
          <w:p w14:paraId="0773B243"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1.11</w:t>
            </w:r>
          </w:p>
        </w:tc>
        <w:tc>
          <w:tcPr>
            <w:tcW w:w="645" w:type="pct"/>
          </w:tcPr>
          <w:p w14:paraId="0773B244"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IPARD III + Fondet kombëtare (Masa AT), Donatorët</w:t>
            </w:r>
          </w:p>
        </w:tc>
      </w:tr>
      <w:tr w:rsidR="00FC6222" w:rsidRPr="0058349C" w14:paraId="0773B250" w14:textId="77777777" w:rsidTr="00543FCB">
        <w:trPr>
          <w:gridAfter w:val="1"/>
          <w:wAfter w:w="4" w:type="pct"/>
          <w:trHeight w:val="20"/>
        </w:trPr>
        <w:tc>
          <w:tcPr>
            <w:tcW w:w="983" w:type="pct"/>
            <w:gridSpan w:val="3"/>
          </w:tcPr>
          <w:p w14:paraId="0773B246" w14:textId="10A8C614"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 xml:space="preserve">34. AT për promovimin e agroturizmit </w:t>
            </w:r>
            <w:r w:rsidR="00797859">
              <w:rPr>
                <w:rFonts w:ascii="Garamond" w:eastAsia="Calibri" w:hAnsi="Garamond"/>
                <w:b/>
                <w:bCs/>
                <w:sz w:val="18"/>
                <w:szCs w:val="20"/>
              </w:rPr>
              <w:t>/</w:t>
            </w:r>
            <w:r w:rsidRPr="0058349C">
              <w:rPr>
                <w:rFonts w:ascii="Garamond" w:eastAsia="Calibri" w:hAnsi="Garamond"/>
                <w:b/>
                <w:bCs/>
                <w:sz w:val="18"/>
                <w:szCs w:val="20"/>
              </w:rPr>
              <w:t>turizmit rural</w:t>
            </w:r>
          </w:p>
        </w:tc>
        <w:tc>
          <w:tcPr>
            <w:tcW w:w="2833" w:type="pct"/>
          </w:tcPr>
          <w:p w14:paraId="0773B247" w14:textId="77777777" w:rsidR="00FC6222" w:rsidRPr="0058349C" w:rsidRDefault="00FC6222" w:rsidP="00FC6222">
            <w:pPr>
              <w:pStyle w:val="ListParagraph"/>
              <w:numPr>
                <w:ilvl w:val="0"/>
                <w:numId w:val="18"/>
              </w:numPr>
              <w:overflowPunct w:val="0"/>
              <w:autoSpaceDE w:val="0"/>
              <w:autoSpaceDN w:val="0"/>
              <w:adjustRightInd w:val="0"/>
              <w:spacing w:after="0" w:line="240" w:lineRule="auto"/>
              <w:ind w:left="248" w:hanging="248"/>
              <w:textAlignment w:val="baseline"/>
              <w:rPr>
                <w:rFonts w:ascii="Garamond" w:eastAsia="Arial Narrow" w:hAnsi="Garamond" w:cs="Arial"/>
                <w:sz w:val="18"/>
                <w:szCs w:val="20"/>
                <w:lang w:val="sq-AL"/>
              </w:rPr>
            </w:pPr>
            <w:r w:rsidRPr="0058349C">
              <w:rPr>
                <w:rFonts w:ascii="Garamond" w:eastAsia="Arial Narrow" w:hAnsi="Garamond" w:cs="Arial"/>
                <w:sz w:val="18"/>
                <w:szCs w:val="20"/>
                <w:lang w:val="sq-AL"/>
              </w:rPr>
              <w:t>Përfitues jan</w:t>
            </w:r>
            <w:r w:rsidRPr="0058349C">
              <w:rPr>
                <w:rFonts w:ascii="Garamond" w:eastAsia="Arial Narrow" w:hAnsi="Garamond"/>
                <w:sz w:val="18"/>
                <w:szCs w:val="20"/>
                <w:lang w:val="sq-AL"/>
              </w:rPr>
              <w:t>ë</w:t>
            </w:r>
            <w:r w:rsidRPr="0058349C">
              <w:rPr>
                <w:rFonts w:ascii="Garamond" w:eastAsia="Arial Narrow" w:hAnsi="Garamond" w:cs="Arial"/>
                <w:sz w:val="18"/>
                <w:szCs w:val="20"/>
                <w:lang w:val="sq-AL"/>
              </w:rPr>
              <w:t>: Fermerët, popullsia rurale që investon në turizmin rural, operatorët turistikë, MBZHR, MTM.</w:t>
            </w:r>
          </w:p>
          <w:p w14:paraId="0773B248" w14:textId="77777777" w:rsidR="00FC6222" w:rsidRPr="0058349C" w:rsidRDefault="00FC6222" w:rsidP="00FC6222">
            <w:pPr>
              <w:pStyle w:val="ListParagraph"/>
              <w:numPr>
                <w:ilvl w:val="0"/>
                <w:numId w:val="18"/>
              </w:numPr>
              <w:overflowPunct w:val="0"/>
              <w:autoSpaceDE w:val="0"/>
              <w:autoSpaceDN w:val="0"/>
              <w:adjustRightInd w:val="0"/>
              <w:spacing w:after="0" w:line="240" w:lineRule="auto"/>
              <w:ind w:left="248" w:hanging="248"/>
              <w:textAlignment w:val="baseline"/>
              <w:rPr>
                <w:rFonts w:ascii="Garamond" w:eastAsia="Arial Narrow" w:hAnsi="Garamond" w:cs="Arial"/>
                <w:sz w:val="18"/>
                <w:szCs w:val="20"/>
                <w:lang w:val="sq-AL"/>
              </w:rPr>
            </w:pPr>
            <w:r w:rsidRPr="0058349C">
              <w:rPr>
                <w:rFonts w:ascii="Garamond" w:eastAsia="Arial Narrow" w:hAnsi="Garamond" w:cs="Arial"/>
                <w:sz w:val="18"/>
                <w:szCs w:val="20"/>
                <w:lang w:val="sq-AL"/>
              </w:rPr>
              <w:t>Konsolidimi i kuadrit ligjor-administrativ për agroturizmin.</w:t>
            </w:r>
          </w:p>
          <w:p w14:paraId="0773B249" w14:textId="77777777" w:rsidR="00FC6222" w:rsidRPr="0058349C" w:rsidRDefault="00FC6222" w:rsidP="00FC6222">
            <w:pPr>
              <w:pStyle w:val="ListParagraph"/>
              <w:numPr>
                <w:ilvl w:val="0"/>
                <w:numId w:val="18"/>
              </w:numPr>
              <w:overflowPunct w:val="0"/>
              <w:autoSpaceDE w:val="0"/>
              <w:autoSpaceDN w:val="0"/>
              <w:adjustRightInd w:val="0"/>
              <w:spacing w:after="0" w:line="240" w:lineRule="auto"/>
              <w:ind w:left="248" w:hanging="248"/>
              <w:textAlignment w:val="baseline"/>
              <w:rPr>
                <w:rFonts w:ascii="Garamond" w:eastAsia="Arial Narrow" w:hAnsi="Garamond" w:cs="Arial"/>
                <w:sz w:val="18"/>
                <w:szCs w:val="20"/>
                <w:lang w:val="sq-AL"/>
              </w:rPr>
            </w:pPr>
            <w:r w:rsidRPr="0058349C">
              <w:rPr>
                <w:rFonts w:ascii="Garamond" w:eastAsia="Arial Narrow" w:hAnsi="Garamond" w:cs="Arial"/>
                <w:sz w:val="18"/>
                <w:szCs w:val="20"/>
                <w:lang w:val="sq-AL"/>
              </w:rPr>
              <w:t>Rishikimi i standardeve të duhura të cilësisë për akomodimet turistike rurale të diferencuara sipas llojit të tyre.</w:t>
            </w:r>
          </w:p>
          <w:p w14:paraId="0773B24A" w14:textId="77777777" w:rsidR="00FC6222" w:rsidRPr="0058349C" w:rsidRDefault="00FC6222" w:rsidP="00FC6222">
            <w:pPr>
              <w:pStyle w:val="ListParagraph"/>
              <w:numPr>
                <w:ilvl w:val="0"/>
                <w:numId w:val="18"/>
              </w:numPr>
              <w:overflowPunct w:val="0"/>
              <w:autoSpaceDE w:val="0"/>
              <w:autoSpaceDN w:val="0"/>
              <w:adjustRightInd w:val="0"/>
              <w:spacing w:after="0" w:line="240" w:lineRule="auto"/>
              <w:ind w:left="248" w:hanging="248"/>
              <w:textAlignment w:val="baseline"/>
              <w:rPr>
                <w:rFonts w:ascii="Garamond" w:eastAsia="Arial Narrow" w:hAnsi="Garamond" w:cs="Arial"/>
                <w:sz w:val="18"/>
                <w:szCs w:val="20"/>
                <w:lang w:val="sq-AL"/>
              </w:rPr>
            </w:pPr>
            <w:r w:rsidRPr="0058349C">
              <w:rPr>
                <w:rFonts w:ascii="Garamond" w:eastAsia="Arial Narrow" w:hAnsi="Garamond" w:cs="Arial"/>
                <w:sz w:val="18"/>
                <w:szCs w:val="20"/>
                <w:lang w:val="sq-AL"/>
              </w:rPr>
              <w:t xml:space="preserve">Trajnime mbi standardet cilësore dhe të sigurta të udhëtimit bazuar në praktikat më të mira të aplikuara </w:t>
            </w:r>
            <w:r w:rsidRPr="0058349C">
              <w:rPr>
                <w:rFonts w:ascii="Garamond" w:eastAsia="Arial Narrow" w:hAnsi="Garamond" w:cs="Arial"/>
                <w:sz w:val="18"/>
                <w:szCs w:val="20"/>
                <w:lang w:val="sq-AL"/>
              </w:rPr>
              <w:lastRenderedPageBreak/>
              <w:t>ndërkombëtarisht (operatorë turistikë dhe fermerë, popullsi rurale).</w:t>
            </w:r>
          </w:p>
          <w:p w14:paraId="0773B24B" w14:textId="77777777" w:rsidR="00FC6222" w:rsidRPr="0058349C" w:rsidRDefault="00FC6222" w:rsidP="00FC6222">
            <w:pPr>
              <w:pStyle w:val="ListParagraph"/>
              <w:numPr>
                <w:ilvl w:val="0"/>
                <w:numId w:val="18"/>
              </w:numPr>
              <w:overflowPunct w:val="0"/>
              <w:autoSpaceDE w:val="0"/>
              <w:autoSpaceDN w:val="0"/>
              <w:adjustRightInd w:val="0"/>
              <w:spacing w:after="0" w:line="240" w:lineRule="auto"/>
              <w:ind w:left="248" w:hanging="248"/>
              <w:textAlignment w:val="baseline"/>
              <w:rPr>
                <w:rFonts w:ascii="Garamond" w:eastAsia="Arial Narrow" w:hAnsi="Garamond" w:cs="Arial"/>
                <w:sz w:val="18"/>
                <w:szCs w:val="20"/>
                <w:lang w:val="sq-AL"/>
              </w:rPr>
            </w:pPr>
            <w:r w:rsidRPr="0058349C">
              <w:rPr>
                <w:rFonts w:ascii="Garamond" w:eastAsia="Arial Narrow" w:hAnsi="Garamond" w:cs="Arial"/>
                <w:sz w:val="18"/>
                <w:szCs w:val="20"/>
                <w:lang w:val="sq-AL"/>
              </w:rPr>
              <w:t>Zhvillimi i agroturizmit me një përcaktim të qartë (koncepti i punës-fermës), standardet e duhura të sigurimit të cilësisë dhe për udhëtime të sigurta.</w:t>
            </w:r>
          </w:p>
          <w:p w14:paraId="0773B24C" w14:textId="2095E2E3" w:rsidR="00FC6222" w:rsidRPr="0058349C" w:rsidRDefault="00FC6222" w:rsidP="00FC6222">
            <w:pPr>
              <w:pStyle w:val="ListParagraph"/>
              <w:numPr>
                <w:ilvl w:val="0"/>
                <w:numId w:val="18"/>
              </w:numPr>
              <w:overflowPunct w:val="0"/>
              <w:autoSpaceDE w:val="0"/>
              <w:autoSpaceDN w:val="0"/>
              <w:adjustRightInd w:val="0"/>
              <w:spacing w:after="0" w:line="240" w:lineRule="auto"/>
              <w:ind w:left="248" w:hanging="248"/>
              <w:textAlignment w:val="baseline"/>
              <w:rPr>
                <w:rFonts w:ascii="Garamond" w:eastAsia="Arial Narrow" w:hAnsi="Garamond" w:cs="Arial"/>
                <w:sz w:val="18"/>
                <w:szCs w:val="20"/>
                <w:lang w:val="sq-AL"/>
              </w:rPr>
            </w:pPr>
            <w:r w:rsidRPr="0058349C">
              <w:rPr>
                <w:rFonts w:ascii="Garamond" w:eastAsia="Arial Narrow" w:hAnsi="Garamond" w:cs="Arial"/>
                <w:sz w:val="18"/>
                <w:szCs w:val="20"/>
                <w:lang w:val="sq-AL"/>
              </w:rPr>
              <w:t xml:space="preserve">Konceptet e marketingut, koordinimi ndërmjet operatorëve, markat si </w:t>
            </w:r>
            <w:r w:rsidR="00664693" w:rsidRPr="0058349C">
              <w:rPr>
                <w:rFonts w:ascii="Garamond" w:eastAsia="Arial Narrow" w:hAnsi="Garamond" w:cs="Arial"/>
                <w:sz w:val="18"/>
                <w:szCs w:val="20"/>
                <w:lang w:val="sq-AL"/>
              </w:rPr>
              <w:t>“</w:t>
            </w:r>
            <w:r w:rsidRPr="0058349C">
              <w:rPr>
                <w:rFonts w:ascii="Garamond" w:eastAsia="Arial Narrow" w:hAnsi="Garamond" w:cs="Arial"/>
                <w:sz w:val="18"/>
                <w:szCs w:val="20"/>
                <w:lang w:val="sq-AL"/>
              </w:rPr>
              <w:t>Agroturizmi Shqiptar</w:t>
            </w:r>
            <w:r w:rsidR="00664693" w:rsidRPr="0058349C">
              <w:rPr>
                <w:rFonts w:ascii="Garamond" w:eastAsia="Arial Narrow" w:hAnsi="Garamond" w:cs="Arial"/>
                <w:sz w:val="18"/>
                <w:szCs w:val="20"/>
                <w:lang w:val="sq-AL"/>
              </w:rPr>
              <w:t>”</w:t>
            </w:r>
          </w:p>
          <w:p w14:paraId="0773B24D" w14:textId="5B80233A" w:rsidR="00FC6222" w:rsidRPr="0058349C" w:rsidRDefault="00FC6222" w:rsidP="00A73AA0">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Zhvillimi i mundësive di</w:t>
            </w:r>
            <w:r w:rsidR="00A73AA0">
              <w:rPr>
                <w:rFonts w:ascii="Garamond" w:eastAsia="Arial Narrow" w:hAnsi="Garamond"/>
                <w:sz w:val="18"/>
                <w:szCs w:val="20"/>
              </w:rPr>
              <w:t>gj</w:t>
            </w:r>
            <w:r w:rsidRPr="0058349C">
              <w:rPr>
                <w:rFonts w:ascii="Garamond" w:eastAsia="Arial Narrow" w:hAnsi="Garamond"/>
                <w:sz w:val="18"/>
                <w:szCs w:val="20"/>
              </w:rPr>
              <w:t>itale.</w:t>
            </w:r>
          </w:p>
        </w:tc>
        <w:tc>
          <w:tcPr>
            <w:tcW w:w="535" w:type="pct"/>
          </w:tcPr>
          <w:p w14:paraId="0773B24E"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lastRenderedPageBreak/>
              <w:t>3.2</w:t>
            </w:r>
          </w:p>
        </w:tc>
        <w:tc>
          <w:tcPr>
            <w:tcW w:w="645" w:type="pct"/>
          </w:tcPr>
          <w:p w14:paraId="0773B24F"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IPARD III + Fondet kombëtare (Masa AT), Donatorët</w:t>
            </w:r>
          </w:p>
        </w:tc>
      </w:tr>
      <w:tr w:rsidR="00FC6222" w:rsidRPr="0058349C" w14:paraId="0773B255" w14:textId="77777777" w:rsidTr="00543FCB">
        <w:trPr>
          <w:gridAfter w:val="1"/>
          <w:wAfter w:w="4" w:type="pct"/>
          <w:trHeight w:val="20"/>
        </w:trPr>
        <w:tc>
          <w:tcPr>
            <w:tcW w:w="983" w:type="pct"/>
            <w:gridSpan w:val="3"/>
          </w:tcPr>
          <w:p w14:paraId="0773B251" w14:textId="14671686"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lastRenderedPageBreak/>
              <w:t>35.</w:t>
            </w:r>
            <w:r w:rsidR="00A73AA0">
              <w:rPr>
                <w:rFonts w:ascii="Garamond" w:eastAsia="Calibri" w:hAnsi="Garamond"/>
                <w:b/>
                <w:bCs/>
                <w:sz w:val="18"/>
                <w:szCs w:val="20"/>
              </w:rPr>
              <w:t xml:space="preserve"> </w:t>
            </w:r>
            <w:r w:rsidRPr="0058349C">
              <w:rPr>
                <w:rFonts w:ascii="Garamond" w:eastAsia="Calibri" w:hAnsi="Garamond"/>
                <w:b/>
                <w:bCs/>
                <w:sz w:val="18"/>
                <w:szCs w:val="20"/>
              </w:rPr>
              <w:t xml:space="preserve">Mbështetje fillestare </w:t>
            </w:r>
            <w:r w:rsidRPr="00A73AA0">
              <w:rPr>
                <w:rFonts w:ascii="Garamond" w:eastAsia="Calibri" w:hAnsi="Garamond"/>
                <w:b/>
                <w:bCs/>
                <w:i/>
                <w:iCs/>
                <w:sz w:val="18"/>
                <w:szCs w:val="20"/>
              </w:rPr>
              <w:t>(start-up)</w:t>
            </w:r>
            <w:r w:rsidR="00CF7694" w:rsidRPr="0058349C">
              <w:rPr>
                <w:rFonts w:ascii="Garamond" w:eastAsia="Calibri" w:hAnsi="Garamond"/>
                <w:b/>
                <w:bCs/>
                <w:sz w:val="18"/>
                <w:szCs w:val="20"/>
              </w:rPr>
              <w:t xml:space="preserve"> </w:t>
            </w:r>
            <w:r w:rsidRPr="0058349C">
              <w:rPr>
                <w:rFonts w:ascii="Garamond" w:eastAsia="Calibri" w:hAnsi="Garamond"/>
                <w:b/>
                <w:bCs/>
                <w:sz w:val="18"/>
                <w:szCs w:val="20"/>
              </w:rPr>
              <w:t>për të rinjtë e diplomuar në sektorin e bujqësisë</w:t>
            </w:r>
          </w:p>
        </w:tc>
        <w:tc>
          <w:tcPr>
            <w:tcW w:w="2833" w:type="pct"/>
          </w:tcPr>
          <w:p w14:paraId="0773B252" w14:textId="77777777"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 xml:space="preserve">Program i posaçëm </w:t>
            </w:r>
            <w:r w:rsidRPr="00A73AA0">
              <w:rPr>
                <w:rFonts w:ascii="Garamond" w:eastAsia="Arial Narrow" w:hAnsi="Garamond"/>
                <w:i/>
                <w:iCs/>
                <w:sz w:val="18"/>
                <w:szCs w:val="20"/>
              </w:rPr>
              <w:t>start-up</w:t>
            </w:r>
            <w:r w:rsidRPr="0058349C">
              <w:rPr>
                <w:rFonts w:ascii="Garamond" w:eastAsia="Arial Narrow" w:hAnsi="Garamond"/>
                <w:sz w:val="18"/>
                <w:szCs w:val="20"/>
              </w:rPr>
              <w:t xml:space="preserve"> për të diplomuarit për zhvillimin e biznesit në zonat rurale (AT dhe akses në grande) të lidhura me sektorin e bujqësisë, pylltarisë dhe peshkimit. </w:t>
            </w:r>
          </w:p>
        </w:tc>
        <w:tc>
          <w:tcPr>
            <w:tcW w:w="535" w:type="pct"/>
          </w:tcPr>
          <w:p w14:paraId="0773B253"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3.6</w:t>
            </w:r>
          </w:p>
        </w:tc>
        <w:tc>
          <w:tcPr>
            <w:tcW w:w="645" w:type="pct"/>
          </w:tcPr>
          <w:p w14:paraId="0773B254" w14:textId="2AF1FCC1"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Donatorët</w:t>
            </w:r>
            <w:r w:rsidR="00CF7694" w:rsidRPr="0058349C">
              <w:rPr>
                <w:rFonts w:ascii="Garamond" w:eastAsia="Calibri" w:hAnsi="Garamond"/>
                <w:sz w:val="18"/>
                <w:szCs w:val="20"/>
              </w:rPr>
              <w:t xml:space="preserve"> </w:t>
            </w:r>
            <w:r w:rsidRPr="0058349C">
              <w:rPr>
                <w:rFonts w:ascii="Garamond" w:eastAsia="Calibri" w:hAnsi="Garamond"/>
                <w:sz w:val="18"/>
                <w:szCs w:val="20"/>
              </w:rPr>
              <w:t>(AT dhe FA)</w:t>
            </w:r>
          </w:p>
        </w:tc>
      </w:tr>
      <w:tr w:rsidR="00FC6222" w:rsidRPr="0058349C" w14:paraId="0773B25B" w14:textId="77777777" w:rsidTr="00543FCB">
        <w:trPr>
          <w:gridAfter w:val="1"/>
          <w:wAfter w:w="4" w:type="pct"/>
          <w:trHeight w:val="20"/>
        </w:trPr>
        <w:tc>
          <w:tcPr>
            <w:tcW w:w="983" w:type="pct"/>
            <w:gridSpan w:val="3"/>
          </w:tcPr>
          <w:p w14:paraId="0773B256"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36. Studimi i fizibilitetit për rrjetin rrugor pyjor</w:t>
            </w:r>
          </w:p>
        </w:tc>
        <w:tc>
          <w:tcPr>
            <w:tcW w:w="2833" w:type="pct"/>
          </w:tcPr>
          <w:p w14:paraId="0773B257" w14:textId="77777777" w:rsidR="00FC6222" w:rsidRPr="0058349C" w:rsidRDefault="00FC6222" w:rsidP="00FC6222">
            <w:pPr>
              <w:pStyle w:val="Table1"/>
              <w:numPr>
                <w:ilvl w:val="0"/>
                <w:numId w:val="18"/>
              </w:numPr>
              <w:ind w:left="248" w:hanging="248"/>
              <w:rPr>
                <w:rFonts w:ascii="Garamond" w:eastAsia="Arial Narrow" w:hAnsi="Garamond"/>
                <w:sz w:val="18"/>
                <w:szCs w:val="20"/>
              </w:rPr>
            </w:pPr>
            <w:r w:rsidRPr="0058349C">
              <w:rPr>
                <w:rFonts w:ascii="Garamond" w:eastAsia="Arial Narrow" w:hAnsi="Garamond"/>
                <w:sz w:val="18"/>
                <w:szCs w:val="20"/>
              </w:rPr>
              <w:t>Vlerësimi i rrjetit rrugor pyjor si bazë për nevojat prioritare për investime, të tilla si toka pyjore e klasifikuar me rrezik të lartë për zjarret pyjore (të pranueshme për IPARD III- Infrastruktura rurale).</w:t>
            </w:r>
          </w:p>
        </w:tc>
        <w:tc>
          <w:tcPr>
            <w:tcW w:w="535" w:type="pct"/>
          </w:tcPr>
          <w:p w14:paraId="0773B258"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3.13</w:t>
            </w:r>
          </w:p>
        </w:tc>
        <w:tc>
          <w:tcPr>
            <w:tcW w:w="645" w:type="pct"/>
          </w:tcPr>
          <w:p w14:paraId="0773B259"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Buxheti Kombëtar, MTE</w:t>
            </w:r>
          </w:p>
          <w:p w14:paraId="0773B25A"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 xml:space="preserve">Masa e AT IPARD </w:t>
            </w:r>
          </w:p>
        </w:tc>
      </w:tr>
      <w:tr w:rsidR="00FC6222" w:rsidRPr="0058349C" w14:paraId="0773B266" w14:textId="77777777" w:rsidTr="00543FCB">
        <w:trPr>
          <w:gridAfter w:val="1"/>
          <w:wAfter w:w="4" w:type="pct"/>
          <w:trHeight w:val="20"/>
        </w:trPr>
        <w:tc>
          <w:tcPr>
            <w:tcW w:w="983" w:type="pct"/>
            <w:gridSpan w:val="3"/>
          </w:tcPr>
          <w:p w14:paraId="0773B25C"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37. AT dhe kërkim shkencor mbi bioekonominë dhe ekonominë rrethore të bazuar në bio (biomasa nga bujqësia dhe pyjet, biokarburantet)</w:t>
            </w:r>
          </w:p>
        </w:tc>
        <w:tc>
          <w:tcPr>
            <w:tcW w:w="2833" w:type="pct"/>
          </w:tcPr>
          <w:p w14:paraId="0773B25D" w14:textId="77777777" w:rsidR="00FC6222" w:rsidRPr="0058349C" w:rsidRDefault="00FC6222" w:rsidP="00FC6222">
            <w:pPr>
              <w:pStyle w:val="Table1"/>
              <w:numPr>
                <w:ilvl w:val="0"/>
                <w:numId w:val="18"/>
              </w:numPr>
              <w:ind w:left="158" w:hanging="158"/>
              <w:rPr>
                <w:rFonts w:ascii="Garamond" w:eastAsia="Arial Narrow" w:hAnsi="Garamond"/>
                <w:sz w:val="18"/>
                <w:szCs w:val="20"/>
              </w:rPr>
            </w:pPr>
            <w:r w:rsidRPr="0058349C">
              <w:rPr>
                <w:rFonts w:ascii="Garamond" w:eastAsia="Arial Narrow" w:hAnsi="Garamond"/>
                <w:sz w:val="18"/>
                <w:szCs w:val="20"/>
              </w:rPr>
              <w:t>Përfitues janë MBZHR, MTM</w:t>
            </w:r>
          </w:p>
          <w:p w14:paraId="0773B25E" w14:textId="58B30E04" w:rsidR="00FC6222" w:rsidRPr="0058349C" w:rsidRDefault="00FC6222" w:rsidP="00FC6222">
            <w:pPr>
              <w:pStyle w:val="Table1"/>
              <w:numPr>
                <w:ilvl w:val="0"/>
                <w:numId w:val="18"/>
              </w:numPr>
              <w:ind w:left="158" w:hanging="158"/>
              <w:rPr>
                <w:rFonts w:ascii="Garamond" w:eastAsia="Arial Narrow" w:hAnsi="Garamond"/>
                <w:sz w:val="18"/>
                <w:szCs w:val="20"/>
              </w:rPr>
            </w:pPr>
            <w:r w:rsidRPr="0058349C">
              <w:rPr>
                <w:rFonts w:ascii="Garamond" w:eastAsia="Arial Narrow" w:hAnsi="Garamond"/>
                <w:sz w:val="18"/>
                <w:szCs w:val="20"/>
              </w:rPr>
              <w:t xml:space="preserve">Njohuri shkencore, inovacion dhe ndryshim i teknologjive për të zhvilluar dhe krijuar procese të bazuara </w:t>
            </w:r>
            <w:r w:rsidR="00A73AA0">
              <w:rPr>
                <w:rFonts w:ascii="Garamond" w:eastAsia="Arial Narrow" w:hAnsi="Garamond"/>
                <w:sz w:val="18"/>
                <w:szCs w:val="20"/>
              </w:rPr>
              <w:t>në bio</w:t>
            </w:r>
            <w:r w:rsidRPr="0058349C">
              <w:rPr>
                <w:rFonts w:ascii="Garamond" w:eastAsia="Arial Narrow" w:hAnsi="Garamond"/>
                <w:sz w:val="18"/>
                <w:szCs w:val="20"/>
              </w:rPr>
              <w:t>bujqësore dhe pyjore.</w:t>
            </w:r>
          </w:p>
          <w:p w14:paraId="0773B25F" w14:textId="77777777" w:rsidR="00FC6222" w:rsidRPr="0058349C" w:rsidRDefault="00FC6222" w:rsidP="00FC6222">
            <w:pPr>
              <w:pStyle w:val="Table1"/>
              <w:numPr>
                <w:ilvl w:val="0"/>
                <w:numId w:val="18"/>
              </w:numPr>
              <w:ind w:left="158" w:hanging="158"/>
              <w:rPr>
                <w:rFonts w:ascii="Garamond" w:eastAsia="Arial Narrow" w:hAnsi="Garamond"/>
                <w:sz w:val="18"/>
                <w:szCs w:val="20"/>
              </w:rPr>
            </w:pPr>
            <w:r w:rsidRPr="0058349C">
              <w:rPr>
                <w:rFonts w:ascii="Garamond" w:eastAsia="Arial Narrow" w:hAnsi="Garamond"/>
                <w:sz w:val="18"/>
                <w:szCs w:val="20"/>
              </w:rPr>
              <w:t>Identifikimi i llojeve të aktiviteteve brenda zinxhirëve të vlerave të bioekonomisë rurale që ofrojnë përfitime dhe të ardhura më të mëdha klimatike dhe mjedisore për fermerët dhe pylltarët</w:t>
            </w:r>
          </w:p>
          <w:p w14:paraId="0773B260" w14:textId="682D9CD9" w:rsidR="00FC6222" w:rsidRPr="0058349C" w:rsidRDefault="00FC6222" w:rsidP="00FC6222">
            <w:pPr>
              <w:pStyle w:val="Table1"/>
              <w:numPr>
                <w:ilvl w:val="0"/>
                <w:numId w:val="18"/>
              </w:numPr>
              <w:ind w:left="158" w:hanging="158"/>
              <w:rPr>
                <w:rFonts w:ascii="Garamond" w:eastAsia="Arial Narrow" w:hAnsi="Garamond"/>
                <w:sz w:val="18"/>
                <w:szCs w:val="20"/>
              </w:rPr>
            </w:pPr>
            <w:r w:rsidRPr="0058349C">
              <w:rPr>
                <w:rFonts w:ascii="Garamond" w:eastAsia="Arial Narrow" w:hAnsi="Garamond"/>
                <w:sz w:val="18"/>
                <w:szCs w:val="20"/>
              </w:rPr>
              <w:t>Mbështetja dhe kërkimi i AT duhet të përfshijë 3 shtylla (të koordinuara horizontalisht)</w:t>
            </w:r>
            <w:r w:rsidR="00A73AA0">
              <w:rPr>
                <w:rFonts w:ascii="Garamond" w:eastAsia="Arial Narrow" w:hAnsi="Garamond"/>
                <w:sz w:val="18"/>
                <w:szCs w:val="20"/>
              </w:rPr>
              <w:t>:</w:t>
            </w:r>
            <w:r w:rsidRPr="0058349C">
              <w:rPr>
                <w:rFonts w:ascii="Garamond" w:eastAsia="Arial Narrow" w:hAnsi="Garamond"/>
                <w:sz w:val="18"/>
                <w:szCs w:val="20"/>
              </w:rPr>
              <w:t xml:space="preserve"> </w:t>
            </w:r>
          </w:p>
          <w:p w14:paraId="0773B261" w14:textId="38E7122A" w:rsidR="00FC6222" w:rsidRPr="0058349C" w:rsidRDefault="00A73AA0" w:rsidP="00A73AA0">
            <w:pPr>
              <w:pStyle w:val="Table1"/>
              <w:rPr>
                <w:rFonts w:ascii="Garamond" w:eastAsia="Arial Narrow" w:hAnsi="Garamond"/>
                <w:sz w:val="18"/>
                <w:szCs w:val="20"/>
              </w:rPr>
            </w:pPr>
            <w:r>
              <w:rPr>
                <w:rFonts w:ascii="Garamond" w:eastAsia="Arial Narrow" w:hAnsi="Garamond"/>
                <w:sz w:val="18"/>
                <w:szCs w:val="20"/>
              </w:rPr>
              <w:t xml:space="preserve">1. </w:t>
            </w:r>
            <w:r w:rsidR="00FC6222" w:rsidRPr="0058349C">
              <w:rPr>
                <w:rFonts w:ascii="Garamond" w:eastAsia="Arial Narrow" w:hAnsi="Garamond"/>
                <w:sz w:val="18"/>
                <w:szCs w:val="20"/>
              </w:rPr>
              <w:t>Investime në kërkime, inovacion dhe aftësi;</w:t>
            </w:r>
          </w:p>
          <w:p w14:paraId="0773B262" w14:textId="09C72A9B" w:rsidR="00FC6222" w:rsidRPr="0058349C" w:rsidRDefault="00A73AA0" w:rsidP="00A73AA0">
            <w:pPr>
              <w:pStyle w:val="Table1"/>
              <w:rPr>
                <w:rFonts w:ascii="Garamond" w:eastAsia="Arial Narrow" w:hAnsi="Garamond"/>
                <w:sz w:val="18"/>
                <w:szCs w:val="20"/>
              </w:rPr>
            </w:pPr>
            <w:r>
              <w:rPr>
                <w:rFonts w:ascii="Garamond" w:eastAsia="Arial Narrow" w:hAnsi="Garamond"/>
                <w:sz w:val="18"/>
                <w:szCs w:val="20"/>
              </w:rPr>
              <w:t xml:space="preserve">2. </w:t>
            </w:r>
            <w:r w:rsidR="00FC6222" w:rsidRPr="0058349C">
              <w:rPr>
                <w:rFonts w:ascii="Garamond" w:eastAsia="Arial Narrow" w:hAnsi="Garamond"/>
                <w:sz w:val="18"/>
                <w:szCs w:val="20"/>
              </w:rPr>
              <w:t>Formulimi</w:t>
            </w:r>
            <w:r w:rsidR="009A6913">
              <w:rPr>
                <w:rFonts w:ascii="Garamond" w:eastAsia="Arial Narrow" w:hAnsi="Garamond"/>
                <w:sz w:val="18"/>
                <w:szCs w:val="20"/>
              </w:rPr>
              <w:t xml:space="preserve"> i politikave horizontale (ndër</w:t>
            </w:r>
            <w:r w:rsidR="00FC6222" w:rsidRPr="0058349C">
              <w:rPr>
                <w:rFonts w:ascii="Garamond" w:eastAsia="Arial Narrow" w:hAnsi="Garamond"/>
                <w:sz w:val="18"/>
                <w:szCs w:val="20"/>
              </w:rPr>
              <w:t>sektoriale), bashkëveprimi dhe angazhimi i palëve të interesit;</w:t>
            </w:r>
          </w:p>
          <w:p w14:paraId="0773B263" w14:textId="0B23F96E" w:rsidR="00FC6222" w:rsidRPr="0058349C" w:rsidRDefault="00A73AA0" w:rsidP="00A73AA0">
            <w:pPr>
              <w:pStyle w:val="Table1"/>
              <w:rPr>
                <w:rFonts w:ascii="Garamond" w:eastAsia="Arial Narrow" w:hAnsi="Garamond"/>
                <w:sz w:val="18"/>
                <w:szCs w:val="20"/>
              </w:rPr>
            </w:pPr>
            <w:r>
              <w:rPr>
                <w:rFonts w:ascii="Garamond" w:eastAsia="Arial Narrow" w:hAnsi="Garamond"/>
                <w:sz w:val="18"/>
                <w:szCs w:val="20"/>
              </w:rPr>
              <w:t xml:space="preserve">3. </w:t>
            </w:r>
            <w:r w:rsidR="00FC6222" w:rsidRPr="0058349C">
              <w:rPr>
                <w:rFonts w:ascii="Garamond" w:eastAsia="Arial Narrow" w:hAnsi="Garamond"/>
                <w:sz w:val="18"/>
                <w:szCs w:val="20"/>
              </w:rPr>
              <w:t>Rritja e tregjeve dhe konkurrueshmërisë.</w:t>
            </w:r>
          </w:p>
        </w:tc>
        <w:tc>
          <w:tcPr>
            <w:tcW w:w="535" w:type="pct"/>
          </w:tcPr>
          <w:p w14:paraId="0773B264"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3.6</w:t>
            </w:r>
          </w:p>
        </w:tc>
        <w:tc>
          <w:tcPr>
            <w:tcW w:w="645" w:type="pct"/>
          </w:tcPr>
          <w:p w14:paraId="0773B265"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Donatorët, Institucionet kërkimore (ndërkombëtare, rajonale, kombëtare)</w:t>
            </w:r>
          </w:p>
        </w:tc>
      </w:tr>
      <w:tr w:rsidR="00FC6222" w:rsidRPr="0058349C" w14:paraId="0773B26D" w14:textId="77777777" w:rsidTr="00543FCB">
        <w:trPr>
          <w:gridAfter w:val="1"/>
          <w:wAfter w:w="4" w:type="pct"/>
          <w:trHeight w:val="20"/>
        </w:trPr>
        <w:tc>
          <w:tcPr>
            <w:tcW w:w="983" w:type="pct"/>
            <w:gridSpan w:val="3"/>
          </w:tcPr>
          <w:p w14:paraId="0773B267"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38. Fuqizimi dhe funksionimi i një Rrjeti Kombëtar Rural</w:t>
            </w:r>
          </w:p>
        </w:tc>
        <w:tc>
          <w:tcPr>
            <w:tcW w:w="2833" w:type="pct"/>
          </w:tcPr>
          <w:p w14:paraId="0773B268" w14:textId="295A450D" w:rsidR="00FC6222" w:rsidRPr="0058349C" w:rsidRDefault="00FC6222" w:rsidP="00FC6222">
            <w:pPr>
              <w:pStyle w:val="Table1"/>
              <w:numPr>
                <w:ilvl w:val="0"/>
                <w:numId w:val="18"/>
              </w:numPr>
              <w:ind w:left="158" w:hanging="158"/>
              <w:rPr>
                <w:rFonts w:ascii="Garamond" w:eastAsia="Arial Narrow" w:hAnsi="Garamond"/>
                <w:sz w:val="18"/>
                <w:szCs w:val="20"/>
              </w:rPr>
            </w:pPr>
            <w:r w:rsidRPr="0058349C">
              <w:rPr>
                <w:rFonts w:ascii="Garamond" w:eastAsia="Arial Narrow" w:hAnsi="Garamond"/>
                <w:sz w:val="18"/>
                <w:szCs w:val="20"/>
              </w:rPr>
              <w:t>MBPZH</w:t>
            </w:r>
            <w:r w:rsidR="00A73AA0">
              <w:rPr>
                <w:rFonts w:ascii="Garamond" w:eastAsia="Arial Narrow" w:hAnsi="Garamond"/>
                <w:sz w:val="18"/>
                <w:szCs w:val="20"/>
              </w:rPr>
              <w:t>-ja</w:t>
            </w:r>
            <w:r w:rsidRPr="0058349C">
              <w:rPr>
                <w:rFonts w:ascii="Garamond" w:eastAsia="Arial Narrow" w:hAnsi="Garamond"/>
                <w:sz w:val="18"/>
                <w:szCs w:val="20"/>
              </w:rPr>
              <w:t xml:space="preserve"> duhet të kontraktojë shërbime për ngritjen dhe veprimin e një Rrjeti Kombëtar Rural, i cili do të përfshijë të gjithë aktorët e rëndësishëm (organizata të fermerëve, sindikatat e përpunuesve, përfaqësuesit e pyjeve, OJQ-të mjedisore dhe sociale, përfaqësuesit e bashkive, përfaqësuesit e GVV-ve).</w:t>
            </w:r>
          </w:p>
          <w:p w14:paraId="0773B269" w14:textId="77777777" w:rsidR="00FC6222" w:rsidRPr="0058349C" w:rsidRDefault="00FC6222" w:rsidP="00FC6222">
            <w:pPr>
              <w:pStyle w:val="Table1"/>
              <w:numPr>
                <w:ilvl w:val="0"/>
                <w:numId w:val="18"/>
              </w:numPr>
              <w:ind w:left="158" w:hanging="158"/>
              <w:rPr>
                <w:rFonts w:ascii="Garamond" w:eastAsia="Arial Narrow" w:hAnsi="Garamond"/>
                <w:sz w:val="18"/>
                <w:szCs w:val="20"/>
              </w:rPr>
            </w:pPr>
            <w:r w:rsidRPr="0058349C">
              <w:rPr>
                <w:rFonts w:ascii="Garamond" w:eastAsia="Arial Narrow" w:hAnsi="Garamond"/>
                <w:sz w:val="18"/>
                <w:szCs w:val="20"/>
              </w:rPr>
              <w:t>Përgatitja e rregullave të brendshme të rrjetit.</w:t>
            </w:r>
          </w:p>
          <w:p w14:paraId="0773B26A" w14:textId="77777777" w:rsidR="00FC6222" w:rsidRPr="0058349C" w:rsidRDefault="00FC6222" w:rsidP="00FC6222">
            <w:pPr>
              <w:pStyle w:val="Table1"/>
              <w:numPr>
                <w:ilvl w:val="0"/>
                <w:numId w:val="18"/>
              </w:numPr>
              <w:ind w:left="158" w:hanging="158"/>
              <w:rPr>
                <w:rFonts w:ascii="Garamond" w:eastAsia="Arial Narrow" w:hAnsi="Garamond"/>
                <w:sz w:val="18"/>
                <w:szCs w:val="20"/>
              </w:rPr>
            </w:pPr>
            <w:r w:rsidRPr="0058349C">
              <w:rPr>
                <w:rFonts w:ascii="Garamond" w:eastAsia="Arial Narrow" w:hAnsi="Garamond"/>
                <w:sz w:val="18"/>
                <w:szCs w:val="20"/>
              </w:rPr>
              <w:t>Kostot e aktiviteteve të Rrjetit Rural financohen nga masa AT të IPARD III</w:t>
            </w:r>
          </w:p>
        </w:tc>
        <w:tc>
          <w:tcPr>
            <w:tcW w:w="535" w:type="pct"/>
          </w:tcPr>
          <w:p w14:paraId="0773B26B"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3.8</w:t>
            </w:r>
          </w:p>
        </w:tc>
        <w:tc>
          <w:tcPr>
            <w:tcW w:w="645" w:type="pct"/>
          </w:tcPr>
          <w:p w14:paraId="0773B26C"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 xml:space="preserve">IPARD III + Fondet kombëtare (bashkëfinancim) Masa AT, Donatorët, Buxheti Kombëtar përfshirë buxhetin bashkiak </w:t>
            </w:r>
          </w:p>
        </w:tc>
      </w:tr>
      <w:tr w:rsidR="00FC6222" w:rsidRPr="0058349C" w14:paraId="0773B277" w14:textId="77777777" w:rsidTr="00543FCB">
        <w:trPr>
          <w:gridAfter w:val="1"/>
          <w:wAfter w:w="4" w:type="pct"/>
          <w:trHeight w:val="20"/>
        </w:trPr>
        <w:tc>
          <w:tcPr>
            <w:tcW w:w="983" w:type="pct"/>
            <w:gridSpan w:val="3"/>
          </w:tcPr>
          <w:p w14:paraId="0773B26E" w14:textId="77777777" w:rsidR="00FC6222" w:rsidRPr="0058349C" w:rsidRDefault="00FC6222" w:rsidP="00830F27">
            <w:pPr>
              <w:pStyle w:val="Table1"/>
              <w:rPr>
                <w:rFonts w:ascii="Garamond" w:eastAsia="Calibri" w:hAnsi="Garamond"/>
                <w:b/>
                <w:bCs/>
                <w:sz w:val="18"/>
                <w:szCs w:val="20"/>
              </w:rPr>
            </w:pPr>
            <w:r w:rsidRPr="0058349C">
              <w:rPr>
                <w:rFonts w:ascii="Garamond" w:eastAsia="Calibri" w:hAnsi="Garamond"/>
                <w:b/>
                <w:bCs/>
                <w:sz w:val="18"/>
                <w:szCs w:val="20"/>
              </w:rPr>
              <w:t>39. AT mbi iniciativat lokale t</w:t>
            </w:r>
            <w:r w:rsidRPr="0058349C">
              <w:rPr>
                <w:rFonts w:ascii="Garamond" w:eastAsia="Calibri" w:hAnsi="Garamond"/>
                <w:sz w:val="18"/>
                <w:szCs w:val="20"/>
              </w:rPr>
              <w:t xml:space="preserve">ë </w:t>
            </w:r>
            <w:r w:rsidRPr="0058349C">
              <w:rPr>
                <w:rFonts w:ascii="Garamond" w:eastAsia="Calibri" w:hAnsi="Garamond"/>
                <w:b/>
                <w:bCs/>
                <w:sz w:val="18"/>
                <w:szCs w:val="20"/>
              </w:rPr>
              <w:t>zhvillimit rural</w:t>
            </w:r>
          </w:p>
        </w:tc>
        <w:tc>
          <w:tcPr>
            <w:tcW w:w="2833" w:type="pct"/>
          </w:tcPr>
          <w:p w14:paraId="0773B26F" w14:textId="77777777" w:rsidR="00FC6222" w:rsidRPr="0058349C" w:rsidRDefault="00FC6222" w:rsidP="00FC6222">
            <w:pPr>
              <w:pStyle w:val="Table1"/>
              <w:numPr>
                <w:ilvl w:val="0"/>
                <w:numId w:val="18"/>
              </w:numPr>
              <w:ind w:left="158" w:hanging="158"/>
              <w:rPr>
                <w:rFonts w:ascii="Garamond" w:eastAsia="Calibri" w:hAnsi="Garamond"/>
                <w:sz w:val="18"/>
                <w:szCs w:val="20"/>
              </w:rPr>
            </w:pPr>
            <w:r w:rsidRPr="0058349C">
              <w:rPr>
                <w:rFonts w:ascii="Garamond" w:eastAsia="Calibri" w:hAnsi="Garamond"/>
                <w:sz w:val="18"/>
                <w:szCs w:val="20"/>
              </w:rPr>
              <w:t>Përfitues janë partneritetet lokale (sektori privat, civil, publik), MBZHR, Rrjeti Kombëtar Rural</w:t>
            </w:r>
          </w:p>
          <w:p w14:paraId="0773B270" w14:textId="4FE1C9A0" w:rsidR="00FC6222" w:rsidRPr="0058349C" w:rsidRDefault="00FC6222" w:rsidP="00A73AA0">
            <w:pPr>
              <w:pStyle w:val="Table1"/>
              <w:numPr>
                <w:ilvl w:val="0"/>
                <w:numId w:val="18"/>
              </w:numPr>
              <w:ind w:left="158" w:hanging="158"/>
              <w:rPr>
                <w:rFonts w:ascii="Garamond" w:eastAsia="Calibri" w:hAnsi="Garamond"/>
                <w:sz w:val="18"/>
                <w:szCs w:val="20"/>
              </w:rPr>
            </w:pPr>
            <w:r w:rsidRPr="0058349C">
              <w:rPr>
                <w:rFonts w:ascii="Garamond" w:eastAsia="Calibri" w:hAnsi="Garamond"/>
                <w:sz w:val="18"/>
                <w:szCs w:val="20"/>
              </w:rPr>
              <w:t>Zhvillimi i SZHL në bazë territori që pasqyron tema prioritare</w:t>
            </w:r>
            <w:r w:rsidR="00A73AA0">
              <w:rPr>
                <w:rFonts w:ascii="Garamond" w:eastAsia="Calibri" w:hAnsi="Garamond"/>
                <w:sz w:val="18"/>
                <w:szCs w:val="20"/>
              </w:rPr>
              <w:t xml:space="preserve">, </w:t>
            </w:r>
            <w:r w:rsidRPr="0058349C">
              <w:rPr>
                <w:rFonts w:ascii="Garamond" w:eastAsia="Calibri" w:hAnsi="Garamond"/>
                <w:sz w:val="18"/>
                <w:szCs w:val="20"/>
              </w:rPr>
              <w:t>si: diversifikimi ekonomik-lokal, zhvillimi i turizmit rural që përfshin infrastrukturën e turizmit, zhvillimi lokal përfshirës dhe zhvillimi social, veprimet për mbrojtjen e mjedisit dhe klimës.</w:t>
            </w:r>
          </w:p>
          <w:p w14:paraId="0773B271" w14:textId="77777777" w:rsidR="00FC6222" w:rsidRPr="0058349C" w:rsidRDefault="00FC6222" w:rsidP="00FC6222">
            <w:pPr>
              <w:pStyle w:val="Table1"/>
              <w:numPr>
                <w:ilvl w:val="0"/>
                <w:numId w:val="18"/>
              </w:numPr>
              <w:ind w:left="158" w:hanging="158"/>
              <w:rPr>
                <w:rFonts w:ascii="Garamond" w:eastAsia="Calibri" w:hAnsi="Garamond"/>
                <w:sz w:val="18"/>
                <w:szCs w:val="20"/>
              </w:rPr>
            </w:pPr>
            <w:r w:rsidRPr="0058349C">
              <w:rPr>
                <w:rFonts w:ascii="Garamond" w:eastAsia="Calibri" w:hAnsi="Garamond"/>
                <w:sz w:val="18"/>
                <w:szCs w:val="20"/>
              </w:rPr>
              <w:t>Zbatimi i masave pilot prioritare në SZHL.</w:t>
            </w:r>
          </w:p>
          <w:p w14:paraId="0773B272" w14:textId="77777777" w:rsidR="00FC6222" w:rsidRPr="0058349C" w:rsidRDefault="00FC6222" w:rsidP="00FC6222">
            <w:pPr>
              <w:pStyle w:val="Table1"/>
              <w:numPr>
                <w:ilvl w:val="0"/>
                <w:numId w:val="18"/>
              </w:numPr>
              <w:ind w:left="158" w:hanging="158"/>
              <w:rPr>
                <w:rFonts w:ascii="Garamond" w:eastAsia="Calibri" w:hAnsi="Garamond"/>
                <w:sz w:val="18"/>
                <w:szCs w:val="20"/>
              </w:rPr>
            </w:pPr>
            <w:r w:rsidRPr="0058349C">
              <w:rPr>
                <w:rFonts w:ascii="Garamond" w:eastAsia="Calibri" w:hAnsi="Garamond"/>
                <w:sz w:val="18"/>
                <w:szCs w:val="20"/>
              </w:rPr>
              <w:t>Ngritja e kapaciteteve për rrjetëzim (kombëtare, rajonale, ndërkombëtare).</w:t>
            </w:r>
          </w:p>
          <w:p w14:paraId="0773B273" w14:textId="77777777" w:rsidR="00FC6222" w:rsidRPr="0058349C" w:rsidRDefault="00FC6222" w:rsidP="00FC6222">
            <w:pPr>
              <w:pStyle w:val="Table1"/>
              <w:numPr>
                <w:ilvl w:val="0"/>
                <w:numId w:val="18"/>
              </w:numPr>
              <w:ind w:left="158" w:hanging="158"/>
              <w:rPr>
                <w:rFonts w:ascii="Garamond" w:eastAsia="Calibri" w:hAnsi="Garamond"/>
                <w:sz w:val="18"/>
                <w:szCs w:val="20"/>
              </w:rPr>
            </w:pPr>
            <w:r w:rsidRPr="0058349C">
              <w:rPr>
                <w:rFonts w:ascii="Garamond" w:eastAsia="Calibri" w:hAnsi="Garamond"/>
                <w:sz w:val="18"/>
                <w:szCs w:val="20"/>
              </w:rPr>
              <w:t>Trajnimi i GVV-ve/partneriteteve lokale në çështjet financiare-administrative, menaxhuese dhe të komunikimit.</w:t>
            </w:r>
          </w:p>
          <w:p w14:paraId="0773B274" w14:textId="61F5AD29" w:rsidR="00FC6222" w:rsidRPr="0058349C" w:rsidRDefault="00FC6222" w:rsidP="00FC6222">
            <w:pPr>
              <w:pStyle w:val="Table1"/>
              <w:numPr>
                <w:ilvl w:val="0"/>
                <w:numId w:val="18"/>
              </w:numPr>
              <w:ind w:left="158" w:hanging="158"/>
              <w:rPr>
                <w:rFonts w:ascii="Garamond" w:eastAsia="Calibri" w:hAnsi="Garamond"/>
                <w:sz w:val="18"/>
                <w:szCs w:val="20"/>
              </w:rPr>
            </w:pPr>
            <w:r w:rsidRPr="0058349C">
              <w:rPr>
                <w:rFonts w:ascii="Garamond" w:eastAsia="Calibri" w:hAnsi="Garamond"/>
                <w:sz w:val="18"/>
                <w:szCs w:val="20"/>
              </w:rPr>
              <w:t>Ngritja e kapaciteteve për RKZHR (sipas kërkesave të PPB të BE-së) përfshirë MBZHR</w:t>
            </w:r>
            <w:r w:rsidR="00A73AA0">
              <w:rPr>
                <w:rFonts w:ascii="Garamond" w:eastAsia="Calibri" w:hAnsi="Garamond"/>
                <w:sz w:val="18"/>
                <w:szCs w:val="20"/>
              </w:rPr>
              <w:t>-në.</w:t>
            </w:r>
            <w:r w:rsidRPr="0058349C">
              <w:rPr>
                <w:rFonts w:ascii="Garamond" w:eastAsia="Calibri" w:hAnsi="Garamond"/>
                <w:sz w:val="18"/>
                <w:szCs w:val="20"/>
              </w:rPr>
              <w:t xml:space="preserve"> </w:t>
            </w:r>
          </w:p>
        </w:tc>
        <w:tc>
          <w:tcPr>
            <w:tcW w:w="535" w:type="pct"/>
          </w:tcPr>
          <w:p w14:paraId="0773B275" w14:textId="77777777"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3.7, 3.8</w:t>
            </w:r>
          </w:p>
        </w:tc>
        <w:tc>
          <w:tcPr>
            <w:tcW w:w="645" w:type="pct"/>
          </w:tcPr>
          <w:p w14:paraId="0773B276" w14:textId="207A46DD" w:rsidR="00FC6222" w:rsidRPr="0058349C" w:rsidRDefault="00FC6222" w:rsidP="00830F27">
            <w:pPr>
              <w:pStyle w:val="Table1"/>
              <w:rPr>
                <w:rFonts w:ascii="Garamond" w:eastAsia="Calibri" w:hAnsi="Garamond"/>
                <w:sz w:val="18"/>
                <w:szCs w:val="20"/>
              </w:rPr>
            </w:pPr>
            <w:r w:rsidRPr="0058349C">
              <w:rPr>
                <w:rFonts w:ascii="Garamond" w:eastAsia="Calibri" w:hAnsi="Garamond"/>
                <w:sz w:val="18"/>
                <w:szCs w:val="20"/>
              </w:rPr>
              <w:t>IPARD III + Fondet kombëtare (bashkëfinancim) TA dhe Masat LEADER,</w:t>
            </w:r>
            <w:r w:rsidR="00CF7694" w:rsidRPr="0058349C">
              <w:rPr>
                <w:rFonts w:ascii="Garamond" w:eastAsia="Calibri" w:hAnsi="Garamond"/>
                <w:sz w:val="18"/>
                <w:szCs w:val="20"/>
              </w:rPr>
              <w:t xml:space="preserve"> </w:t>
            </w:r>
            <w:r w:rsidRPr="0058349C">
              <w:rPr>
                <w:rFonts w:ascii="Garamond" w:eastAsia="Calibri" w:hAnsi="Garamond"/>
                <w:sz w:val="18"/>
                <w:szCs w:val="20"/>
              </w:rPr>
              <w:t xml:space="preserve">Donatorët, Buxheti Kombëtar përfshirë buxhetin bashkiak </w:t>
            </w:r>
          </w:p>
        </w:tc>
      </w:tr>
    </w:tbl>
    <w:p w14:paraId="0773B278" w14:textId="77777777" w:rsidR="00986759" w:rsidRPr="0058349C" w:rsidRDefault="00986759" w:rsidP="00C54AEA">
      <w:pPr>
        <w:pStyle w:val="TEKSTIIII"/>
        <w:rPr>
          <w:lang w:val="sq-AL"/>
        </w:rPr>
      </w:pPr>
    </w:p>
    <w:p w14:paraId="2834D57C" w14:textId="77777777" w:rsidR="009A6913" w:rsidRDefault="009A6913" w:rsidP="00372301">
      <w:pPr>
        <w:pStyle w:val="TEKSTIIII"/>
        <w:ind w:firstLine="0"/>
        <w:jc w:val="center"/>
        <w:rPr>
          <w:b/>
          <w:i/>
          <w:iCs/>
          <w:sz w:val="20"/>
          <w:szCs w:val="20"/>
          <w:lang w:val="sq-AL"/>
        </w:rPr>
      </w:pPr>
      <w:bookmarkStart w:id="86" w:name="_Ref88986423"/>
      <w:bookmarkStart w:id="87" w:name="_Toc99708276"/>
    </w:p>
    <w:p w14:paraId="0773B279" w14:textId="77E221D3" w:rsidR="00F045DA" w:rsidRPr="00372301" w:rsidRDefault="00F045DA" w:rsidP="00372301">
      <w:pPr>
        <w:pStyle w:val="TEKSTIIII"/>
        <w:ind w:firstLine="0"/>
        <w:jc w:val="center"/>
        <w:rPr>
          <w:bCs/>
          <w:i/>
          <w:iCs/>
          <w:sz w:val="20"/>
          <w:szCs w:val="20"/>
          <w:lang w:val="sq-AL"/>
        </w:rPr>
      </w:pPr>
      <w:r w:rsidRPr="00372301">
        <w:rPr>
          <w:b/>
          <w:i/>
          <w:iCs/>
          <w:sz w:val="20"/>
          <w:szCs w:val="20"/>
          <w:lang w:val="sq-AL"/>
        </w:rPr>
        <w:lastRenderedPageBreak/>
        <w:t xml:space="preserve">Tabela </w:t>
      </w:r>
      <w:r w:rsidR="00372301" w:rsidRPr="00372301">
        <w:rPr>
          <w:b/>
          <w:i/>
          <w:iCs/>
          <w:sz w:val="20"/>
          <w:szCs w:val="20"/>
          <w:lang w:val="sq-AL"/>
        </w:rPr>
        <w:t>4</w:t>
      </w:r>
      <w:r w:rsidRPr="00372301">
        <w:rPr>
          <w:b/>
          <w:i/>
          <w:iCs/>
          <w:sz w:val="20"/>
          <w:szCs w:val="20"/>
          <w:lang w:val="sq-AL"/>
        </w:rPr>
        <w:noBreakHyphen/>
      </w:r>
      <w:bookmarkEnd w:id="86"/>
      <w:r w:rsidR="00372301" w:rsidRPr="00372301">
        <w:rPr>
          <w:b/>
          <w:i/>
          <w:iCs/>
          <w:sz w:val="20"/>
          <w:szCs w:val="20"/>
          <w:lang w:val="sq-AL"/>
        </w:rPr>
        <w:t xml:space="preserve">2: </w:t>
      </w:r>
      <w:r w:rsidRPr="00372301">
        <w:rPr>
          <w:bCs/>
          <w:i/>
          <w:iCs/>
          <w:sz w:val="20"/>
          <w:szCs w:val="20"/>
          <w:lang w:val="sq-AL"/>
        </w:rPr>
        <w:t>Mekanizmat e ndërhyrjes në sektorin e peshkimit dhe të akuakulturës</w:t>
      </w:r>
      <w:bookmarkEnd w:id="87"/>
    </w:p>
    <w:tbl>
      <w:tblP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1304"/>
        <w:gridCol w:w="989"/>
        <w:gridCol w:w="8257"/>
        <w:gridCol w:w="1394"/>
        <w:gridCol w:w="2312"/>
      </w:tblGrid>
      <w:tr w:rsidR="00F045DA" w:rsidRPr="0058349C" w14:paraId="0773B27E" w14:textId="77777777" w:rsidTr="00372301">
        <w:trPr>
          <w:trHeight w:val="753"/>
          <w:tblHeader/>
        </w:trPr>
        <w:tc>
          <w:tcPr>
            <w:tcW w:w="804" w:type="pct"/>
            <w:gridSpan w:val="2"/>
            <w:shd w:val="clear" w:color="auto" w:fill="E5F7CA"/>
            <w:vAlign w:val="center"/>
          </w:tcPr>
          <w:p w14:paraId="0773B27A" w14:textId="7302CECE" w:rsidR="00F045DA" w:rsidRPr="0058349C" w:rsidRDefault="00372301" w:rsidP="00372301">
            <w:pPr>
              <w:pStyle w:val="Table1"/>
              <w:jc w:val="center"/>
              <w:rPr>
                <w:rFonts w:ascii="Garamond" w:eastAsia="Calibri" w:hAnsi="Garamond"/>
                <w:b/>
                <w:bCs/>
                <w:sz w:val="18"/>
                <w:szCs w:val="18"/>
              </w:rPr>
            </w:pPr>
            <w:r>
              <w:rPr>
                <w:rFonts w:ascii="Garamond" w:eastAsia="Calibri" w:hAnsi="Garamond"/>
                <w:b/>
                <w:bCs/>
                <w:sz w:val="18"/>
                <w:szCs w:val="18"/>
              </w:rPr>
              <w:t>Masa</w:t>
            </w:r>
            <w:r w:rsidR="00797859">
              <w:rPr>
                <w:rFonts w:ascii="Garamond" w:eastAsia="Calibri" w:hAnsi="Garamond"/>
                <w:b/>
                <w:bCs/>
                <w:sz w:val="18"/>
                <w:szCs w:val="18"/>
              </w:rPr>
              <w:t>/</w:t>
            </w:r>
            <w:r w:rsidRPr="0058349C">
              <w:rPr>
                <w:rFonts w:ascii="Garamond" w:eastAsia="Calibri" w:hAnsi="Garamond"/>
                <w:b/>
                <w:bCs/>
                <w:sz w:val="18"/>
                <w:szCs w:val="18"/>
              </w:rPr>
              <w:t xml:space="preserve">ndërhyrja </w:t>
            </w:r>
            <w:r w:rsidR="00F045DA" w:rsidRPr="0058349C">
              <w:rPr>
                <w:rFonts w:ascii="Garamond" w:eastAsia="Calibri" w:hAnsi="Garamond"/>
                <w:b/>
                <w:bCs/>
                <w:sz w:val="18"/>
                <w:szCs w:val="18"/>
              </w:rPr>
              <w:t>e planifikuar</w:t>
            </w:r>
          </w:p>
        </w:tc>
        <w:tc>
          <w:tcPr>
            <w:tcW w:w="2896" w:type="pct"/>
            <w:shd w:val="clear" w:color="auto" w:fill="E5F7CA"/>
            <w:vAlign w:val="center"/>
          </w:tcPr>
          <w:p w14:paraId="0773B27B" w14:textId="77777777" w:rsidR="00F045DA" w:rsidRPr="0058349C" w:rsidRDefault="00F045DA" w:rsidP="00372301">
            <w:pPr>
              <w:pStyle w:val="Table1"/>
              <w:jc w:val="center"/>
              <w:rPr>
                <w:rFonts w:ascii="Garamond" w:eastAsia="Calibri" w:hAnsi="Garamond"/>
                <w:b/>
                <w:bCs/>
                <w:sz w:val="18"/>
                <w:szCs w:val="18"/>
              </w:rPr>
            </w:pPr>
            <w:r w:rsidRPr="0058349C">
              <w:rPr>
                <w:rFonts w:ascii="Garamond" w:eastAsia="Calibri" w:hAnsi="Garamond"/>
                <w:b/>
                <w:bCs/>
                <w:sz w:val="18"/>
                <w:szCs w:val="18"/>
              </w:rPr>
              <w:t>Përshkrim i shkurtër i instrumentit të ndërhyrjes</w:t>
            </w:r>
          </w:p>
        </w:tc>
        <w:tc>
          <w:tcPr>
            <w:tcW w:w="489" w:type="pct"/>
            <w:shd w:val="clear" w:color="auto" w:fill="E5F7CA"/>
            <w:vAlign w:val="center"/>
          </w:tcPr>
          <w:p w14:paraId="0773B27C" w14:textId="77777777" w:rsidR="00F045DA" w:rsidRPr="0058349C" w:rsidRDefault="00F045DA" w:rsidP="00372301">
            <w:pPr>
              <w:pStyle w:val="Table1"/>
              <w:jc w:val="center"/>
              <w:rPr>
                <w:rFonts w:ascii="Garamond" w:eastAsia="Calibri" w:hAnsi="Garamond"/>
                <w:b/>
                <w:bCs/>
                <w:sz w:val="18"/>
                <w:szCs w:val="18"/>
              </w:rPr>
            </w:pPr>
            <w:r w:rsidRPr="0058349C">
              <w:rPr>
                <w:rFonts w:ascii="Garamond" w:eastAsia="Calibri" w:hAnsi="Garamond"/>
                <w:b/>
                <w:bCs/>
                <w:sz w:val="18"/>
                <w:szCs w:val="18"/>
              </w:rPr>
              <w:t>Referenca përkatëse me nevojat e identifikuara</w:t>
            </w:r>
          </w:p>
        </w:tc>
        <w:tc>
          <w:tcPr>
            <w:tcW w:w="811" w:type="pct"/>
            <w:shd w:val="clear" w:color="auto" w:fill="E5F7CA"/>
            <w:vAlign w:val="center"/>
          </w:tcPr>
          <w:p w14:paraId="0773B27D" w14:textId="77777777" w:rsidR="00F045DA" w:rsidRPr="00372301" w:rsidRDefault="00F045DA" w:rsidP="00372301">
            <w:pPr>
              <w:pStyle w:val="Table1"/>
              <w:jc w:val="center"/>
              <w:rPr>
                <w:rFonts w:ascii="Garamond" w:eastAsia="Calibri" w:hAnsi="Garamond"/>
                <w:b/>
                <w:bCs/>
                <w:sz w:val="18"/>
                <w:szCs w:val="18"/>
              </w:rPr>
            </w:pPr>
            <w:r w:rsidRPr="00372301">
              <w:rPr>
                <w:rFonts w:ascii="Garamond" w:eastAsia="Calibri" w:hAnsi="Garamond"/>
                <w:b/>
                <w:bCs/>
                <w:sz w:val="18"/>
                <w:szCs w:val="18"/>
              </w:rPr>
              <w:t>Burimi i buxhetit (pa bashkëfinancim nga privatë)</w:t>
            </w:r>
          </w:p>
        </w:tc>
      </w:tr>
      <w:tr w:rsidR="00F045DA" w:rsidRPr="0058349C" w14:paraId="0773B284" w14:textId="77777777" w:rsidTr="00830F27">
        <w:tblPrEx>
          <w:tblLook w:val="04A0" w:firstRow="1" w:lastRow="0" w:firstColumn="1" w:lastColumn="0" w:noHBand="0" w:noVBand="1"/>
        </w:tblPrEx>
        <w:tc>
          <w:tcPr>
            <w:tcW w:w="804" w:type="pct"/>
            <w:gridSpan w:val="2"/>
          </w:tcPr>
          <w:p w14:paraId="0773B27F" w14:textId="77777777" w:rsidR="00F045DA" w:rsidRPr="0058349C" w:rsidRDefault="00F045DA" w:rsidP="00F045DA">
            <w:pPr>
              <w:pStyle w:val="Table1"/>
              <w:rPr>
                <w:rFonts w:ascii="Garamond" w:eastAsia="Arial Narrow" w:hAnsi="Garamond"/>
                <w:b/>
                <w:bCs/>
                <w:sz w:val="18"/>
                <w:szCs w:val="18"/>
              </w:rPr>
            </w:pPr>
            <w:r w:rsidRPr="0058349C">
              <w:rPr>
                <w:rFonts w:ascii="Garamond" w:eastAsia="Arial Narrow" w:hAnsi="Garamond"/>
                <w:b/>
                <w:bCs/>
                <w:sz w:val="18"/>
                <w:szCs w:val="18"/>
              </w:rPr>
              <w:t>1. Investime në rinovimin e flotës së peshkimit, pa rritur sforcon e peshkimit</w:t>
            </w:r>
          </w:p>
        </w:tc>
        <w:tc>
          <w:tcPr>
            <w:tcW w:w="2896" w:type="pct"/>
          </w:tcPr>
          <w:p w14:paraId="0773B280" w14:textId="1E3A87BC"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Përfitues janë peshkatarët/anijet e peshkimit</w:t>
            </w:r>
            <w:r w:rsidR="00077898">
              <w:rPr>
                <w:rFonts w:ascii="Garamond" w:eastAsia="Calibri" w:hAnsi="Garamond"/>
                <w:sz w:val="18"/>
                <w:szCs w:val="18"/>
              </w:rPr>
              <w:t>.</w:t>
            </w:r>
          </w:p>
          <w:p w14:paraId="0773B281" w14:textId="4675F81C"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 xml:space="preserve">Rinovimi i flotës së anijeve të peshkimit pa rritur përpjekjet e peshkimit sipas skemës kombëtare të MBZHR-së </w:t>
            </w:r>
            <w:r w:rsidR="00664693" w:rsidRPr="0058349C">
              <w:rPr>
                <w:rFonts w:ascii="Garamond" w:eastAsia="Calibri" w:hAnsi="Garamond"/>
                <w:sz w:val="18"/>
                <w:szCs w:val="18"/>
              </w:rPr>
              <w:t>“</w:t>
            </w:r>
            <w:r w:rsidRPr="0058349C">
              <w:rPr>
                <w:rFonts w:ascii="Garamond" w:eastAsia="Calibri" w:hAnsi="Garamond"/>
                <w:sz w:val="18"/>
                <w:szCs w:val="18"/>
              </w:rPr>
              <w:t>Mbështetje për peshkimin</w:t>
            </w:r>
            <w:r w:rsidR="00664693" w:rsidRPr="0058349C">
              <w:rPr>
                <w:rFonts w:ascii="Garamond" w:eastAsia="Calibri" w:hAnsi="Garamond"/>
                <w:sz w:val="18"/>
                <w:szCs w:val="18"/>
              </w:rPr>
              <w:t>”</w:t>
            </w:r>
            <w:r w:rsidRPr="0058349C">
              <w:rPr>
                <w:rFonts w:ascii="Garamond" w:eastAsia="Calibri" w:hAnsi="Garamond"/>
                <w:sz w:val="18"/>
                <w:szCs w:val="18"/>
              </w:rPr>
              <w:t xml:space="preserve"> (duke filluar nga viti 2022)</w:t>
            </w:r>
            <w:r w:rsidR="00077898">
              <w:rPr>
                <w:rFonts w:ascii="Garamond" w:eastAsia="Calibri" w:hAnsi="Garamond"/>
                <w:sz w:val="18"/>
                <w:szCs w:val="18"/>
              </w:rPr>
              <w:t>.</w:t>
            </w:r>
          </w:p>
        </w:tc>
        <w:tc>
          <w:tcPr>
            <w:tcW w:w="489" w:type="pct"/>
          </w:tcPr>
          <w:p w14:paraId="0773B282" w14:textId="77777777" w:rsidR="00F045DA" w:rsidRPr="0058349C" w:rsidRDefault="00F045DA" w:rsidP="00F045DA">
            <w:pPr>
              <w:pStyle w:val="Table1"/>
              <w:rPr>
                <w:rFonts w:ascii="Garamond" w:hAnsi="Garamond"/>
                <w:sz w:val="18"/>
                <w:szCs w:val="18"/>
              </w:rPr>
            </w:pPr>
            <w:r w:rsidRPr="0058349C">
              <w:rPr>
                <w:rFonts w:ascii="Garamond" w:eastAsia="Arial Narrow" w:hAnsi="Garamond"/>
                <w:sz w:val="18"/>
                <w:szCs w:val="18"/>
              </w:rPr>
              <w:t>4.3</w:t>
            </w:r>
          </w:p>
        </w:tc>
        <w:tc>
          <w:tcPr>
            <w:tcW w:w="811" w:type="pct"/>
          </w:tcPr>
          <w:p w14:paraId="0773B283" w14:textId="77777777" w:rsidR="00F045DA" w:rsidRPr="0058349C" w:rsidRDefault="00F045DA" w:rsidP="00F045DA">
            <w:pPr>
              <w:pStyle w:val="Table1"/>
              <w:rPr>
                <w:rFonts w:ascii="Garamond" w:hAnsi="Garamond"/>
                <w:sz w:val="18"/>
                <w:szCs w:val="18"/>
              </w:rPr>
            </w:pPr>
            <w:r w:rsidRPr="0058349C">
              <w:rPr>
                <w:rFonts w:ascii="Garamond" w:eastAsia="Arial Narrow" w:hAnsi="Garamond"/>
                <w:sz w:val="18"/>
                <w:szCs w:val="18"/>
              </w:rPr>
              <w:t>Buxheti Kombëtar</w:t>
            </w:r>
          </w:p>
        </w:tc>
      </w:tr>
      <w:tr w:rsidR="00F045DA" w:rsidRPr="0058349C" w14:paraId="0773B28B" w14:textId="77777777" w:rsidTr="00830F27">
        <w:tblPrEx>
          <w:tblLook w:val="04A0" w:firstRow="1" w:lastRow="0" w:firstColumn="1" w:lastColumn="0" w:noHBand="0" w:noVBand="1"/>
        </w:tblPrEx>
        <w:tc>
          <w:tcPr>
            <w:tcW w:w="804" w:type="pct"/>
            <w:gridSpan w:val="2"/>
          </w:tcPr>
          <w:p w14:paraId="0773B285" w14:textId="77777777" w:rsidR="00F045DA" w:rsidRPr="0058349C" w:rsidRDefault="00F045DA" w:rsidP="00F045DA">
            <w:pPr>
              <w:pStyle w:val="Table1"/>
              <w:rPr>
                <w:rFonts w:ascii="Garamond" w:hAnsi="Garamond"/>
                <w:b/>
                <w:bCs/>
                <w:sz w:val="18"/>
                <w:szCs w:val="18"/>
              </w:rPr>
            </w:pPr>
            <w:r w:rsidRPr="0058349C">
              <w:rPr>
                <w:rFonts w:ascii="Garamond" w:eastAsia="Arial Narrow" w:hAnsi="Garamond"/>
                <w:b/>
                <w:bCs/>
                <w:sz w:val="18"/>
                <w:szCs w:val="18"/>
              </w:rPr>
              <w:t>2. Investime për përmirësimin e infrastrukturës portuale dhe vendeve të zbarkimit</w:t>
            </w:r>
          </w:p>
        </w:tc>
        <w:tc>
          <w:tcPr>
            <w:tcW w:w="2896" w:type="pct"/>
          </w:tcPr>
          <w:p w14:paraId="0773B286"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Përfitues do të jenë të gjithë aktorët e sektorit të peshkimit profesional.</w:t>
            </w:r>
          </w:p>
          <w:p w14:paraId="0773B287"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Duke qenë se përmasat e porteve të peshkimit janë të vogla dhe në disa prej tyre kushtet për zhvillimin e aktivitetit të peshkimit janë të papërshtatshme, është e nevojshme të përmirësohet infrastruktura portuale dhe kapacitetet më të përshtatshme të ankorimit.</w:t>
            </w:r>
          </w:p>
          <w:p w14:paraId="0773B288"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Kjo do të bëhet përmes huave sepse kërkon investime të mëdha.</w:t>
            </w:r>
          </w:p>
        </w:tc>
        <w:tc>
          <w:tcPr>
            <w:tcW w:w="489" w:type="pct"/>
          </w:tcPr>
          <w:p w14:paraId="0773B289" w14:textId="77777777" w:rsidR="00F045DA" w:rsidRPr="0058349C" w:rsidRDefault="00F045DA" w:rsidP="00F045DA">
            <w:pPr>
              <w:pStyle w:val="Table1"/>
              <w:rPr>
                <w:rFonts w:ascii="Garamond" w:hAnsi="Garamond"/>
                <w:sz w:val="18"/>
                <w:szCs w:val="18"/>
              </w:rPr>
            </w:pPr>
            <w:r w:rsidRPr="0058349C">
              <w:rPr>
                <w:rFonts w:ascii="Garamond" w:eastAsia="Arial Narrow" w:hAnsi="Garamond"/>
                <w:sz w:val="18"/>
                <w:szCs w:val="18"/>
              </w:rPr>
              <w:t>4.1</w:t>
            </w:r>
          </w:p>
        </w:tc>
        <w:tc>
          <w:tcPr>
            <w:tcW w:w="811" w:type="pct"/>
          </w:tcPr>
          <w:p w14:paraId="0773B28A" w14:textId="77777777" w:rsidR="00F045DA" w:rsidRPr="0058349C" w:rsidRDefault="00F045DA" w:rsidP="00F045DA">
            <w:pPr>
              <w:pStyle w:val="Table1"/>
              <w:rPr>
                <w:rFonts w:ascii="Garamond" w:hAnsi="Garamond"/>
                <w:sz w:val="18"/>
                <w:szCs w:val="18"/>
              </w:rPr>
            </w:pPr>
            <w:r w:rsidRPr="0058349C">
              <w:rPr>
                <w:rFonts w:ascii="Garamond" w:eastAsia="Arial Narrow" w:hAnsi="Garamond"/>
                <w:sz w:val="18"/>
                <w:szCs w:val="18"/>
              </w:rPr>
              <w:t>Buxheti Kombëtar, Donatorët (FA: Italian Agency for Development Cooperation and Ëorld Bank)</w:t>
            </w:r>
          </w:p>
        </w:tc>
      </w:tr>
      <w:tr w:rsidR="00F045DA" w:rsidRPr="0058349C" w14:paraId="0773B292" w14:textId="77777777" w:rsidTr="00830F27">
        <w:tblPrEx>
          <w:tblLook w:val="04A0" w:firstRow="1" w:lastRow="0" w:firstColumn="1" w:lastColumn="0" w:noHBand="0" w:noVBand="1"/>
        </w:tblPrEx>
        <w:tc>
          <w:tcPr>
            <w:tcW w:w="804" w:type="pct"/>
            <w:gridSpan w:val="2"/>
          </w:tcPr>
          <w:p w14:paraId="0773B28C" w14:textId="273E5B1F" w:rsidR="00F045DA" w:rsidRPr="0058349C" w:rsidRDefault="00F045DA" w:rsidP="00F045DA">
            <w:pPr>
              <w:pStyle w:val="Table1"/>
              <w:rPr>
                <w:rFonts w:ascii="Garamond" w:hAnsi="Garamond"/>
                <w:b/>
                <w:bCs/>
                <w:sz w:val="18"/>
                <w:szCs w:val="18"/>
              </w:rPr>
            </w:pPr>
            <w:r w:rsidRPr="0058349C">
              <w:rPr>
                <w:rFonts w:ascii="Garamond" w:eastAsia="Arial Narrow" w:hAnsi="Garamond"/>
                <w:b/>
                <w:bCs/>
                <w:sz w:val="18"/>
                <w:szCs w:val="18"/>
              </w:rPr>
              <w:t>3. Vazhdimi i programit të tregjeve të peshkut me shumicë</w:t>
            </w:r>
            <w:r w:rsidR="00372301">
              <w:rPr>
                <w:rFonts w:ascii="Garamond" w:eastAsia="Arial Narrow" w:hAnsi="Garamond"/>
                <w:b/>
                <w:bCs/>
                <w:sz w:val="18"/>
                <w:szCs w:val="18"/>
              </w:rPr>
              <w:t>,</w:t>
            </w:r>
            <w:r w:rsidRPr="0058349C">
              <w:rPr>
                <w:rFonts w:ascii="Garamond" w:eastAsia="Arial Narrow" w:hAnsi="Garamond"/>
                <w:b/>
                <w:bCs/>
                <w:sz w:val="18"/>
                <w:szCs w:val="18"/>
              </w:rPr>
              <w:t xml:space="preserve"> duke</w:t>
            </w:r>
            <w:r w:rsidR="00077898">
              <w:rPr>
                <w:rFonts w:ascii="Garamond" w:eastAsia="Arial Narrow" w:hAnsi="Garamond"/>
                <w:b/>
                <w:bCs/>
                <w:sz w:val="18"/>
                <w:szCs w:val="18"/>
              </w:rPr>
              <w:t xml:space="preserve"> rritur formalizimin e sektorit</w:t>
            </w:r>
          </w:p>
        </w:tc>
        <w:tc>
          <w:tcPr>
            <w:tcW w:w="2896" w:type="pct"/>
          </w:tcPr>
          <w:p w14:paraId="0773B28D" w14:textId="60A3FB65"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Përfitues janë prodhuesit kryesorë (peshkimi profesional dhe artizanal), tregtarët dhe operatorët e tjerë të shitjes me shumicë si restorantet, hotelet, pikat e</w:t>
            </w:r>
            <w:r w:rsidR="00077898">
              <w:rPr>
                <w:rFonts w:ascii="Garamond" w:eastAsia="Calibri" w:hAnsi="Garamond"/>
                <w:sz w:val="18"/>
                <w:szCs w:val="18"/>
              </w:rPr>
              <w:t xml:space="preserve"> shitjes me shumicë dhe pakicë </w:t>
            </w:r>
            <w:r w:rsidRPr="0058349C">
              <w:rPr>
                <w:rFonts w:ascii="Garamond" w:eastAsia="Calibri" w:hAnsi="Garamond"/>
                <w:sz w:val="18"/>
                <w:szCs w:val="18"/>
              </w:rPr>
              <w:t>etj.</w:t>
            </w:r>
          </w:p>
          <w:p w14:paraId="0773B28E" w14:textId="5594261B" w:rsidR="00F045DA" w:rsidRPr="0058349C" w:rsidRDefault="00F045DA" w:rsidP="00077898">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Ndërtimi/rehabilitimi i katër tregjeve me shumicë të peshkut (Shëngjin, Vlorë, Durrës, Sarandë)</w:t>
            </w:r>
            <w:r w:rsidR="00077898">
              <w:rPr>
                <w:rFonts w:ascii="Garamond" w:eastAsia="Calibri" w:hAnsi="Garamond"/>
                <w:sz w:val="18"/>
                <w:szCs w:val="18"/>
              </w:rPr>
              <w:t>.</w:t>
            </w:r>
          </w:p>
          <w:p w14:paraId="0773B28F" w14:textId="77777777" w:rsidR="00F045DA" w:rsidRPr="0058349C" w:rsidRDefault="00F045DA" w:rsidP="00F045DA">
            <w:pPr>
              <w:pStyle w:val="Table1"/>
              <w:ind w:left="227" w:hanging="227"/>
              <w:rPr>
                <w:rFonts w:ascii="Garamond" w:eastAsia="Calibri" w:hAnsi="Garamond"/>
                <w:sz w:val="18"/>
                <w:szCs w:val="18"/>
              </w:rPr>
            </w:pPr>
          </w:p>
        </w:tc>
        <w:tc>
          <w:tcPr>
            <w:tcW w:w="489" w:type="pct"/>
          </w:tcPr>
          <w:p w14:paraId="0773B290" w14:textId="77777777" w:rsidR="00F045DA" w:rsidRPr="0058349C" w:rsidRDefault="00F045DA" w:rsidP="00F045DA">
            <w:pPr>
              <w:pStyle w:val="Table1"/>
              <w:rPr>
                <w:rFonts w:ascii="Garamond" w:hAnsi="Garamond"/>
                <w:sz w:val="18"/>
                <w:szCs w:val="18"/>
              </w:rPr>
            </w:pPr>
            <w:r w:rsidRPr="0058349C">
              <w:rPr>
                <w:rFonts w:ascii="Garamond" w:eastAsia="Arial Narrow" w:hAnsi="Garamond"/>
                <w:sz w:val="18"/>
                <w:szCs w:val="18"/>
              </w:rPr>
              <w:t>4.2</w:t>
            </w:r>
          </w:p>
        </w:tc>
        <w:tc>
          <w:tcPr>
            <w:tcW w:w="811" w:type="pct"/>
          </w:tcPr>
          <w:p w14:paraId="0773B291" w14:textId="77777777" w:rsidR="00F045DA" w:rsidRPr="0058349C" w:rsidRDefault="00F045DA" w:rsidP="00F045DA">
            <w:pPr>
              <w:pStyle w:val="Table1"/>
              <w:rPr>
                <w:rFonts w:ascii="Garamond" w:eastAsia="Arial Narrow" w:hAnsi="Garamond"/>
                <w:sz w:val="18"/>
                <w:szCs w:val="18"/>
              </w:rPr>
            </w:pPr>
            <w:r w:rsidRPr="0058349C">
              <w:rPr>
                <w:rFonts w:ascii="Garamond" w:eastAsia="Arial Narrow" w:hAnsi="Garamond"/>
                <w:sz w:val="18"/>
                <w:szCs w:val="18"/>
              </w:rPr>
              <w:t>Buxheti Kombëtar</w:t>
            </w:r>
          </w:p>
        </w:tc>
      </w:tr>
      <w:tr w:rsidR="00F045DA" w:rsidRPr="0058349C" w14:paraId="0773B29B" w14:textId="77777777" w:rsidTr="00830F27">
        <w:tblPrEx>
          <w:tblLook w:val="04A0" w:firstRow="1" w:lastRow="0" w:firstColumn="1" w:lastColumn="0" w:noHBand="0" w:noVBand="1"/>
        </w:tblPrEx>
        <w:tc>
          <w:tcPr>
            <w:tcW w:w="804" w:type="pct"/>
            <w:gridSpan w:val="2"/>
          </w:tcPr>
          <w:p w14:paraId="0773B293" w14:textId="77777777" w:rsidR="00F045DA" w:rsidRPr="0058349C" w:rsidRDefault="00F045DA" w:rsidP="00F045DA">
            <w:pPr>
              <w:pStyle w:val="Table1"/>
              <w:rPr>
                <w:rFonts w:ascii="Garamond" w:eastAsia="Arial Narrow" w:hAnsi="Garamond"/>
                <w:b/>
                <w:bCs/>
                <w:sz w:val="18"/>
                <w:szCs w:val="18"/>
              </w:rPr>
            </w:pPr>
            <w:r w:rsidRPr="0058349C">
              <w:rPr>
                <w:rFonts w:ascii="Garamond" w:eastAsia="Arial Narrow" w:hAnsi="Garamond"/>
                <w:b/>
                <w:bCs/>
                <w:sz w:val="18"/>
                <w:szCs w:val="18"/>
              </w:rPr>
              <w:t>4. Mbështetja për PSHV dhe formalizimi i tyre përfshirë ndërtimin e vendeve të zbarkimit për PSHV</w:t>
            </w:r>
          </w:p>
        </w:tc>
        <w:tc>
          <w:tcPr>
            <w:tcW w:w="2896" w:type="pct"/>
          </w:tcPr>
          <w:p w14:paraId="0773B294"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Përfitues janë peshkatarët e vegjël që ushtrojnë aktivitet të vogël peshkimi artizanal.</w:t>
            </w:r>
          </w:p>
          <w:p w14:paraId="0773B295"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Duhet të mbështetet peshkimi artizanal bregdetar në shkallë të vogël, për të përmirësuar dhe kontrolluar kushtet e burimeve ujore, për të nxitur organizimin e zinxhirit të prodhimit, përpunimin dhe tregtimin e produkteve të peshkimit, për të nxitur nismat për reduktimin vullnetar të përpjekjeve të peshkimit dhe mbrojtjen e burimeve.</w:t>
            </w:r>
          </w:p>
          <w:p w14:paraId="0773B296" w14:textId="482756AC" w:rsidR="00F045DA" w:rsidRPr="0058349C" w:rsidRDefault="00F045DA" w:rsidP="009A6913">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Ndërtimi i vendeve të zbarkimit për të mbështetur peshkimin artizanal që shet peshq të kapur dhe nga ana tjetër rrit sigurinë ushqimore të produktit dhe rrit formalizimin e sektorit bazuar në studimin e Kooperacionit Italian, që ndan bregdetin në shtatë zona dhe në tr</w:t>
            </w:r>
            <w:r w:rsidR="009A6913">
              <w:rPr>
                <w:rFonts w:ascii="Garamond" w:eastAsia="Calibri" w:hAnsi="Garamond"/>
                <w:sz w:val="18"/>
                <w:szCs w:val="18"/>
              </w:rPr>
              <w:t xml:space="preserve">i </w:t>
            </w:r>
            <w:r w:rsidRPr="0058349C">
              <w:rPr>
                <w:rFonts w:ascii="Garamond" w:eastAsia="Calibri" w:hAnsi="Garamond"/>
                <w:sz w:val="18"/>
                <w:szCs w:val="18"/>
              </w:rPr>
              <w:t>zonat ujore të brendshme (Pogradec, Prespë dhe Kukës)</w:t>
            </w:r>
            <w:r w:rsidR="00077898">
              <w:rPr>
                <w:rFonts w:ascii="Garamond" w:eastAsia="Calibri" w:hAnsi="Garamond"/>
                <w:sz w:val="18"/>
                <w:szCs w:val="18"/>
              </w:rPr>
              <w:t>.</w:t>
            </w:r>
          </w:p>
          <w:p w14:paraId="0773B297"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Veprimet duhet të jenë në përputhje me Planin e Veprimit të KPPM për PSHV.</w:t>
            </w:r>
          </w:p>
          <w:p w14:paraId="0773B298" w14:textId="77777777" w:rsidR="00F045DA" w:rsidRPr="0058349C" w:rsidRDefault="00F045DA" w:rsidP="00F045DA">
            <w:pPr>
              <w:pStyle w:val="Table1"/>
              <w:rPr>
                <w:rFonts w:ascii="Garamond" w:eastAsia="Calibri" w:hAnsi="Garamond"/>
                <w:sz w:val="18"/>
                <w:szCs w:val="18"/>
              </w:rPr>
            </w:pPr>
          </w:p>
        </w:tc>
        <w:tc>
          <w:tcPr>
            <w:tcW w:w="489" w:type="pct"/>
          </w:tcPr>
          <w:p w14:paraId="0773B299" w14:textId="77777777" w:rsidR="00F045DA" w:rsidRPr="0058349C" w:rsidRDefault="00F045DA" w:rsidP="00F045DA">
            <w:pPr>
              <w:pStyle w:val="Table1"/>
              <w:rPr>
                <w:rFonts w:ascii="Garamond" w:eastAsia="Arial Narrow" w:hAnsi="Garamond"/>
                <w:sz w:val="18"/>
                <w:szCs w:val="18"/>
              </w:rPr>
            </w:pPr>
            <w:r w:rsidRPr="0058349C">
              <w:rPr>
                <w:rFonts w:ascii="Garamond" w:eastAsia="Arial Narrow" w:hAnsi="Garamond"/>
                <w:sz w:val="18"/>
                <w:szCs w:val="18"/>
              </w:rPr>
              <w:t>4.4</w:t>
            </w:r>
          </w:p>
        </w:tc>
        <w:tc>
          <w:tcPr>
            <w:tcW w:w="811" w:type="pct"/>
          </w:tcPr>
          <w:p w14:paraId="0773B29A" w14:textId="77777777" w:rsidR="00F045DA" w:rsidRPr="0058349C" w:rsidRDefault="00F045DA" w:rsidP="00F045DA">
            <w:pPr>
              <w:pStyle w:val="Table1"/>
              <w:rPr>
                <w:rFonts w:ascii="Garamond" w:eastAsia="Arial Narrow" w:hAnsi="Garamond"/>
                <w:sz w:val="18"/>
                <w:szCs w:val="18"/>
              </w:rPr>
            </w:pPr>
            <w:r w:rsidRPr="0058349C">
              <w:rPr>
                <w:rFonts w:ascii="Garamond" w:eastAsia="Arial Narrow" w:hAnsi="Garamond"/>
                <w:sz w:val="18"/>
                <w:szCs w:val="18"/>
              </w:rPr>
              <w:t>Donatorët Ndërkombëtarë (Agjencia Italiane për Bashkëpunim për Zhvillim)</w:t>
            </w:r>
          </w:p>
        </w:tc>
      </w:tr>
      <w:tr w:rsidR="00F045DA" w:rsidRPr="0058349C" w14:paraId="0773B2A4" w14:textId="77777777" w:rsidTr="00830F27">
        <w:tc>
          <w:tcPr>
            <w:tcW w:w="804" w:type="pct"/>
            <w:gridSpan w:val="2"/>
          </w:tcPr>
          <w:p w14:paraId="0773B29C" w14:textId="77777777" w:rsidR="00F045DA" w:rsidRPr="0058349C" w:rsidRDefault="00F045DA" w:rsidP="00F045DA">
            <w:pPr>
              <w:pStyle w:val="Table1"/>
              <w:rPr>
                <w:rFonts w:ascii="Garamond" w:eastAsia="Calibri" w:hAnsi="Garamond"/>
                <w:b/>
                <w:bCs/>
                <w:sz w:val="18"/>
                <w:szCs w:val="18"/>
              </w:rPr>
            </w:pPr>
            <w:r w:rsidRPr="0058349C">
              <w:rPr>
                <w:rFonts w:ascii="Garamond" w:eastAsia="Calibri" w:hAnsi="Garamond"/>
                <w:b/>
                <w:bCs/>
                <w:sz w:val="18"/>
                <w:szCs w:val="18"/>
              </w:rPr>
              <w:t>5. Grande për investime në asete fizike për përpunimin dhe tregtimin e produkteve të peshkimit</w:t>
            </w:r>
          </w:p>
        </w:tc>
        <w:tc>
          <w:tcPr>
            <w:tcW w:w="2896" w:type="pct"/>
          </w:tcPr>
          <w:p w14:paraId="0773B29D" w14:textId="6052DA32"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Përfitues janë ndërmarrjet e përpunimit të ushqimit në sektorin e peshkimit</w:t>
            </w:r>
            <w:r w:rsidR="00077898">
              <w:rPr>
                <w:rFonts w:ascii="Garamond" w:eastAsia="Calibri" w:hAnsi="Garamond"/>
                <w:sz w:val="18"/>
                <w:szCs w:val="18"/>
              </w:rPr>
              <w:t>.</w:t>
            </w:r>
          </w:p>
          <w:p w14:paraId="0773B29E"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Intensiteti i ndihmës duhet të jetë më i lartë për investimet në përputhje me standardet e BE-së.</w:t>
            </w:r>
          </w:p>
          <w:p w14:paraId="0773B29F" w14:textId="25298D66" w:rsidR="00F045DA" w:rsidRPr="0058349C" w:rsidRDefault="00F045DA" w:rsidP="00077898">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Duhet t</w:t>
            </w:r>
            <w:r w:rsidR="00077898">
              <w:rPr>
                <w:rFonts w:ascii="Garamond" w:eastAsia="Calibri" w:hAnsi="Garamond"/>
                <w:sz w:val="18"/>
                <w:szCs w:val="18"/>
              </w:rPr>
              <w:t>’</w:t>
            </w:r>
            <w:r w:rsidRPr="0058349C">
              <w:rPr>
                <w:rFonts w:ascii="Garamond" w:eastAsia="Calibri" w:hAnsi="Garamond"/>
                <w:sz w:val="18"/>
                <w:szCs w:val="18"/>
              </w:rPr>
              <w:t xml:space="preserve">i jepet prioritet përafrimit të standardeve të BE-së, veçanërisht për sigurinë ushqimore dhe menaxhimin e mbetjeve (trajtimi i ujit dhe ripërdorimi i mbetjeve) dhe për integrimin e prodhimit të prodhuesve </w:t>
            </w:r>
            <w:r w:rsidR="00BC084C">
              <w:rPr>
                <w:rFonts w:ascii="Garamond" w:eastAsia="Calibri" w:hAnsi="Garamond"/>
                <w:sz w:val="18"/>
                <w:szCs w:val="18"/>
              </w:rPr>
              <w:t>vendës</w:t>
            </w:r>
            <w:r w:rsidR="00797859">
              <w:rPr>
                <w:rFonts w:ascii="Garamond" w:eastAsia="Calibri" w:hAnsi="Garamond"/>
                <w:sz w:val="18"/>
                <w:szCs w:val="18"/>
              </w:rPr>
              <w:t>/</w:t>
            </w:r>
            <w:r w:rsidR="00077898">
              <w:rPr>
                <w:rFonts w:ascii="Garamond" w:eastAsia="Calibri" w:hAnsi="Garamond"/>
                <w:sz w:val="18"/>
                <w:szCs w:val="18"/>
              </w:rPr>
              <w:t xml:space="preserve"> </w:t>
            </w:r>
            <w:r w:rsidRPr="0058349C">
              <w:rPr>
                <w:rFonts w:ascii="Garamond" w:eastAsia="Calibri" w:hAnsi="Garamond"/>
                <w:sz w:val="18"/>
                <w:szCs w:val="18"/>
              </w:rPr>
              <w:t>inkurajimin e zinxhirëve të furnizimit të shkurtër.</w:t>
            </w:r>
          </w:p>
          <w:p w14:paraId="0773B2A0"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Paradhëniet duhet të jenë të mundshme.</w:t>
            </w:r>
          </w:p>
          <w:p w14:paraId="0773B2A1" w14:textId="2D1869CA"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 xml:space="preserve">Në përfundim të investimit, i gjithë objekti duhet të jetë në përputhje me të gjitha standardet kombëtare, ndërsa </w:t>
            </w:r>
            <w:r w:rsidR="00077898">
              <w:rPr>
                <w:rFonts w:ascii="Garamond" w:eastAsia="Calibri" w:hAnsi="Garamond"/>
                <w:sz w:val="18"/>
                <w:szCs w:val="18"/>
              </w:rPr>
              <w:t>investimi me rregullat e BE-së.</w:t>
            </w:r>
          </w:p>
        </w:tc>
        <w:tc>
          <w:tcPr>
            <w:tcW w:w="489" w:type="pct"/>
          </w:tcPr>
          <w:p w14:paraId="0773B2A2" w14:textId="77777777" w:rsidR="00F045DA" w:rsidRPr="0058349C" w:rsidRDefault="00F045DA" w:rsidP="00F045DA">
            <w:pPr>
              <w:pStyle w:val="Table1"/>
              <w:rPr>
                <w:rFonts w:ascii="Garamond" w:eastAsia="Calibri" w:hAnsi="Garamond"/>
                <w:sz w:val="18"/>
                <w:szCs w:val="18"/>
              </w:rPr>
            </w:pPr>
            <w:r w:rsidRPr="0058349C">
              <w:rPr>
                <w:rFonts w:ascii="Garamond" w:eastAsia="Calibri" w:hAnsi="Garamond"/>
                <w:sz w:val="18"/>
                <w:szCs w:val="18"/>
              </w:rPr>
              <w:t>4.6, 4.7, 4.10</w:t>
            </w:r>
          </w:p>
        </w:tc>
        <w:tc>
          <w:tcPr>
            <w:tcW w:w="811" w:type="pct"/>
          </w:tcPr>
          <w:p w14:paraId="0773B2A3" w14:textId="011DD0D6" w:rsidR="00F045DA" w:rsidRPr="0058349C" w:rsidRDefault="00F045DA" w:rsidP="00F045DA">
            <w:pPr>
              <w:pStyle w:val="Table1"/>
              <w:rPr>
                <w:rFonts w:ascii="Garamond" w:eastAsia="Calibri" w:hAnsi="Garamond"/>
                <w:sz w:val="18"/>
                <w:szCs w:val="18"/>
              </w:rPr>
            </w:pPr>
            <w:r w:rsidRPr="0058349C">
              <w:rPr>
                <w:rFonts w:ascii="Garamond" w:eastAsia="Calibri" w:hAnsi="Garamond"/>
                <w:sz w:val="18"/>
                <w:szCs w:val="18"/>
              </w:rPr>
              <w:t>EU IPARD III + Buxheti Kombëtar (</w:t>
            </w:r>
            <w:r w:rsidR="003E7483">
              <w:rPr>
                <w:rFonts w:ascii="Garamond" w:eastAsia="Calibri" w:hAnsi="Garamond"/>
                <w:sz w:val="18"/>
                <w:szCs w:val="18"/>
              </w:rPr>
              <w:t>bashkëfinancim</w:t>
            </w:r>
            <w:r w:rsidRPr="0058349C">
              <w:rPr>
                <w:rFonts w:ascii="Garamond" w:eastAsia="Calibri" w:hAnsi="Garamond"/>
                <w:sz w:val="18"/>
                <w:szCs w:val="18"/>
              </w:rPr>
              <w:t>)</w:t>
            </w:r>
          </w:p>
        </w:tc>
      </w:tr>
      <w:tr w:rsidR="00F045DA" w:rsidRPr="0058349C" w14:paraId="0773B2AB" w14:textId="77777777" w:rsidTr="00830F27">
        <w:tblPrEx>
          <w:tblLook w:val="04A0" w:firstRow="1" w:lastRow="0" w:firstColumn="1" w:lastColumn="0" w:noHBand="0" w:noVBand="1"/>
        </w:tblPrEx>
        <w:tc>
          <w:tcPr>
            <w:tcW w:w="804" w:type="pct"/>
            <w:gridSpan w:val="2"/>
          </w:tcPr>
          <w:p w14:paraId="0773B2A5" w14:textId="77777777" w:rsidR="00F045DA" w:rsidRPr="0058349C" w:rsidRDefault="00F045DA" w:rsidP="00F045DA">
            <w:pPr>
              <w:pStyle w:val="Table1"/>
              <w:rPr>
                <w:rFonts w:ascii="Garamond" w:hAnsi="Garamond"/>
                <w:b/>
                <w:bCs/>
                <w:sz w:val="18"/>
                <w:szCs w:val="18"/>
              </w:rPr>
            </w:pPr>
            <w:r w:rsidRPr="0058349C">
              <w:rPr>
                <w:rFonts w:ascii="Garamond" w:eastAsia="Arial Narrow" w:hAnsi="Garamond"/>
                <w:b/>
                <w:bCs/>
                <w:sz w:val="18"/>
                <w:szCs w:val="18"/>
              </w:rPr>
              <w:t>6. Prodhimi i ushqimit p</w:t>
            </w:r>
            <w:r w:rsidRPr="0058349C">
              <w:rPr>
                <w:rFonts w:ascii="Garamond" w:eastAsia="Calibri" w:hAnsi="Garamond"/>
                <w:sz w:val="18"/>
                <w:szCs w:val="18"/>
              </w:rPr>
              <w:t>ër</w:t>
            </w:r>
            <w:r w:rsidRPr="0058349C">
              <w:rPr>
                <w:rFonts w:ascii="Garamond" w:eastAsia="Arial Narrow" w:hAnsi="Garamond"/>
                <w:b/>
                <w:bCs/>
                <w:sz w:val="18"/>
                <w:szCs w:val="18"/>
              </w:rPr>
              <w:t xml:space="preserve"> akuakulturën dhe trajtimi i nënprodukteve</w:t>
            </w:r>
          </w:p>
        </w:tc>
        <w:tc>
          <w:tcPr>
            <w:tcW w:w="2896" w:type="pct"/>
          </w:tcPr>
          <w:p w14:paraId="0773B2A6"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Përfitues janë të gjithë aktorët që operojnë në sektorin e përpunimit dhe të gjithë sektorin e akuakulturës (në tokë dhe ujëra detare).</w:t>
            </w:r>
          </w:p>
          <w:p w14:paraId="0773B2A7"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Përmirësimi i menaxhimit të nënprodukteve nga sektori i përpunimit të peshkut për të prodhuar ushqim peshku. Shqipëria importon ushqime për sektorin e akuakulturës, e cila redukton sasinë e mbetjeve të depozituara dhe zbut ndotjen e mjedisit.</w:t>
            </w:r>
          </w:p>
          <w:p w14:paraId="0773B2A8"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Mbështetja është në përputhje me masën MBZHR-FDP që fokusohet në përmirësimin e trajtimit të mbetjeve dhe përdorimin e nënprodukteve</w:t>
            </w:r>
          </w:p>
        </w:tc>
        <w:tc>
          <w:tcPr>
            <w:tcW w:w="489" w:type="pct"/>
          </w:tcPr>
          <w:p w14:paraId="0773B2A9" w14:textId="77777777" w:rsidR="00F045DA" w:rsidRPr="0058349C" w:rsidRDefault="00F045DA" w:rsidP="00F045DA">
            <w:pPr>
              <w:pStyle w:val="Table1"/>
              <w:rPr>
                <w:rFonts w:ascii="Garamond" w:hAnsi="Garamond"/>
                <w:sz w:val="18"/>
                <w:szCs w:val="18"/>
              </w:rPr>
            </w:pPr>
            <w:r w:rsidRPr="0058349C">
              <w:rPr>
                <w:rFonts w:ascii="Garamond" w:eastAsia="Arial Narrow" w:hAnsi="Garamond"/>
                <w:sz w:val="18"/>
                <w:szCs w:val="18"/>
              </w:rPr>
              <w:t>4.6, 4.7, 4.10</w:t>
            </w:r>
          </w:p>
        </w:tc>
        <w:tc>
          <w:tcPr>
            <w:tcW w:w="811" w:type="pct"/>
          </w:tcPr>
          <w:p w14:paraId="0773B2AA" w14:textId="77777777" w:rsidR="00F045DA" w:rsidRPr="0058349C" w:rsidRDefault="00F045DA" w:rsidP="00F045DA">
            <w:pPr>
              <w:pStyle w:val="Table1"/>
              <w:rPr>
                <w:rFonts w:ascii="Garamond" w:hAnsi="Garamond"/>
                <w:sz w:val="18"/>
                <w:szCs w:val="18"/>
              </w:rPr>
            </w:pPr>
            <w:r w:rsidRPr="0058349C">
              <w:rPr>
                <w:rFonts w:ascii="Garamond" w:eastAsia="Calibri" w:hAnsi="Garamond"/>
                <w:sz w:val="18"/>
                <w:szCs w:val="18"/>
              </w:rPr>
              <w:t>IPARD III + Fondet kombëtare (bashkëfinancim) Masa e diversifikimit</w:t>
            </w:r>
          </w:p>
        </w:tc>
      </w:tr>
      <w:tr w:rsidR="00F045DA" w:rsidRPr="0058349C" w14:paraId="0773B2B1" w14:textId="77777777" w:rsidTr="00830F27">
        <w:tblPrEx>
          <w:tblLook w:val="04A0" w:firstRow="1" w:lastRow="0" w:firstColumn="1" w:lastColumn="0" w:noHBand="0" w:noVBand="1"/>
        </w:tblPrEx>
        <w:tc>
          <w:tcPr>
            <w:tcW w:w="804" w:type="pct"/>
            <w:gridSpan w:val="2"/>
          </w:tcPr>
          <w:p w14:paraId="0773B2AC" w14:textId="4CB6D1A2" w:rsidR="00F045DA" w:rsidRPr="0058349C" w:rsidRDefault="00F045DA" w:rsidP="00F045DA">
            <w:pPr>
              <w:pStyle w:val="Table1"/>
              <w:rPr>
                <w:rFonts w:ascii="Garamond" w:eastAsia="Arial Narrow" w:hAnsi="Garamond"/>
                <w:b/>
                <w:bCs/>
                <w:sz w:val="18"/>
                <w:szCs w:val="18"/>
              </w:rPr>
            </w:pPr>
            <w:r w:rsidRPr="0058349C">
              <w:rPr>
                <w:rFonts w:ascii="Garamond" w:eastAsia="Arial Narrow" w:hAnsi="Garamond"/>
                <w:b/>
                <w:bCs/>
                <w:sz w:val="18"/>
                <w:szCs w:val="18"/>
              </w:rPr>
              <w:lastRenderedPageBreak/>
              <w:t>7. Mb</w:t>
            </w:r>
            <w:r w:rsidRPr="0058349C">
              <w:rPr>
                <w:rFonts w:ascii="Garamond" w:eastAsia="Calibri" w:hAnsi="Garamond"/>
                <w:b/>
                <w:sz w:val="18"/>
                <w:szCs w:val="18"/>
              </w:rPr>
              <w:t>ështetje për speciet</w:t>
            </w:r>
            <w:r w:rsidR="00CF7694" w:rsidRPr="0058349C">
              <w:rPr>
                <w:rFonts w:ascii="Garamond" w:eastAsia="Calibri" w:hAnsi="Garamond"/>
                <w:b/>
                <w:sz w:val="18"/>
                <w:szCs w:val="18"/>
              </w:rPr>
              <w:t xml:space="preserve"> </w:t>
            </w:r>
            <w:r w:rsidRPr="0058349C">
              <w:rPr>
                <w:rFonts w:ascii="Garamond" w:eastAsia="Arial Narrow" w:hAnsi="Garamond"/>
                <w:b/>
                <w:bCs/>
                <w:sz w:val="18"/>
                <w:szCs w:val="18"/>
              </w:rPr>
              <w:t>e reja që jan</w:t>
            </w:r>
            <w:r w:rsidRPr="0058349C">
              <w:rPr>
                <w:rFonts w:ascii="Garamond" w:eastAsia="Calibri" w:hAnsi="Garamond"/>
                <w:b/>
                <w:sz w:val="18"/>
                <w:szCs w:val="18"/>
              </w:rPr>
              <w:t>ë objekt</w:t>
            </w:r>
            <w:r w:rsidR="00CF7694" w:rsidRPr="0058349C">
              <w:rPr>
                <w:rFonts w:ascii="Garamond" w:eastAsia="Arial Narrow" w:hAnsi="Garamond"/>
                <w:b/>
                <w:bCs/>
                <w:sz w:val="18"/>
                <w:szCs w:val="18"/>
              </w:rPr>
              <w:t xml:space="preserve"> </w:t>
            </w:r>
            <w:r w:rsidRPr="0058349C">
              <w:rPr>
                <w:rFonts w:ascii="Garamond" w:eastAsia="Arial Narrow" w:hAnsi="Garamond"/>
                <w:b/>
                <w:bCs/>
                <w:sz w:val="18"/>
                <w:szCs w:val="18"/>
              </w:rPr>
              <w:t>i përpunimit (p.sh., molusqet)</w:t>
            </w:r>
          </w:p>
        </w:tc>
        <w:tc>
          <w:tcPr>
            <w:tcW w:w="2896" w:type="pct"/>
          </w:tcPr>
          <w:p w14:paraId="0773B2AD"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Përfitues janë të gjithë aktorët që operojnë në sektorin e përpunimit dhe të gjithë peshkatarët profesionistë të sektorit të peshkimit.</w:t>
            </w:r>
          </w:p>
          <w:p w14:paraId="0773B2AE" w14:textId="282CD440"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Zgjerimi i hartës së llojeve të përpunuara në fabrikat e përpunimit do të rrisë punësimin në këtë sektor. Një alternativë e mirë do të ishte përpunimi i molusqeve, por edhe i llojeve të tjera të peshkut</w:t>
            </w:r>
            <w:r w:rsidR="00F41E36">
              <w:rPr>
                <w:rFonts w:ascii="Garamond" w:eastAsia="Calibri" w:hAnsi="Garamond"/>
                <w:sz w:val="18"/>
                <w:szCs w:val="18"/>
              </w:rPr>
              <w:t>.</w:t>
            </w:r>
          </w:p>
        </w:tc>
        <w:tc>
          <w:tcPr>
            <w:tcW w:w="489" w:type="pct"/>
          </w:tcPr>
          <w:p w14:paraId="0773B2AF" w14:textId="77777777" w:rsidR="00F045DA" w:rsidRPr="0058349C" w:rsidRDefault="00F045DA" w:rsidP="00F045DA">
            <w:pPr>
              <w:pStyle w:val="Table1"/>
              <w:rPr>
                <w:rFonts w:ascii="Garamond" w:eastAsia="Arial Narrow" w:hAnsi="Garamond"/>
                <w:sz w:val="18"/>
                <w:szCs w:val="18"/>
              </w:rPr>
            </w:pPr>
            <w:r w:rsidRPr="0058349C">
              <w:rPr>
                <w:rFonts w:ascii="Garamond" w:eastAsia="Arial Narrow" w:hAnsi="Garamond"/>
                <w:sz w:val="18"/>
                <w:szCs w:val="18"/>
              </w:rPr>
              <w:t>4.6</w:t>
            </w:r>
          </w:p>
        </w:tc>
        <w:tc>
          <w:tcPr>
            <w:tcW w:w="811" w:type="pct"/>
          </w:tcPr>
          <w:p w14:paraId="0773B2B0" w14:textId="77777777" w:rsidR="00F045DA" w:rsidRPr="0058349C" w:rsidRDefault="00F045DA" w:rsidP="00F045DA">
            <w:pPr>
              <w:pStyle w:val="Table1"/>
              <w:rPr>
                <w:rFonts w:ascii="Garamond" w:eastAsia="Arial Narrow" w:hAnsi="Garamond"/>
                <w:sz w:val="18"/>
                <w:szCs w:val="18"/>
              </w:rPr>
            </w:pPr>
            <w:r w:rsidRPr="0058349C">
              <w:rPr>
                <w:rFonts w:ascii="Garamond" w:eastAsia="Calibri" w:hAnsi="Garamond"/>
                <w:sz w:val="18"/>
                <w:szCs w:val="18"/>
              </w:rPr>
              <w:t>IPARD III + Fondet kombëtare (bashkëfinancim)</w:t>
            </w:r>
          </w:p>
        </w:tc>
      </w:tr>
      <w:tr w:rsidR="00F045DA" w:rsidRPr="0058349C" w14:paraId="0773B2B9" w14:textId="77777777" w:rsidTr="00830F27">
        <w:tblPrEx>
          <w:tblLook w:val="04A0" w:firstRow="1" w:lastRow="0" w:firstColumn="1" w:lastColumn="0" w:noHBand="0" w:noVBand="1"/>
        </w:tblPrEx>
        <w:tc>
          <w:tcPr>
            <w:tcW w:w="804" w:type="pct"/>
            <w:gridSpan w:val="2"/>
          </w:tcPr>
          <w:p w14:paraId="0773B2B2" w14:textId="1C95175C" w:rsidR="00F045DA" w:rsidRPr="0058349C" w:rsidRDefault="00F045DA" w:rsidP="00F045DA">
            <w:pPr>
              <w:pStyle w:val="Table1"/>
              <w:rPr>
                <w:rFonts w:ascii="Garamond" w:hAnsi="Garamond"/>
                <w:b/>
                <w:bCs/>
                <w:sz w:val="18"/>
                <w:szCs w:val="18"/>
              </w:rPr>
            </w:pPr>
            <w:r w:rsidRPr="0058349C">
              <w:rPr>
                <w:rFonts w:ascii="Garamond" w:eastAsia="Arial Narrow" w:hAnsi="Garamond"/>
                <w:b/>
                <w:bCs/>
                <w:sz w:val="18"/>
                <w:szCs w:val="18"/>
              </w:rPr>
              <w:t>8. Zhvillimi i qëndruesh</w:t>
            </w:r>
            <w:r w:rsidRPr="0058349C">
              <w:rPr>
                <w:rFonts w:ascii="Garamond" w:eastAsia="Calibri" w:hAnsi="Garamond"/>
                <w:sz w:val="18"/>
                <w:szCs w:val="18"/>
              </w:rPr>
              <w:t>ë</w:t>
            </w:r>
            <w:r w:rsidRPr="0058349C">
              <w:rPr>
                <w:rFonts w:ascii="Garamond" w:eastAsia="Arial Narrow" w:hAnsi="Garamond"/>
                <w:b/>
                <w:bCs/>
                <w:sz w:val="18"/>
                <w:szCs w:val="18"/>
              </w:rPr>
              <w:t>m akuakulturës</w:t>
            </w:r>
            <w:r w:rsidR="00CF7694" w:rsidRPr="0058349C">
              <w:rPr>
                <w:rFonts w:ascii="Garamond" w:eastAsia="Arial Narrow" w:hAnsi="Garamond"/>
                <w:b/>
                <w:bCs/>
                <w:sz w:val="18"/>
                <w:szCs w:val="18"/>
              </w:rPr>
              <w:t xml:space="preserve"> </w:t>
            </w:r>
            <w:r w:rsidRPr="0058349C">
              <w:rPr>
                <w:rFonts w:ascii="Garamond" w:eastAsia="Arial Narrow" w:hAnsi="Garamond"/>
                <w:b/>
                <w:bCs/>
                <w:sz w:val="18"/>
                <w:szCs w:val="18"/>
              </w:rPr>
              <w:t>në përputhje me mjedisin.</w:t>
            </w:r>
          </w:p>
        </w:tc>
        <w:tc>
          <w:tcPr>
            <w:tcW w:w="2896" w:type="pct"/>
          </w:tcPr>
          <w:p w14:paraId="0773B2B3"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Përfitues janë të gjithë aktorët e sektorit të akuakulturës (në ujërat tokësore dhe detare).</w:t>
            </w:r>
          </w:p>
          <w:p w14:paraId="0773B2B4"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Përcaktimi i ZPA-ve për vijën bregdetare është pothuajse i mbyllur, përcaktimi i ZPA-ve për ujërat e brendshme mbetet i nevojshëm.</w:t>
            </w:r>
          </w:p>
          <w:p w14:paraId="0773B2B5"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Rritja e akuakulturës së troftës dhe kryesisht përpunimi i troftës në formë filetimi.</w:t>
            </w:r>
          </w:p>
          <w:p w14:paraId="0773B2B6"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Riaktivizimi i akuakulturës së karkalecave.</w:t>
            </w:r>
          </w:p>
        </w:tc>
        <w:tc>
          <w:tcPr>
            <w:tcW w:w="489" w:type="pct"/>
          </w:tcPr>
          <w:p w14:paraId="0773B2B7" w14:textId="77777777" w:rsidR="00F045DA" w:rsidRPr="0058349C" w:rsidRDefault="00F045DA" w:rsidP="00F045DA">
            <w:pPr>
              <w:pStyle w:val="Table1"/>
              <w:rPr>
                <w:rFonts w:ascii="Garamond" w:hAnsi="Garamond"/>
                <w:sz w:val="18"/>
                <w:szCs w:val="18"/>
              </w:rPr>
            </w:pPr>
            <w:r w:rsidRPr="0058349C">
              <w:rPr>
                <w:rFonts w:ascii="Garamond" w:eastAsia="Arial Narrow" w:hAnsi="Garamond"/>
                <w:sz w:val="18"/>
                <w:szCs w:val="18"/>
              </w:rPr>
              <w:t>4.5, 4.7</w:t>
            </w:r>
          </w:p>
        </w:tc>
        <w:tc>
          <w:tcPr>
            <w:tcW w:w="811" w:type="pct"/>
          </w:tcPr>
          <w:p w14:paraId="0773B2B8" w14:textId="77777777" w:rsidR="00F045DA" w:rsidRPr="0058349C" w:rsidRDefault="00F045DA" w:rsidP="00F045DA">
            <w:pPr>
              <w:pStyle w:val="Table1"/>
              <w:rPr>
                <w:rFonts w:ascii="Garamond" w:hAnsi="Garamond"/>
                <w:sz w:val="18"/>
                <w:szCs w:val="18"/>
              </w:rPr>
            </w:pPr>
            <w:r w:rsidRPr="0058349C">
              <w:rPr>
                <w:rFonts w:ascii="Garamond" w:eastAsia="Arial Narrow" w:hAnsi="Garamond"/>
                <w:sz w:val="18"/>
                <w:szCs w:val="18"/>
              </w:rPr>
              <w:t xml:space="preserve">Buxheti Kombëtar, </w:t>
            </w:r>
            <w:r w:rsidRPr="0058349C">
              <w:rPr>
                <w:rFonts w:ascii="Garamond" w:eastAsia="Calibri" w:hAnsi="Garamond"/>
                <w:sz w:val="18"/>
                <w:szCs w:val="18"/>
              </w:rPr>
              <w:t>IPARD III + Fondet kombëtare (bashkëfinancim) Masa e diversifikimit</w:t>
            </w:r>
          </w:p>
        </w:tc>
      </w:tr>
      <w:tr w:rsidR="00F045DA" w:rsidRPr="0058349C" w14:paraId="0773B2C0" w14:textId="77777777" w:rsidTr="00830F27">
        <w:tblPrEx>
          <w:tblLook w:val="04A0" w:firstRow="1" w:lastRow="0" w:firstColumn="1" w:lastColumn="0" w:noHBand="0" w:noVBand="1"/>
        </w:tblPrEx>
        <w:tc>
          <w:tcPr>
            <w:tcW w:w="804" w:type="pct"/>
            <w:gridSpan w:val="2"/>
          </w:tcPr>
          <w:p w14:paraId="0773B2BA" w14:textId="77777777" w:rsidR="00F045DA" w:rsidRPr="0058349C" w:rsidRDefault="00F045DA" w:rsidP="00F045DA">
            <w:pPr>
              <w:pStyle w:val="Table1"/>
              <w:rPr>
                <w:rFonts w:ascii="Garamond" w:eastAsia="Arial Narrow" w:hAnsi="Garamond"/>
                <w:b/>
                <w:bCs/>
                <w:sz w:val="18"/>
                <w:szCs w:val="18"/>
              </w:rPr>
            </w:pPr>
            <w:r w:rsidRPr="0058349C">
              <w:rPr>
                <w:rFonts w:ascii="Garamond" w:eastAsia="Arial Narrow" w:hAnsi="Garamond"/>
                <w:b/>
                <w:bCs/>
                <w:sz w:val="18"/>
                <w:szCs w:val="18"/>
              </w:rPr>
              <w:t>9. Grande dhe AT për zhvillimin e ekonomisë blu dhe zhvillimin e turizmit detar</w:t>
            </w:r>
          </w:p>
        </w:tc>
        <w:tc>
          <w:tcPr>
            <w:tcW w:w="2896" w:type="pct"/>
          </w:tcPr>
          <w:p w14:paraId="0773B2BB" w14:textId="5AD76AF9"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Përfitues janë aktorët e sektorit privat</w:t>
            </w:r>
            <w:r w:rsidR="00F41E36">
              <w:rPr>
                <w:rFonts w:ascii="Garamond" w:eastAsia="Calibri" w:hAnsi="Garamond"/>
                <w:sz w:val="18"/>
                <w:szCs w:val="18"/>
              </w:rPr>
              <w:t>.</w:t>
            </w:r>
          </w:p>
          <w:p w14:paraId="0773B2BC" w14:textId="152FB67D"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Mbështetje e integruar për sektorin e turizmit detar për të krijuar vende të reja pune dhe për të rritur zhvillimin e orientuar lokal</w:t>
            </w:r>
            <w:r w:rsidR="00F41E36">
              <w:rPr>
                <w:rFonts w:ascii="Garamond" w:eastAsia="Calibri" w:hAnsi="Garamond"/>
                <w:sz w:val="18"/>
                <w:szCs w:val="18"/>
              </w:rPr>
              <w:t>.</w:t>
            </w:r>
          </w:p>
          <w:p w14:paraId="0773B2BD"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Fokusi duhet të jetë në zhvillimin e komuniteteve bregdetare</w:t>
            </w:r>
            <w:r w:rsidRPr="0058349C">
              <w:rPr>
                <w:rFonts w:ascii="Garamond" w:hAnsi="Garamond"/>
                <w:sz w:val="18"/>
                <w:szCs w:val="18"/>
                <w:shd w:val="clear" w:color="auto" w:fill="FFFFFF"/>
              </w:rPr>
              <w:t>.</w:t>
            </w:r>
          </w:p>
        </w:tc>
        <w:tc>
          <w:tcPr>
            <w:tcW w:w="489" w:type="pct"/>
          </w:tcPr>
          <w:p w14:paraId="0773B2BE" w14:textId="77777777" w:rsidR="00F045DA" w:rsidRPr="0058349C" w:rsidRDefault="00F045DA" w:rsidP="00F045DA">
            <w:pPr>
              <w:pStyle w:val="Table1"/>
              <w:rPr>
                <w:rFonts w:ascii="Garamond" w:eastAsia="Arial Narrow" w:hAnsi="Garamond"/>
                <w:sz w:val="18"/>
                <w:szCs w:val="18"/>
              </w:rPr>
            </w:pPr>
            <w:r w:rsidRPr="0058349C">
              <w:rPr>
                <w:rFonts w:ascii="Garamond" w:eastAsia="Arial Narrow" w:hAnsi="Garamond"/>
                <w:sz w:val="18"/>
                <w:szCs w:val="18"/>
              </w:rPr>
              <w:t>4.11</w:t>
            </w:r>
          </w:p>
        </w:tc>
        <w:tc>
          <w:tcPr>
            <w:tcW w:w="811" w:type="pct"/>
          </w:tcPr>
          <w:p w14:paraId="0773B2BF" w14:textId="77777777" w:rsidR="00F045DA" w:rsidRPr="0058349C" w:rsidRDefault="00F045DA" w:rsidP="00F045DA">
            <w:pPr>
              <w:pStyle w:val="Table1"/>
              <w:rPr>
                <w:rFonts w:ascii="Garamond" w:eastAsia="Arial Narrow" w:hAnsi="Garamond"/>
                <w:sz w:val="18"/>
                <w:szCs w:val="18"/>
              </w:rPr>
            </w:pPr>
            <w:r w:rsidRPr="0058349C">
              <w:rPr>
                <w:rFonts w:ascii="Garamond" w:eastAsia="Arial Narrow" w:hAnsi="Garamond"/>
                <w:sz w:val="18"/>
                <w:szCs w:val="18"/>
              </w:rPr>
              <w:t>IPA III (Ministria e Ekonomisë), Buxheti Kombëtar, Donatorët</w:t>
            </w:r>
          </w:p>
        </w:tc>
      </w:tr>
      <w:tr w:rsidR="00F045DA" w:rsidRPr="0058349C" w14:paraId="0773B2C8" w14:textId="77777777" w:rsidTr="00830F27">
        <w:tblPrEx>
          <w:tblLook w:val="04A0" w:firstRow="1" w:lastRow="0" w:firstColumn="1" w:lastColumn="0" w:noHBand="0" w:noVBand="1"/>
        </w:tblPrEx>
        <w:tc>
          <w:tcPr>
            <w:tcW w:w="804" w:type="pct"/>
            <w:gridSpan w:val="2"/>
          </w:tcPr>
          <w:p w14:paraId="0773B2C1" w14:textId="77777777" w:rsidR="00F045DA" w:rsidRPr="0058349C" w:rsidRDefault="00F045DA" w:rsidP="00F045DA">
            <w:pPr>
              <w:pStyle w:val="Table1"/>
              <w:rPr>
                <w:rFonts w:ascii="Garamond" w:eastAsia="Arial Narrow" w:hAnsi="Garamond"/>
                <w:b/>
                <w:bCs/>
                <w:sz w:val="18"/>
                <w:szCs w:val="18"/>
              </w:rPr>
            </w:pPr>
            <w:r w:rsidRPr="0058349C">
              <w:rPr>
                <w:rFonts w:ascii="Garamond" w:eastAsia="Arial Narrow" w:hAnsi="Garamond"/>
                <w:b/>
                <w:bCs/>
                <w:sz w:val="18"/>
                <w:szCs w:val="18"/>
              </w:rPr>
              <w:t>10. Rritja e eksporteve të produkteve cilësore të peshkimit</w:t>
            </w:r>
          </w:p>
        </w:tc>
        <w:tc>
          <w:tcPr>
            <w:tcW w:w="2896" w:type="pct"/>
          </w:tcPr>
          <w:p w14:paraId="0773B2C2"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 xml:space="preserve">Përfitues janë të gjithë aktorët që operojnë në sektorin e përpunimit dhe të gjithë peshkatarët profesionistë të sektorit të peshkimit. </w:t>
            </w:r>
          </w:p>
          <w:p w14:paraId="0773B2C3" w14:textId="489331AD" w:rsidR="00F045DA" w:rsidRPr="0058349C" w:rsidRDefault="00F41E36" w:rsidP="00F045DA">
            <w:pPr>
              <w:pStyle w:val="Table1"/>
              <w:numPr>
                <w:ilvl w:val="0"/>
                <w:numId w:val="18"/>
              </w:numPr>
              <w:ind w:left="227" w:hanging="227"/>
              <w:rPr>
                <w:rFonts w:ascii="Garamond" w:eastAsia="Calibri" w:hAnsi="Garamond"/>
                <w:sz w:val="18"/>
                <w:szCs w:val="18"/>
              </w:rPr>
            </w:pPr>
            <w:r>
              <w:rPr>
                <w:rFonts w:ascii="Garamond" w:eastAsia="Calibri" w:hAnsi="Garamond"/>
                <w:sz w:val="18"/>
                <w:szCs w:val="18"/>
              </w:rPr>
              <w:t>Të ri</w:t>
            </w:r>
            <w:r w:rsidR="00F045DA" w:rsidRPr="0058349C">
              <w:rPr>
                <w:rFonts w:ascii="Garamond" w:eastAsia="Calibri" w:hAnsi="Garamond"/>
                <w:sz w:val="18"/>
                <w:szCs w:val="18"/>
              </w:rPr>
              <w:t>negociohet për kuotën tarifore të BE-së për açuge të konservuara dhe levrekë deti nga Shqipëria, duke evidentuar aksesin në tregun dalës sipas MSA-së.</w:t>
            </w:r>
          </w:p>
          <w:p w14:paraId="0773B2C4" w14:textId="77777777"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Investime në prodhimin dhe përpunimin e molusqeve bivalvore dhe dekapodësh.</w:t>
            </w:r>
          </w:p>
          <w:p w14:paraId="0773B2C5" w14:textId="51E594A9"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Miratimi i ZPA-ve për zhvillimin e mëtejshëm të akuakulturës detare dhe të brendshme</w:t>
            </w:r>
            <w:r w:rsidR="00F41E36">
              <w:rPr>
                <w:rFonts w:ascii="Garamond" w:eastAsia="Calibri" w:hAnsi="Garamond"/>
                <w:sz w:val="18"/>
                <w:szCs w:val="18"/>
              </w:rPr>
              <w:t>.</w:t>
            </w:r>
          </w:p>
        </w:tc>
        <w:tc>
          <w:tcPr>
            <w:tcW w:w="489" w:type="pct"/>
          </w:tcPr>
          <w:p w14:paraId="0773B2C6" w14:textId="77777777" w:rsidR="00F045DA" w:rsidRPr="0058349C" w:rsidRDefault="00F045DA" w:rsidP="00F045DA">
            <w:pPr>
              <w:pStyle w:val="Table1"/>
              <w:rPr>
                <w:rFonts w:ascii="Garamond" w:eastAsia="Arial Narrow" w:hAnsi="Garamond"/>
                <w:sz w:val="18"/>
                <w:szCs w:val="18"/>
              </w:rPr>
            </w:pPr>
            <w:r w:rsidRPr="0058349C">
              <w:rPr>
                <w:rFonts w:ascii="Garamond" w:eastAsia="Arial Narrow" w:hAnsi="Garamond"/>
                <w:sz w:val="18"/>
                <w:szCs w:val="18"/>
              </w:rPr>
              <w:t>4.10, 4.7, 4.6, 4.5</w:t>
            </w:r>
          </w:p>
        </w:tc>
        <w:tc>
          <w:tcPr>
            <w:tcW w:w="811" w:type="pct"/>
          </w:tcPr>
          <w:p w14:paraId="0773B2C7" w14:textId="77777777" w:rsidR="00F045DA" w:rsidRPr="0058349C" w:rsidRDefault="00F045DA" w:rsidP="00F045DA">
            <w:pPr>
              <w:pStyle w:val="Table1"/>
              <w:rPr>
                <w:rFonts w:ascii="Garamond" w:eastAsia="Arial Narrow" w:hAnsi="Garamond"/>
                <w:sz w:val="18"/>
                <w:szCs w:val="18"/>
              </w:rPr>
            </w:pPr>
            <w:r w:rsidRPr="0058349C">
              <w:rPr>
                <w:rFonts w:ascii="Garamond" w:eastAsia="Arial Narrow" w:hAnsi="Garamond"/>
                <w:sz w:val="18"/>
                <w:szCs w:val="18"/>
              </w:rPr>
              <w:t>Buxheti Kombëtar, Donatorët</w:t>
            </w:r>
          </w:p>
        </w:tc>
      </w:tr>
      <w:tr w:rsidR="00F045DA" w:rsidRPr="0058349C" w14:paraId="0773B2D0" w14:textId="77777777" w:rsidTr="00830F27">
        <w:tblPrEx>
          <w:tblLook w:val="04A0" w:firstRow="1" w:lastRow="0" w:firstColumn="1" w:lastColumn="0" w:noHBand="0" w:noVBand="1"/>
        </w:tblPrEx>
        <w:tc>
          <w:tcPr>
            <w:tcW w:w="804" w:type="pct"/>
            <w:gridSpan w:val="2"/>
          </w:tcPr>
          <w:p w14:paraId="0773B2C9" w14:textId="1EADE04B" w:rsidR="00F045DA" w:rsidRPr="0058349C" w:rsidRDefault="00F045DA" w:rsidP="00F045DA">
            <w:pPr>
              <w:pStyle w:val="Table1"/>
              <w:rPr>
                <w:rFonts w:ascii="Garamond" w:eastAsia="Arial Narrow" w:hAnsi="Garamond"/>
                <w:b/>
                <w:bCs/>
                <w:sz w:val="18"/>
                <w:szCs w:val="18"/>
              </w:rPr>
            </w:pPr>
            <w:r w:rsidRPr="0058349C">
              <w:rPr>
                <w:rFonts w:ascii="Garamond" w:eastAsia="Arial Narrow" w:hAnsi="Garamond"/>
                <w:b/>
                <w:bCs/>
                <w:sz w:val="18"/>
                <w:szCs w:val="18"/>
              </w:rPr>
              <w:t>11. AT për Zhvillimin e</w:t>
            </w:r>
            <w:r w:rsidR="00CF7694" w:rsidRPr="0058349C">
              <w:rPr>
                <w:rFonts w:ascii="Garamond" w:eastAsia="Arial Narrow" w:hAnsi="Garamond"/>
                <w:b/>
                <w:bCs/>
                <w:sz w:val="18"/>
                <w:szCs w:val="18"/>
              </w:rPr>
              <w:t xml:space="preserve"> </w:t>
            </w:r>
            <w:r w:rsidRPr="0058349C">
              <w:rPr>
                <w:rFonts w:ascii="Garamond" w:eastAsia="Arial Narrow" w:hAnsi="Garamond"/>
                <w:b/>
                <w:bCs/>
                <w:sz w:val="18"/>
                <w:szCs w:val="18"/>
              </w:rPr>
              <w:t>Kapaciteteve në MBZHR</w:t>
            </w:r>
          </w:p>
        </w:tc>
        <w:tc>
          <w:tcPr>
            <w:tcW w:w="2896" w:type="pct"/>
          </w:tcPr>
          <w:p w14:paraId="0773B2CA" w14:textId="7F5E60EC" w:rsidR="00F045DA" w:rsidRPr="0058349C" w:rsidRDefault="00F045DA" w:rsidP="00F045DA">
            <w:pPr>
              <w:pStyle w:val="Table1"/>
              <w:numPr>
                <w:ilvl w:val="0"/>
                <w:numId w:val="18"/>
              </w:numPr>
              <w:ind w:left="227" w:hanging="227"/>
              <w:rPr>
                <w:rFonts w:ascii="Garamond" w:eastAsia="Calibri" w:hAnsi="Garamond"/>
                <w:sz w:val="18"/>
                <w:szCs w:val="18"/>
              </w:rPr>
            </w:pPr>
            <w:r w:rsidRPr="0058349C">
              <w:rPr>
                <w:rFonts w:ascii="Garamond" w:eastAsia="Calibri" w:hAnsi="Garamond"/>
                <w:sz w:val="18"/>
                <w:szCs w:val="18"/>
              </w:rPr>
              <w:t xml:space="preserve">Për harmonizimin me </w:t>
            </w:r>
            <w:r w:rsidR="00F41E36" w:rsidRPr="0058349C">
              <w:rPr>
                <w:rFonts w:ascii="Garamond" w:eastAsia="Calibri" w:hAnsi="Garamond"/>
                <w:sz w:val="18"/>
                <w:szCs w:val="18"/>
              </w:rPr>
              <w:t xml:space="preserve">kapitullin </w:t>
            </w:r>
            <w:r w:rsidRPr="0058349C">
              <w:rPr>
                <w:rFonts w:ascii="Garamond" w:eastAsia="Calibri" w:hAnsi="Garamond"/>
                <w:sz w:val="18"/>
                <w:szCs w:val="18"/>
              </w:rPr>
              <w:t>13 nevojitet zhvillim i mëtejshëm i kapaciteteve:</w:t>
            </w:r>
          </w:p>
          <w:p w14:paraId="0773B2CB" w14:textId="77777777" w:rsidR="00F045DA" w:rsidRPr="0058349C" w:rsidRDefault="00F045DA" w:rsidP="00F045DA">
            <w:pPr>
              <w:pStyle w:val="Table1"/>
              <w:numPr>
                <w:ilvl w:val="1"/>
                <w:numId w:val="18"/>
              </w:numPr>
              <w:ind w:left="576" w:hanging="288"/>
              <w:rPr>
                <w:rFonts w:ascii="Garamond" w:eastAsia="Calibri" w:hAnsi="Garamond"/>
                <w:sz w:val="18"/>
                <w:szCs w:val="18"/>
              </w:rPr>
            </w:pPr>
            <w:r w:rsidRPr="0058349C">
              <w:rPr>
                <w:rFonts w:ascii="Garamond" w:eastAsia="Calibri" w:hAnsi="Garamond"/>
                <w:sz w:val="18"/>
                <w:szCs w:val="18"/>
              </w:rPr>
              <w:t>Marrja e masave për plotësimin dhe forcimin e kapaciteteve administrative të sektorit të peshkimit për të siguruar një menaxhim të duhur të burimeve të peshkimit në përputhje me strategjinë kombëtare dhe detyrimet ndërkombëtare;</w:t>
            </w:r>
          </w:p>
          <w:p w14:paraId="0773B2CC" w14:textId="77777777" w:rsidR="00F045DA" w:rsidRPr="0058349C" w:rsidRDefault="00F045DA" w:rsidP="00F045DA">
            <w:pPr>
              <w:pStyle w:val="Table1"/>
              <w:numPr>
                <w:ilvl w:val="1"/>
                <w:numId w:val="18"/>
              </w:numPr>
              <w:ind w:left="576" w:hanging="288"/>
              <w:rPr>
                <w:rFonts w:ascii="Garamond" w:eastAsia="Calibri" w:hAnsi="Garamond"/>
                <w:sz w:val="18"/>
                <w:szCs w:val="18"/>
              </w:rPr>
            </w:pPr>
            <w:r w:rsidRPr="0058349C">
              <w:rPr>
                <w:rFonts w:ascii="Garamond" w:eastAsia="Calibri" w:hAnsi="Garamond"/>
                <w:sz w:val="18"/>
                <w:szCs w:val="18"/>
              </w:rPr>
              <w:t>Vazhdimi i zbatimit të Planit Rajonal të Veprimit për PSHV duke përfshirë përmirësimin e mbledhjes së të dhënave dhe statistikave të zbarkimit nga peshkimi i vogël;</w:t>
            </w:r>
          </w:p>
          <w:p w14:paraId="0773B2CD" w14:textId="62B928A8" w:rsidR="00F045DA" w:rsidRPr="0058349C" w:rsidRDefault="00F045DA" w:rsidP="00F045DA">
            <w:pPr>
              <w:pStyle w:val="Table1"/>
              <w:numPr>
                <w:ilvl w:val="1"/>
                <w:numId w:val="18"/>
              </w:numPr>
              <w:ind w:left="576" w:hanging="288"/>
              <w:rPr>
                <w:rFonts w:ascii="Garamond" w:eastAsia="Calibri" w:hAnsi="Garamond"/>
                <w:sz w:val="18"/>
                <w:szCs w:val="18"/>
              </w:rPr>
            </w:pPr>
            <w:r w:rsidRPr="0058349C">
              <w:rPr>
                <w:rFonts w:ascii="Garamond" w:eastAsia="Calibri" w:hAnsi="Garamond"/>
                <w:sz w:val="18"/>
                <w:szCs w:val="18"/>
              </w:rPr>
              <w:t>Forcimi i kapacitetit të inspektimit dhe kontrollit për të kufizuar PPPP</w:t>
            </w:r>
            <w:r w:rsidR="00F41E36">
              <w:rPr>
                <w:rFonts w:ascii="Garamond" w:eastAsia="Calibri" w:hAnsi="Garamond"/>
                <w:sz w:val="18"/>
                <w:szCs w:val="18"/>
              </w:rPr>
              <w:t>.</w:t>
            </w:r>
          </w:p>
        </w:tc>
        <w:tc>
          <w:tcPr>
            <w:tcW w:w="489" w:type="pct"/>
          </w:tcPr>
          <w:p w14:paraId="0773B2CE" w14:textId="77777777" w:rsidR="00F045DA" w:rsidRPr="0058349C" w:rsidRDefault="00F045DA" w:rsidP="00F045DA">
            <w:pPr>
              <w:pStyle w:val="Table1"/>
              <w:rPr>
                <w:rFonts w:ascii="Garamond" w:eastAsia="Arial Narrow" w:hAnsi="Garamond"/>
                <w:sz w:val="18"/>
                <w:szCs w:val="18"/>
              </w:rPr>
            </w:pPr>
            <w:r w:rsidRPr="0058349C">
              <w:rPr>
                <w:rFonts w:ascii="Garamond" w:eastAsia="Arial Narrow" w:hAnsi="Garamond"/>
                <w:sz w:val="18"/>
                <w:szCs w:val="18"/>
              </w:rPr>
              <w:t>4.8, 4.9</w:t>
            </w:r>
          </w:p>
        </w:tc>
        <w:tc>
          <w:tcPr>
            <w:tcW w:w="811" w:type="pct"/>
          </w:tcPr>
          <w:p w14:paraId="0773B2CF" w14:textId="77777777" w:rsidR="00F045DA" w:rsidRPr="0058349C" w:rsidRDefault="00F045DA" w:rsidP="00F045DA">
            <w:pPr>
              <w:pStyle w:val="Table1"/>
              <w:rPr>
                <w:rFonts w:ascii="Garamond" w:eastAsia="Arial Narrow" w:hAnsi="Garamond"/>
                <w:sz w:val="18"/>
                <w:szCs w:val="18"/>
              </w:rPr>
            </w:pPr>
            <w:r w:rsidRPr="0058349C">
              <w:rPr>
                <w:rFonts w:ascii="Garamond" w:eastAsia="Arial Narrow" w:hAnsi="Garamond"/>
                <w:sz w:val="18"/>
                <w:szCs w:val="18"/>
              </w:rPr>
              <w:t>IPA III, Donatorët, Buxheti Kombëtar</w:t>
            </w:r>
          </w:p>
        </w:tc>
      </w:tr>
      <w:tr w:rsidR="00F045DA" w:rsidRPr="0058349C" w14:paraId="0773B2D7" w14:textId="77777777" w:rsidTr="00830F27">
        <w:tblPrEx>
          <w:tblLook w:val="04A0" w:firstRow="1" w:lastRow="0" w:firstColumn="1" w:lastColumn="0" w:noHBand="0" w:noVBand="1"/>
        </w:tblPrEx>
        <w:tc>
          <w:tcPr>
            <w:tcW w:w="804" w:type="pct"/>
            <w:gridSpan w:val="2"/>
          </w:tcPr>
          <w:p w14:paraId="0773B2D1" w14:textId="77777777" w:rsidR="00F045DA" w:rsidRPr="0058349C" w:rsidRDefault="00F045DA" w:rsidP="00F045DA">
            <w:pPr>
              <w:pStyle w:val="Table1"/>
              <w:rPr>
                <w:rFonts w:ascii="Garamond" w:eastAsia="Arial Narrow" w:hAnsi="Garamond"/>
                <w:b/>
                <w:bCs/>
                <w:sz w:val="18"/>
                <w:szCs w:val="18"/>
              </w:rPr>
            </w:pPr>
            <w:r w:rsidRPr="0058349C">
              <w:rPr>
                <w:rFonts w:ascii="Garamond" w:eastAsia="Arial Narrow" w:hAnsi="Garamond"/>
                <w:b/>
                <w:bCs/>
                <w:sz w:val="18"/>
                <w:szCs w:val="18"/>
              </w:rPr>
              <w:t>12. Krijimi i Qendrës Kombëtare Kërkimore për Shkencat e Peshkimit në Shqipëri</w:t>
            </w:r>
          </w:p>
        </w:tc>
        <w:tc>
          <w:tcPr>
            <w:tcW w:w="2896" w:type="pct"/>
          </w:tcPr>
          <w:p w14:paraId="0773B2D2" w14:textId="77777777" w:rsidR="00F045DA" w:rsidRPr="0058349C" w:rsidRDefault="00F045DA" w:rsidP="00F045DA">
            <w:pPr>
              <w:pStyle w:val="Table1"/>
              <w:numPr>
                <w:ilvl w:val="0"/>
                <w:numId w:val="18"/>
              </w:numPr>
              <w:tabs>
                <w:tab w:val="left" w:pos="137"/>
              </w:tabs>
              <w:ind w:left="137" w:hanging="90"/>
              <w:rPr>
                <w:rFonts w:ascii="Garamond" w:eastAsia="Calibri" w:hAnsi="Garamond"/>
                <w:sz w:val="18"/>
                <w:szCs w:val="18"/>
              </w:rPr>
            </w:pPr>
            <w:r w:rsidRPr="0058349C">
              <w:rPr>
                <w:rFonts w:ascii="Garamond" w:eastAsia="Calibri" w:hAnsi="Garamond"/>
                <w:sz w:val="18"/>
                <w:szCs w:val="18"/>
              </w:rPr>
              <w:t>Për mbështetjen e menaxhimit të sektorit të peshkimit.</w:t>
            </w:r>
          </w:p>
          <w:p w14:paraId="0773B2D3" w14:textId="77777777" w:rsidR="00F045DA" w:rsidRPr="0058349C" w:rsidRDefault="00F045DA" w:rsidP="00F045DA">
            <w:pPr>
              <w:pStyle w:val="Table1"/>
              <w:numPr>
                <w:ilvl w:val="0"/>
                <w:numId w:val="18"/>
              </w:numPr>
              <w:tabs>
                <w:tab w:val="left" w:pos="137"/>
              </w:tabs>
              <w:ind w:left="137" w:hanging="90"/>
              <w:rPr>
                <w:rFonts w:ascii="Garamond" w:eastAsia="Calibri" w:hAnsi="Garamond"/>
                <w:sz w:val="18"/>
                <w:szCs w:val="18"/>
              </w:rPr>
            </w:pPr>
            <w:r w:rsidRPr="0058349C">
              <w:rPr>
                <w:rFonts w:ascii="Garamond" w:eastAsia="Calibri" w:hAnsi="Garamond"/>
                <w:sz w:val="18"/>
                <w:szCs w:val="18"/>
              </w:rPr>
              <w:t xml:space="preserve">Përmirësim në mbledhjen e të dhënave dhe vlerësimin e stokut të peshkut. Deri më tani, aftësia për të përmbushur këto përgjegjësi pengohet nga një buxhet shumë i kufizuar, i cili është pothuajse tërësisht i varur nga mbështetja </w:t>
            </w:r>
            <w:r w:rsidRPr="00F41E36">
              <w:rPr>
                <w:rFonts w:ascii="Garamond" w:eastAsia="Calibri" w:hAnsi="Garamond"/>
                <w:i/>
                <w:iCs/>
                <w:sz w:val="18"/>
                <w:szCs w:val="18"/>
              </w:rPr>
              <w:t>ad hoc</w:t>
            </w:r>
            <w:r w:rsidRPr="0058349C">
              <w:rPr>
                <w:rFonts w:ascii="Garamond" w:eastAsia="Calibri" w:hAnsi="Garamond"/>
                <w:sz w:val="18"/>
                <w:szCs w:val="18"/>
              </w:rPr>
              <w:t xml:space="preserve"> e projektit.</w:t>
            </w:r>
          </w:p>
          <w:p w14:paraId="0773B2D4" w14:textId="77777777" w:rsidR="00F045DA" w:rsidRPr="0058349C" w:rsidRDefault="00F045DA" w:rsidP="00F045DA">
            <w:pPr>
              <w:pStyle w:val="Table1"/>
              <w:numPr>
                <w:ilvl w:val="0"/>
                <w:numId w:val="18"/>
              </w:numPr>
              <w:tabs>
                <w:tab w:val="left" w:pos="137"/>
              </w:tabs>
              <w:ind w:left="137" w:hanging="90"/>
              <w:rPr>
                <w:rFonts w:ascii="Garamond" w:eastAsia="Calibri" w:hAnsi="Garamond"/>
                <w:sz w:val="18"/>
                <w:szCs w:val="18"/>
              </w:rPr>
            </w:pPr>
            <w:r w:rsidRPr="0058349C">
              <w:rPr>
                <w:rFonts w:ascii="Garamond" w:eastAsia="Calibri" w:hAnsi="Garamond"/>
                <w:sz w:val="18"/>
                <w:szCs w:val="18"/>
              </w:rPr>
              <w:t>Ngritja e kapaciteteve të stafit për mbledhjen e të dhënave në përgjegjësinë e tyre dhe angazhimin me shkencën rajonale në kuadrin e KPPM (GFCM).</w:t>
            </w:r>
          </w:p>
        </w:tc>
        <w:tc>
          <w:tcPr>
            <w:tcW w:w="489" w:type="pct"/>
          </w:tcPr>
          <w:p w14:paraId="0773B2D5" w14:textId="77777777" w:rsidR="00F045DA" w:rsidRPr="0058349C" w:rsidRDefault="00F045DA" w:rsidP="00F045DA">
            <w:pPr>
              <w:pStyle w:val="Table1"/>
              <w:tabs>
                <w:tab w:val="left" w:pos="315"/>
              </w:tabs>
              <w:ind w:right="-444"/>
              <w:rPr>
                <w:rFonts w:ascii="Garamond" w:eastAsia="Arial Narrow" w:hAnsi="Garamond"/>
                <w:sz w:val="18"/>
                <w:szCs w:val="18"/>
              </w:rPr>
            </w:pPr>
            <w:r w:rsidRPr="0058349C">
              <w:rPr>
                <w:rFonts w:ascii="Garamond" w:eastAsia="Arial Narrow" w:hAnsi="Garamond"/>
                <w:sz w:val="18"/>
                <w:szCs w:val="18"/>
              </w:rPr>
              <w:t>4.10</w:t>
            </w:r>
          </w:p>
        </w:tc>
        <w:tc>
          <w:tcPr>
            <w:tcW w:w="811" w:type="pct"/>
          </w:tcPr>
          <w:p w14:paraId="0773B2D6" w14:textId="77777777" w:rsidR="00F045DA" w:rsidRPr="0058349C" w:rsidRDefault="00F045DA" w:rsidP="00F045DA">
            <w:pPr>
              <w:pStyle w:val="Table1"/>
              <w:rPr>
                <w:rFonts w:ascii="Garamond" w:eastAsia="Arial Narrow" w:hAnsi="Garamond"/>
                <w:sz w:val="18"/>
                <w:szCs w:val="18"/>
              </w:rPr>
            </w:pPr>
            <w:r w:rsidRPr="0058349C">
              <w:rPr>
                <w:rFonts w:ascii="Garamond" w:eastAsia="Arial Narrow" w:hAnsi="Garamond"/>
                <w:sz w:val="18"/>
                <w:szCs w:val="18"/>
              </w:rPr>
              <w:t>IPA III, Donatorët, Buxheti Kombëtar</w:t>
            </w:r>
          </w:p>
        </w:tc>
      </w:tr>
      <w:tr w:rsidR="00F045DA" w:rsidRPr="0058349C" w14:paraId="0773B2DD" w14:textId="77777777" w:rsidTr="00830F27">
        <w:tblPrEx>
          <w:tblLook w:val="04A0" w:firstRow="1" w:lastRow="0" w:firstColumn="1" w:lastColumn="0" w:noHBand="0" w:noVBand="1"/>
        </w:tblPrEx>
        <w:tc>
          <w:tcPr>
            <w:tcW w:w="804" w:type="pct"/>
            <w:gridSpan w:val="2"/>
          </w:tcPr>
          <w:p w14:paraId="0773B2D8" w14:textId="77777777" w:rsidR="00F045DA" w:rsidRPr="0058349C" w:rsidRDefault="00F045DA" w:rsidP="00F045DA">
            <w:pPr>
              <w:pStyle w:val="Table1"/>
              <w:rPr>
                <w:rFonts w:ascii="Garamond" w:eastAsia="Arial Narrow" w:hAnsi="Garamond"/>
                <w:b/>
                <w:bCs/>
                <w:sz w:val="18"/>
                <w:szCs w:val="18"/>
              </w:rPr>
            </w:pPr>
            <w:r w:rsidRPr="0058349C">
              <w:rPr>
                <w:rFonts w:ascii="Garamond" w:eastAsia="Arial Narrow" w:hAnsi="Garamond"/>
                <w:b/>
                <w:bCs/>
                <w:sz w:val="18"/>
                <w:szCs w:val="18"/>
              </w:rPr>
              <w:t>13. Ristrukturimi dhe fuqizimi institucional i administratës së peshkimit në MBZHR</w:t>
            </w:r>
          </w:p>
        </w:tc>
        <w:tc>
          <w:tcPr>
            <w:tcW w:w="2896" w:type="pct"/>
          </w:tcPr>
          <w:p w14:paraId="0773B2D9" w14:textId="77777777" w:rsidR="00F045DA" w:rsidRPr="0058349C" w:rsidRDefault="00F045DA" w:rsidP="00F045DA">
            <w:pPr>
              <w:pStyle w:val="Table1"/>
              <w:numPr>
                <w:ilvl w:val="0"/>
                <w:numId w:val="18"/>
              </w:numPr>
              <w:tabs>
                <w:tab w:val="left" w:pos="137"/>
              </w:tabs>
              <w:ind w:left="137" w:hanging="90"/>
              <w:rPr>
                <w:rFonts w:ascii="Garamond" w:eastAsia="Calibri" w:hAnsi="Garamond"/>
                <w:sz w:val="18"/>
                <w:szCs w:val="18"/>
              </w:rPr>
            </w:pPr>
            <w:r w:rsidRPr="0058349C">
              <w:rPr>
                <w:rFonts w:ascii="Garamond" w:eastAsia="Calibri" w:hAnsi="Garamond"/>
                <w:sz w:val="18"/>
                <w:szCs w:val="18"/>
              </w:rPr>
              <w:t>Përfitues është MBZHR për të qenë në përputhje me praktikat dhe standardet aktuale të BE-së, për të forcuar kontributin e sektorit të peshkimit dhe akuakulturës në ekonomi.</w:t>
            </w:r>
          </w:p>
          <w:p w14:paraId="0773B2DA" w14:textId="0FE1B888" w:rsidR="00F045DA" w:rsidRPr="0058349C" w:rsidRDefault="00167C37" w:rsidP="00167C37">
            <w:pPr>
              <w:pStyle w:val="Table1"/>
              <w:tabs>
                <w:tab w:val="left" w:pos="137"/>
              </w:tabs>
              <w:ind w:left="288"/>
              <w:rPr>
                <w:rFonts w:ascii="Garamond" w:eastAsia="Calibri" w:hAnsi="Garamond"/>
                <w:sz w:val="18"/>
                <w:szCs w:val="18"/>
              </w:rPr>
            </w:pPr>
            <w:r w:rsidRPr="0058349C">
              <w:rPr>
                <w:rFonts w:ascii="Garamond" w:eastAsia="Calibri" w:hAnsi="Garamond"/>
                <w:sz w:val="18"/>
                <w:szCs w:val="18"/>
              </w:rPr>
              <w:t xml:space="preserve">- </w:t>
            </w:r>
            <w:r w:rsidR="00F045DA" w:rsidRPr="0058349C">
              <w:rPr>
                <w:rFonts w:ascii="Garamond" w:eastAsia="Calibri" w:hAnsi="Garamond"/>
                <w:sz w:val="18"/>
                <w:szCs w:val="18"/>
              </w:rPr>
              <w:t xml:space="preserve">Ristrukturimi i administratës së peshkimit në një DP me dy drejtori (për menaxhimin e peshkimit dhe akuakulturës dhe për sistemin e menaxhimit të informacionit, përfshirë </w:t>
            </w:r>
            <w:r w:rsidR="00F41E36" w:rsidRPr="0058349C">
              <w:rPr>
                <w:rFonts w:ascii="Garamond" w:eastAsia="Calibri" w:hAnsi="Garamond"/>
                <w:sz w:val="18"/>
                <w:szCs w:val="18"/>
              </w:rPr>
              <w:t>inspektoratet e peshkimit</w:t>
            </w:r>
            <w:r w:rsidR="00F41E36" w:rsidRPr="0058349C">
              <w:rPr>
                <w:rFonts w:ascii="Garamond" w:hAnsi="Garamond"/>
                <w:sz w:val="18"/>
                <w:szCs w:val="18"/>
              </w:rPr>
              <w:t>)</w:t>
            </w:r>
            <w:r w:rsidR="00F41E36" w:rsidRPr="0058349C">
              <w:rPr>
                <w:rFonts w:ascii="Garamond" w:eastAsia="Calibri" w:hAnsi="Garamond"/>
                <w:sz w:val="18"/>
                <w:szCs w:val="18"/>
              </w:rPr>
              <w:t>.</w:t>
            </w:r>
          </w:p>
        </w:tc>
        <w:tc>
          <w:tcPr>
            <w:tcW w:w="489" w:type="pct"/>
          </w:tcPr>
          <w:p w14:paraId="0773B2DB" w14:textId="77777777" w:rsidR="00F045DA" w:rsidRPr="0058349C" w:rsidRDefault="00F045DA" w:rsidP="00F045DA">
            <w:pPr>
              <w:pStyle w:val="Table1"/>
              <w:tabs>
                <w:tab w:val="left" w:pos="315"/>
              </w:tabs>
              <w:ind w:right="-444"/>
              <w:rPr>
                <w:rFonts w:ascii="Garamond" w:eastAsia="Arial Narrow" w:hAnsi="Garamond"/>
                <w:sz w:val="18"/>
                <w:szCs w:val="18"/>
              </w:rPr>
            </w:pPr>
            <w:r w:rsidRPr="0058349C">
              <w:rPr>
                <w:rFonts w:ascii="Garamond" w:eastAsia="Arial Narrow" w:hAnsi="Garamond"/>
                <w:sz w:val="18"/>
                <w:szCs w:val="18"/>
              </w:rPr>
              <w:t>4.8</w:t>
            </w:r>
          </w:p>
        </w:tc>
        <w:tc>
          <w:tcPr>
            <w:tcW w:w="811" w:type="pct"/>
          </w:tcPr>
          <w:p w14:paraId="0773B2DC" w14:textId="77777777" w:rsidR="00F045DA" w:rsidRPr="0058349C" w:rsidRDefault="00F045DA" w:rsidP="00F045DA">
            <w:pPr>
              <w:pStyle w:val="Table1"/>
              <w:rPr>
                <w:rFonts w:ascii="Garamond" w:eastAsia="Arial Narrow" w:hAnsi="Garamond"/>
                <w:sz w:val="18"/>
                <w:szCs w:val="18"/>
              </w:rPr>
            </w:pPr>
            <w:r w:rsidRPr="0058349C">
              <w:rPr>
                <w:rFonts w:ascii="Garamond" w:eastAsia="Arial Narrow" w:hAnsi="Garamond"/>
                <w:sz w:val="18"/>
                <w:szCs w:val="18"/>
              </w:rPr>
              <w:t>Buxheti Kombëtar</w:t>
            </w:r>
          </w:p>
        </w:tc>
      </w:tr>
      <w:tr w:rsidR="00F045DA" w:rsidRPr="0058349C" w14:paraId="0773B2E8" w14:textId="77777777" w:rsidTr="00830F27">
        <w:trPr>
          <w:trHeight w:val="600"/>
        </w:trPr>
        <w:tc>
          <w:tcPr>
            <w:tcW w:w="457" w:type="pct"/>
          </w:tcPr>
          <w:p w14:paraId="0773B2DE" w14:textId="77777777" w:rsidR="00F045DA" w:rsidRPr="0058349C" w:rsidRDefault="00F045DA" w:rsidP="00F045DA">
            <w:pPr>
              <w:pStyle w:val="Table1"/>
              <w:rPr>
                <w:rFonts w:ascii="Garamond" w:hAnsi="Garamond"/>
                <w:b/>
                <w:bCs/>
                <w:sz w:val="18"/>
                <w:szCs w:val="18"/>
              </w:rPr>
            </w:pPr>
            <w:r w:rsidRPr="0058349C">
              <w:rPr>
                <w:rFonts w:ascii="Garamond" w:eastAsia="Calibri" w:hAnsi="Garamond"/>
                <w:b/>
                <w:bCs/>
                <w:sz w:val="18"/>
                <w:szCs w:val="18"/>
              </w:rPr>
              <w:lastRenderedPageBreak/>
              <w:t>14. Projekti AT për përafrimin e legjislacionit të BE-së</w:t>
            </w:r>
          </w:p>
        </w:tc>
        <w:tc>
          <w:tcPr>
            <w:tcW w:w="347" w:type="pct"/>
          </w:tcPr>
          <w:p w14:paraId="0773B2DF" w14:textId="77777777" w:rsidR="00F045DA" w:rsidRPr="0058349C" w:rsidRDefault="00F045DA" w:rsidP="00F045DA">
            <w:pPr>
              <w:pStyle w:val="Table1"/>
              <w:rPr>
                <w:rFonts w:ascii="Garamond" w:eastAsia="Calibri" w:hAnsi="Garamond"/>
                <w:b/>
                <w:bCs/>
                <w:sz w:val="18"/>
                <w:szCs w:val="18"/>
              </w:rPr>
            </w:pPr>
            <w:r w:rsidRPr="0058349C">
              <w:rPr>
                <w:rFonts w:ascii="Garamond" w:eastAsia="Calibri" w:hAnsi="Garamond"/>
                <w:b/>
                <w:bCs/>
                <w:sz w:val="18"/>
                <w:szCs w:val="18"/>
              </w:rPr>
              <w:t>Kapitulli 13</w:t>
            </w:r>
          </w:p>
        </w:tc>
        <w:tc>
          <w:tcPr>
            <w:tcW w:w="2896" w:type="pct"/>
          </w:tcPr>
          <w:p w14:paraId="0773B2E0" w14:textId="77777777" w:rsidR="00F045DA" w:rsidRPr="0058349C" w:rsidRDefault="00F045DA" w:rsidP="00F045DA">
            <w:pPr>
              <w:pStyle w:val="Table1"/>
              <w:numPr>
                <w:ilvl w:val="0"/>
                <w:numId w:val="18"/>
              </w:numPr>
              <w:tabs>
                <w:tab w:val="left" w:pos="137"/>
              </w:tabs>
              <w:ind w:left="137" w:right="128" w:hanging="137"/>
              <w:rPr>
                <w:rFonts w:ascii="Garamond" w:eastAsia="Arial Narrow" w:hAnsi="Garamond"/>
                <w:sz w:val="18"/>
                <w:szCs w:val="18"/>
              </w:rPr>
            </w:pPr>
            <w:r w:rsidRPr="0058349C">
              <w:rPr>
                <w:rFonts w:ascii="Garamond" w:eastAsia="Arial Narrow" w:hAnsi="Garamond"/>
                <w:sz w:val="18"/>
                <w:szCs w:val="18"/>
              </w:rPr>
              <w:t>Përfitues është MBZHR në arritjen e përputhshmërisë së mëtejshme me PPP të BE-së, kuadrin ligjor dhe angazhimet ndërkombëtare në fushën e peshkimit, akuakulturës dhe ujërave të brendshme;</w:t>
            </w:r>
          </w:p>
          <w:p w14:paraId="0773B2E1" w14:textId="6170F246" w:rsidR="00F045DA" w:rsidRPr="0058349C" w:rsidRDefault="00F045DA" w:rsidP="00F045DA">
            <w:pPr>
              <w:pStyle w:val="Table1"/>
              <w:numPr>
                <w:ilvl w:val="0"/>
                <w:numId w:val="18"/>
              </w:numPr>
              <w:tabs>
                <w:tab w:val="left" w:pos="137"/>
              </w:tabs>
              <w:ind w:left="137" w:right="128" w:hanging="137"/>
              <w:rPr>
                <w:rFonts w:ascii="Garamond" w:eastAsia="Arial Narrow" w:hAnsi="Garamond"/>
                <w:sz w:val="18"/>
                <w:szCs w:val="18"/>
              </w:rPr>
            </w:pPr>
            <w:r w:rsidRPr="0058349C">
              <w:rPr>
                <w:rFonts w:ascii="Garamond" w:eastAsia="Arial Narrow" w:hAnsi="Garamond"/>
                <w:sz w:val="18"/>
                <w:szCs w:val="18"/>
              </w:rPr>
              <w:t>Forcimi administrativ i administrimit të peshkimit, duke përfshirë shërbimet e inspektimit dhe kontrollit, si dhe mbledhjen dhe përpunimin e të dhënave të peshkimit për hartimin e planeve të menaxhimit të peshkimit dhe raportimin në organizatat rajonale të menaxhimit të peshkimit (KPPM</w:t>
            </w:r>
            <w:r w:rsidR="00797859">
              <w:rPr>
                <w:rFonts w:ascii="Garamond" w:eastAsia="Arial Narrow" w:hAnsi="Garamond"/>
                <w:sz w:val="18"/>
                <w:szCs w:val="18"/>
              </w:rPr>
              <w:t>/</w:t>
            </w:r>
            <w:r w:rsidRPr="0058349C">
              <w:rPr>
                <w:rFonts w:ascii="Garamond" w:eastAsia="Arial Narrow" w:hAnsi="Garamond"/>
                <w:sz w:val="18"/>
                <w:szCs w:val="18"/>
              </w:rPr>
              <w:t xml:space="preserve">GFCM); rekrutimi i monitoruesve dhe </w:t>
            </w:r>
            <w:r w:rsidR="00F41E36">
              <w:rPr>
                <w:rFonts w:ascii="Garamond" w:eastAsia="Arial Narrow" w:hAnsi="Garamond"/>
                <w:sz w:val="18"/>
                <w:szCs w:val="18"/>
              </w:rPr>
              <w:t xml:space="preserve">i </w:t>
            </w:r>
            <w:r w:rsidRPr="0058349C">
              <w:rPr>
                <w:rFonts w:ascii="Garamond" w:eastAsia="Arial Narrow" w:hAnsi="Garamond"/>
                <w:sz w:val="18"/>
                <w:szCs w:val="18"/>
              </w:rPr>
              <w:t>vëzhguesve për të bashkëpunuar me shërbimin e inspektimit;</w:t>
            </w:r>
          </w:p>
          <w:p w14:paraId="0773B2E2" w14:textId="77777777" w:rsidR="00F045DA" w:rsidRPr="0058349C" w:rsidRDefault="00F045DA" w:rsidP="00F045DA">
            <w:pPr>
              <w:pStyle w:val="Table1"/>
              <w:numPr>
                <w:ilvl w:val="0"/>
                <w:numId w:val="18"/>
              </w:numPr>
              <w:tabs>
                <w:tab w:val="left" w:pos="137"/>
              </w:tabs>
              <w:ind w:left="137" w:right="128" w:hanging="137"/>
              <w:rPr>
                <w:rFonts w:ascii="Garamond" w:eastAsia="Arial Narrow" w:hAnsi="Garamond"/>
                <w:sz w:val="18"/>
                <w:szCs w:val="18"/>
              </w:rPr>
            </w:pPr>
            <w:r w:rsidRPr="0058349C">
              <w:rPr>
                <w:rFonts w:ascii="Garamond" w:eastAsia="Arial Narrow" w:hAnsi="Garamond"/>
                <w:sz w:val="18"/>
                <w:szCs w:val="18"/>
              </w:rPr>
              <w:t>Mbështetja e vlerësimit vjetor të gjendjes së burimeve të peshkimit për të mundësuar zbatimin e politikës fleksibël të peshkimit në Shqipëri;</w:t>
            </w:r>
          </w:p>
          <w:p w14:paraId="0773B2E3" w14:textId="450B6276" w:rsidR="00F045DA" w:rsidRPr="0058349C" w:rsidRDefault="00F045DA" w:rsidP="00F045DA">
            <w:pPr>
              <w:pStyle w:val="Table1"/>
              <w:numPr>
                <w:ilvl w:val="0"/>
                <w:numId w:val="18"/>
              </w:numPr>
              <w:tabs>
                <w:tab w:val="left" w:pos="137"/>
              </w:tabs>
              <w:ind w:left="137" w:right="128" w:hanging="137"/>
              <w:rPr>
                <w:rFonts w:ascii="Garamond" w:eastAsia="Arial Narrow" w:hAnsi="Garamond"/>
                <w:sz w:val="18"/>
                <w:szCs w:val="18"/>
              </w:rPr>
            </w:pPr>
            <w:r w:rsidRPr="0058349C">
              <w:rPr>
                <w:rFonts w:ascii="Garamond" w:eastAsia="Arial Narrow" w:hAnsi="Garamond"/>
                <w:sz w:val="18"/>
                <w:szCs w:val="18"/>
              </w:rPr>
              <w:t xml:space="preserve">Forcimi i mbledhjes së të dhënave dhe </w:t>
            </w:r>
            <w:r w:rsidR="00F41E36">
              <w:rPr>
                <w:rFonts w:ascii="Garamond" w:eastAsia="Arial Narrow" w:hAnsi="Garamond"/>
                <w:sz w:val="18"/>
                <w:szCs w:val="18"/>
              </w:rPr>
              <w:t xml:space="preserve">i </w:t>
            </w:r>
            <w:r w:rsidRPr="0058349C">
              <w:rPr>
                <w:rFonts w:ascii="Garamond" w:eastAsia="Arial Narrow" w:hAnsi="Garamond"/>
                <w:sz w:val="18"/>
                <w:szCs w:val="18"/>
              </w:rPr>
              <w:t xml:space="preserve">këshillimit shkencor për menaxhimin e rezervave të peshkut në përputhje me </w:t>
            </w:r>
            <w:r w:rsidR="00B25257" w:rsidRPr="00B25257">
              <w:rPr>
                <w:rFonts w:ascii="Garamond" w:eastAsia="Arial Narrow" w:hAnsi="Garamond"/>
                <w:i/>
                <w:iCs/>
                <w:sz w:val="18"/>
                <w:szCs w:val="18"/>
              </w:rPr>
              <w:t>acquis</w:t>
            </w:r>
            <w:r w:rsidRPr="0058349C">
              <w:rPr>
                <w:rFonts w:ascii="Garamond" w:eastAsia="Arial Narrow" w:hAnsi="Garamond"/>
                <w:sz w:val="18"/>
                <w:szCs w:val="18"/>
              </w:rPr>
              <w:t xml:space="preserve"> të BE-së.</w:t>
            </w:r>
          </w:p>
          <w:p w14:paraId="0773B2E4" w14:textId="3A2EFA9D" w:rsidR="00F045DA" w:rsidRPr="0058349C" w:rsidRDefault="00F045DA" w:rsidP="00F41E36">
            <w:pPr>
              <w:pStyle w:val="Table1"/>
              <w:numPr>
                <w:ilvl w:val="0"/>
                <w:numId w:val="18"/>
              </w:numPr>
              <w:tabs>
                <w:tab w:val="left" w:pos="137"/>
              </w:tabs>
              <w:ind w:left="137" w:right="-444" w:hanging="137"/>
              <w:rPr>
                <w:rFonts w:ascii="Garamond" w:eastAsia="Arial Narrow" w:hAnsi="Garamond"/>
                <w:sz w:val="18"/>
                <w:szCs w:val="18"/>
              </w:rPr>
            </w:pPr>
            <w:r w:rsidRPr="0058349C">
              <w:rPr>
                <w:rFonts w:ascii="Garamond" w:eastAsia="Arial Narrow" w:hAnsi="Garamond"/>
                <w:sz w:val="18"/>
                <w:szCs w:val="18"/>
              </w:rPr>
              <w:t>Zbatimi dhe zhvillimi i masave të politikës së tregut për organizimin e tregjeve të shitjes me shumicë të produkteve të peshkut</w:t>
            </w:r>
            <w:r w:rsidR="00F41E36">
              <w:rPr>
                <w:rFonts w:ascii="Garamond" w:eastAsia="Arial Narrow" w:hAnsi="Garamond"/>
                <w:sz w:val="18"/>
                <w:szCs w:val="18"/>
              </w:rPr>
              <w:t>.</w:t>
            </w:r>
          </w:p>
        </w:tc>
        <w:tc>
          <w:tcPr>
            <w:tcW w:w="489" w:type="pct"/>
          </w:tcPr>
          <w:p w14:paraId="0773B2E5" w14:textId="77777777" w:rsidR="00F045DA" w:rsidRPr="0058349C" w:rsidRDefault="00F045DA" w:rsidP="00F045DA">
            <w:pPr>
              <w:pStyle w:val="Table1"/>
              <w:tabs>
                <w:tab w:val="left" w:pos="315"/>
              </w:tabs>
              <w:ind w:right="-444"/>
              <w:rPr>
                <w:rFonts w:ascii="Garamond" w:eastAsia="Arial Narrow" w:hAnsi="Garamond"/>
                <w:sz w:val="18"/>
                <w:szCs w:val="18"/>
              </w:rPr>
            </w:pPr>
            <w:r w:rsidRPr="0058349C">
              <w:rPr>
                <w:rFonts w:ascii="Garamond" w:eastAsia="Arial Narrow" w:hAnsi="Garamond"/>
                <w:sz w:val="18"/>
                <w:szCs w:val="18"/>
              </w:rPr>
              <w:t>4.8, 4.9</w:t>
            </w:r>
          </w:p>
          <w:p w14:paraId="0773B2E6" w14:textId="38BA4570" w:rsidR="00F045DA" w:rsidRPr="0058349C" w:rsidRDefault="00F045DA" w:rsidP="009A6913">
            <w:pPr>
              <w:pStyle w:val="Table1"/>
              <w:tabs>
                <w:tab w:val="left" w:pos="315"/>
              </w:tabs>
              <w:ind w:right="78"/>
              <w:rPr>
                <w:rFonts w:ascii="Garamond" w:eastAsia="Arial Narrow" w:hAnsi="Garamond"/>
                <w:sz w:val="18"/>
                <w:szCs w:val="18"/>
              </w:rPr>
            </w:pPr>
            <w:r w:rsidRPr="0058349C">
              <w:rPr>
                <w:rFonts w:ascii="Garamond" w:eastAsia="Calibri" w:hAnsi="Garamond"/>
                <w:sz w:val="18"/>
                <w:szCs w:val="18"/>
              </w:rPr>
              <w:t xml:space="preserve">Objektivi ndërsektorial 1, kapitulli Objektivi ndërsektorial 1: Forcimi i kapaciteteve institucionale dhe administrative për përafrimin me të drejtën e BE-së </w:t>
            </w:r>
          </w:p>
        </w:tc>
        <w:tc>
          <w:tcPr>
            <w:tcW w:w="811" w:type="pct"/>
          </w:tcPr>
          <w:p w14:paraId="0773B2E7" w14:textId="77777777" w:rsidR="00F045DA" w:rsidRPr="0058349C" w:rsidRDefault="00F045DA" w:rsidP="00F045DA">
            <w:pPr>
              <w:pStyle w:val="Table1"/>
              <w:rPr>
                <w:rFonts w:ascii="Garamond" w:eastAsia="Arial Narrow" w:hAnsi="Garamond"/>
                <w:sz w:val="18"/>
                <w:szCs w:val="18"/>
              </w:rPr>
            </w:pPr>
            <w:r w:rsidRPr="0058349C">
              <w:rPr>
                <w:rFonts w:ascii="Garamond" w:eastAsia="Arial Narrow" w:hAnsi="Garamond"/>
                <w:sz w:val="18"/>
                <w:szCs w:val="18"/>
              </w:rPr>
              <w:t>Buxheti Kombëtar, Donatorët</w:t>
            </w:r>
          </w:p>
        </w:tc>
      </w:tr>
    </w:tbl>
    <w:p w14:paraId="0773B2E9" w14:textId="77777777" w:rsidR="00F045DA" w:rsidRPr="0058349C" w:rsidRDefault="00F045DA" w:rsidP="00F045DA">
      <w:pPr>
        <w:rPr>
          <w:lang w:val="sq-AL"/>
        </w:rPr>
      </w:pPr>
    </w:p>
    <w:p w14:paraId="0773B2EA" w14:textId="77777777" w:rsidR="00F045DA" w:rsidRPr="0058349C" w:rsidRDefault="00F045DA" w:rsidP="00C54AEA">
      <w:pPr>
        <w:pStyle w:val="TEKSTIIII"/>
        <w:rPr>
          <w:lang w:val="sq-AL"/>
        </w:rPr>
      </w:pPr>
    </w:p>
    <w:p w14:paraId="0773B2EB" w14:textId="77777777" w:rsidR="00CB4E52" w:rsidRPr="0058349C" w:rsidRDefault="00CB4E52" w:rsidP="00C54AEA">
      <w:pPr>
        <w:pStyle w:val="TEKSTIIII"/>
        <w:rPr>
          <w:lang w:val="sq-AL"/>
        </w:rPr>
        <w:sectPr w:rsidR="00CB4E52" w:rsidRPr="0058349C" w:rsidSect="00986759">
          <w:pgSz w:w="16839" w:h="11907" w:orient="landscape" w:code="9"/>
          <w:pgMar w:top="1418" w:right="1418" w:bottom="1418" w:left="1418" w:header="1304" w:footer="1134" w:gutter="0"/>
          <w:pgNumType w:start="0"/>
          <w:cols w:space="720"/>
          <w:titlePg/>
          <w:docGrid w:linePitch="360"/>
        </w:sectPr>
      </w:pPr>
    </w:p>
    <w:p w14:paraId="0773B2EC" w14:textId="77777777" w:rsidR="00CB4E52" w:rsidRPr="0058349C" w:rsidRDefault="00CB4E52" w:rsidP="00CB4E52">
      <w:pPr>
        <w:pStyle w:val="TEKSTIIII"/>
        <w:rPr>
          <w:b/>
          <w:lang w:val="sq-AL"/>
        </w:rPr>
      </w:pPr>
      <w:r w:rsidRPr="0058349C">
        <w:rPr>
          <w:b/>
          <w:lang w:val="sq-AL"/>
        </w:rPr>
        <w:lastRenderedPageBreak/>
        <w:t xml:space="preserve">5. </w:t>
      </w:r>
      <w:bookmarkStart w:id="88" w:name="_Toc103838840"/>
      <w:r w:rsidRPr="0058349C">
        <w:rPr>
          <w:b/>
          <w:lang w:val="sq-AL"/>
        </w:rPr>
        <w:t>Përshkrimi i sistemit të monitorimit dhe vlerësimit</w:t>
      </w:r>
      <w:bookmarkEnd w:id="88"/>
    </w:p>
    <w:p w14:paraId="0773B2ED" w14:textId="6FEA0E9D" w:rsidR="00CB4E52" w:rsidRPr="0058349C" w:rsidRDefault="00CB4E52" w:rsidP="00222E76">
      <w:pPr>
        <w:pStyle w:val="TEKSTIIII"/>
        <w:rPr>
          <w:rFonts w:cs="Arial"/>
          <w:lang w:val="sq-AL"/>
        </w:rPr>
      </w:pPr>
      <w:r w:rsidRPr="0058349C">
        <w:rPr>
          <w:rFonts w:cs="Arial"/>
          <w:lang w:val="sq-AL"/>
        </w:rPr>
        <w:t>Sistemi i monitorimit dhe vlerësimit të SBZHRP-së zbaton dispozitat e QSH-së për hartimin e strategjive sektoriale</w:t>
      </w:r>
      <w:r w:rsidR="00222E76">
        <w:rPr>
          <w:rFonts w:cs="Arial"/>
          <w:lang w:val="sq-AL"/>
        </w:rPr>
        <w:t>,</w:t>
      </w:r>
      <w:r w:rsidRPr="0058349C">
        <w:rPr>
          <w:rFonts w:cs="Arial"/>
          <w:lang w:val="sq-AL"/>
        </w:rPr>
        <w:t xml:space="preserve"> në përputhje me kërkesat kombëtare të sistemit të </w:t>
      </w:r>
      <w:r w:rsidRPr="0058349C">
        <w:rPr>
          <w:rFonts w:cs="Arial"/>
          <w:b/>
          <w:lang w:val="sq-AL"/>
        </w:rPr>
        <w:t>planifikimit të dokumenteve strategjike</w:t>
      </w:r>
      <w:r w:rsidRPr="0058349C">
        <w:rPr>
          <w:rFonts w:cs="Arial"/>
          <w:lang w:val="sq-AL"/>
        </w:rPr>
        <w:t xml:space="preserve">, të koordinuara nga </w:t>
      </w:r>
      <w:r w:rsidRPr="0058349C">
        <w:rPr>
          <w:lang w:val="sq-AL"/>
        </w:rPr>
        <w:t>Agjencia Shtetërore për Programimin Strategjik dhe koordinimin e Ndihmës</w:t>
      </w:r>
      <w:r w:rsidR="00664693" w:rsidRPr="0058349C">
        <w:rPr>
          <w:lang w:val="sq-AL"/>
        </w:rPr>
        <w:t>”</w:t>
      </w:r>
      <w:r w:rsidRPr="0058349C">
        <w:rPr>
          <w:lang w:val="sq-AL"/>
        </w:rPr>
        <w:t xml:space="preserve"> – ASHPSKN </w:t>
      </w:r>
      <w:r w:rsidRPr="0058349C">
        <w:rPr>
          <w:rFonts w:cs="Arial"/>
          <w:lang w:val="sq-AL"/>
        </w:rPr>
        <w:t>bazuar në VKM</w:t>
      </w:r>
      <w:r w:rsidR="00222E76">
        <w:rPr>
          <w:rFonts w:cs="Arial"/>
          <w:lang w:val="sq-AL"/>
        </w:rPr>
        <w:t>-në n</w:t>
      </w:r>
      <w:r w:rsidRPr="0058349C">
        <w:rPr>
          <w:rFonts w:cs="Arial"/>
          <w:lang w:val="sq-AL"/>
        </w:rPr>
        <w:t>r. 290</w:t>
      </w:r>
      <w:r w:rsidR="00222E76">
        <w:rPr>
          <w:rFonts w:cs="Arial"/>
          <w:lang w:val="sq-AL"/>
        </w:rPr>
        <w:t>,</w:t>
      </w:r>
      <w:r w:rsidRPr="0058349C">
        <w:rPr>
          <w:rFonts w:cs="Arial"/>
          <w:lang w:val="sq-AL"/>
        </w:rPr>
        <w:t xml:space="preserve"> d</w:t>
      </w:r>
      <w:r w:rsidR="00222E76">
        <w:rPr>
          <w:rFonts w:cs="Arial"/>
          <w:lang w:val="sq-AL"/>
        </w:rPr>
        <w:t>atë</w:t>
      </w:r>
      <w:r w:rsidRPr="0058349C">
        <w:rPr>
          <w:rFonts w:cs="Arial"/>
          <w:lang w:val="sq-AL"/>
        </w:rPr>
        <w:t xml:space="preserve"> 11.4.2020</w:t>
      </w:r>
      <w:r w:rsidR="00A20C91">
        <w:rPr>
          <w:rFonts w:cs="Arial"/>
          <w:lang w:val="sq-AL"/>
        </w:rPr>
        <w:t>,</w:t>
      </w:r>
      <w:r w:rsidR="00D56192" w:rsidRPr="0058349C">
        <w:rPr>
          <w:rFonts w:cs="Arial"/>
          <w:lang w:val="sq-AL"/>
        </w:rPr>
        <w:t xml:space="preserve"> </w:t>
      </w:r>
      <w:r w:rsidR="00664693" w:rsidRPr="0058349C">
        <w:rPr>
          <w:rFonts w:cs="Arial"/>
          <w:lang w:val="sq-AL"/>
        </w:rPr>
        <w:t>“</w:t>
      </w:r>
      <w:r w:rsidR="00D56192" w:rsidRPr="0058349C">
        <w:rPr>
          <w:rFonts w:cs="Arial"/>
          <w:lang w:val="sq-AL"/>
        </w:rPr>
        <w:t>Për</w:t>
      </w:r>
      <w:r w:rsidRPr="0058349C">
        <w:rPr>
          <w:rFonts w:cs="Arial"/>
          <w:b/>
          <w:lang w:val="sq-AL"/>
        </w:rPr>
        <w:t xml:space="preserve"> krijimin e Sistemit të Informacionit të Sistemit të Planifikimit të Integruar Qeveritar (IPSIS)</w:t>
      </w:r>
      <w:r w:rsidR="00664693" w:rsidRPr="0058349C">
        <w:rPr>
          <w:rFonts w:cs="Arial"/>
          <w:b/>
          <w:lang w:val="sq-AL"/>
        </w:rPr>
        <w:t>”</w:t>
      </w:r>
      <w:r w:rsidRPr="0058349C">
        <w:rPr>
          <w:rFonts w:cs="Arial"/>
          <w:b/>
          <w:lang w:val="sq-AL"/>
        </w:rPr>
        <w:t>.</w:t>
      </w:r>
      <w:r w:rsidRPr="0058349C">
        <w:rPr>
          <w:rFonts w:cs="Arial"/>
          <w:lang w:val="sq-AL"/>
        </w:rPr>
        <w:t xml:space="preserve"> IPSIS</w:t>
      </w:r>
      <w:r w:rsidR="001F4D37">
        <w:rPr>
          <w:rFonts w:cs="Arial"/>
          <w:lang w:val="sq-AL"/>
        </w:rPr>
        <w:t>-i</w:t>
      </w:r>
      <w:r w:rsidRPr="0058349C">
        <w:rPr>
          <w:rFonts w:cs="Arial"/>
          <w:lang w:val="sq-AL"/>
        </w:rPr>
        <w:t xml:space="preserve"> është plotësisht funksional që nga viti 2021 për planifikimin/programimin, monitorimin dhe vlerësimin e kuadrit strategjik nga institucionet e qeverisjes qendrore, si dhe analizën dhe raportimin e të dhënave, në mënyrë që të shmanget fragmentimi dhe dublikimi midis politikave kryesore dhe proceset e planifikimit financiar.</w:t>
      </w:r>
    </w:p>
    <w:p w14:paraId="0773B2EE" w14:textId="271E2E31" w:rsidR="00CB4E52" w:rsidRPr="0058349C" w:rsidRDefault="00CB4E52" w:rsidP="001F4D37">
      <w:pPr>
        <w:pStyle w:val="TEKSTIIII"/>
        <w:rPr>
          <w:rFonts w:cs="Arial"/>
          <w:b/>
          <w:lang w:val="sq-AL"/>
        </w:rPr>
      </w:pPr>
      <w:r w:rsidRPr="0058349C">
        <w:rPr>
          <w:rFonts w:cs="Arial"/>
          <w:lang w:val="sq-AL"/>
        </w:rPr>
        <w:t xml:space="preserve">Në kuadrin e përgatitjes së MBZHR-së për përafrimin me </w:t>
      </w:r>
      <w:r w:rsidR="00B25257" w:rsidRPr="00B25257">
        <w:rPr>
          <w:rFonts w:cs="Arial"/>
          <w:i/>
          <w:iCs/>
          <w:lang w:val="sq-AL"/>
        </w:rPr>
        <w:t>acquis</w:t>
      </w:r>
      <w:r w:rsidRPr="0058349C">
        <w:rPr>
          <w:rFonts w:cs="Arial"/>
          <w:lang w:val="sq-AL"/>
        </w:rPr>
        <w:t xml:space="preserve"> të </w:t>
      </w:r>
      <w:r w:rsidR="001F4D37" w:rsidRPr="0058349C">
        <w:rPr>
          <w:rFonts w:cs="Arial"/>
          <w:lang w:val="sq-AL"/>
        </w:rPr>
        <w:t xml:space="preserve">kapitujve </w:t>
      </w:r>
      <w:r w:rsidRPr="0058349C">
        <w:rPr>
          <w:rFonts w:cs="Arial"/>
          <w:lang w:val="sq-AL"/>
        </w:rPr>
        <w:t xml:space="preserve">11, </w:t>
      </w:r>
      <w:r w:rsidR="00183D84">
        <w:rPr>
          <w:rFonts w:cs="Arial"/>
          <w:lang w:val="sq-AL"/>
        </w:rPr>
        <w:t>12, 13 dhe 27 (si kontributor të</w:t>
      </w:r>
      <w:r w:rsidRPr="0058349C">
        <w:rPr>
          <w:rFonts w:cs="Arial"/>
          <w:lang w:val="sq-AL"/>
        </w:rPr>
        <w:t xml:space="preserve"> MTE</w:t>
      </w:r>
      <w:r w:rsidR="00183D84">
        <w:rPr>
          <w:rFonts w:cs="Arial"/>
          <w:lang w:val="sq-AL"/>
        </w:rPr>
        <w:t>-së</w:t>
      </w:r>
      <w:r w:rsidRPr="0058349C">
        <w:rPr>
          <w:rFonts w:cs="Arial"/>
          <w:lang w:val="sq-AL"/>
        </w:rPr>
        <w:t>), modelet/pasaportat e ndikimit të përcaktuar dhe treguesit e rezultateve janë të orientuara në indikatorët e kontekstit të PPB-së së BE-së</w:t>
      </w:r>
      <w:r w:rsidRPr="0058349C">
        <w:rPr>
          <w:rStyle w:val="FootnoteReference"/>
          <w:rFonts w:cs="Arial"/>
          <w:lang w:val="sq-AL"/>
        </w:rPr>
        <w:footnoteReference w:id="60"/>
      </w:r>
      <w:r w:rsidRPr="0058349C">
        <w:rPr>
          <w:rFonts w:cs="Arial"/>
          <w:lang w:val="sq-AL"/>
        </w:rPr>
        <w:t xml:space="preserve"> </w:t>
      </w:r>
      <w:r w:rsidR="001F4D37">
        <w:rPr>
          <w:rFonts w:cs="Arial"/>
          <w:b/>
          <w:lang w:val="sq-AL"/>
        </w:rPr>
        <w:t xml:space="preserve">– </w:t>
      </w:r>
      <w:r w:rsidRPr="0058349C">
        <w:rPr>
          <w:rFonts w:cs="Arial"/>
          <w:b/>
          <w:lang w:val="sq-AL"/>
        </w:rPr>
        <w:t xml:space="preserve">shih </w:t>
      </w:r>
      <w:r w:rsidR="00183D84" w:rsidRPr="0058349C">
        <w:rPr>
          <w:rFonts w:cs="Arial"/>
          <w:b/>
          <w:lang w:val="sq-AL"/>
        </w:rPr>
        <w:t xml:space="preserve">kornizën </w:t>
      </w:r>
      <w:r w:rsidRPr="0058349C">
        <w:rPr>
          <w:rFonts w:cs="Arial"/>
          <w:b/>
          <w:lang w:val="sq-AL"/>
        </w:rPr>
        <w:t xml:space="preserve">logjike me buxhetin dhe </w:t>
      </w:r>
      <w:r w:rsidR="003E3067" w:rsidRPr="0058349C">
        <w:rPr>
          <w:rFonts w:cs="Arial"/>
          <w:b/>
          <w:lang w:val="sq-AL"/>
        </w:rPr>
        <w:t xml:space="preserve">objektivat </w:t>
      </w:r>
      <w:r w:rsidRPr="0058349C">
        <w:rPr>
          <w:rFonts w:cs="Arial"/>
          <w:b/>
          <w:lang w:val="sq-AL"/>
        </w:rPr>
        <w:t xml:space="preserve">deri në vitin 2024 (3 vitet e para të zbatimit) dhe </w:t>
      </w:r>
      <w:r w:rsidR="003E3067" w:rsidRPr="0058349C">
        <w:rPr>
          <w:rFonts w:cs="Arial"/>
          <w:b/>
          <w:lang w:val="sq-AL"/>
        </w:rPr>
        <w:t xml:space="preserve">objektivat </w:t>
      </w:r>
      <w:r w:rsidRPr="0058349C">
        <w:rPr>
          <w:rFonts w:cs="Arial"/>
          <w:b/>
          <w:lang w:val="sq-AL"/>
        </w:rPr>
        <w:t>e parashikuara deri në vitin 2027.</w:t>
      </w:r>
    </w:p>
    <w:p w14:paraId="0773B2EF" w14:textId="2B374FED" w:rsidR="00CB4E52" w:rsidRPr="0058349C" w:rsidRDefault="00CB4E52" w:rsidP="003E3067">
      <w:pPr>
        <w:pStyle w:val="TEKSTIIII"/>
        <w:rPr>
          <w:lang w:val="sq-AL"/>
        </w:rPr>
      </w:pPr>
      <w:r w:rsidRPr="0058349C">
        <w:rPr>
          <w:lang w:val="sq-AL"/>
        </w:rPr>
        <w:t>Tr</w:t>
      </w:r>
      <w:r w:rsidR="003E3067">
        <w:rPr>
          <w:lang w:val="sq-AL"/>
        </w:rPr>
        <w:t>i</w:t>
      </w:r>
      <w:r w:rsidRPr="0058349C">
        <w:rPr>
          <w:lang w:val="sq-AL"/>
        </w:rPr>
        <w:t xml:space="preserve"> nivelet e treguesve janë:</w:t>
      </w:r>
    </w:p>
    <w:p w14:paraId="0773B2F0" w14:textId="0401FD76" w:rsidR="00CB4E52" w:rsidRPr="0058349C" w:rsidRDefault="00CB4E52" w:rsidP="00CB4E52">
      <w:pPr>
        <w:pStyle w:val="TEKSTIIII"/>
        <w:rPr>
          <w:bCs/>
          <w:lang w:val="sq-AL"/>
        </w:rPr>
      </w:pPr>
      <w:r w:rsidRPr="0058349C">
        <w:rPr>
          <w:b/>
          <w:bCs/>
          <w:lang w:val="sq-AL"/>
        </w:rPr>
        <w:t>-</w:t>
      </w:r>
      <w:r w:rsidR="003E3067">
        <w:rPr>
          <w:b/>
          <w:bCs/>
          <w:lang w:val="sq-AL"/>
        </w:rPr>
        <w:t xml:space="preserve"> </w:t>
      </w:r>
      <w:r w:rsidRPr="0058349C">
        <w:rPr>
          <w:b/>
          <w:bCs/>
          <w:lang w:val="sq-AL"/>
        </w:rPr>
        <w:t>Treguesit e ndikimit</w:t>
      </w:r>
      <w:r w:rsidRPr="0058349C">
        <w:rPr>
          <w:bCs/>
          <w:lang w:val="sq-AL"/>
        </w:rPr>
        <w:t xml:space="preserve"> (monitorim shumëvjeçar) në nivel objektivi të përgjithshëm për vlerësimin e performancës të </w:t>
      </w:r>
      <w:r w:rsidRPr="0058349C">
        <w:rPr>
          <w:rFonts w:cs="Arial"/>
          <w:lang w:val="sq-AL"/>
        </w:rPr>
        <w:t>SBZHRP-së</w:t>
      </w:r>
      <w:r w:rsidRPr="0058349C">
        <w:rPr>
          <w:bCs/>
          <w:lang w:val="sq-AL"/>
        </w:rPr>
        <w:t xml:space="preserve"> kundrejt prioriteteve të politikave të Qeverisë.</w:t>
      </w:r>
    </w:p>
    <w:p w14:paraId="0773B2F1" w14:textId="00F41164" w:rsidR="00CB4E52" w:rsidRPr="0058349C" w:rsidRDefault="00CB4E52" w:rsidP="00A8760C">
      <w:pPr>
        <w:pStyle w:val="TEKSTIIII"/>
        <w:rPr>
          <w:bCs/>
          <w:lang w:val="sq-AL"/>
        </w:rPr>
      </w:pPr>
      <w:r w:rsidRPr="0058349C">
        <w:rPr>
          <w:b/>
          <w:bCs/>
          <w:lang w:val="sq-AL"/>
        </w:rPr>
        <w:t>-</w:t>
      </w:r>
      <w:r w:rsidR="003E3067">
        <w:rPr>
          <w:b/>
          <w:bCs/>
          <w:lang w:val="sq-AL"/>
        </w:rPr>
        <w:t xml:space="preserve"> </w:t>
      </w:r>
      <w:r w:rsidRPr="0058349C">
        <w:rPr>
          <w:b/>
          <w:bCs/>
          <w:lang w:val="sq-AL"/>
        </w:rPr>
        <w:t>Treguesit e rezultateve</w:t>
      </w:r>
      <w:r w:rsidRPr="0058349C">
        <w:rPr>
          <w:bCs/>
          <w:lang w:val="sq-AL"/>
        </w:rPr>
        <w:t xml:space="preserve"> (afat</w:t>
      </w:r>
      <w:r w:rsidRPr="0058349C">
        <w:rPr>
          <w:b/>
          <w:bCs/>
          <w:lang w:val="sq-AL"/>
        </w:rPr>
        <w:t xml:space="preserve"> </w:t>
      </w:r>
      <w:r w:rsidRPr="0058349C">
        <w:rPr>
          <w:bCs/>
          <w:lang w:val="sq-AL"/>
        </w:rPr>
        <w:t>3-vjeçar në vend të nj</w:t>
      </w:r>
      <w:r w:rsidRPr="00A8760C">
        <w:rPr>
          <w:lang w:val="sq-AL"/>
        </w:rPr>
        <w:t>ë</w:t>
      </w:r>
      <w:r w:rsidRPr="0058349C">
        <w:rPr>
          <w:bCs/>
          <w:lang w:val="sq-AL"/>
        </w:rPr>
        <w:t>vjeçar</w:t>
      </w:r>
      <w:r w:rsidR="00A8760C">
        <w:rPr>
          <w:bCs/>
          <w:lang w:val="sq-AL"/>
        </w:rPr>
        <w:t>,</w:t>
      </w:r>
      <w:r w:rsidRPr="0058349C">
        <w:rPr>
          <w:bCs/>
          <w:lang w:val="sq-AL"/>
        </w:rPr>
        <w:t xml:space="preserve"> si në BE</w:t>
      </w:r>
      <w:r w:rsidR="00A8760C">
        <w:rPr>
          <w:bCs/>
          <w:lang w:val="sq-AL"/>
        </w:rPr>
        <w:t>,</w:t>
      </w:r>
      <w:r w:rsidRPr="0058349C">
        <w:rPr>
          <w:bCs/>
          <w:lang w:val="sq-AL"/>
        </w:rPr>
        <w:t xml:space="preserve"> për shkak të dhënave bazë të kufizuara dhe alokimeve buxhetore afatshkurtra bilanci mbyllet në fund të vitit) për monitorimin e arritjeve të Objektivave të përgjithshëm dhe për çdo objektiv specifik bazuar në ndërhyrjet sipas </w:t>
      </w:r>
      <w:r w:rsidRPr="0058349C">
        <w:rPr>
          <w:rFonts w:cs="Arial"/>
          <w:lang w:val="sq-AL"/>
        </w:rPr>
        <w:t xml:space="preserve">SBZHRP </w:t>
      </w:r>
      <w:r w:rsidR="00612507" w:rsidRPr="0058349C">
        <w:rPr>
          <w:rFonts w:cs="Arial"/>
          <w:lang w:val="sq-AL"/>
        </w:rPr>
        <w:t>2021–2027</w:t>
      </w:r>
      <w:r w:rsidRPr="0058349C">
        <w:rPr>
          <w:bCs/>
          <w:lang w:val="sq-AL"/>
        </w:rPr>
        <w:t>.</w:t>
      </w:r>
    </w:p>
    <w:p w14:paraId="0773B2F2" w14:textId="266B60C6" w:rsidR="00CB4E52" w:rsidRPr="0058349C" w:rsidRDefault="00CB4E52" w:rsidP="00A8760C">
      <w:pPr>
        <w:pStyle w:val="TEKSTIIII"/>
        <w:rPr>
          <w:lang w:val="sq-AL"/>
        </w:rPr>
      </w:pPr>
      <w:r w:rsidRPr="0058349C">
        <w:rPr>
          <w:b/>
          <w:bCs/>
          <w:lang w:val="sq-AL"/>
        </w:rPr>
        <w:t>-</w:t>
      </w:r>
      <w:r w:rsidR="003E3067">
        <w:rPr>
          <w:b/>
          <w:bCs/>
          <w:lang w:val="sq-AL"/>
        </w:rPr>
        <w:t xml:space="preserve"> </w:t>
      </w:r>
      <w:r w:rsidRPr="0058349C">
        <w:rPr>
          <w:b/>
          <w:bCs/>
          <w:lang w:val="sq-AL"/>
        </w:rPr>
        <w:t>Treguesit e autputit (efektit përfundimtar)</w:t>
      </w:r>
      <w:r w:rsidRPr="0058349C">
        <w:rPr>
          <w:bCs/>
          <w:lang w:val="sq-AL"/>
        </w:rPr>
        <w:t xml:space="preserve"> (verifikimi/konfirmimi vjetor i performancës) bazuar në treguesit e efektit (të tilla si numri i përfituesve, numri i hektarëve etj.) për çdo ndërhyrje të planifikuar dhe </w:t>
      </w:r>
      <w:r w:rsidRPr="0058349C">
        <w:rPr>
          <w:b/>
          <w:bCs/>
          <w:lang w:val="sq-AL"/>
        </w:rPr>
        <w:t xml:space="preserve">të detajuar për gjininë dhe grup-moshat </w:t>
      </w:r>
      <w:r w:rsidR="00A8760C">
        <w:rPr>
          <w:bCs/>
          <w:lang w:val="sq-AL"/>
        </w:rPr>
        <w:t>(fermerët e rinj</w:t>
      </w:r>
      <w:r w:rsidR="00797859">
        <w:rPr>
          <w:bCs/>
          <w:lang w:val="sq-AL"/>
        </w:rPr>
        <w:t>/</w:t>
      </w:r>
      <w:r w:rsidR="00A8760C">
        <w:rPr>
          <w:bCs/>
          <w:lang w:val="sq-AL"/>
        </w:rPr>
        <w:t xml:space="preserve"> </w:t>
      </w:r>
      <w:r w:rsidRPr="0058349C">
        <w:rPr>
          <w:bCs/>
          <w:lang w:val="sq-AL"/>
        </w:rPr>
        <w:t>sipërmarrësit) si dhe për p.sh., nënsektorët, rajonet etj</w:t>
      </w:r>
      <w:r w:rsidRPr="0058349C">
        <w:rPr>
          <w:lang w:val="sq-AL"/>
        </w:rPr>
        <w:t>.</w:t>
      </w:r>
    </w:p>
    <w:p w14:paraId="0773B2F3" w14:textId="595F5A1D" w:rsidR="00CB4E52" w:rsidRPr="0058349C" w:rsidRDefault="00CB4E52" w:rsidP="00CB4E52">
      <w:pPr>
        <w:pStyle w:val="TEKSTIIII"/>
        <w:rPr>
          <w:rFonts w:eastAsia="BatangChe" w:cs="Arial"/>
          <w:lang w:val="sq-AL"/>
        </w:rPr>
      </w:pPr>
      <w:r w:rsidRPr="0058349C">
        <w:rPr>
          <w:rFonts w:eastAsia="BatangChe" w:cs="Arial"/>
          <w:lang w:val="sq-AL"/>
        </w:rPr>
        <w:t>Të dhënat për indikatorët e monitorimit do të mblidhen në nivel</w:t>
      </w:r>
      <w:r w:rsidR="00CF7694" w:rsidRPr="0058349C">
        <w:rPr>
          <w:rFonts w:eastAsia="BatangChe" w:cs="Arial"/>
          <w:lang w:val="sq-AL"/>
        </w:rPr>
        <w:t xml:space="preserve"> </w:t>
      </w:r>
      <w:r w:rsidRPr="0058349C">
        <w:rPr>
          <w:rFonts w:eastAsia="BatangChe" w:cs="Arial"/>
          <w:lang w:val="sq-AL"/>
        </w:rPr>
        <w:t>drejtorie dhe agjencie përkatëse të MBZHR-së. Drejtorit</w:t>
      </w:r>
      <w:r w:rsidRPr="0058349C">
        <w:rPr>
          <w:bCs/>
          <w:lang w:val="sq-AL"/>
        </w:rPr>
        <w:t>ë përkatëse për strategjitë dhe politikat për bujqësinë, sigurinë ushqimore, peshkimin</w:t>
      </w:r>
      <w:r w:rsidRPr="0058349C">
        <w:rPr>
          <w:rFonts w:eastAsia="BatangChe" w:cs="Arial"/>
          <w:lang w:val="sq-AL"/>
        </w:rPr>
        <w:t xml:space="preserve"> dhe zhvillimin rural të MBZHR-së do të grumbullojnë dhe analizojë informacionin, i cili përfshin</w:t>
      </w:r>
      <w:r w:rsidR="00A8760C">
        <w:rPr>
          <w:rFonts w:eastAsia="BatangChe" w:cs="Arial"/>
          <w:lang w:val="sq-AL"/>
        </w:rPr>
        <w:t>,</w:t>
      </w:r>
      <w:r w:rsidRPr="0058349C">
        <w:rPr>
          <w:rFonts w:eastAsia="BatangChe" w:cs="Arial"/>
          <w:lang w:val="sq-AL"/>
        </w:rPr>
        <w:t xml:space="preserve"> gjithashtu</w:t>
      </w:r>
      <w:r w:rsidR="00A8760C">
        <w:rPr>
          <w:rFonts w:eastAsia="BatangChe" w:cs="Arial"/>
          <w:lang w:val="sq-AL"/>
        </w:rPr>
        <w:t>,</w:t>
      </w:r>
      <w:r w:rsidRPr="0058349C">
        <w:rPr>
          <w:rFonts w:eastAsia="BatangChe" w:cs="Arial"/>
          <w:lang w:val="sq-AL"/>
        </w:rPr>
        <w:t xml:space="preserve"> të dhëna për zbatimin e Programit IPARD (thirrjet IPARD) të raportuara nga Autoriteti Menaxhues i IPARD dhe të mbledhura nga Agjencia IPARD (AZHBR). </w:t>
      </w:r>
    </w:p>
    <w:p w14:paraId="0773B2F4" w14:textId="77777777" w:rsidR="00CB4E52" w:rsidRPr="0058349C" w:rsidRDefault="00CB4E52" w:rsidP="00CB4E52">
      <w:pPr>
        <w:pStyle w:val="TEKSTIIII"/>
        <w:rPr>
          <w:rFonts w:eastAsia="BatangChe" w:cs="Arial"/>
          <w:lang w:val="sq-AL"/>
        </w:rPr>
      </w:pPr>
      <w:r w:rsidRPr="0058349C">
        <w:rPr>
          <w:rFonts w:eastAsia="BatangChe" w:cs="Arial"/>
          <w:b/>
          <w:lang w:val="sq-AL"/>
        </w:rPr>
        <w:t>Vlerësimi për arritjen e objektivit</w:t>
      </w:r>
      <w:r w:rsidRPr="0058349C">
        <w:rPr>
          <w:rFonts w:eastAsia="BatangChe" w:cs="Arial"/>
          <w:lang w:val="sq-AL"/>
        </w:rPr>
        <w:t xml:space="preserve"> do të shoqërojë raportimin e të dhënave të monitorimit.</w:t>
      </w:r>
    </w:p>
    <w:p w14:paraId="0773B2F5" w14:textId="16203238" w:rsidR="00CB4E52" w:rsidRPr="0058349C" w:rsidRDefault="00CB4E52" w:rsidP="00CB4E52">
      <w:pPr>
        <w:pStyle w:val="TEKSTIIII"/>
        <w:rPr>
          <w:rFonts w:eastAsia="BatangChe" w:cs="Arial"/>
          <w:lang w:val="sq-AL"/>
        </w:rPr>
      </w:pPr>
      <w:r w:rsidRPr="0058349C">
        <w:rPr>
          <w:rFonts w:eastAsia="BatangChe" w:cs="Arial"/>
          <w:lang w:val="sq-AL"/>
        </w:rPr>
        <w:t>Progresi në përmbushjen e</w:t>
      </w:r>
      <w:r w:rsidR="00CF7694" w:rsidRPr="0058349C">
        <w:rPr>
          <w:rFonts w:eastAsia="BatangChe" w:cs="Arial"/>
          <w:lang w:val="sq-AL"/>
        </w:rPr>
        <w:t xml:space="preserve"> </w:t>
      </w:r>
      <w:r w:rsidRPr="0058349C">
        <w:rPr>
          <w:rFonts w:eastAsia="BatangChe" w:cs="Arial"/>
          <w:lang w:val="sq-AL"/>
        </w:rPr>
        <w:t xml:space="preserve">objektivave do të përfshihet në </w:t>
      </w:r>
      <w:r w:rsidRPr="0058349C">
        <w:rPr>
          <w:rFonts w:eastAsia="BatangChe" w:cs="Arial"/>
          <w:b/>
          <w:lang w:val="sq-AL"/>
        </w:rPr>
        <w:t>Raportin Vjetor të Performancës</w:t>
      </w:r>
      <w:r w:rsidRPr="0058349C">
        <w:rPr>
          <w:rFonts w:eastAsia="BatangChe" w:cs="Arial"/>
          <w:lang w:val="sq-AL"/>
        </w:rPr>
        <w:t>.</w:t>
      </w:r>
    </w:p>
    <w:p w14:paraId="0773B2F6" w14:textId="76A9E8F9" w:rsidR="00CB4E52" w:rsidRPr="0058349C" w:rsidRDefault="00D010CF" w:rsidP="00CB4E52">
      <w:pPr>
        <w:pStyle w:val="TEKSTIIII"/>
        <w:rPr>
          <w:rFonts w:cs="Arial"/>
          <w:lang w:val="sq-AL"/>
        </w:rPr>
      </w:pPr>
      <w:r>
        <w:rPr>
          <w:rFonts w:cs="Arial"/>
          <w:lang w:val="sq-AL"/>
        </w:rPr>
        <w:t xml:space="preserve">Në vitin 2025 </w:t>
      </w:r>
      <w:r w:rsidR="00CB4E52" w:rsidRPr="0058349C">
        <w:rPr>
          <w:rFonts w:cs="Arial"/>
          <w:b/>
          <w:lang w:val="sq-AL"/>
        </w:rPr>
        <w:t>do të bëhet një rishikim i pavarur afatmesëm</w:t>
      </w:r>
      <w:r w:rsidR="00CB4E52" w:rsidRPr="0058349C">
        <w:rPr>
          <w:rFonts w:cs="Arial"/>
          <w:lang w:val="sq-AL"/>
        </w:rPr>
        <w:t xml:space="preserve"> i zbatimit të strategjisë për të bërë rregullime në objektivat përfundimtarë</w:t>
      </w:r>
      <w:r>
        <w:rPr>
          <w:rFonts w:cs="Arial"/>
          <w:lang w:val="sq-AL"/>
        </w:rPr>
        <w:t>,</w:t>
      </w:r>
      <w:r w:rsidR="00CB4E52" w:rsidRPr="0058349C">
        <w:rPr>
          <w:rFonts w:cs="Arial"/>
          <w:lang w:val="sq-AL"/>
        </w:rPr>
        <w:t xml:space="preserve"> bazuar në raportimin vjetor dhe planifikimin e përditësuar të buxhetit/programimit të buxhetit afatmesëm kombëtar 2025</w:t>
      </w:r>
      <w:r>
        <w:rPr>
          <w:rFonts w:cs="Arial"/>
          <w:lang w:val="sq-AL"/>
        </w:rPr>
        <w:t>–</w:t>
      </w:r>
      <w:r w:rsidR="00CB4E52" w:rsidRPr="0058349C">
        <w:rPr>
          <w:rFonts w:cs="Arial"/>
          <w:lang w:val="sq-AL"/>
        </w:rPr>
        <w:t>2027.</w:t>
      </w:r>
    </w:p>
    <w:p w14:paraId="0773B2F7" w14:textId="380CE897" w:rsidR="00CB4E52" w:rsidRPr="0058349C" w:rsidRDefault="00CB4E52" w:rsidP="00CB4E52">
      <w:pPr>
        <w:pStyle w:val="TEKSTIIII"/>
        <w:rPr>
          <w:rFonts w:cs="Arial"/>
          <w:lang w:val="sq-AL"/>
        </w:rPr>
      </w:pPr>
      <w:r w:rsidRPr="0058349C">
        <w:rPr>
          <w:rFonts w:cs="Arial"/>
          <w:lang w:val="sq-AL"/>
        </w:rPr>
        <w:t xml:space="preserve">Në vitin 2028 do të kryhet një </w:t>
      </w:r>
      <w:r w:rsidRPr="0058349C">
        <w:rPr>
          <w:rFonts w:cs="Arial"/>
          <w:b/>
          <w:lang w:val="sq-AL"/>
        </w:rPr>
        <w:t xml:space="preserve">vlerësim i pavarur </w:t>
      </w:r>
      <w:r w:rsidR="00664693" w:rsidRPr="00D010CF">
        <w:rPr>
          <w:rFonts w:cs="Arial"/>
          <w:b/>
          <w:i/>
          <w:iCs/>
          <w:lang w:val="sq-AL"/>
        </w:rPr>
        <w:t>“</w:t>
      </w:r>
      <w:r w:rsidRPr="00D010CF">
        <w:rPr>
          <w:b/>
          <w:bCs/>
          <w:i/>
          <w:iCs/>
          <w:lang w:val="sq-AL"/>
        </w:rPr>
        <w:t>ex-post</w:t>
      </w:r>
      <w:r w:rsidR="00664693" w:rsidRPr="00D010CF">
        <w:rPr>
          <w:b/>
          <w:bCs/>
          <w:i/>
          <w:iCs/>
          <w:lang w:val="sq-AL"/>
        </w:rPr>
        <w:t>”</w:t>
      </w:r>
      <w:r w:rsidRPr="0058349C">
        <w:rPr>
          <w:b/>
          <w:bCs/>
          <w:lang w:val="sq-AL"/>
        </w:rPr>
        <w:t xml:space="preserve"> </w:t>
      </w:r>
      <w:r w:rsidRPr="0058349C">
        <w:rPr>
          <w:bCs/>
          <w:lang w:val="sq-AL"/>
        </w:rPr>
        <w:t>për zbatimin e</w:t>
      </w:r>
      <w:r w:rsidRPr="0058349C">
        <w:rPr>
          <w:rFonts w:cs="Arial"/>
          <w:lang w:val="sq-AL"/>
        </w:rPr>
        <w:t xml:space="preserve"> strategjisë.</w:t>
      </w:r>
    </w:p>
    <w:p w14:paraId="0773B2F8" w14:textId="66C00117" w:rsidR="00CB4E52" w:rsidRDefault="00CB4E52" w:rsidP="00D010CF">
      <w:pPr>
        <w:pStyle w:val="TEKSTIIII"/>
        <w:rPr>
          <w:lang w:val="sq-AL"/>
        </w:rPr>
      </w:pPr>
      <w:r w:rsidRPr="0058349C">
        <w:rPr>
          <w:rFonts w:cs="Arial"/>
          <w:lang w:val="sq-AL"/>
        </w:rPr>
        <w:t xml:space="preserve">Të gjitha aktivitetet e monitorimit dhe </w:t>
      </w:r>
      <w:r w:rsidR="00D010CF">
        <w:rPr>
          <w:rFonts w:cs="Arial"/>
          <w:lang w:val="sq-AL"/>
        </w:rPr>
        <w:t xml:space="preserve">të </w:t>
      </w:r>
      <w:r w:rsidRPr="0058349C">
        <w:rPr>
          <w:rFonts w:cs="Arial"/>
          <w:lang w:val="sq-AL"/>
        </w:rPr>
        <w:t xml:space="preserve">vlerësimit do të përfshijnë analizën gjinore, vlerësimin e ndikimit dhe parimet monitoruese, duke dhënë impaktin në nivel objektivi, rezultati dhe </w:t>
      </w:r>
      <w:r w:rsidRPr="00D010CF">
        <w:rPr>
          <w:rFonts w:cs="Arial"/>
          <w:i/>
          <w:iCs/>
          <w:lang w:val="sq-AL"/>
        </w:rPr>
        <w:t>output</w:t>
      </w:r>
      <w:r w:rsidR="00D010CF">
        <w:rPr>
          <w:rFonts w:cs="Arial"/>
          <w:i/>
          <w:iCs/>
          <w:lang w:val="sq-AL"/>
        </w:rPr>
        <w:t>-</w:t>
      </w:r>
      <w:r w:rsidRPr="00D010CF">
        <w:rPr>
          <w:rFonts w:cs="Arial"/>
          <w:lang w:val="sq-AL"/>
        </w:rPr>
        <w:t>i</w:t>
      </w:r>
      <w:r w:rsidRPr="0058349C">
        <w:rPr>
          <w:rFonts w:cs="Arial"/>
          <w:lang w:val="sq-AL"/>
        </w:rPr>
        <w:t xml:space="preserve"> (efekti p</w:t>
      </w:r>
      <w:r w:rsidRPr="0058349C">
        <w:rPr>
          <w:bCs/>
          <w:lang w:val="sq-AL"/>
        </w:rPr>
        <w:t>ërfundimtar)</w:t>
      </w:r>
      <w:r w:rsidR="00CF7694" w:rsidRPr="0058349C">
        <w:rPr>
          <w:bCs/>
          <w:lang w:val="sq-AL"/>
        </w:rPr>
        <w:t xml:space="preserve"> </w:t>
      </w:r>
      <w:r w:rsidRPr="0058349C">
        <w:rPr>
          <w:rFonts w:cs="Arial"/>
          <w:lang w:val="sq-AL"/>
        </w:rPr>
        <w:t>dhe vlerësimin e arritjes s</w:t>
      </w:r>
      <w:r w:rsidRPr="0058349C">
        <w:rPr>
          <w:bCs/>
          <w:lang w:val="sq-AL"/>
        </w:rPr>
        <w:t>ë synimit</w:t>
      </w:r>
      <w:r w:rsidR="00D010CF">
        <w:rPr>
          <w:bCs/>
          <w:lang w:val="sq-AL"/>
        </w:rPr>
        <w:t>,</w:t>
      </w:r>
      <w:r w:rsidRPr="0058349C">
        <w:rPr>
          <w:rFonts w:cs="Arial"/>
          <w:lang w:val="sq-AL"/>
        </w:rPr>
        <w:t xml:space="preserve"> në lidhje me</w:t>
      </w:r>
      <w:r w:rsidR="009A6913">
        <w:rPr>
          <w:rFonts w:cs="Arial"/>
          <w:lang w:val="sq-AL"/>
        </w:rPr>
        <w:t xml:space="preserve"> objektivin e përgjithshëm ndër</w:t>
      </w:r>
      <w:r w:rsidRPr="0058349C">
        <w:rPr>
          <w:rFonts w:cs="Arial"/>
          <w:lang w:val="sq-AL"/>
        </w:rPr>
        <w:t>sektorial që siguron zhvillimi të barabartë në bujqësi, zhvillim rural, dhe n</w:t>
      </w:r>
      <w:r w:rsidRPr="0058349C">
        <w:rPr>
          <w:bCs/>
          <w:lang w:val="sq-AL"/>
        </w:rPr>
        <w:t xml:space="preserve">ë </w:t>
      </w:r>
      <w:r w:rsidRPr="0058349C">
        <w:rPr>
          <w:rFonts w:cs="Arial"/>
          <w:lang w:val="sq-AL"/>
        </w:rPr>
        <w:t>peshkim</w:t>
      </w:r>
      <w:r w:rsidRPr="0058349C">
        <w:rPr>
          <w:rStyle w:val="FootnoteReference"/>
          <w:rFonts w:cs="Arial"/>
          <w:lang w:val="sq-AL"/>
        </w:rPr>
        <w:footnoteRef/>
      </w:r>
      <w:r w:rsidRPr="0058349C">
        <w:rPr>
          <w:rFonts w:cs="Arial"/>
          <w:lang w:val="sq-AL"/>
        </w:rPr>
        <w:t>, siç paraqitet në:</w:t>
      </w:r>
      <w:r w:rsidR="00D010CF">
        <w:rPr>
          <w:rFonts w:cs="Arial"/>
          <w:lang w:val="sq-AL"/>
        </w:rPr>
        <w:t xml:space="preserve"> </w:t>
      </w:r>
      <w:hyperlink r:id="rId24" w:history="1">
        <w:r w:rsidR="00D010CF" w:rsidRPr="0058349C">
          <w:rPr>
            <w:rStyle w:val="Hyperlink"/>
            <w:rFonts w:cs="Arial"/>
            <w:color w:val="auto"/>
            <w:lang w:val="sq-AL"/>
          </w:rPr>
          <w:t>https://agridata.ec.Europa.eu/extensions/DataPortal/cmef_indicators.html</w:t>
        </w:r>
      </w:hyperlink>
      <w:r w:rsidR="00D010CF" w:rsidRPr="0058349C">
        <w:rPr>
          <w:lang w:val="sq-AL"/>
        </w:rPr>
        <w:t>.</w:t>
      </w:r>
    </w:p>
    <w:p w14:paraId="18F1643E" w14:textId="77777777" w:rsidR="00D010CF" w:rsidRPr="0058349C" w:rsidRDefault="00D010CF" w:rsidP="00D010CF">
      <w:pPr>
        <w:pStyle w:val="TEKSTIIII"/>
        <w:rPr>
          <w:rFonts w:cs="Arial"/>
          <w:lang w:val="sq-AL"/>
        </w:rPr>
      </w:pPr>
    </w:p>
    <w:p w14:paraId="0773B2F9" w14:textId="6A932C0F" w:rsidR="00CB4E52" w:rsidRPr="0058349C" w:rsidRDefault="00CB4E52" w:rsidP="00CB4E52">
      <w:pPr>
        <w:pStyle w:val="TEKSTIIII"/>
        <w:rPr>
          <w:lang w:val="sq-AL"/>
        </w:rPr>
      </w:pPr>
    </w:p>
    <w:p w14:paraId="0773B2FA" w14:textId="77777777" w:rsidR="00F045DA" w:rsidRPr="0058349C" w:rsidRDefault="00F045DA" w:rsidP="00C54AEA">
      <w:pPr>
        <w:pStyle w:val="TEKSTIIII"/>
        <w:rPr>
          <w:lang w:val="sq-AL"/>
        </w:rPr>
      </w:pPr>
    </w:p>
    <w:p w14:paraId="0773B2FB" w14:textId="77777777" w:rsidR="00F045DA" w:rsidRPr="0058349C" w:rsidRDefault="00F045DA" w:rsidP="00C54AEA">
      <w:pPr>
        <w:pStyle w:val="TEKSTIIII"/>
        <w:rPr>
          <w:lang w:val="sq-AL"/>
        </w:rPr>
      </w:pPr>
    </w:p>
    <w:p w14:paraId="0773B2FC" w14:textId="77777777" w:rsidR="00755BA8" w:rsidRPr="0058349C" w:rsidRDefault="00755BA8" w:rsidP="00C54AEA">
      <w:pPr>
        <w:pStyle w:val="TEKSTIIII"/>
        <w:rPr>
          <w:lang w:val="sq-AL"/>
        </w:rPr>
        <w:sectPr w:rsidR="00755BA8" w:rsidRPr="0058349C" w:rsidSect="00CB4E52">
          <w:pgSz w:w="11907" w:h="16839" w:code="9"/>
          <w:pgMar w:top="1418" w:right="1418" w:bottom="1418" w:left="1418" w:header="1304" w:footer="1134" w:gutter="0"/>
          <w:pgNumType w:start="0"/>
          <w:cols w:space="720"/>
          <w:titlePg/>
          <w:docGrid w:linePitch="360"/>
        </w:sectPr>
      </w:pPr>
    </w:p>
    <w:p w14:paraId="0773B2FD" w14:textId="77777777" w:rsidR="00755BA8" w:rsidRPr="0058349C" w:rsidRDefault="00755BA8" w:rsidP="00755BA8">
      <w:pPr>
        <w:pStyle w:val="TEKSTIIII"/>
        <w:rPr>
          <w:b/>
          <w:lang w:val="sq-AL" w:eastAsia="de-DE"/>
        </w:rPr>
      </w:pPr>
      <w:bookmarkStart w:id="89" w:name="_Toc99708178"/>
      <w:bookmarkStart w:id="90" w:name="_Toc103838841"/>
      <w:r w:rsidRPr="0058349C">
        <w:rPr>
          <w:b/>
          <w:lang w:val="sq-AL" w:eastAsia="de-DE"/>
        </w:rPr>
        <w:lastRenderedPageBreak/>
        <w:t>6. Anekset</w:t>
      </w:r>
      <w:bookmarkEnd w:id="89"/>
      <w:bookmarkEnd w:id="90"/>
    </w:p>
    <w:p w14:paraId="0773B2FE" w14:textId="30D77C40" w:rsidR="00755BA8" w:rsidRPr="0058349C" w:rsidRDefault="00755BA8" w:rsidP="00D770D6">
      <w:pPr>
        <w:pStyle w:val="TEKSTIIII"/>
        <w:rPr>
          <w:b/>
          <w:lang w:val="sq-AL" w:eastAsia="de-DE"/>
        </w:rPr>
      </w:pPr>
      <w:bookmarkStart w:id="91" w:name="_Ref89057155"/>
      <w:bookmarkStart w:id="92" w:name="_Ref89057180"/>
      <w:bookmarkStart w:id="93" w:name="_Toc99708179"/>
      <w:bookmarkStart w:id="94" w:name="_Toc103838842"/>
      <w:r w:rsidRPr="0058349C">
        <w:rPr>
          <w:b/>
          <w:lang w:val="sq-AL" w:eastAsia="de-DE"/>
        </w:rPr>
        <w:t>6.1 Korniza logjike e SBZHRP</w:t>
      </w:r>
      <w:r w:rsidR="00D770D6">
        <w:rPr>
          <w:b/>
          <w:lang w:val="sq-AL" w:eastAsia="de-DE"/>
        </w:rPr>
        <w:t>-së</w:t>
      </w:r>
      <w:r w:rsidRPr="0058349C">
        <w:rPr>
          <w:b/>
          <w:lang w:val="sq-AL" w:eastAsia="de-DE"/>
        </w:rPr>
        <w:t xml:space="preserve"> me </w:t>
      </w:r>
      <w:r w:rsidR="00D770D6" w:rsidRPr="0058349C">
        <w:rPr>
          <w:b/>
          <w:lang w:val="sq-AL" w:eastAsia="de-DE"/>
        </w:rPr>
        <w:t xml:space="preserve">objektivat </w:t>
      </w:r>
      <w:r w:rsidRPr="0058349C">
        <w:rPr>
          <w:b/>
          <w:lang w:val="sq-AL" w:eastAsia="de-DE"/>
        </w:rPr>
        <w:t xml:space="preserve">dhe treguesit (ndikimi, rezultati dhe </w:t>
      </w:r>
      <w:r w:rsidRPr="00D770D6">
        <w:rPr>
          <w:b/>
          <w:i/>
          <w:iCs/>
          <w:lang w:val="sq-AL" w:eastAsia="de-DE"/>
        </w:rPr>
        <w:t>output</w:t>
      </w:r>
      <w:r w:rsidR="00D770D6">
        <w:rPr>
          <w:b/>
          <w:lang w:val="sq-AL" w:eastAsia="de-DE"/>
        </w:rPr>
        <w:t>-i) për 2022–</w:t>
      </w:r>
      <w:r w:rsidRPr="0058349C">
        <w:rPr>
          <w:b/>
          <w:lang w:val="sq-AL" w:eastAsia="de-DE"/>
        </w:rPr>
        <w:t>2027 e buxhetuar për periudhën 2022</w:t>
      </w:r>
      <w:r w:rsidR="00D770D6">
        <w:rPr>
          <w:b/>
          <w:lang w:val="sq-AL" w:eastAsia="de-DE"/>
        </w:rPr>
        <w:t>–</w:t>
      </w:r>
      <w:r w:rsidRPr="0058349C">
        <w:rPr>
          <w:b/>
          <w:lang w:val="sq-AL" w:eastAsia="de-DE"/>
        </w:rPr>
        <w:t>2024.</w:t>
      </w:r>
      <w:bookmarkEnd w:id="91"/>
      <w:bookmarkEnd w:id="92"/>
      <w:bookmarkEnd w:id="93"/>
      <w:bookmarkEnd w:id="94"/>
    </w:p>
    <w:p w14:paraId="0773B2FF" w14:textId="4138D251" w:rsidR="00755BA8" w:rsidRPr="0058349C" w:rsidRDefault="00755BA8" w:rsidP="00755BA8">
      <w:pPr>
        <w:pStyle w:val="TEKSTIIII"/>
        <w:rPr>
          <w:b/>
          <w:lang w:val="sq-AL"/>
        </w:rPr>
      </w:pPr>
      <w:r w:rsidRPr="0058349C">
        <w:rPr>
          <w:b/>
          <w:lang w:val="sq-AL"/>
        </w:rPr>
        <w:t>Referenca e përdorur për hartimin e treguesve të ndikimit (impaktit) dhe të rezultateve është e orientuar tek indikatorët e PPB-së së BE-së, siç paraqitet në</w:t>
      </w:r>
      <w:r w:rsidR="00B473D6">
        <w:rPr>
          <w:b/>
          <w:lang w:val="sq-AL"/>
        </w:rPr>
        <w:t>:</w:t>
      </w:r>
      <w:r w:rsidRPr="0058349C">
        <w:rPr>
          <w:b/>
          <w:lang w:val="sq-AL"/>
        </w:rPr>
        <w:t xml:space="preserve"> </w:t>
      </w:r>
      <w:hyperlink r:id="rId25" w:history="1">
        <w:r w:rsidR="00B473D6">
          <w:rPr>
            <w:b/>
            <w:lang w:val="sq-AL"/>
          </w:rPr>
          <w:t>https</w:t>
        </w:r>
        <w:r w:rsidRPr="0058349C">
          <w:rPr>
            <w:b/>
            <w:lang w:val="sq-AL"/>
          </w:rPr>
          <w:t>//agridata.ec.Europa.eu/extensions/DataPortal/cmef_indicators.html</w:t>
        </w:r>
      </w:hyperlink>
      <w:r w:rsidRPr="0058349C">
        <w:rPr>
          <w:b/>
          <w:lang w:val="sq-AL"/>
        </w:rPr>
        <w:t>.</w:t>
      </w:r>
    </w:p>
    <w:p w14:paraId="3BE95055" w14:textId="77777777" w:rsidR="00B473D6" w:rsidRDefault="00B473D6" w:rsidP="00B473D6">
      <w:pPr>
        <w:pStyle w:val="TEKSTIIII"/>
        <w:ind w:firstLine="0"/>
        <w:rPr>
          <w:b/>
          <w:lang w:val="sq-AL"/>
        </w:rPr>
      </w:pPr>
      <w:bookmarkStart w:id="95" w:name="_Toc99708277"/>
      <w:bookmarkStart w:id="96" w:name="_Toc103606436"/>
      <w:bookmarkStart w:id="97" w:name="_Toc103777368"/>
    </w:p>
    <w:p w14:paraId="0773B300" w14:textId="1713B2C2" w:rsidR="00755BA8" w:rsidRPr="00B473D6" w:rsidRDefault="00755BA8" w:rsidP="00B473D6">
      <w:pPr>
        <w:pStyle w:val="TEKSTIIII"/>
        <w:ind w:firstLine="0"/>
        <w:jc w:val="center"/>
        <w:rPr>
          <w:b/>
          <w:i/>
          <w:iCs/>
          <w:sz w:val="20"/>
          <w:szCs w:val="20"/>
          <w:lang w:val="sq-AL"/>
        </w:rPr>
      </w:pPr>
      <w:r w:rsidRPr="00B473D6">
        <w:rPr>
          <w:b/>
          <w:i/>
          <w:iCs/>
          <w:sz w:val="20"/>
          <w:szCs w:val="20"/>
          <w:lang w:val="sq-AL"/>
        </w:rPr>
        <w:t>Tabela 6</w:t>
      </w:r>
      <w:r w:rsidRPr="00B473D6">
        <w:rPr>
          <w:b/>
          <w:i/>
          <w:iCs/>
          <w:sz w:val="20"/>
          <w:szCs w:val="20"/>
          <w:lang w:val="sq-AL"/>
        </w:rPr>
        <w:noBreakHyphen/>
      </w:r>
      <w:r w:rsidR="00B473D6">
        <w:rPr>
          <w:b/>
          <w:i/>
          <w:iCs/>
          <w:sz w:val="20"/>
          <w:szCs w:val="20"/>
          <w:lang w:val="sq-AL"/>
        </w:rPr>
        <w:t>1</w:t>
      </w:r>
      <w:r w:rsidR="00B473D6" w:rsidRPr="00B473D6">
        <w:rPr>
          <w:b/>
          <w:i/>
          <w:iCs/>
          <w:sz w:val="20"/>
          <w:szCs w:val="20"/>
          <w:lang w:val="sq-AL"/>
        </w:rPr>
        <w:t xml:space="preserve">: </w:t>
      </w:r>
      <w:r w:rsidRPr="00B473D6">
        <w:rPr>
          <w:bCs/>
          <w:i/>
          <w:iCs/>
          <w:sz w:val="20"/>
          <w:szCs w:val="20"/>
          <w:lang w:val="sq-AL"/>
        </w:rPr>
        <w:t>Korniza logjike në lidhje me objektivin</w:t>
      </w:r>
      <w:r w:rsidR="00CF7694" w:rsidRPr="00B473D6">
        <w:rPr>
          <w:bCs/>
          <w:i/>
          <w:iCs/>
          <w:sz w:val="20"/>
          <w:szCs w:val="20"/>
          <w:lang w:val="sq-AL"/>
        </w:rPr>
        <w:t xml:space="preserve"> </w:t>
      </w:r>
      <w:r w:rsidRPr="00B473D6">
        <w:rPr>
          <w:bCs/>
          <w:i/>
          <w:iCs/>
          <w:sz w:val="20"/>
          <w:szCs w:val="20"/>
          <w:lang w:val="sq-AL"/>
        </w:rPr>
        <w:t>dhe treguesit</w:t>
      </w:r>
      <w:r w:rsidR="00CF7694" w:rsidRPr="00B473D6">
        <w:rPr>
          <w:bCs/>
          <w:i/>
          <w:iCs/>
          <w:sz w:val="20"/>
          <w:szCs w:val="20"/>
          <w:lang w:val="sq-AL"/>
        </w:rPr>
        <w:t xml:space="preserve"> </w:t>
      </w:r>
      <w:r w:rsidR="00B473D6" w:rsidRPr="00B473D6">
        <w:rPr>
          <w:bCs/>
          <w:i/>
          <w:iCs/>
          <w:sz w:val="20"/>
          <w:szCs w:val="20"/>
          <w:lang w:val="sq-AL"/>
        </w:rPr>
        <w:t>për 2024–</w:t>
      </w:r>
      <w:r w:rsidRPr="00B473D6">
        <w:rPr>
          <w:bCs/>
          <w:i/>
          <w:iCs/>
          <w:sz w:val="20"/>
          <w:szCs w:val="20"/>
          <w:lang w:val="sq-AL"/>
        </w:rPr>
        <w:t>2027</w:t>
      </w:r>
      <w:r w:rsidR="00CF7694" w:rsidRPr="00B473D6">
        <w:rPr>
          <w:bCs/>
          <w:i/>
          <w:iCs/>
          <w:sz w:val="20"/>
          <w:szCs w:val="20"/>
          <w:lang w:val="sq-AL"/>
        </w:rPr>
        <w:t xml:space="preserve"> </w:t>
      </w:r>
      <w:r w:rsidR="00B473D6" w:rsidRPr="00B473D6">
        <w:rPr>
          <w:bCs/>
          <w:i/>
          <w:iCs/>
          <w:sz w:val="20"/>
          <w:szCs w:val="20"/>
          <w:lang w:val="sq-AL"/>
        </w:rPr>
        <w:t>dhe buxhetin për 2022–</w:t>
      </w:r>
      <w:r w:rsidRPr="00B473D6">
        <w:rPr>
          <w:bCs/>
          <w:i/>
          <w:iCs/>
          <w:sz w:val="20"/>
          <w:szCs w:val="20"/>
          <w:lang w:val="sq-AL"/>
        </w:rPr>
        <w:t>2024</w:t>
      </w:r>
      <w:bookmarkEnd w:id="95"/>
      <w:bookmarkEnd w:id="96"/>
      <w:bookmarkEnd w:id="97"/>
    </w:p>
    <w:tbl>
      <w:tblPr>
        <w:tblpPr w:leftFromText="180" w:rightFromText="180" w:vertAnchor="text" w:tblpXSpec="center" w:tblpY="1"/>
        <w:tblOverlap w:val="neve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
        <w:gridCol w:w="3567"/>
        <w:gridCol w:w="2526"/>
        <w:gridCol w:w="1419"/>
        <w:gridCol w:w="1305"/>
        <w:gridCol w:w="1277"/>
        <w:gridCol w:w="1283"/>
        <w:gridCol w:w="1275"/>
        <w:gridCol w:w="1134"/>
      </w:tblGrid>
      <w:tr w:rsidR="00436191" w:rsidRPr="0058349C" w14:paraId="0773B307" w14:textId="77777777" w:rsidTr="00EA28DE">
        <w:trPr>
          <w:trHeight w:val="20"/>
        </w:trPr>
        <w:tc>
          <w:tcPr>
            <w:tcW w:w="6477" w:type="dxa"/>
            <w:gridSpan w:val="3"/>
            <w:shd w:val="clear" w:color="auto" w:fill="E5F7CA"/>
            <w:vAlign w:val="center"/>
          </w:tcPr>
          <w:p w14:paraId="0773B302" w14:textId="3F70DD0B" w:rsidR="00436191" w:rsidRPr="0058349C" w:rsidRDefault="00436191" w:rsidP="00F4367B">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Objektivi </w:t>
            </w:r>
            <w:r w:rsidR="00797859">
              <w:rPr>
                <w:rFonts w:ascii="Garamond" w:eastAsia="Arial" w:hAnsi="Garamond"/>
                <w:b/>
                <w:bCs/>
                <w:sz w:val="18"/>
                <w:szCs w:val="18"/>
                <w:lang w:val="sq-AL"/>
              </w:rPr>
              <w:t>/</w:t>
            </w:r>
            <w:r w:rsidR="00F4367B" w:rsidRPr="0058349C">
              <w:rPr>
                <w:rFonts w:ascii="Garamond" w:eastAsia="Arial" w:hAnsi="Garamond"/>
                <w:b/>
                <w:bCs/>
                <w:sz w:val="18"/>
                <w:szCs w:val="18"/>
                <w:lang w:val="sq-AL"/>
              </w:rPr>
              <w:t>treguesi</w:t>
            </w:r>
          </w:p>
        </w:tc>
        <w:tc>
          <w:tcPr>
            <w:tcW w:w="1419" w:type="dxa"/>
            <w:shd w:val="clear" w:color="auto" w:fill="E5F7CA"/>
            <w:vAlign w:val="center"/>
          </w:tcPr>
          <w:p w14:paraId="0773B303" w14:textId="77777777" w:rsidR="00436191" w:rsidRPr="0058349C" w:rsidRDefault="00436191" w:rsidP="00F4367B">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Vlera e treguesve bazë – 2020</w:t>
            </w:r>
          </w:p>
        </w:tc>
        <w:tc>
          <w:tcPr>
            <w:tcW w:w="3865" w:type="dxa"/>
            <w:gridSpan w:val="3"/>
            <w:shd w:val="clear" w:color="auto" w:fill="E5F7CA"/>
            <w:vAlign w:val="center"/>
          </w:tcPr>
          <w:p w14:paraId="0773B304" w14:textId="77777777" w:rsidR="00436191" w:rsidRPr="0058349C" w:rsidRDefault="00436191" w:rsidP="00F4367B">
            <w:pPr>
              <w:shd w:val="clear" w:color="auto" w:fill="E5F7CA"/>
              <w:spacing w:after="0" w:line="240" w:lineRule="auto"/>
              <w:jc w:val="center"/>
              <w:rPr>
                <w:rFonts w:ascii="Garamond" w:eastAsia="Arial" w:hAnsi="Garamond"/>
                <w:b/>
                <w:bCs/>
                <w:sz w:val="18"/>
                <w:szCs w:val="18"/>
                <w:lang w:val="sq-AL"/>
              </w:rPr>
            </w:pPr>
          </w:p>
        </w:tc>
        <w:tc>
          <w:tcPr>
            <w:tcW w:w="1275" w:type="dxa"/>
            <w:shd w:val="clear" w:color="auto" w:fill="E5F7CA"/>
            <w:vAlign w:val="center"/>
          </w:tcPr>
          <w:p w14:paraId="0773B305" w14:textId="2127DAD7" w:rsidR="00436191" w:rsidRPr="0058349C" w:rsidRDefault="00436191" w:rsidP="00F4367B">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Objektivi</w:t>
            </w:r>
            <w:r w:rsidR="00CF7694" w:rsidRPr="0058349C">
              <w:rPr>
                <w:rFonts w:ascii="Garamond" w:eastAsia="Arial" w:hAnsi="Garamond"/>
                <w:b/>
                <w:bCs/>
                <w:sz w:val="18"/>
                <w:szCs w:val="18"/>
                <w:lang w:val="sq-AL"/>
              </w:rPr>
              <w:t xml:space="preserve"> </w:t>
            </w:r>
            <w:r w:rsidRPr="00F4367B">
              <w:rPr>
                <w:rFonts w:ascii="Garamond" w:eastAsia="Arial" w:hAnsi="Garamond"/>
                <w:b/>
                <w:bCs/>
                <w:sz w:val="18"/>
                <w:szCs w:val="18"/>
                <w:lang w:val="sq-AL"/>
              </w:rPr>
              <w:t>për vitin 2024</w:t>
            </w:r>
          </w:p>
        </w:tc>
        <w:tc>
          <w:tcPr>
            <w:tcW w:w="1134" w:type="dxa"/>
            <w:shd w:val="clear" w:color="auto" w:fill="E5F7CA"/>
            <w:vAlign w:val="center"/>
          </w:tcPr>
          <w:p w14:paraId="0773B306" w14:textId="77777777" w:rsidR="00436191" w:rsidRPr="0058349C" w:rsidRDefault="00436191" w:rsidP="00F4367B">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Objektivi p</w:t>
            </w:r>
            <w:r w:rsidRPr="0058349C">
              <w:rPr>
                <w:rStyle w:val="normaltextrun"/>
                <w:rFonts w:ascii="Garamond" w:eastAsia="Arial" w:hAnsi="Garamond"/>
                <w:b/>
                <w:bCs/>
                <w:sz w:val="18"/>
                <w:szCs w:val="18"/>
                <w:lang w:val="sq-AL"/>
              </w:rPr>
              <w:t>ër vitin</w:t>
            </w:r>
            <w:r w:rsidRPr="0058349C">
              <w:rPr>
                <w:rFonts w:ascii="Garamond" w:eastAsia="Arial" w:hAnsi="Garamond"/>
                <w:b/>
                <w:bCs/>
                <w:sz w:val="18"/>
                <w:szCs w:val="18"/>
                <w:lang w:val="sq-AL"/>
              </w:rPr>
              <w:t xml:space="preserve"> 2027</w:t>
            </w:r>
          </w:p>
        </w:tc>
      </w:tr>
      <w:tr w:rsidR="00436191" w:rsidRPr="0058349C" w14:paraId="0773B30C" w14:textId="77777777" w:rsidTr="00EA28DE">
        <w:trPr>
          <w:trHeight w:val="20"/>
        </w:trPr>
        <w:tc>
          <w:tcPr>
            <w:tcW w:w="14170" w:type="dxa"/>
            <w:gridSpan w:val="9"/>
            <w:shd w:val="clear" w:color="auto" w:fill="E5F7CA"/>
          </w:tcPr>
          <w:p w14:paraId="0773B30B" w14:textId="1AA3F664" w:rsidR="00436191" w:rsidRPr="0058349C" w:rsidRDefault="00436191" w:rsidP="00F4367B">
            <w:pPr>
              <w:shd w:val="clear" w:color="auto" w:fill="E5F7CA"/>
              <w:spacing w:after="0" w:line="240" w:lineRule="auto"/>
              <w:rPr>
                <w:rFonts w:ascii="Garamond" w:eastAsia="Arial" w:hAnsi="Garamond"/>
                <w:b/>
                <w:bCs/>
                <w:sz w:val="18"/>
                <w:szCs w:val="18"/>
                <w:lang w:val="sq-AL"/>
              </w:rPr>
            </w:pPr>
            <w:r w:rsidRPr="0058349C">
              <w:rPr>
                <w:rStyle w:val="normaltextrun"/>
                <w:rFonts w:ascii="Garamond" w:eastAsia="Arial" w:hAnsi="Garamond"/>
                <w:b/>
                <w:bCs/>
                <w:sz w:val="18"/>
                <w:szCs w:val="18"/>
                <w:lang w:val="sq-AL"/>
              </w:rPr>
              <w:t xml:space="preserve">Objektivi i </w:t>
            </w:r>
            <w:r w:rsidR="00F4367B" w:rsidRPr="0058349C">
              <w:rPr>
                <w:rStyle w:val="normaltextrun"/>
                <w:rFonts w:ascii="Garamond" w:eastAsia="Arial" w:hAnsi="Garamond"/>
                <w:b/>
                <w:bCs/>
                <w:sz w:val="18"/>
                <w:szCs w:val="18"/>
                <w:lang w:val="sq-AL"/>
              </w:rPr>
              <w:t xml:space="preserve">përgjithshëm </w:t>
            </w:r>
            <w:r w:rsidRPr="0058349C">
              <w:rPr>
                <w:rStyle w:val="normaltextrun"/>
                <w:rFonts w:ascii="Garamond" w:eastAsia="Arial" w:hAnsi="Garamond"/>
                <w:b/>
                <w:bCs/>
                <w:sz w:val="18"/>
                <w:szCs w:val="18"/>
                <w:lang w:val="sq-AL"/>
              </w:rPr>
              <w:t>1</w:t>
            </w:r>
            <w:r w:rsidR="00F4367B">
              <w:rPr>
                <w:rStyle w:val="normaltextrun"/>
                <w:rFonts w:ascii="Garamond" w:eastAsia="Arial" w:hAnsi="Garamond"/>
                <w:b/>
                <w:bCs/>
                <w:sz w:val="18"/>
                <w:szCs w:val="18"/>
                <w:lang w:val="sq-AL"/>
              </w:rPr>
              <w:t xml:space="preserve">: </w:t>
            </w:r>
            <w:r w:rsidRPr="0058349C">
              <w:rPr>
                <w:rStyle w:val="normaltextrun"/>
                <w:rFonts w:ascii="Garamond" w:eastAsia="Arial" w:hAnsi="Garamond"/>
                <w:b/>
                <w:bCs/>
                <w:sz w:val="18"/>
                <w:szCs w:val="18"/>
                <w:lang w:val="sq-AL"/>
              </w:rPr>
              <w:t>Promovimi i prodhimit</w:t>
            </w:r>
            <w:r w:rsidR="00CF7694" w:rsidRPr="0058349C">
              <w:rPr>
                <w:rStyle w:val="normaltextrun"/>
                <w:rFonts w:ascii="Garamond" w:eastAsia="Arial" w:hAnsi="Garamond"/>
                <w:b/>
                <w:bCs/>
                <w:sz w:val="18"/>
                <w:szCs w:val="18"/>
                <w:lang w:val="sq-AL"/>
              </w:rPr>
              <w:t xml:space="preserve"> </w:t>
            </w:r>
            <w:r w:rsidRPr="0058349C">
              <w:rPr>
                <w:rStyle w:val="normaltextrun"/>
                <w:rFonts w:ascii="Garamond" w:eastAsia="Arial" w:hAnsi="Garamond"/>
                <w:b/>
                <w:bCs/>
                <w:sz w:val="18"/>
                <w:szCs w:val="18"/>
                <w:lang w:val="sq-AL"/>
              </w:rPr>
              <w:t>të qëndruesh</w:t>
            </w:r>
            <w:r w:rsidRPr="0058349C">
              <w:rPr>
                <w:rFonts w:ascii="Garamond" w:eastAsia="Arial" w:hAnsi="Garamond"/>
                <w:sz w:val="18"/>
                <w:szCs w:val="18"/>
                <w:lang w:val="sq-AL"/>
              </w:rPr>
              <w:t>ë</w:t>
            </w:r>
            <w:r w:rsidRPr="0058349C">
              <w:rPr>
                <w:rStyle w:val="normaltextrun"/>
                <w:rFonts w:ascii="Garamond" w:eastAsia="Arial" w:hAnsi="Garamond"/>
                <w:b/>
                <w:bCs/>
                <w:sz w:val="18"/>
                <w:szCs w:val="18"/>
                <w:lang w:val="sq-AL"/>
              </w:rPr>
              <w:t>m</w:t>
            </w:r>
            <w:r w:rsidR="00CF7694" w:rsidRPr="0058349C">
              <w:rPr>
                <w:rStyle w:val="normaltextrun"/>
                <w:rFonts w:ascii="Garamond" w:eastAsia="Arial" w:hAnsi="Garamond"/>
                <w:b/>
                <w:bCs/>
                <w:sz w:val="18"/>
                <w:szCs w:val="18"/>
                <w:lang w:val="sq-AL"/>
              </w:rPr>
              <w:t xml:space="preserve"> </w:t>
            </w:r>
            <w:r w:rsidRPr="0058349C">
              <w:rPr>
                <w:rStyle w:val="normaltextrun"/>
                <w:rFonts w:ascii="Garamond" w:eastAsia="Arial" w:hAnsi="Garamond"/>
                <w:b/>
                <w:bCs/>
                <w:sz w:val="18"/>
                <w:szCs w:val="18"/>
                <w:lang w:val="sq-AL"/>
              </w:rPr>
              <w:t>dhe cilësisë</w:t>
            </w:r>
            <w:r w:rsidR="00CF7694" w:rsidRPr="0058349C">
              <w:rPr>
                <w:rStyle w:val="normaltextrun"/>
                <w:rFonts w:ascii="Garamond" w:eastAsia="Arial" w:hAnsi="Garamond"/>
                <w:b/>
                <w:bCs/>
                <w:sz w:val="18"/>
                <w:szCs w:val="18"/>
                <w:lang w:val="sq-AL"/>
              </w:rPr>
              <w:t xml:space="preserve"> </w:t>
            </w:r>
            <w:r w:rsidRPr="0058349C">
              <w:rPr>
                <w:rStyle w:val="normaltextrun"/>
                <w:rFonts w:ascii="Garamond" w:eastAsia="Arial" w:hAnsi="Garamond"/>
                <w:b/>
                <w:bCs/>
                <w:sz w:val="18"/>
                <w:szCs w:val="18"/>
                <w:lang w:val="sq-AL"/>
              </w:rPr>
              <w:t xml:space="preserve">të ushqimit nëpërmjet zhvillimit të një sektori konkurrues dhe </w:t>
            </w:r>
            <w:r w:rsidR="00CF7694" w:rsidRPr="0058349C">
              <w:rPr>
                <w:rStyle w:val="normaltextrun"/>
                <w:rFonts w:ascii="Garamond" w:eastAsia="Arial" w:hAnsi="Garamond"/>
                <w:b/>
                <w:bCs/>
                <w:sz w:val="18"/>
                <w:szCs w:val="18"/>
                <w:lang w:val="sq-AL"/>
              </w:rPr>
              <w:t xml:space="preserve"> </w:t>
            </w:r>
            <w:r w:rsidRPr="0058349C">
              <w:rPr>
                <w:rStyle w:val="normaltextrun"/>
                <w:rFonts w:ascii="Garamond" w:eastAsia="Arial" w:hAnsi="Garamond"/>
                <w:b/>
                <w:bCs/>
                <w:sz w:val="18"/>
                <w:szCs w:val="18"/>
                <w:lang w:val="sq-AL"/>
              </w:rPr>
              <w:t>inovativ agroushqimor</w:t>
            </w:r>
          </w:p>
        </w:tc>
      </w:tr>
      <w:tr w:rsidR="00436191" w:rsidRPr="0058349C" w14:paraId="0773B313" w14:textId="77777777" w:rsidTr="00EA28DE">
        <w:trPr>
          <w:trHeight w:val="20"/>
        </w:trPr>
        <w:tc>
          <w:tcPr>
            <w:tcW w:w="384" w:type="dxa"/>
            <w:shd w:val="clear" w:color="auto" w:fill="auto"/>
          </w:tcPr>
          <w:p w14:paraId="0773B30D" w14:textId="77777777" w:rsidR="00436191" w:rsidRPr="0058349C" w:rsidRDefault="00436191" w:rsidP="00F4367B">
            <w:pPr>
              <w:shd w:val="clear" w:color="auto" w:fill="E5F7CA"/>
              <w:spacing w:after="0" w:line="240" w:lineRule="auto"/>
              <w:rPr>
                <w:rFonts w:ascii="Garamond" w:eastAsia="Arial" w:hAnsi="Garamond"/>
                <w:b/>
                <w:sz w:val="18"/>
                <w:szCs w:val="18"/>
                <w:lang w:val="sq-AL"/>
              </w:rPr>
            </w:pPr>
          </w:p>
        </w:tc>
        <w:tc>
          <w:tcPr>
            <w:tcW w:w="6093" w:type="dxa"/>
            <w:gridSpan w:val="2"/>
            <w:shd w:val="clear" w:color="auto" w:fill="auto"/>
            <w:vAlign w:val="center"/>
          </w:tcPr>
          <w:p w14:paraId="0773B30E" w14:textId="7483F004" w:rsidR="00436191" w:rsidRPr="0058349C" w:rsidRDefault="00436191" w:rsidP="00F4367B">
            <w:pPr>
              <w:shd w:val="clear" w:color="auto" w:fill="E5F7CA"/>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 xml:space="preserve">Treguesi i </w:t>
            </w:r>
            <w:r w:rsidR="00F4367B" w:rsidRPr="0058349C">
              <w:rPr>
                <w:rFonts w:ascii="Garamond" w:eastAsia="Arial" w:hAnsi="Garamond"/>
                <w:b/>
                <w:bCs/>
                <w:sz w:val="18"/>
                <w:szCs w:val="18"/>
                <w:lang w:val="sq-AL"/>
              </w:rPr>
              <w:t xml:space="preserve">ndikimit </w:t>
            </w:r>
            <w:r w:rsidRPr="0058349C">
              <w:rPr>
                <w:rFonts w:ascii="Garamond" w:eastAsia="Arial" w:hAnsi="Garamond"/>
                <w:b/>
                <w:bCs/>
                <w:sz w:val="18"/>
                <w:szCs w:val="18"/>
                <w:lang w:val="sq-AL"/>
              </w:rPr>
              <w:t xml:space="preserve">1.1: </w:t>
            </w:r>
            <w:r w:rsidRPr="0058349C">
              <w:rPr>
                <w:rFonts w:ascii="Garamond" w:eastAsia="Arial" w:hAnsi="Garamond"/>
                <w:bCs/>
                <w:sz w:val="18"/>
                <w:szCs w:val="18"/>
                <w:lang w:val="sq-AL"/>
              </w:rPr>
              <w:t>Vlera e shtuar bruto e produktit</w:t>
            </w:r>
            <w:r w:rsidRPr="0058349C">
              <w:rPr>
                <w:rFonts w:ascii="Garamond" w:eastAsia="Arial" w:hAnsi="Garamond"/>
                <w:sz w:val="18"/>
                <w:szCs w:val="18"/>
                <w:lang w:val="sq-AL"/>
              </w:rPr>
              <w:t xml:space="preserve"> (në </w:t>
            </w:r>
            <w:r w:rsidR="00F4367B" w:rsidRPr="0058349C">
              <w:rPr>
                <w:rFonts w:ascii="Garamond" w:eastAsia="Arial" w:hAnsi="Garamond"/>
                <w:sz w:val="18"/>
                <w:szCs w:val="18"/>
                <w:lang w:val="sq-AL"/>
              </w:rPr>
              <w:t>euro</w:t>
            </w:r>
            <w:r w:rsidRPr="0058349C">
              <w:rPr>
                <w:rFonts w:ascii="Garamond" w:eastAsia="Arial" w:hAnsi="Garamond"/>
                <w:sz w:val="18"/>
                <w:szCs w:val="18"/>
                <w:lang w:val="sq-AL"/>
              </w:rPr>
              <w:t>) synohet të rritet me 15% deri në vitin 2027</w:t>
            </w:r>
          </w:p>
        </w:tc>
        <w:tc>
          <w:tcPr>
            <w:tcW w:w="1419" w:type="dxa"/>
            <w:shd w:val="clear" w:color="auto" w:fill="E5F7CA"/>
            <w:vAlign w:val="center"/>
          </w:tcPr>
          <w:p w14:paraId="0773B30F" w14:textId="77777777" w:rsidR="00436191" w:rsidRPr="0058349C" w:rsidRDefault="00436191" w:rsidP="00F4367B">
            <w:pPr>
              <w:shd w:val="clear" w:color="auto" w:fill="E5F7CA"/>
              <w:spacing w:after="0" w:line="240" w:lineRule="auto"/>
              <w:jc w:val="center"/>
              <w:rPr>
                <w:rFonts w:ascii="Garamond" w:eastAsia="Arial" w:hAnsi="Garamond" w:cs="Arial"/>
                <w:b/>
                <w:bCs/>
                <w:sz w:val="18"/>
                <w:szCs w:val="18"/>
                <w:lang w:val="sq-AL"/>
              </w:rPr>
            </w:pPr>
            <w:r w:rsidRPr="0058349C">
              <w:rPr>
                <w:rFonts w:ascii="Garamond" w:eastAsia="Arial" w:hAnsi="Garamond" w:cs="Arial"/>
                <w:b/>
                <w:bCs/>
                <w:sz w:val="18"/>
                <w:szCs w:val="18"/>
                <w:lang w:val="sq-AL"/>
              </w:rPr>
              <w:t>2,559,051,109</w:t>
            </w:r>
          </w:p>
        </w:tc>
        <w:tc>
          <w:tcPr>
            <w:tcW w:w="3865" w:type="dxa"/>
            <w:gridSpan w:val="3"/>
            <w:vMerge w:val="restart"/>
            <w:shd w:val="clear" w:color="auto" w:fill="E5F7CA"/>
            <w:vAlign w:val="center"/>
          </w:tcPr>
          <w:p w14:paraId="0773B310" w14:textId="77777777" w:rsidR="00436191" w:rsidRPr="0058349C" w:rsidRDefault="00436191" w:rsidP="00F4367B">
            <w:pPr>
              <w:shd w:val="clear" w:color="auto" w:fill="E5F7CA"/>
              <w:spacing w:after="0" w:line="240" w:lineRule="auto"/>
              <w:jc w:val="center"/>
              <w:rPr>
                <w:rFonts w:ascii="Garamond" w:eastAsia="Arial" w:hAnsi="Garamond"/>
                <w:sz w:val="18"/>
                <w:szCs w:val="18"/>
                <w:lang w:val="sq-AL"/>
              </w:rPr>
            </w:pPr>
          </w:p>
        </w:tc>
        <w:tc>
          <w:tcPr>
            <w:tcW w:w="1275" w:type="dxa"/>
            <w:shd w:val="clear" w:color="auto" w:fill="E5F7CA"/>
            <w:vAlign w:val="center"/>
          </w:tcPr>
          <w:p w14:paraId="0773B311" w14:textId="77777777" w:rsidR="00436191" w:rsidRPr="0058349C" w:rsidRDefault="00436191" w:rsidP="00F4367B">
            <w:pPr>
              <w:shd w:val="clear" w:color="auto" w:fill="E5F7CA"/>
              <w:spacing w:after="0" w:line="240" w:lineRule="auto"/>
              <w:jc w:val="center"/>
              <w:rPr>
                <w:rFonts w:ascii="Garamond" w:eastAsia="Arial" w:hAnsi="Garamond" w:cs="Arial"/>
                <w:b/>
                <w:bCs/>
                <w:sz w:val="18"/>
                <w:szCs w:val="18"/>
                <w:lang w:val="sq-AL"/>
              </w:rPr>
            </w:pPr>
            <w:r w:rsidRPr="0058349C">
              <w:rPr>
                <w:rFonts w:ascii="Garamond" w:eastAsia="Arial" w:hAnsi="Garamond" w:cs="Arial"/>
                <w:b/>
                <w:bCs/>
                <w:sz w:val="18"/>
                <w:szCs w:val="18"/>
                <w:lang w:val="sq-AL"/>
              </w:rPr>
              <w:t>+7%</w:t>
            </w:r>
          </w:p>
        </w:tc>
        <w:tc>
          <w:tcPr>
            <w:tcW w:w="1134" w:type="dxa"/>
            <w:shd w:val="clear" w:color="auto" w:fill="E5F7CA"/>
            <w:vAlign w:val="center"/>
          </w:tcPr>
          <w:p w14:paraId="0773B312" w14:textId="77777777" w:rsidR="00436191" w:rsidRPr="0058349C" w:rsidRDefault="00436191" w:rsidP="00F4367B">
            <w:pPr>
              <w:shd w:val="clear" w:color="auto" w:fill="E5F7CA"/>
              <w:spacing w:after="0" w:line="240" w:lineRule="auto"/>
              <w:jc w:val="center"/>
              <w:rPr>
                <w:rFonts w:ascii="Garamond" w:eastAsia="Arial" w:hAnsi="Garamond" w:cs="Arial"/>
                <w:b/>
                <w:bCs/>
                <w:sz w:val="18"/>
                <w:szCs w:val="18"/>
                <w:lang w:val="sq-AL"/>
              </w:rPr>
            </w:pPr>
            <w:r w:rsidRPr="0058349C">
              <w:rPr>
                <w:rFonts w:ascii="Garamond" w:eastAsia="Arial" w:hAnsi="Garamond" w:cs="Arial"/>
                <w:b/>
                <w:bCs/>
                <w:sz w:val="18"/>
                <w:szCs w:val="18"/>
                <w:lang w:val="sq-AL"/>
              </w:rPr>
              <w:t>+15%</w:t>
            </w:r>
          </w:p>
        </w:tc>
      </w:tr>
      <w:tr w:rsidR="00436191" w:rsidRPr="0058349C" w14:paraId="0773B31A" w14:textId="77777777" w:rsidTr="00EA28DE">
        <w:trPr>
          <w:trHeight w:val="20"/>
        </w:trPr>
        <w:tc>
          <w:tcPr>
            <w:tcW w:w="384" w:type="dxa"/>
            <w:shd w:val="clear" w:color="auto" w:fill="auto"/>
          </w:tcPr>
          <w:p w14:paraId="0773B314" w14:textId="77777777" w:rsidR="00436191" w:rsidRPr="0058349C" w:rsidRDefault="00436191" w:rsidP="00F4367B">
            <w:pPr>
              <w:shd w:val="clear" w:color="auto" w:fill="E5F7CA"/>
              <w:spacing w:after="0" w:line="240" w:lineRule="auto"/>
              <w:rPr>
                <w:rFonts w:ascii="Garamond" w:eastAsia="Arial" w:hAnsi="Garamond"/>
                <w:b/>
                <w:sz w:val="18"/>
                <w:szCs w:val="18"/>
                <w:lang w:val="sq-AL"/>
              </w:rPr>
            </w:pPr>
          </w:p>
        </w:tc>
        <w:tc>
          <w:tcPr>
            <w:tcW w:w="6093" w:type="dxa"/>
            <w:gridSpan w:val="2"/>
            <w:shd w:val="clear" w:color="auto" w:fill="auto"/>
            <w:vAlign w:val="center"/>
          </w:tcPr>
          <w:p w14:paraId="0773B315" w14:textId="4A5448C2" w:rsidR="00436191" w:rsidRPr="0058349C" w:rsidRDefault="00436191" w:rsidP="00F4367B">
            <w:pPr>
              <w:shd w:val="clear" w:color="auto" w:fill="E5F7CA"/>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 xml:space="preserve">Treguesi i </w:t>
            </w:r>
            <w:r w:rsidR="00F4367B" w:rsidRPr="0058349C">
              <w:rPr>
                <w:rFonts w:ascii="Garamond" w:eastAsia="Arial" w:hAnsi="Garamond"/>
                <w:b/>
                <w:bCs/>
                <w:sz w:val="18"/>
                <w:szCs w:val="18"/>
                <w:lang w:val="sq-AL"/>
              </w:rPr>
              <w:t xml:space="preserve">ndikimit </w:t>
            </w:r>
            <w:r w:rsidRPr="0058349C">
              <w:rPr>
                <w:rFonts w:ascii="Garamond" w:eastAsia="Arial" w:hAnsi="Garamond"/>
                <w:b/>
                <w:bCs/>
                <w:sz w:val="18"/>
                <w:szCs w:val="18"/>
                <w:lang w:val="sq-AL"/>
              </w:rPr>
              <w:t xml:space="preserve">1.2: </w:t>
            </w:r>
            <w:r w:rsidRPr="0058349C">
              <w:rPr>
                <w:rFonts w:ascii="Garamond" w:eastAsia="Arial" w:hAnsi="Garamond"/>
                <w:bCs/>
                <w:sz w:val="18"/>
                <w:szCs w:val="18"/>
                <w:lang w:val="sq-AL"/>
              </w:rPr>
              <w:t>Deri n</w:t>
            </w:r>
            <w:r w:rsidRPr="0058349C">
              <w:rPr>
                <w:rFonts w:ascii="Garamond" w:eastAsia="Arial" w:hAnsi="Garamond"/>
                <w:sz w:val="18"/>
                <w:szCs w:val="18"/>
                <w:lang w:val="sq-AL"/>
              </w:rPr>
              <w:t>ë vitin 2027 do t</w:t>
            </w:r>
            <w:r w:rsidRPr="0058349C">
              <w:rPr>
                <w:rStyle w:val="normaltextrun"/>
                <w:rFonts w:ascii="Garamond" w:eastAsia="Arial" w:hAnsi="Garamond"/>
                <w:bCs/>
                <w:sz w:val="18"/>
                <w:szCs w:val="18"/>
                <w:lang w:val="sq-AL"/>
              </w:rPr>
              <w:t>ë rritet</w:t>
            </w:r>
            <w:r w:rsidRPr="0058349C">
              <w:rPr>
                <w:rFonts w:ascii="Garamond" w:eastAsia="Arial" w:hAnsi="Garamond"/>
                <w:sz w:val="18"/>
                <w:szCs w:val="18"/>
                <w:lang w:val="sq-AL"/>
              </w:rPr>
              <w:t xml:space="preserve"> me 10% numri i vendeve të punës n</w:t>
            </w:r>
            <w:r w:rsidRPr="0058349C">
              <w:rPr>
                <w:rStyle w:val="normaltextrun"/>
                <w:rFonts w:ascii="Garamond" w:eastAsia="Arial" w:hAnsi="Garamond"/>
                <w:bCs/>
                <w:sz w:val="18"/>
                <w:szCs w:val="18"/>
                <w:lang w:val="sq-AL"/>
              </w:rPr>
              <w:t>ë</w:t>
            </w:r>
            <w:r w:rsidR="00CF7694" w:rsidRPr="0058349C">
              <w:rPr>
                <w:rFonts w:ascii="Garamond" w:eastAsia="Arial" w:hAnsi="Garamond"/>
                <w:sz w:val="18"/>
                <w:szCs w:val="18"/>
                <w:lang w:val="sq-AL"/>
              </w:rPr>
              <w:t xml:space="preserve"> </w:t>
            </w:r>
            <w:r w:rsidRPr="0058349C">
              <w:rPr>
                <w:rFonts w:ascii="Garamond" w:eastAsia="Arial" w:hAnsi="Garamond"/>
                <w:sz w:val="18"/>
                <w:szCs w:val="18"/>
                <w:lang w:val="sq-AL"/>
              </w:rPr>
              <w:t>sektorin e agropërpunimit (</w:t>
            </w:r>
            <w:r w:rsidRPr="0058349C">
              <w:rPr>
                <w:rFonts w:ascii="Garamond" w:eastAsia="Arial" w:hAnsi="Garamond"/>
                <w:bCs/>
                <w:sz w:val="18"/>
                <w:szCs w:val="18"/>
                <w:lang w:val="sq-AL"/>
              </w:rPr>
              <w:t>e p</w:t>
            </w:r>
            <w:r w:rsidRPr="0058349C">
              <w:rPr>
                <w:rFonts w:ascii="Garamond" w:eastAsia="Arial" w:hAnsi="Garamond"/>
                <w:sz w:val="18"/>
                <w:szCs w:val="18"/>
                <w:lang w:val="sq-AL"/>
              </w:rPr>
              <w:t xml:space="preserve">ërllogaritur </w:t>
            </w:r>
            <w:r w:rsidRPr="0058349C">
              <w:rPr>
                <w:rFonts w:ascii="Garamond" w:eastAsia="Arial" w:hAnsi="Garamond"/>
                <w:bCs/>
                <w:sz w:val="18"/>
                <w:szCs w:val="18"/>
                <w:lang w:val="sq-AL"/>
              </w:rPr>
              <w:t>në njësi vjetore punuese-A</w:t>
            </w:r>
            <w:r w:rsidR="00167C37" w:rsidRPr="0058349C">
              <w:rPr>
                <w:rFonts w:ascii="Garamond" w:eastAsia="Arial" w:hAnsi="Garamond"/>
                <w:bCs/>
                <w:sz w:val="18"/>
                <w:szCs w:val="18"/>
                <w:lang w:val="sq-AL"/>
              </w:rPr>
              <w:t>W</w:t>
            </w:r>
            <w:r w:rsidRPr="0058349C">
              <w:rPr>
                <w:rFonts w:ascii="Garamond" w:eastAsia="Arial" w:hAnsi="Garamond"/>
                <w:bCs/>
                <w:sz w:val="18"/>
                <w:szCs w:val="18"/>
                <w:lang w:val="sq-AL"/>
              </w:rPr>
              <w:t>U</w:t>
            </w:r>
            <w:r w:rsidRPr="0058349C">
              <w:rPr>
                <w:rFonts w:ascii="Garamond" w:eastAsia="Arial" w:hAnsi="Garamond"/>
                <w:sz w:val="18"/>
                <w:szCs w:val="18"/>
                <w:lang w:val="sq-AL"/>
              </w:rPr>
              <w:t>)</w:t>
            </w:r>
          </w:p>
        </w:tc>
        <w:tc>
          <w:tcPr>
            <w:tcW w:w="1419" w:type="dxa"/>
            <w:shd w:val="clear" w:color="auto" w:fill="E5F7CA"/>
            <w:vAlign w:val="center"/>
          </w:tcPr>
          <w:p w14:paraId="0773B316" w14:textId="77777777" w:rsidR="00436191" w:rsidRPr="0058349C" w:rsidRDefault="00436191" w:rsidP="00F4367B">
            <w:pPr>
              <w:shd w:val="clear" w:color="auto" w:fill="E5F7CA"/>
              <w:spacing w:after="0" w:line="240" w:lineRule="auto"/>
              <w:jc w:val="center"/>
              <w:rPr>
                <w:rFonts w:ascii="Garamond" w:eastAsia="Arial" w:hAnsi="Garamond" w:cs="Arial"/>
                <w:b/>
                <w:bCs/>
                <w:sz w:val="18"/>
                <w:szCs w:val="18"/>
                <w:lang w:val="sq-AL"/>
              </w:rPr>
            </w:pPr>
            <w:r w:rsidRPr="0058349C">
              <w:rPr>
                <w:rFonts w:ascii="Garamond" w:eastAsia="Arial" w:hAnsi="Garamond" w:cs="Arial"/>
                <w:bCs/>
                <w:sz w:val="18"/>
                <w:szCs w:val="18"/>
                <w:lang w:val="sq-AL"/>
              </w:rPr>
              <w:t>13,862- nr. i të punësuarve në agropërpunim</w:t>
            </w:r>
          </w:p>
        </w:tc>
        <w:tc>
          <w:tcPr>
            <w:tcW w:w="3865" w:type="dxa"/>
            <w:gridSpan w:val="3"/>
            <w:vMerge/>
            <w:shd w:val="clear" w:color="auto" w:fill="E5F7CA"/>
            <w:vAlign w:val="center"/>
          </w:tcPr>
          <w:p w14:paraId="0773B317" w14:textId="77777777" w:rsidR="00436191" w:rsidRPr="0058349C" w:rsidRDefault="00436191" w:rsidP="00F4367B">
            <w:pPr>
              <w:shd w:val="clear" w:color="auto" w:fill="E5F7CA"/>
              <w:spacing w:after="0" w:line="240" w:lineRule="auto"/>
              <w:jc w:val="center"/>
              <w:rPr>
                <w:rFonts w:ascii="Garamond" w:eastAsia="Arial" w:hAnsi="Garamond"/>
                <w:sz w:val="18"/>
                <w:szCs w:val="18"/>
                <w:lang w:val="sq-AL"/>
              </w:rPr>
            </w:pPr>
          </w:p>
        </w:tc>
        <w:tc>
          <w:tcPr>
            <w:tcW w:w="1275" w:type="dxa"/>
            <w:shd w:val="clear" w:color="auto" w:fill="E5F7CA"/>
            <w:vAlign w:val="center"/>
          </w:tcPr>
          <w:p w14:paraId="0773B318" w14:textId="77777777" w:rsidR="00436191" w:rsidRPr="0058349C" w:rsidRDefault="00436191" w:rsidP="00F4367B">
            <w:pPr>
              <w:shd w:val="clear" w:color="auto" w:fill="E5F7CA"/>
              <w:spacing w:after="0" w:line="240" w:lineRule="auto"/>
              <w:jc w:val="center"/>
              <w:rPr>
                <w:rFonts w:ascii="Garamond" w:eastAsia="Arial" w:hAnsi="Garamond" w:cs="Arial"/>
                <w:b/>
                <w:bCs/>
                <w:sz w:val="18"/>
                <w:szCs w:val="18"/>
                <w:lang w:val="sq-AL"/>
              </w:rPr>
            </w:pPr>
            <w:r w:rsidRPr="0058349C">
              <w:rPr>
                <w:rFonts w:ascii="Garamond" w:eastAsia="Arial" w:hAnsi="Garamond" w:cs="Arial"/>
                <w:b/>
                <w:bCs/>
                <w:sz w:val="18"/>
                <w:szCs w:val="18"/>
                <w:lang w:val="sq-AL"/>
              </w:rPr>
              <w:t>+5%</w:t>
            </w:r>
          </w:p>
        </w:tc>
        <w:tc>
          <w:tcPr>
            <w:tcW w:w="1134" w:type="dxa"/>
            <w:shd w:val="clear" w:color="auto" w:fill="E5F7CA"/>
            <w:vAlign w:val="center"/>
          </w:tcPr>
          <w:p w14:paraId="0773B319" w14:textId="77777777" w:rsidR="00436191" w:rsidRPr="0058349C" w:rsidRDefault="00436191" w:rsidP="00F4367B">
            <w:pPr>
              <w:shd w:val="clear" w:color="auto" w:fill="E5F7CA"/>
              <w:spacing w:after="0" w:line="240" w:lineRule="auto"/>
              <w:jc w:val="center"/>
              <w:rPr>
                <w:rFonts w:ascii="Garamond" w:eastAsia="Arial" w:hAnsi="Garamond" w:cs="Arial"/>
                <w:b/>
                <w:bCs/>
                <w:sz w:val="18"/>
                <w:szCs w:val="18"/>
                <w:lang w:val="sq-AL"/>
              </w:rPr>
            </w:pPr>
            <w:r w:rsidRPr="0058349C">
              <w:rPr>
                <w:rFonts w:ascii="Garamond" w:eastAsia="Arial" w:hAnsi="Garamond" w:cs="Arial"/>
                <w:b/>
                <w:bCs/>
                <w:sz w:val="18"/>
                <w:szCs w:val="18"/>
                <w:lang w:val="sq-AL"/>
              </w:rPr>
              <w:t>+10%</w:t>
            </w:r>
          </w:p>
        </w:tc>
      </w:tr>
      <w:tr w:rsidR="00436191" w:rsidRPr="0058349C" w14:paraId="0773B321" w14:textId="77777777" w:rsidTr="00EA28DE">
        <w:trPr>
          <w:trHeight w:val="20"/>
        </w:trPr>
        <w:tc>
          <w:tcPr>
            <w:tcW w:w="384" w:type="dxa"/>
            <w:shd w:val="clear" w:color="auto" w:fill="auto"/>
          </w:tcPr>
          <w:p w14:paraId="0773B31B" w14:textId="77777777" w:rsidR="00436191" w:rsidRPr="0058349C" w:rsidRDefault="00436191" w:rsidP="00F4367B">
            <w:pPr>
              <w:shd w:val="clear" w:color="auto" w:fill="E5F7CA"/>
              <w:spacing w:after="0" w:line="240" w:lineRule="auto"/>
              <w:rPr>
                <w:rFonts w:ascii="Garamond" w:eastAsia="Arial" w:hAnsi="Garamond"/>
                <w:b/>
                <w:sz w:val="18"/>
                <w:szCs w:val="18"/>
                <w:lang w:val="sq-AL"/>
              </w:rPr>
            </w:pPr>
          </w:p>
        </w:tc>
        <w:tc>
          <w:tcPr>
            <w:tcW w:w="6093" w:type="dxa"/>
            <w:gridSpan w:val="2"/>
            <w:shd w:val="clear" w:color="auto" w:fill="auto"/>
            <w:vAlign w:val="center"/>
          </w:tcPr>
          <w:p w14:paraId="0773B31C" w14:textId="3DE5201D" w:rsidR="00436191" w:rsidRPr="0058349C" w:rsidRDefault="00436191" w:rsidP="00F4367B">
            <w:pPr>
              <w:shd w:val="clear" w:color="auto" w:fill="E5F7CA"/>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 xml:space="preserve">Treguesi i ndikimit 1.3: </w:t>
            </w:r>
            <w:r w:rsidRPr="0058349C">
              <w:rPr>
                <w:rFonts w:ascii="Garamond" w:eastAsia="Arial" w:hAnsi="Garamond"/>
                <w:bCs/>
                <w:sz w:val="18"/>
                <w:szCs w:val="18"/>
                <w:lang w:val="sq-AL"/>
              </w:rPr>
              <w:t xml:space="preserve">Produktiviteti i punës </w:t>
            </w:r>
            <w:r w:rsidR="00F4367B">
              <w:rPr>
                <w:rFonts w:ascii="Garamond" w:eastAsia="Arial" w:hAnsi="Garamond"/>
                <w:sz w:val="18"/>
                <w:szCs w:val="18"/>
                <w:lang w:val="sq-AL"/>
              </w:rPr>
              <w:t>(</w:t>
            </w:r>
            <w:r w:rsidR="00F4367B" w:rsidRPr="0058349C">
              <w:rPr>
                <w:rFonts w:ascii="Garamond" w:eastAsia="Arial" w:hAnsi="Garamond"/>
                <w:sz w:val="18"/>
                <w:szCs w:val="18"/>
                <w:lang w:val="sq-AL"/>
              </w:rPr>
              <w:t>euro</w:t>
            </w:r>
            <w:r w:rsidRPr="0058349C">
              <w:rPr>
                <w:rFonts w:ascii="Garamond" w:eastAsia="Arial" w:hAnsi="Garamond"/>
                <w:sz w:val="18"/>
                <w:szCs w:val="18"/>
                <w:lang w:val="sq-AL"/>
              </w:rPr>
              <w:t>/NJPV) deri në vitin 2027 do të rritet me 20%</w:t>
            </w:r>
          </w:p>
        </w:tc>
        <w:tc>
          <w:tcPr>
            <w:tcW w:w="1419" w:type="dxa"/>
            <w:shd w:val="clear" w:color="auto" w:fill="E5F7CA"/>
            <w:vAlign w:val="center"/>
          </w:tcPr>
          <w:p w14:paraId="0773B31D" w14:textId="77777777" w:rsidR="00436191" w:rsidRPr="0058349C" w:rsidRDefault="00436191" w:rsidP="00F4367B">
            <w:pPr>
              <w:shd w:val="clear" w:color="auto" w:fill="E5F7CA"/>
              <w:spacing w:after="0" w:line="240" w:lineRule="auto"/>
              <w:jc w:val="center"/>
              <w:rPr>
                <w:rFonts w:ascii="Garamond" w:eastAsia="Arial" w:hAnsi="Garamond" w:cs="Arial"/>
                <w:b/>
                <w:bCs/>
                <w:sz w:val="18"/>
                <w:szCs w:val="18"/>
                <w:lang w:val="sq-AL"/>
              </w:rPr>
            </w:pPr>
            <w:r w:rsidRPr="0058349C">
              <w:rPr>
                <w:rFonts w:ascii="Garamond" w:eastAsia="Arial" w:hAnsi="Garamond" w:cs="Arial"/>
                <w:b/>
                <w:bCs/>
                <w:sz w:val="18"/>
                <w:szCs w:val="18"/>
                <w:lang w:val="sq-AL"/>
              </w:rPr>
              <w:t>5,680</w:t>
            </w:r>
          </w:p>
        </w:tc>
        <w:tc>
          <w:tcPr>
            <w:tcW w:w="3865" w:type="dxa"/>
            <w:gridSpan w:val="3"/>
            <w:vMerge/>
            <w:shd w:val="clear" w:color="auto" w:fill="E5F7CA"/>
            <w:vAlign w:val="center"/>
          </w:tcPr>
          <w:p w14:paraId="0773B31E" w14:textId="77777777" w:rsidR="00436191" w:rsidRPr="0058349C" w:rsidRDefault="00436191" w:rsidP="00F4367B">
            <w:pPr>
              <w:shd w:val="clear" w:color="auto" w:fill="E5F7CA"/>
              <w:spacing w:after="0" w:line="240" w:lineRule="auto"/>
              <w:jc w:val="center"/>
              <w:rPr>
                <w:rFonts w:ascii="Garamond" w:eastAsia="Arial" w:hAnsi="Garamond"/>
                <w:sz w:val="18"/>
                <w:szCs w:val="18"/>
                <w:lang w:val="sq-AL"/>
              </w:rPr>
            </w:pPr>
          </w:p>
        </w:tc>
        <w:tc>
          <w:tcPr>
            <w:tcW w:w="1275" w:type="dxa"/>
            <w:shd w:val="clear" w:color="auto" w:fill="E5F7CA"/>
            <w:vAlign w:val="center"/>
          </w:tcPr>
          <w:p w14:paraId="0773B31F" w14:textId="77777777" w:rsidR="00436191" w:rsidRPr="0058349C" w:rsidRDefault="00436191" w:rsidP="00F4367B">
            <w:pPr>
              <w:shd w:val="clear" w:color="auto" w:fill="E5F7CA"/>
              <w:spacing w:after="0" w:line="240" w:lineRule="auto"/>
              <w:jc w:val="center"/>
              <w:rPr>
                <w:rFonts w:ascii="Garamond" w:eastAsia="Arial" w:hAnsi="Garamond" w:cs="Arial"/>
                <w:b/>
                <w:bCs/>
                <w:sz w:val="18"/>
                <w:szCs w:val="18"/>
                <w:lang w:val="sq-AL"/>
              </w:rPr>
            </w:pPr>
            <w:r w:rsidRPr="0058349C">
              <w:rPr>
                <w:rFonts w:ascii="Garamond" w:eastAsia="Arial" w:hAnsi="Garamond" w:cs="Arial"/>
                <w:b/>
                <w:bCs/>
                <w:sz w:val="18"/>
                <w:szCs w:val="18"/>
                <w:lang w:val="sq-AL"/>
              </w:rPr>
              <w:t>+15%</w:t>
            </w:r>
          </w:p>
        </w:tc>
        <w:tc>
          <w:tcPr>
            <w:tcW w:w="1134" w:type="dxa"/>
            <w:shd w:val="clear" w:color="auto" w:fill="E5F7CA"/>
            <w:vAlign w:val="center"/>
          </w:tcPr>
          <w:p w14:paraId="0773B320" w14:textId="77777777" w:rsidR="00436191" w:rsidRPr="0058349C" w:rsidRDefault="00436191" w:rsidP="00F4367B">
            <w:pPr>
              <w:shd w:val="clear" w:color="auto" w:fill="E5F7CA"/>
              <w:spacing w:after="0" w:line="240" w:lineRule="auto"/>
              <w:jc w:val="center"/>
              <w:rPr>
                <w:rFonts w:ascii="Garamond" w:eastAsia="Arial" w:hAnsi="Garamond" w:cs="Arial"/>
                <w:b/>
                <w:bCs/>
                <w:sz w:val="18"/>
                <w:szCs w:val="18"/>
                <w:lang w:val="sq-AL"/>
              </w:rPr>
            </w:pPr>
            <w:r w:rsidRPr="0058349C">
              <w:rPr>
                <w:rFonts w:ascii="Garamond" w:eastAsia="Arial" w:hAnsi="Garamond" w:cs="Arial"/>
                <w:b/>
                <w:bCs/>
                <w:sz w:val="18"/>
                <w:szCs w:val="18"/>
                <w:lang w:val="sq-AL"/>
              </w:rPr>
              <w:t>+20%</w:t>
            </w:r>
          </w:p>
        </w:tc>
      </w:tr>
      <w:tr w:rsidR="00436191" w:rsidRPr="0058349C" w14:paraId="0773B323" w14:textId="77777777" w:rsidTr="00EA28DE">
        <w:trPr>
          <w:trHeight w:val="20"/>
        </w:trPr>
        <w:tc>
          <w:tcPr>
            <w:tcW w:w="14170" w:type="dxa"/>
            <w:gridSpan w:val="9"/>
            <w:shd w:val="clear" w:color="auto" w:fill="E5F7CA"/>
            <w:vAlign w:val="center"/>
          </w:tcPr>
          <w:p w14:paraId="0773B322" w14:textId="71DECA72" w:rsidR="00436191" w:rsidRPr="0058349C" w:rsidRDefault="00CF7694" w:rsidP="00F4367B">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 xml:space="preserve"> </w:t>
            </w:r>
            <w:r w:rsidR="00436191" w:rsidRPr="0058349C">
              <w:rPr>
                <w:rFonts w:ascii="Garamond" w:eastAsia="Arial" w:hAnsi="Garamond"/>
                <w:b/>
                <w:bCs/>
                <w:sz w:val="18"/>
                <w:szCs w:val="18"/>
                <w:lang w:val="sq-AL"/>
              </w:rPr>
              <w:t xml:space="preserve">Objektivi specifik 1.1: Rritja e qëndrueshmërisë ekonomike dhe </w:t>
            </w:r>
            <w:r w:rsidR="00324B32">
              <w:rPr>
                <w:rFonts w:ascii="Garamond" w:eastAsia="Arial" w:hAnsi="Garamond"/>
                <w:b/>
                <w:bCs/>
                <w:sz w:val="18"/>
                <w:szCs w:val="18"/>
                <w:lang w:val="sq-AL"/>
              </w:rPr>
              <w:t xml:space="preserve">e </w:t>
            </w:r>
            <w:r w:rsidR="00436191" w:rsidRPr="0058349C">
              <w:rPr>
                <w:rFonts w:ascii="Garamond" w:eastAsia="Arial" w:hAnsi="Garamond"/>
                <w:b/>
                <w:bCs/>
                <w:sz w:val="18"/>
                <w:szCs w:val="18"/>
                <w:lang w:val="sq-AL"/>
              </w:rPr>
              <w:t>reziliencës së fermave</w:t>
            </w:r>
          </w:p>
        </w:tc>
      </w:tr>
      <w:tr w:rsidR="00436191" w:rsidRPr="0058349C" w14:paraId="0773B32A" w14:textId="77777777" w:rsidTr="00EA28DE">
        <w:trPr>
          <w:trHeight w:val="20"/>
        </w:trPr>
        <w:tc>
          <w:tcPr>
            <w:tcW w:w="384" w:type="dxa"/>
            <w:shd w:val="clear" w:color="auto" w:fill="E5F7CA"/>
          </w:tcPr>
          <w:p w14:paraId="0773B324" w14:textId="77777777" w:rsidR="00436191" w:rsidRPr="0058349C" w:rsidRDefault="00436191" w:rsidP="00F4367B">
            <w:pPr>
              <w:spacing w:after="0" w:line="240" w:lineRule="auto"/>
              <w:rPr>
                <w:rFonts w:ascii="Garamond" w:eastAsia="Arial" w:hAnsi="Garamond"/>
                <w:b/>
                <w:sz w:val="18"/>
                <w:szCs w:val="18"/>
                <w:lang w:val="sq-AL"/>
              </w:rPr>
            </w:pPr>
          </w:p>
        </w:tc>
        <w:tc>
          <w:tcPr>
            <w:tcW w:w="6093" w:type="dxa"/>
            <w:gridSpan w:val="2"/>
            <w:shd w:val="clear" w:color="auto" w:fill="E5F7CA"/>
          </w:tcPr>
          <w:p w14:paraId="0773B325" w14:textId="77777777" w:rsidR="00436191" w:rsidRPr="0058349C" w:rsidRDefault="00436191" w:rsidP="00F4367B">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 xml:space="preserve">Treguesi i rezultatit 1.1: </w:t>
            </w:r>
            <w:r w:rsidRPr="0058349C">
              <w:rPr>
                <w:rFonts w:ascii="Garamond" w:eastAsia="Arial" w:hAnsi="Garamond"/>
                <w:bCs/>
                <w:sz w:val="18"/>
                <w:szCs w:val="18"/>
                <w:lang w:val="sq-AL"/>
              </w:rPr>
              <w:t xml:space="preserve">Numri total i përfituesve të mbështetur për të ardhurat vjetore </w:t>
            </w:r>
          </w:p>
        </w:tc>
        <w:tc>
          <w:tcPr>
            <w:tcW w:w="1419" w:type="dxa"/>
            <w:shd w:val="clear" w:color="auto" w:fill="E5F7CA"/>
            <w:vAlign w:val="center"/>
          </w:tcPr>
          <w:p w14:paraId="0773B326" w14:textId="77777777" w:rsidR="00436191" w:rsidRPr="0058349C" w:rsidRDefault="00436191" w:rsidP="00F4367B">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3,973</w:t>
            </w:r>
          </w:p>
        </w:tc>
        <w:tc>
          <w:tcPr>
            <w:tcW w:w="3865" w:type="dxa"/>
            <w:gridSpan w:val="3"/>
            <w:shd w:val="clear" w:color="auto" w:fill="E5F7CA"/>
            <w:vAlign w:val="center"/>
          </w:tcPr>
          <w:p w14:paraId="0773B327" w14:textId="77777777" w:rsidR="00436191" w:rsidRPr="0058349C" w:rsidRDefault="00436191" w:rsidP="00F4367B">
            <w:pPr>
              <w:spacing w:after="0" w:line="240" w:lineRule="auto"/>
              <w:jc w:val="center"/>
              <w:rPr>
                <w:rFonts w:ascii="Garamond" w:eastAsia="Arial" w:hAnsi="Garamond"/>
                <w:b/>
                <w:bCs/>
                <w:sz w:val="18"/>
                <w:szCs w:val="18"/>
                <w:lang w:val="sq-AL"/>
              </w:rPr>
            </w:pPr>
          </w:p>
        </w:tc>
        <w:tc>
          <w:tcPr>
            <w:tcW w:w="1275" w:type="dxa"/>
            <w:shd w:val="clear" w:color="auto" w:fill="E5F7CA"/>
            <w:vAlign w:val="center"/>
          </w:tcPr>
          <w:p w14:paraId="0773B328" w14:textId="77777777" w:rsidR="00436191" w:rsidRPr="0058349C" w:rsidRDefault="00436191" w:rsidP="00F4367B">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40,000</w:t>
            </w:r>
          </w:p>
        </w:tc>
        <w:tc>
          <w:tcPr>
            <w:tcW w:w="1134" w:type="dxa"/>
            <w:shd w:val="clear" w:color="auto" w:fill="E5F7CA"/>
            <w:vAlign w:val="center"/>
          </w:tcPr>
          <w:p w14:paraId="0773B329" w14:textId="77777777" w:rsidR="00436191" w:rsidRPr="0058349C" w:rsidRDefault="00436191" w:rsidP="00F4367B">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80,000</w:t>
            </w:r>
          </w:p>
        </w:tc>
      </w:tr>
      <w:tr w:rsidR="00436191" w:rsidRPr="0058349C" w14:paraId="0773B334" w14:textId="77777777" w:rsidTr="00EA28DE">
        <w:trPr>
          <w:trHeight w:val="20"/>
        </w:trPr>
        <w:tc>
          <w:tcPr>
            <w:tcW w:w="384" w:type="dxa"/>
            <w:vMerge w:val="restart"/>
            <w:shd w:val="clear" w:color="auto" w:fill="F2F2F2"/>
          </w:tcPr>
          <w:p w14:paraId="0773B32B" w14:textId="77777777" w:rsidR="00436191" w:rsidRPr="0058349C" w:rsidRDefault="00436191" w:rsidP="00F4367B">
            <w:pPr>
              <w:spacing w:after="0" w:line="240" w:lineRule="auto"/>
              <w:rPr>
                <w:rFonts w:ascii="Garamond" w:eastAsia="Arial" w:hAnsi="Garamond"/>
                <w:b/>
                <w:sz w:val="18"/>
                <w:szCs w:val="18"/>
                <w:lang w:val="sq-AL"/>
              </w:rPr>
            </w:pPr>
          </w:p>
        </w:tc>
        <w:tc>
          <w:tcPr>
            <w:tcW w:w="3567" w:type="dxa"/>
            <w:vMerge w:val="restart"/>
            <w:shd w:val="clear" w:color="auto" w:fill="F2F2F2"/>
            <w:vAlign w:val="center"/>
          </w:tcPr>
          <w:p w14:paraId="0773B32C" w14:textId="67531BA2" w:rsidR="00436191" w:rsidRPr="0058349C" w:rsidRDefault="00436191" w:rsidP="00F4367B">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Veprimi </w:t>
            </w:r>
            <w:r w:rsidR="00797859">
              <w:rPr>
                <w:rFonts w:ascii="Garamond" w:eastAsia="Arial" w:hAnsi="Garamond"/>
                <w:b/>
                <w:bCs/>
                <w:sz w:val="18"/>
                <w:szCs w:val="18"/>
                <w:lang w:val="sq-AL"/>
              </w:rPr>
              <w:t>/</w:t>
            </w:r>
            <w:r w:rsidRPr="0058349C">
              <w:rPr>
                <w:rFonts w:ascii="Garamond" w:eastAsia="Arial" w:hAnsi="Garamond"/>
                <w:b/>
                <w:bCs/>
                <w:sz w:val="18"/>
                <w:szCs w:val="18"/>
                <w:lang w:val="sq-AL"/>
              </w:rPr>
              <w:t xml:space="preserve">Ndërhyrja </w:t>
            </w:r>
            <w:r w:rsidR="00797859">
              <w:rPr>
                <w:rFonts w:ascii="Garamond" w:eastAsia="Arial" w:hAnsi="Garamond"/>
                <w:b/>
                <w:bCs/>
                <w:sz w:val="18"/>
                <w:szCs w:val="18"/>
                <w:lang w:val="sq-AL"/>
              </w:rPr>
              <w:t>/</w:t>
            </w:r>
            <w:r w:rsidRPr="0058349C">
              <w:rPr>
                <w:rFonts w:ascii="Garamond" w:eastAsia="Arial" w:hAnsi="Garamond"/>
                <w:b/>
                <w:bCs/>
                <w:sz w:val="18"/>
                <w:szCs w:val="18"/>
                <w:lang w:val="sq-AL"/>
              </w:rPr>
              <w:t>Masa</w:t>
            </w:r>
          </w:p>
        </w:tc>
        <w:tc>
          <w:tcPr>
            <w:tcW w:w="2526" w:type="dxa"/>
            <w:vMerge w:val="restart"/>
            <w:shd w:val="clear" w:color="auto" w:fill="F2F2F2"/>
            <w:vAlign w:val="center"/>
          </w:tcPr>
          <w:p w14:paraId="0773B32D" w14:textId="5035E248" w:rsidR="00436191" w:rsidRPr="0058349C" w:rsidRDefault="00436191" w:rsidP="00F4367B">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Treguesit e</w:t>
            </w:r>
            <w:r w:rsidR="00CF7694" w:rsidRPr="0058349C">
              <w:rPr>
                <w:rFonts w:ascii="Garamond" w:eastAsia="Arial" w:hAnsi="Garamond"/>
                <w:b/>
                <w:bCs/>
                <w:sz w:val="18"/>
                <w:szCs w:val="18"/>
                <w:lang w:val="sq-AL"/>
              </w:rPr>
              <w:t xml:space="preserve"> </w:t>
            </w:r>
            <w:r w:rsidRPr="00F4367B">
              <w:rPr>
                <w:rFonts w:ascii="Garamond" w:eastAsia="Arial" w:hAnsi="Garamond"/>
                <w:b/>
                <w:bCs/>
                <w:i/>
                <w:iCs/>
                <w:sz w:val="18"/>
                <w:szCs w:val="18"/>
                <w:lang w:val="sq-AL"/>
              </w:rPr>
              <w:t>output</w:t>
            </w:r>
            <w:r w:rsidR="00F4367B">
              <w:rPr>
                <w:rFonts w:ascii="Garamond" w:eastAsia="Arial" w:hAnsi="Garamond"/>
                <w:b/>
                <w:bCs/>
                <w:sz w:val="18"/>
                <w:szCs w:val="18"/>
                <w:lang w:val="sq-AL"/>
              </w:rPr>
              <w:t>-</w:t>
            </w:r>
            <w:r w:rsidRPr="0058349C">
              <w:rPr>
                <w:rFonts w:ascii="Garamond" w:eastAsia="Arial" w:hAnsi="Garamond"/>
                <w:b/>
                <w:bCs/>
                <w:sz w:val="18"/>
                <w:szCs w:val="18"/>
                <w:lang w:val="sq-AL"/>
              </w:rPr>
              <w:t>it</w:t>
            </w:r>
          </w:p>
        </w:tc>
        <w:tc>
          <w:tcPr>
            <w:tcW w:w="1419" w:type="dxa"/>
            <w:vMerge w:val="restart"/>
            <w:shd w:val="clear" w:color="auto" w:fill="F2F2F2"/>
            <w:vAlign w:val="center"/>
          </w:tcPr>
          <w:p w14:paraId="0773B32E" w14:textId="55732089" w:rsidR="00436191" w:rsidRPr="0058349C" w:rsidRDefault="00436191" w:rsidP="00F4367B">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Buxheti total</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 xml:space="preserve">2022 </w:t>
            </w:r>
            <w:r w:rsidRPr="0058349C">
              <w:rPr>
                <w:rFonts w:ascii="Garamond" w:eastAsia="Arial" w:hAnsi="Garamond" w:cs="Arial"/>
                <w:b/>
                <w:bCs/>
                <w:sz w:val="18"/>
                <w:szCs w:val="18"/>
                <w:lang w:val="sq-AL"/>
              </w:rPr>
              <w:t>–</w:t>
            </w:r>
            <w:r w:rsidRPr="0058349C">
              <w:rPr>
                <w:rFonts w:ascii="Garamond" w:eastAsia="Arial" w:hAnsi="Garamond"/>
                <w:b/>
                <w:bCs/>
                <w:sz w:val="18"/>
                <w:szCs w:val="18"/>
                <w:lang w:val="sq-AL"/>
              </w:rPr>
              <w:t xml:space="preserve"> 2024 (EUR)</w:t>
            </w:r>
          </w:p>
        </w:tc>
        <w:tc>
          <w:tcPr>
            <w:tcW w:w="3865" w:type="dxa"/>
            <w:gridSpan w:val="3"/>
            <w:shd w:val="clear" w:color="auto" w:fill="F2F2F2"/>
            <w:vAlign w:val="center"/>
          </w:tcPr>
          <w:p w14:paraId="0773B32F" w14:textId="77777777" w:rsidR="00436191" w:rsidRPr="0058349C" w:rsidRDefault="00436191" w:rsidP="00F4367B">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Buxheti i alokuar</w:t>
            </w:r>
          </w:p>
          <w:p w14:paraId="0773B330" w14:textId="17BED032" w:rsidR="00436191" w:rsidRPr="0058349C" w:rsidRDefault="00436191" w:rsidP="00F4367B">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2022 </w:t>
            </w:r>
            <w:r w:rsidRPr="0058349C">
              <w:rPr>
                <w:rFonts w:ascii="Garamond" w:eastAsia="Arial" w:hAnsi="Garamond" w:cs="Arial"/>
                <w:b/>
                <w:bCs/>
                <w:sz w:val="18"/>
                <w:szCs w:val="18"/>
                <w:lang w:val="sq-AL"/>
              </w:rPr>
              <w:t>–</w:t>
            </w:r>
            <w:r w:rsidRPr="0058349C">
              <w:rPr>
                <w:rFonts w:ascii="Garamond" w:eastAsia="Arial" w:hAnsi="Garamond"/>
                <w:b/>
                <w:bCs/>
                <w:sz w:val="18"/>
                <w:szCs w:val="18"/>
                <w:lang w:val="sq-AL"/>
              </w:rPr>
              <w:t xml:space="preserve"> 2024 (</w:t>
            </w:r>
            <w:r w:rsidR="00F4367B" w:rsidRPr="0058349C">
              <w:rPr>
                <w:rFonts w:ascii="Garamond" w:eastAsia="Arial" w:hAnsi="Garamond"/>
                <w:b/>
                <w:bCs/>
                <w:sz w:val="18"/>
                <w:szCs w:val="18"/>
                <w:lang w:val="sq-AL"/>
              </w:rPr>
              <w:t>euro</w:t>
            </w:r>
            <w:r w:rsidRPr="0058349C">
              <w:rPr>
                <w:rFonts w:ascii="Garamond" w:eastAsia="Arial" w:hAnsi="Garamond"/>
                <w:b/>
                <w:bCs/>
                <w:sz w:val="18"/>
                <w:szCs w:val="18"/>
                <w:lang w:val="sq-AL"/>
              </w:rPr>
              <w:t>)</w:t>
            </w:r>
          </w:p>
          <w:p w14:paraId="0773B331" w14:textId="37A3A254" w:rsidR="00436191" w:rsidRPr="0058349C" w:rsidRDefault="00436191" w:rsidP="00F4367B">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(N = nevoja, nuk mbulohet nga buxheti kombëtar</w:t>
            </w:r>
            <w:r w:rsidR="00C259A4">
              <w:rPr>
                <w:rFonts w:ascii="Garamond" w:eastAsia="Arial" w:hAnsi="Garamond"/>
                <w:b/>
                <w:bCs/>
                <w:sz w:val="18"/>
                <w:szCs w:val="18"/>
                <w:lang w:val="sq-AL"/>
              </w:rPr>
              <w:t>)</w:t>
            </w:r>
          </w:p>
        </w:tc>
        <w:tc>
          <w:tcPr>
            <w:tcW w:w="1275" w:type="dxa"/>
            <w:vMerge w:val="restart"/>
            <w:shd w:val="clear" w:color="auto" w:fill="E5F7CA"/>
            <w:vAlign w:val="center"/>
          </w:tcPr>
          <w:p w14:paraId="0773B332" w14:textId="2700F17C" w:rsidR="00436191" w:rsidRPr="0058349C" w:rsidRDefault="00436191" w:rsidP="00F4367B">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Objektivi</w:t>
            </w:r>
            <w:r w:rsidR="00CF7694" w:rsidRPr="0058349C">
              <w:rPr>
                <w:rFonts w:ascii="Garamond" w:eastAsia="Arial" w:hAnsi="Garamond"/>
                <w:b/>
                <w:bCs/>
                <w:sz w:val="18"/>
                <w:szCs w:val="18"/>
                <w:lang w:val="sq-AL"/>
              </w:rPr>
              <w:t xml:space="preserve"> </w:t>
            </w:r>
            <w:r w:rsidR="00F4367B">
              <w:rPr>
                <w:rFonts w:ascii="Garamond" w:eastAsia="Arial" w:hAnsi="Garamond"/>
                <w:b/>
                <w:bCs/>
                <w:sz w:val="18"/>
                <w:szCs w:val="18"/>
                <w:lang w:val="sq-AL"/>
              </w:rPr>
              <w:t>më</w:t>
            </w:r>
            <w:r w:rsidRPr="0058349C">
              <w:rPr>
                <w:rFonts w:ascii="Garamond" w:eastAsia="Arial" w:hAnsi="Garamond"/>
                <w:sz w:val="18"/>
                <w:szCs w:val="18"/>
                <w:lang w:val="sq-AL"/>
              </w:rPr>
              <w:t xml:space="preserve"> </w:t>
            </w:r>
            <w:r w:rsidRPr="0058349C">
              <w:rPr>
                <w:rFonts w:ascii="Garamond" w:eastAsia="Arial" w:hAnsi="Garamond"/>
                <w:b/>
                <w:bCs/>
                <w:sz w:val="18"/>
                <w:szCs w:val="18"/>
                <w:lang w:val="sq-AL"/>
              </w:rPr>
              <w:t>2024</w:t>
            </w:r>
            <w:r w:rsidR="00F4367B">
              <w:rPr>
                <w:rFonts w:ascii="Garamond" w:eastAsia="Arial" w:hAnsi="Garamond"/>
                <w:b/>
                <w:bCs/>
                <w:sz w:val="18"/>
                <w:szCs w:val="18"/>
                <w:lang w:val="sq-AL"/>
              </w:rPr>
              <w:t>-n</w:t>
            </w:r>
          </w:p>
        </w:tc>
        <w:tc>
          <w:tcPr>
            <w:tcW w:w="1134" w:type="dxa"/>
            <w:vMerge w:val="restart"/>
            <w:shd w:val="clear" w:color="auto" w:fill="E5F7CA"/>
            <w:vAlign w:val="center"/>
          </w:tcPr>
          <w:p w14:paraId="0773B333" w14:textId="49A56737" w:rsidR="00436191" w:rsidRPr="0058349C" w:rsidRDefault="00436191" w:rsidP="00F4367B">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Objektivi</w:t>
            </w:r>
            <w:r w:rsidR="00CF7694" w:rsidRPr="0058349C">
              <w:rPr>
                <w:rFonts w:ascii="Garamond" w:eastAsia="Arial" w:hAnsi="Garamond"/>
                <w:b/>
                <w:bCs/>
                <w:sz w:val="18"/>
                <w:szCs w:val="18"/>
                <w:lang w:val="sq-AL"/>
              </w:rPr>
              <w:t xml:space="preserve"> </w:t>
            </w:r>
            <w:r w:rsidR="00F4367B">
              <w:rPr>
                <w:rFonts w:ascii="Garamond" w:eastAsia="Arial" w:hAnsi="Garamond"/>
                <w:b/>
                <w:bCs/>
                <w:sz w:val="18"/>
                <w:szCs w:val="18"/>
                <w:lang w:val="sq-AL"/>
              </w:rPr>
              <w:t>m</w:t>
            </w:r>
            <w:r w:rsidRPr="00F4367B">
              <w:rPr>
                <w:rFonts w:ascii="Garamond" w:eastAsia="Arial" w:hAnsi="Garamond"/>
                <w:b/>
                <w:bCs/>
                <w:sz w:val="18"/>
                <w:szCs w:val="18"/>
                <w:lang w:val="sq-AL"/>
              </w:rPr>
              <w:t xml:space="preserve">ë </w:t>
            </w:r>
            <w:r w:rsidRPr="0058349C">
              <w:rPr>
                <w:rFonts w:ascii="Garamond" w:eastAsia="Arial" w:hAnsi="Garamond"/>
                <w:b/>
                <w:bCs/>
                <w:sz w:val="18"/>
                <w:szCs w:val="18"/>
                <w:lang w:val="sq-AL"/>
              </w:rPr>
              <w:t>2027</w:t>
            </w:r>
            <w:r w:rsidR="00F4367B">
              <w:rPr>
                <w:rFonts w:ascii="Garamond" w:eastAsia="Arial" w:hAnsi="Garamond"/>
                <w:b/>
                <w:bCs/>
                <w:sz w:val="18"/>
                <w:szCs w:val="18"/>
                <w:lang w:val="sq-AL"/>
              </w:rPr>
              <w:t>-n</w:t>
            </w:r>
          </w:p>
        </w:tc>
      </w:tr>
      <w:tr w:rsidR="00436191" w:rsidRPr="0058349C" w14:paraId="0773B33E" w14:textId="77777777" w:rsidTr="00EA28DE">
        <w:trPr>
          <w:trHeight w:val="20"/>
        </w:trPr>
        <w:tc>
          <w:tcPr>
            <w:tcW w:w="384" w:type="dxa"/>
            <w:vMerge/>
            <w:shd w:val="clear" w:color="auto" w:fill="F2F2F2"/>
          </w:tcPr>
          <w:p w14:paraId="0773B335" w14:textId="77777777" w:rsidR="00436191" w:rsidRPr="0058349C" w:rsidRDefault="00436191" w:rsidP="00F4367B">
            <w:pPr>
              <w:spacing w:after="0" w:line="240" w:lineRule="auto"/>
              <w:rPr>
                <w:rFonts w:ascii="Garamond" w:eastAsia="Arial" w:hAnsi="Garamond"/>
                <w:b/>
                <w:sz w:val="18"/>
                <w:szCs w:val="18"/>
                <w:lang w:val="sq-AL"/>
              </w:rPr>
            </w:pPr>
          </w:p>
        </w:tc>
        <w:tc>
          <w:tcPr>
            <w:tcW w:w="3567" w:type="dxa"/>
            <w:vMerge/>
            <w:shd w:val="clear" w:color="auto" w:fill="F2F2F2"/>
          </w:tcPr>
          <w:p w14:paraId="0773B336" w14:textId="77777777" w:rsidR="00436191" w:rsidRPr="0058349C" w:rsidRDefault="00436191" w:rsidP="00F4367B">
            <w:pPr>
              <w:spacing w:after="0" w:line="240" w:lineRule="auto"/>
              <w:rPr>
                <w:rFonts w:ascii="Garamond" w:eastAsia="Arial" w:hAnsi="Garamond"/>
                <w:b/>
                <w:bCs/>
                <w:sz w:val="18"/>
                <w:szCs w:val="18"/>
                <w:lang w:val="sq-AL"/>
              </w:rPr>
            </w:pPr>
          </w:p>
        </w:tc>
        <w:tc>
          <w:tcPr>
            <w:tcW w:w="2526" w:type="dxa"/>
            <w:vMerge/>
            <w:shd w:val="clear" w:color="auto" w:fill="F2F2F2"/>
          </w:tcPr>
          <w:p w14:paraId="0773B337" w14:textId="77777777" w:rsidR="00436191" w:rsidRPr="0058349C" w:rsidRDefault="00436191" w:rsidP="00F4367B">
            <w:pPr>
              <w:spacing w:after="0" w:line="240" w:lineRule="auto"/>
              <w:rPr>
                <w:rFonts w:ascii="Garamond" w:eastAsia="Arial" w:hAnsi="Garamond"/>
                <w:b/>
                <w:bCs/>
                <w:sz w:val="18"/>
                <w:szCs w:val="18"/>
                <w:lang w:val="sq-AL"/>
              </w:rPr>
            </w:pPr>
          </w:p>
        </w:tc>
        <w:tc>
          <w:tcPr>
            <w:tcW w:w="1419" w:type="dxa"/>
            <w:vMerge/>
            <w:shd w:val="clear" w:color="auto" w:fill="F2F2F2"/>
          </w:tcPr>
          <w:p w14:paraId="0773B338" w14:textId="77777777" w:rsidR="00436191" w:rsidRPr="0058349C" w:rsidRDefault="00436191" w:rsidP="00F4367B">
            <w:pPr>
              <w:spacing w:after="0" w:line="240" w:lineRule="auto"/>
              <w:rPr>
                <w:rFonts w:ascii="Garamond" w:eastAsia="Arial" w:hAnsi="Garamond"/>
                <w:sz w:val="18"/>
                <w:szCs w:val="18"/>
                <w:lang w:val="sq-AL"/>
              </w:rPr>
            </w:pPr>
          </w:p>
        </w:tc>
        <w:tc>
          <w:tcPr>
            <w:tcW w:w="1305" w:type="dxa"/>
            <w:shd w:val="clear" w:color="auto" w:fill="F2F2F2"/>
            <w:vAlign w:val="center"/>
          </w:tcPr>
          <w:p w14:paraId="0773B339" w14:textId="77777777" w:rsidR="00436191" w:rsidRPr="0058349C" w:rsidRDefault="00436191" w:rsidP="00F4367B">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2022</w:t>
            </w:r>
          </w:p>
        </w:tc>
        <w:tc>
          <w:tcPr>
            <w:tcW w:w="1277" w:type="dxa"/>
            <w:shd w:val="clear" w:color="auto" w:fill="F2F2F2"/>
            <w:vAlign w:val="center"/>
          </w:tcPr>
          <w:p w14:paraId="0773B33A" w14:textId="77777777" w:rsidR="00436191" w:rsidRPr="0058349C" w:rsidRDefault="00436191" w:rsidP="00F4367B">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2023</w:t>
            </w:r>
          </w:p>
        </w:tc>
        <w:tc>
          <w:tcPr>
            <w:tcW w:w="1283" w:type="dxa"/>
            <w:shd w:val="clear" w:color="auto" w:fill="F2F2F2"/>
            <w:vAlign w:val="center"/>
          </w:tcPr>
          <w:p w14:paraId="0773B33B" w14:textId="77777777" w:rsidR="00436191" w:rsidRPr="0058349C" w:rsidRDefault="00436191" w:rsidP="00F4367B">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2024</w:t>
            </w:r>
          </w:p>
        </w:tc>
        <w:tc>
          <w:tcPr>
            <w:tcW w:w="1275" w:type="dxa"/>
            <w:vMerge/>
            <w:shd w:val="clear" w:color="auto" w:fill="E5F7CA"/>
            <w:vAlign w:val="center"/>
          </w:tcPr>
          <w:p w14:paraId="0773B33C" w14:textId="77777777" w:rsidR="00436191" w:rsidRPr="0058349C" w:rsidRDefault="00436191" w:rsidP="00F4367B">
            <w:pPr>
              <w:spacing w:after="0" w:line="240" w:lineRule="auto"/>
              <w:rPr>
                <w:rFonts w:ascii="Garamond" w:eastAsia="Arial" w:hAnsi="Garamond"/>
                <w:b/>
                <w:bCs/>
                <w:sz w:val="18"/>
                <w:szCs w:val="18"/>
                <w:lang w:val="sq-AL"/>
              </w:rPr>
            </w:pPr>
          </w:p>
        </w:tc>
        <w:tc>
          <w:tcPr>
            <w:tcW w:w="1134" w:type="dxa"/>
            <w:vMerge/>
            <w:shd w:val="clear" w:color="auto" w:fill="E5F7CA"/>
          </w:tcPr>
          <w:p w14:paraId="0773B33D" w14:textId="77777777" w:rsidR="00436191" w:rsidRPr="0058349C" w:rsidRDefault="00436191" w:rsidP="00F4367B">
            <w:pPr>
              <w:spacing w:after="0" w:line="240" w:lineRule="auto"/>
              <w:rPr>
                <w:rFonts w:ascii="Garamond" w:eastAsia="Arial" w:hAnsi="Garamond"/>
                <w:b/>
                <w:bCs/>
                <w:sz w:val="18"/>
                <w:szCs w:val="18"/>
                <w:lang w:val="sq-AL"/>
              </w:rPr>
            </w:pPr>
          </w:p>
        </w:tc>
      </w:tr>
      <w:tr w:rsidR="00436191" w:rsidRPr="0058349C" w14:paraId="0773B347" w14:textId="77777777" w:rsidTr="00EA28DE">
        <w:trPr>
          <w:trHeight w:val="20"/>
        </w:trPr>
        <w:tc>
          <w:tcPr>
            <w:tcW w:w="384" w:type="dxa"/>
            <w:shd w:val="clear" w:color="auto" w:fill="F2F2F2"/>
          </w:tcPr>
          <w:p w14:paraId="0773B33F" w14:textId="77777777" w:rsidR="00436191" w:rsidRPr="0058349C" w:rsidRDefault="00436191" w:rsidP="00F4367B">
            <w:pPr>
              <w:spacing w:after="0" w:line="240" w:lineRule="auto"/>
              <w:rPr>
                <w:rFonts w:ascii="Garamond" w:eastAsia="Arial" w:hAnsi="Garamond"/>
                <w:b/>
                <w:sz w:val="18"/>
                <w:szCs w:val="18"/>
                <w:lang w:val="sq-AL"/>
              </w:rPr>
            </w:pPr>
          </w:p>
        </w:tc>
        <w:tc>
          <w:tcPr>
            <w:tcW w:w="3567" w:type="dxa"/>
            <w:shd w:val="clear" w:color="auto" w:fill="F2F2F2"/>
          </w:tcPr>
          <w:p w14:paraId="0773B340" w14:textId="24657848" w:rsidR="00436191" w:rsidRPr="0058349C" w:rsidRDefault="00436191" w:rsidP="00F4367B">
            <w:pPr>
              <w:spacing w:after="0" w:line="240" w:lineRule="auto"/>
              <w:rPr>
                <w:rFonts w:ascii="Garamond" w:eastAsia="Arial" w:hAnsi="Garamond"/>
                <w:sz w:val="18"/>
                <w:szCs w:val="18"/>
                <w:lang w:val="sq-AL"/>
              </w:rPr>
            </w:pPr>
            <w:r w:rsidRPr="0058349C">
              <w:rPr>
                <w:rFonts w:ascii="Garamond" w:hAnsi="Garamond"/>
                <w:b/>
                <w:bCs/>
                <w:sz w:val="18"/>
                <w:szCs w:val="18"/>
                <w:lang w:val="sq-AL"/>
              </w:rPr>
              <w:t>Mbështetja kalimtare e të ardhurave për sektorët e orientuar nga tregu (</w:t>
            </w:r>
            <w:r w:rsidR="00F4367B" w:rsidRPr="0058349C">
              <w:rPr>
                <w:rFonts w:ascii="Garamond" w:hAnsi="Garamond"/>
                <w:b/>
                <w:bCs/>
                <w:sz w:val="18"/>
                <w:szCs w:val="18"/>
                <w:lang w:val="sq-AL"/>
              </w:rPr>
              <w:t xml:space="preserve">organizimi </w:t>
            </w:r>
            <w:r w:rsidRPr="0058349C">
              <w:rPr>
                <w:rFonts w:ascii="Garamond" w:hAnsi="Garamond"/>
                <w:b/>
                <w:bCs/>
                <w:sz w:val="18"/>
                <w:szCs w:val="18"/>
                <w:lang w:val="sq-AL"/>
              </w:rPr>
              <w:t xml:space="preserve">i </w:t>
            </w:r>
            <w:r w:rsidR="00F4367B" w:rsidRPr="0058349C">
              <w:rPr>
                <w:rFonts w:ascii="Garamond" w:hAnsi="Garamond"/>
                <w:b/>
                <w:bCs/>
                <w:sz w:val="18"/>
                <w:szCs w:val="18"/>
                <w:lang w:val="sq-AL"/>
              </w:rPr>
              <w:t>tregut t</w:t>
            </w:r>
            <w:r w:rsidR="00F4367B" w:rsidRPr="0058349C">
              <w:rPr>
                <w:rFonts w:ascii="Garamond" w:eastAsia="Arial" w:hAnsi="Garamond"/>
                <w:b/>
                <w:bCs/>
                <w:sz w:val="18"/>
                <w:szCs w:val="18"/>
                <w:lang w:val="sq-AL"/>
              </w:rPr>
              <w:t>ë</w:t>
            </w:r>
            <w:r w:rsidR="00F4367B" w:rsidRPr="0058349C">
              <w:rPr>
                <w:rFonts w:ascii="Garamond" w:hAnsi="Garamond"/>
                <w:b/>
                <w:bCs/>
                <w:sz w:val="18"/>
                <w:szCs w:val="18"/>
                <w:lang w:val="sq-AL"/>
              </w:rPr>
              <w:t xml:space="preserve"> përbashkët</w:t>
            </w:r>
            <w:r w:rsidRPr="0058349C">
              <w:rPr>
                <w:rFonts w:ascii="Garamond" w:hAnsi="Garamond"/>
                <w:b/>
                <w:bCs/>
                <w:sz w:val="18"/>
                <w:szCs w:val="18"/>
                <w:lang w:val="sq-AL"/>
              </w:rPr>
              <w:t xml:space="preserve">), pagesa të lidhura me prodhimin ose vlerën e shitjeve për produktet si perime, fruta dhe ullinj </w:t>
            </w:r>
          </w:p>
        </w:tc>
        <w:tc>
          <w:tcPr>
            <w:tcW w:w="2526" w:type="dxa"/>
            <w:shd w:val="clear" w:color="auto" w:fill="F2F2F2"/>
          </w:tcPr>
          <w:p w14:paraId="0773B341" w14:textId="77777777" w:rsidR="00436191" w:rsidRPr="0058349C" w:rsidRDefault="00436191" w:rsidP="00F4367B">
            <w:pPr>
              <w:spacing w:after="0" w:line="240" w:lineRule="auto"/>
              <w:rPr>
                <w:rFonts w:ascii="Garamond" w:eastAsia="Arial" w:hAnsi="Garamond"/>
                <w:sz w:val="18"/>
                <w:szCs w:val="18"/>
                <w:lang w:val="sq-AL"/>
              </w:rPr>
            </w:pPr>
            <w:r w:rsidRPr="0058349C">
              <w:rPr>
                <w:rFonts w:ascii="Garamond" w:eastAsia="Arial" w:hAnsi="Garamond"/>
                <w:sz w:val="18"/>
                <w:szCs w:val="18"/>
                <w:lang w:val="sq-AL"/>
              </w:rPr>
              <w:t xml:space="preserve">Numri vjetor i fermave të mbështetura </w:t>
            </w:r>
          </w:p>
          <w:p w14:paraId="0773B342" w14:textId="77777777" w:rsidR="00436191" w:rsidRPr="0058349C" w:rsidRDefault="00436191" w:rsidP="00F4367B">
            <w:pPr>
              <w:spacing w:after="0" w:line="240" w:lineRule="auto"/>
              <w:rPr>
                <w:rFonts w:ascii="Garamond" w:eastAsia="Arial" w:hAnsi="Garamond"/>
                <w:sz w:val="18"/>
                <w:szCs w:val="18"/>
                <w:lang w:val="sq-AL"/>
              </w:rPr>
            </w:pPr>
          </w:p>
        </w:tc>
        <w:tc>
          <w:tcPr>
            <w:tcW w:w="1419" w:type="dxa"/>
            <w:vMerge w:val="restart"/>
            <w:shd w:val="clear" w:color="auto" w:fill="F2F2F2"/>
            <w:vAlign w:val="center"/>
          </w:tcPr>
          <w:p w14:paraId="0773B343"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BK</w:t>
            </w:r>
            <w:r w:rsidRPr="0058349C">
              <w:rPr>
                <w:rStyle w:val="FootnoteReference"/>
                <w:rFonts w:ascii="Garamond" w:eastAsia="Arial" w:hAnsi="Garamond"/>
                <w:sz w:val="18"/>
                <w:szCs w:val="18"/>
                <w:lang w:val="sq-AL"/>
              </w:rPr>
              <w:footnoteReference w:id="61"/>
            </w:r>
          </w:p>
        </w:tc>
        <w:tc>
          <w:tcPr>
            <w:tcW w:w="3865" w:type="dxa"/>
            <w:gridSpan w:val="3"/>
            <w:vMerge w:val="restart"/>
            <w:shd w:val="clear" w:color="auto" w:fill="F2F2F2"/>
            <w:vAlign w:val="center"/>
          </w:tcPr>
          <w:p w14:paraId="0773B344"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BK</w:t>
            </w:r>
          </w:p>
        </w:tc>
        <w:tc>
          <w:tcPr>
            <w:tcW w:w="1275" w:type="dxa"/>
            <w:shd w:val="clear" w:color="auto" w:fill="E5F7CA"/>
            <w:vAlign w:val="center"/>
          </w:tcPr>
          <w:p w14:paraId="0773B345"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400</w:t>
            </w:r>
          </w:p>
        </w:tc>
        <w:tc>
          <w:tcPr>
            <w:tcW w:w="1134" w:type="dxa"/>
            <w:shd w:val="clear" w:color="auto" w:fill="E5F7CA"/>
            <w:vAlign w:val="center"/>
          </w:tcPr>
          <w:p w14:paraId="0773B346"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2,000</w:t>
            </w:r>
          </w:p>
        </w:tc>
      </w:tr>
      <w:tr w:rsidR="00436191" w:rsidRPr="0058349C" w14:paraId="0773B350" w14:textId="77777777" w:rsidTr="00EA28DE">
        <w:trPr>
          <w:trHeight w:val="20"/>
        </w:trPr>
        <w:tc>
          <w:tcPr>
            <w:tcW w:w="384" w:type="dxa"/>
            <w:shd w:val="clear" w:color="auto" w:fill="F2F2F2"/>
          </w:tcPr>
          <w:p w14:paraId="0773B348" w14:textId="77777777" w:rsidR="00436191" w:rsidRPr="0058349C" w:rsidRDefault="00436191" w:rsidP="00F4367B">
            <w:pPr>
              <w:spacing w:after="0" w:line="240" w:lineRule="auto"/>
              <w:rPr>
                <w:rFonts w:ascii="Garamond" w:eastAsia="Arial" w:hAnsi="Garamond"/>
                <w:b/>
                <w:sz w:val="18"/>
                <w:szCs w:val="18"/>
                <w:lang w:val="sq-AL"/>
              </w:rPr>
            </w:pPr>
          </w:p>
        </w:tc>
        <w:tc>
          <w:tcPr>
            <w:tcW w:w="3567" w:type="dxa"/>
            <w:shd w:val="clear" w:color="auto" w:fill="F2F2F2"/>
          </w:tcPr>
          <w:p w14:paraId="0773B349" w14:textId="74AB0E4C" w:rsidR="00436191" w:rsidRPr="0058349C" w:rsidRDefault="00436191" w:rsidP="00F4367B">
            <w:pPr>
              <w:spacing w:after="0" w:line="240" w:lineRule="auto"/>
              <w:rPr>
                <w:rFonts w:ascii="Garamond" w:hAnsi="Garamond"/>
                <w:b/>
                <w:bCs/>
                <w:sz w:val="18"/>
                <w:szCs w:val="18"/>
                <w:lang w:val="sq-AL"/>
              </w:rPr>
            </w:pPr>
            <w:r w:rsidRPr="0058349C">
              <w:rPr>
                <w:rFonts w:ascii="Garamond" w:hAnsi="Garamond"/>
                <w:b/>
                <w:bCs/>
                <w:sz w:val="18"/>
                <w:szCs w:val="18"/>
                <w:lang w:val="sq-AL"/>
              </w:rPr>
              <w:t>Mbështetja e të ardhurave t</w:t>
            </w:r>
            <w:r w:rsidRPr="0058349C">
              <w:rPr>
                <w:rFonts w:ascii="Garamond" w:eastAsia="Arial" w:hAnsi="Garamond"/>
                <w:b/>
                <w:bCs/>
                <w:sz w:val="18"/>
                <w:szCs w:val="18"/>
                <w:lang w:val="sq-AL"/>
              </w:rPr>
              <w:t>ë</w:t>
            </w:r>
            <w:r w:rsidRPr="0058349C">
              <w:rPr>
                <w:rFonts w:ascii="Garamond" w:hAnsi="Garamond"/>
                <w:b/>
                <w:bCs/>
                <w:sz w:val="18"/>
                <w:szCs w:val="18"/>
                <w:lang w:val="sq-AL"/>
              </w:rPr>
              <w:t xml:space="preserve"> ferm</w:t>
            </w:r>
            <w:r w:rsidRPr="0058349C">
              <w:rPr>
                <w:rFonts w:ascii="Garamond" w:eastAsia="Arial" w:hAnsi="Garamond"/>
                <w:sz w:val="18"/>
                <w:szCs w:val="18"/>
                <w:lang w:val="sq-AL"/>
              </w:rPr>
              <w:t>ë</w:t>
            </w:r>
            <w:r w:rsidRPr="0058349C">
              <w:rPr>
                <w:rFonts w:ascii="Garamond" w:hAnsi="Garamond"/>
                <w:b/>
                <w:bCs/>
                <w:sz w:val="18"/>
                <w:szCs w:val="18"/>
                <w:lang w:val="sq-AL"/>
              </w:rPr>
              <w:t>s bazuar n</w:t>
            </w:r>
            <w:r w:rsidRPr="0058349C">
              <w:rPr>
                <w:rFonts w:ascii="Garamond" w:eastAsia="Arial" w:hAnsi="Garamond"/>
                <w:b/>
                <w:bCs/>
                <w:sz w:val="18"/>
                <w:szCs w:val="18"/>
                <w:lang w:val="sq-AL"/>
              </w:rPr>
              <w:t>ë</w:t>
            </w:r>
            <w:r w:rsidRPr="0058349C">
              <w:rPr>
                <w:rFonts w:ascii="Garamond" w:hAnsi="Garamond"/>
                <w:b/>
                <w:bCs/>
                <w:sz w:val="18"/>
                <w:szCs w:val="18"/>
                <w:lang w:val="sq-AL"/>
              </w:rPr>
              <w:t xml:space="preserve"> sipërfaqen bujqësore të shfryt</w:t>
            </w:r>
            <w:r w:rsidR="00F4367B">
              <w:rPr>
                <w:rFonts w:ascii="Garamond" w:eastAsia="Arial" w:hAnsi="Garamond"/>
                <w:b/>
                <w:bCs/>
                <w:sz w:val="18"/>
                <w:szCs w:val="18"/>
                <w:lang w:val="sq-AL"/>
              </w:rPr>
              <w:t>ëzuar</w:t>
            </w:r>
            <w:r w:rsidR="00797859">
              <w:rPr>
                <w:rFonts w:ascii="Garamond" w:hAnsi="Garamond"/>
                <w:b/>
                <w:bCs/>
                <w:sz w:val="18"/>
                <w:szCs w:val="18"/>
                <w:lang w:val="sq-AL"/>
              </w:rPr>
              <w:t>/</w:t>
            </w:r>
            <w:r w:rsidR="00F4367B">
              <w:rPr>
                <w:rFonts w:ascii="Garamond" w:hAnsi="Garamond"/>
                <w:b/>
                <w:bCs/>
                <w:sz w:val="18"/>
                <w:szCs w:val="18"/>
                <w:lang w:val="sq-AL"/>
              </w:rPr>
              <w:t xml:space="preserve"> </w:t>
            </w:r>
            <w:r w:rsidRPr="0058349C">
              <w:rPr>
                <w:rFonts w:ascii="Garamond" w:hAnsi="Garamond"/>
                <w:b/>
                <w:bCs/>
                <w:sz w:val="18"/>
                <w:szCs w:val="18"/>
                <w:lang w:val="sq-AL"/>
              </w:rPr>
              <w:t>ferma prodhimit bimor</w:t>
            </w:r>
            <w:r w:rsidR="00CF7694" w:rsidRPr="0058349C">
              <w:rPr>
                <w:rFonts w:ascii="Garamond" w:hAnsi="Garamond"/>
                <w:b/>
                <w:bCs/>
                <w:sz w:val="18"/>
                <w:szCs w:val="18"/>
                <w:lang w:val="sq-AL"/>
              </w:rPr>
              <w:t xml:space="preserve"> </w:t>
            </w:r>
            <w:r w:rsidRPr="0058349C">
              <w:rPr>
                <w:rFonts w:ascii="Garamond" w:hAnsi="Garamond"/>
                <w:b/>
                <w:bCs/>
                <w:sz w:val="18"/>
                <w:szCs w:val="18"/>
                <w:lang w:val="sq-AL"/>
              </w:rPr>
              <w:t xml:space="preserve">(përfshirë skemat </w:t>
            </w:r>
            <w:r w:rsidRPr="00F4367B">
              <w:rPr>
                <w:rFonts w:ascii="Garamond" w:hAnsi="Garamond"/>
                <w:b/>
                <w:bCs/>
                <w:i/>
                <w:iCs/>
                <w:sz w:val="18"/>
                <w:szCs w:val="18"/>
                <w:lang w:val="sq-AL"/>
              </w:rPr>
              <w:t xml:space="preserve">decoupling) </w:t>
            </w:r>
          </w:p>
        </w:tc>
        <w:tc>
          <w:tcPr>
            <w:tcW w:w="2526" w:type="dxa"/>
            <w:shd w:val="clear" w:color="auto" w:fill="F2F2F2"/>
          </w:tcPr>
          <w:p w14:paraId="0773B34A" w14:textId="77777777" w:rsidR="00436191" w:rsidRPr="0058349C" w:rsidRDefault="00436191" w:rsidP="00F4367B">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fermave të mbështetura në bazë vjetore, përfshirë BAM (orientuese)</w:t>
            </w:r>
          </w:p>
          <w:p w14:paraId="0773B34B" w14:textId="77777777" w:rsidR="00436191" w:rsidRPr="0058349C" w:rsidRDefault="00436191" w:rsidP="00F4367B">
            <w:pPr>
              <w:spacing w:after="0" w:line="240" w:lineRule="auto"/>
              <w:rPr>
                <w:rFonts w:ascii="Garamond" w:eastAsia="Arial" w:hAnsi="Garamond"/>
                <w:sz w:val="18"/>
                <w:szCs w:val="18"/>
                <w:lang w:val="sq-AL"/>
              </w:rPr>
            </w:pPr>
          </w:p>
        </w:tc>
        <w:tc>
          <w:tcPr>
            <w:tcW w:w="1419" w:type="dxa"/>
            <w:vMerge/>
            <w:shd w:val="clear" w:color="auto" w:fill="F2F2F2"/>
            <w:vAlign w:val="center"/>
          </w:tcPr>
          <w:p w14:paraId="0773B34C" w14:textId="77777777" w:rsidR="00436191" w:rsidRPr="0058349C" w:rsidRDefault="00436191" w:rsidP="00F4367B">
            <w:pPr>
              <w:spacing w:after="0" w:line="240" w:lineRule="auto"/>
              <w:jc w:val="center"/>
              <w:rPr>
                <w:rFonts w:ascii="Garamond" w:eastAsia="Arial" w:hAnsi="Garamond"/>
                <w:sz w:val="18"/>
                <w:szCs w:val="18"/>
                <w:lang w:val="sq-AL"/>
              </w:rPr>
            </w:pPr>
          </w:p>
        </w:tc>
        <w:tc>
          <w:tcPr>
            <w:tcW w:w="3865" w:type="dxa"/>
            <w:gridSpan w:val="3"/>
            <w:vMerge/>
            <w:shd w:val="clear" w:color="auto" w:fill="F2F2F2"/>
            <w:vAlign w:val="center"/>
          </w:tcPr>
          <w:p w14:paraId="0773B34D" w14:textId="77777777" w:rsidR="00436191" w:rsidRPr="0058349C" w:rsidRDefault="00436191" w:rsidP="00F4367B">
            <w:pPr>
              <w:spacing w:after="0" w:line="240" w:lineRule="auto"/>
              <w:jc w:val="center"/>
              <w:rPr>
                <w:rFonts w:ascii="Garamond" w:eastAsia="Arial" w:hAnsi="Garamond"/>
                <w:sz w:val="18"/>
                <w:szCs w:val="18"/>
                <w:lang w:val="sq-AL"/>
              </w:rPr>
            </w:pPr>
          </w:p>
        </w:tc>
        <w:tc>
          <w:tcPr>
            <w:tcW w:w="1275" w:type="dxa"/>
            <w:shd w:val="clear" w:color="auto" w:fill="E5F7CA"/>
            <w:vAlign w:val="center"/>
          </w:tcPr>
          <w:p w14:paraId="0773B34E"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1,200</w:t>
            </w:r>
          </w:p>
        </w:tc>
        <w:tc>
          <w:tcPr>
            <w:tcW w:w="1134" w:type="dxa"/>
            <w:shd w:val="clear" w:color="auto" w:fill="E5F7CA"/>
            <w:vAlign w:val="center"/>
          </w:tcPr>
          <w:p w14:paraId="0773B34F"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1,500</w:t>
            </w:r>
          </w:p>
        </w:tc>
      </w:tr>
      <w:tr w:rsidR="00436191" w:rsidRPr="0058349C" w14:paraId="0773B358" w14:textId="77777777" w:rsidTr="00EA28DE">
        <w:trPr>
          <w:trHeight w:val="20"/>
        </w:trPr>
        <w:tc>
          <w:tcPr>
            <w:tcW w:w="384" w:type="dxa"/>
            <w:vMerge w:val="restart"/>
            <w:shd w:val="clear" w:color="auto" w:fill="F2F2F2"/>
          </w:tcPr>
          <w:p w14:paraId="0773B351" w14:textId="77777777" w:rsidR="00436191" w:rsidRPr="0058349C" w:rsidRDefault="00436191" w:rsidP="00F4367B">
            <w:pPr>
              <w:spacing w:after="0" w:line="240" w:lineRule="auto"/>
              <w:rPr>
                <w:rFonts w:ascii="Garamond" w:eastAsia="Arial" w:hAnsi="Garamond"/>
                <w:b/>
                <w:sz w:val="18"/>
                <w:szCs w:val="18"/>
                <w:lang w:val="sq-AL"/>
              </w:rPr>
            </w:pPr>
          </w:p>
        </w:tc>
        <w:tc>
          <w:tcPr>
            <w:tcW w:w="3567" w:type="dxa"/>
            <w:vMerge w:val="restart"/>
            <w:shd w:val="clear" w:color="auto" w:fill="F2F2F2"/>
          </w:tcPr>
          <w:p w14:paraId="0773B352" w14:textId="77777777" w:rsidR="00436191" w:rsidRPr="0058349C" w:rsidRDefault="00436191" w:rsidP="00F4367B">
            <w:pPr>
              <w:spacing w:after="0" w:line="240" w:lineRule="auto"/>
              <w:rPr>
                <w:rFonts w:ascii="Garamond" w:hAnsi="Garamond"/>
                <w:b/>
                <w:bCs/>
                <w:sz w:val="18"/>
                <w:szCs w:val="18"/>
                <w:lang w:val="sq-AL"/>
              </w:rPr>
            </w:pPr>
            <w:r w:rsidRPr="0058349C">
              <w:rPr>
                <w:rFonts w:ascii="Garamond" w:hAnsi="Garamond"/>
                <w:b/>
                <w:bCs/>
                <w:sz w:val="18"/>
                <w:szCs w:val="18"/>
                <w:lang w:val="sq-AL"/>
              </w:rPr>
              <w:t>Mbështetje për serrat</w:t>
            </w:r>
          </w:p>
        </w:tc>
        <w:tc>
          <w:tcPr>
            <w:tcW w:w="2526" w:type="dxa"/>
            <w:shd w:val="clear" w:color="auto" w:fill="F2F2F2"/>
          </w:tcPr>
          <w:p w14:paraId="0773B353" w14:textId="588ABA50" w:rsidR="00436191" w:rsidRPr="0058349C" w:rsidRDefault="00436191" w:rsidP="00F4367B">
            <w:pPr>
              <w:spacing w:after="0" w:line="240" w:lineRule="auto"/>
              <w:rPr>
                <w:rFonts w:ascii="Garamond" w:eastAsia="Arial" w:hAnsi="Garamond"/>
                <w:sz w:val="18"/>
                <w:szCs w:val="18"/>
                <w:lang w:val="sq-AL"/>
              </w:rPr>
            </w:pPr>
            <w:r w:rsidRPr="0058349C">
              <w:rPr>
                <w:rFonts w:ascii="Garamond" w:eastAsia="Arial" w:hAnsi="Garamond"/>
                <w:sz w:val="18"/>
                <w:szCs w:val="18"/>
                <w:lang w:val="sq-AL"/>
              </w:rPr>
              <w:t>Nu</w:t>
            </w:r>
            <w:r w:rsidR="00F4367B">
              <w:rPr>
                <w:rFonts w:ascii="Garamond" w:eastAsia="Arial" w:hAnsi="Garamond"/>
                <w:sz w:val="18"/>
                <w:szCs w:val="18"/>
                <w:lang w:val="sq-AL"/>
              </w:rPr>
              <w:t>mri i fermave të modernizuara (orientues</w:t>
            </w:r>
            <w:r w:rsidRPr="0058349C">
              <w:rPr>
                <w:rFonts w:ascii="Garamond" w:eastAsia="Arial" w:hAnsi="Garamond"/>
                <w:sz w:val="18"/>
                <w:szCs w:val="18"/>
                <w:lang w:val="sq-AL"/>
              </w:rPr>
              <w:t>)</w:t>
            </w:r>
          </w:p>
        </w:tc>
        <w:tc>
          <w:tcPr>
            <w:tcW w:w="1419" w:type="dxa"/>
            <w:vMerge/>
            <w:shd w:val="clear" w:color="auto" w:fill="F2F2F2"/>
            <w:vAlign w:val="center"/>
          </w:tcPr>
          <w:p w14:paraId="0773B354" w14:textId="77777777" w:rsidR="00436191" w:rsidRPr="0058349C" w:rsidRDefault="00436191" w:rsidP="00F4367B">
            <w:pPr>
              <w:spacing w:after="0" w:line="240" w:lineRule="auto"/>
              <w:rPr>
                <w:rFonts w:ascii="Garamond" w:eastAsia="Arial" w:hAnsi="Garamond"/>
                <w:sz w:val="18"/>
                <w:szCs w:val="18"/>
                <w:lang w:val="sq-AL"/>
              </w:rPr>
            </w:pPr>
          </w:p>
        </w:tc>
        <w:tc>
          <w:tcPr>
            <w:tcW w:w="3865" w:type="dxa"/>
            <w:gridSpan w:val="3"/>
            <w:vMerge/>
            <w:shd w:val="clear" w:color="auto" w:fill="F2F2F2"/>
            <w:vAlign w:val="center"/>
          </w:tcPr>
          <w:p w14:paraId="0773B355" w14:textId="77777777" w:rsidR="00436191" w:rsidRPr="0058349C" w:rsidRDefault="00436191" w:rsidP="00F4367B">
            <w:pPr>
              <w:spacing w:after="0" w:line="240" w:lineRule="auto"/>
              <w:rPr>
                <w:rFonts w:ascii="Garamond" w:eastAsia="Arial" w:hAnsi="Garamond"/>
                <w:sz w:val="18"/>
                <w:szCs w:val="18"/>
                <w:lang w:val="sq-AL"/>
              </w:rPr>
            </w:pPr>
          </w:p>
        </w:tc>
        <w:tc>
          <w:tcPr>
            <w:tcW w:w="1275" w:type="dxa"/>
            <w:shd w:val="clear" w:color="auto" w:fill="E5F7CA"/>
            <w:vAlign w:val="center"/>
          </w:tcPr>
          <w:p w14:paraId="0773B356"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450</w:t>
            </w:r>
          </w:p>
        </w:tc>
        <w:tc>
          <w:tcPr>
            <w:tcW w:w="1134" w:type="dxa"/>
            <w:shd w:val="clear" w:color="auto" w:fill="E5F7CA"/>
            <w:vAlign w:val="center"/>
          </w:tcPr>
          <w:p w14:paraId="0773B357"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1,000</w:t>
            </w:r>
          </w:p>
        </w:tc>
      </w:tr>
      <w:tr w:rsidR="00436191" w:rsidRPr="0058349C" w14:paraId="0773B360" w14:textId="77777777" w:rsidTr="00EA28DE">
        <w:trPr>
          <w:trHeight w:val="20"/>
        </w:trPr>
        <w:tc>
          <w:tcPr>
            <w:tcW w:w="384" w:type="dxa"/>
            <w:vMerge/>
            <w:shd w:val="clear" w:color="auto" w:fill="F2F2F2"/>
          </w:tcPr>
          <w:p w14:paraId="0773B359" w14:textId="77777777" w:rsidR="00436191" w:rsidRPr="0058349C" w:rsidRDefault="00436191" w:rsidP="00F4367B">
            <w:pPr>
              <w:spacing w:after="0" w:line="240" w:lineRule="auto"/>
              <w:rPr>
                <w:rFonts w:ascii="Garamond" w:eastAsia="Arial" w:hAnsi="Garamond"/>
                <w:b/>
                <w:sz w:val="18"/>
                <w:szCs w:val="18"/>
                <w:lang w:val="sq-AL"/>
              </w:rPr>
            </w:pPr>
          </w:p>
        </w:tc>
        <w:tc>
          <w:tcPr>
            <w:tcW w:w="3567" w:type="dxa"/>
            <w:vMerge/>
            <w:shd w:val="clear" w:color="auto" w:fill="F2F2F2"/>
          </w:tcPr>
          <w:p w14:paraId="0773B35A" w14:textId="77777777" w:rsidR="00436191" w:rsidRPr="0058349C" w:rsidRDefault="00436191" w:rsidP="00F4367B">
            <w:pPr>
              <w:spacing w:after="0" w:line="240" w:lineRule="auto"/>
              <w:rPr>
                <w:rFonts w:ascii="Garamond" w:hAnsi="Garamond"/>
                <w:b/>
                <w:bCs/>
                <w:sz w:val="18"/>
                <w:szCs w:val="18"/>
                <w:lang w:val="sq-AL"/>
              </w:rPr>
            </w:pPr>
          </w:p>
        </w:tc>
        <w:tc>
          <w:tcPr>
            <w:tcW w:w="2526" w:type="dxa"/>
            <w:shd w:val="clear" w:color="auto" w:fill="F2F2F2"/>
          </w:tcPr>
          <w:p w14:paraId="0773B35B" w14:textId="534F028D" w:rsidR="00436191" w:rsidRPr="0058349C" w:rsidRDefault="00436191" w:rsidP="00F4367B">
            <w:pPr>
              <w:spacing w:after="0" w:line="240" w:lineRule="auto"/>
              <w:rPr>
                <w:rFonts w:ascii="Garamond" w:eastAsia="Arial" w:hAnsi="Garamond"/>
                <w:sz w:val="18"/>
                <w:szCs w:val="18"/>
                <w:lang w:val="sq-AL"/>
              </w:rPr>
            </w:pPr>
            <w:r w:rsidRPr="0058349C">
              <w:rPr>
                <w:rFonts w:ascii="Garamond" w:eastAsia="Arial" w:hAnsi="Garamond"/>
                <w:sz w:val="18"/>
                <w:szCs w:val="18"/>
                <w:lang w:val="sq-AL"/>
              </w:rPr>
              <w:t>Sip</w:t>
            </w:r>
            <w:r w:rsidRPr="0058349C">
              <w:rPr>
                <w:rFonts w:ascii="Garamond" w:eastAsia="Arial" w:hAnsi="Garamond"/>
                <w:bCs/>
                <w:sz w:val="18"/>
                <w:szCs w:val="18"/>
                <w:lang w:val="sq-AL"/>
              </w:rPr>
              <w:t>ërfaqe në Ha</w:t>
            </w:r>
            <w:r w:rsidRPr="0058349C">
              <w:rPr>
                <w:rFonts w:ascii="Garamond" w:eastAsia="Arial" w:hAnsi="Garamond"/>
                <w:sz w:val="18"/>
                <w:szCs w:val="18"/>
                <w:lang w:val="sq-AL"/>
              </w:rPr>
              <w:t xml:space="preserve"> me nën ser</w:t>
            </w:r>
            <w:r w:rsidR="00264AE4">
              <w:rPr>
                <w:rFonts w:ascii="Garamond" w:eastAsia="Arial" w:hAnsi="Garamond"/>
                <w:sz w:val="18"/>
                <w:szCs w:val="18"/>
                <w:lang w:val="sq-AL"/>
              </w:rPr>
              <w:t>r</w:t>
            </w:r>
            <w:r w:rsidRPr="0058349C">
              <w:rPr>
                <w:rFonts w:ascii="Garamond" w:eastAsia="Arial" w:hAnsi="Garamond"/>
                <w:sz w:val="18"/>
                <w:szCs w:val="18"/>
                <w:lang w:val="sq-AL"/>
              </w:rPr>
              <w:t xml:space="preserve">a (si </w:t>
            </w:r>
            <w:r w:rsidRPr="0058349C">
              <w:rPr>
                <w:rFonts w:ascii="Garamond" w:eastAsia="Arial" w:hAnsi="Garamond"/>
                <w:sz w:val="18"/>
                <w:szCs w:val="18"/>
                <w:lang w:val="sq-AL"/>
              </w:rPr>
              <w:lastRenderedPageBreak/>
              <w:t>sipërfaqe totale në nivel kombëtar, edhe si efekt indirekt (orientues)</w:t>
            </w:r>
          </w:p>
        </w:tc>
        <w:tc>
          <w:tcPr>
            <w:tcW w:w="1419" w:type="dxa"/>
            <w:vMerge/>
            <w:shd w:val="clear" w:color="auto" w:fill="F2F2F2"/>
            <w:vAlign w:val="center"/>
          </w:tcPr>
          <w:p w14:paraId="0773B35C" w14:textId="77777777" w:rsidR="00436191" w:rsidRPr="0058349C" w:rsidRDefault="00436191" w:rsidP="00F4367B">
            <w:pPr>
              <w:spacing w:after="0" w:line="240" w:lineRule="auto"/>
              <w:rPr>
                <w:rFonts w:ascii="Garamond" w:eastAsia="Arial" w:hAnsi="Garamond"/>
                <w:sz w:val="18"/>
                <w:szCs w:val="18"/>
                <w:lang w:val="sq-AL"/>
              </w:rPr>
            </w:pPr>
          </w:p>
        </w:tc>
        <w:tc>
          <w:tcPr>
            <w:tcW w:w="3865" w:type="dxa"/>
            <w:gridSpan w:val="3"/>
            <w:vMerge/>
            <w:shd w:val="clear" w:color="auto" w:fill="F2F2F2"/>
            <w:vAlign w:val="center"/>
          </w:tcPr>
          <w:p w14:paraId="0773B35D" w14:textId="77777777" w:rsidR="00436191" w:rsidRPr="0058349C" w:rsidRDefault="00436191" w:rsidP="00F4367B">
            <w:pPr>
              <w:spacing w:after="0" w:line="240" w:lineRule="auto"/>
              <w:rPr>
                <w:rFonts w:ascii="Garamond" w:eastAsia="Arial" w:hAnsi="Garamond"/>
                <w:sz w:val="18"/>
                <w:szCs w:val="18"/>
                <w:lang w:val="sq-AL"/>
              </w:rPr>
            </w:pPr>
          </w:p>
        </w:tc>
        <w:tc>
          <w:tcPr>
            <w:tcW w:w="1275" w:type="dxa"/>
            <w:shd w:val="clear" w:color="auto" w:fill="E5F7CA"/>
            <w:vAlign w:val="center"/>
          </w:tcPr>
          <w:p w14:paraId="0773B35E"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3,000</w:t>
            </w:r>
          </w:p>
        </w:tc>
        <w:tc>
          <w:tcPr>
            <w:tcW w:w="1134" w:type="dxa"/>
            <w:shd w:val="clear" w:color="auto" w:fill="E5F7CA"/>
            <w:vAlign w:val="center"/>
          </w:tcPr>
          <w:p w14:paraId="0773B35F"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4,500</w:t>
            </w:r>
          </w:p>
        </w:tc>
      </w:tr>
      <w:tr w:rsidR="00436191" w:rsidRPr="0058349C" w14:paraId="0773B368" w14:textId="77777777" w:rsidTr="00EA28DE">
        <w:trPr>
          <w:trHeight w:val="20"/>
        </w:trPr>
        <w:tc>
          <w:tcPr>
            <w:tcW w:w="384" w:type="dxa"/>
            <w:vMerge w:val="restart"/>
            <w:shd w:val="clear" w:color="auto" w:fill="F2F2F2"/>
          </w:tcPr>
          <w:p w14:paraId="0773B361" w14:textId="77777777" w:rsidR="00436191" w:rsidRPr="0058349C" w:rsidRDefault="00436191" w:rsidP="00F4367B">
            <w:pPr>
              <w:spacing w:after="0" w:line="240" w:lineRule="auto"/>
              <w:rPr>
                <w:rFonts w:ascii="Garamond" w:eastAsia="Arial" w:hAnsi="Garamond"/>
                <w:b/>
                <w:sz w:val="18"/>
                <w:szCs w:val="18"/>
                <w:lang w:val="sq-AL"/>
              </w:rPr>
            </w:pPr>
          </w:p>
        </w:tc>
        <w:tc>
          <w:tcPr>
            <w:tcW w:w="3567" w:type="dxa"/>
            <w:vMerge w:val="restart"/>
            <w:shd w:val="clear" w:color="auto" w:fill="F2F2F2"/>
          </w:tcPr>
          <w:p w14:paraId="0773B362" w14:textId="77777777" w:rsidR="00436191" w:rsidRPr="0058349C" w:rsidRDefault="00436191" w:rsidP="00F4367B">
            <w:pPr>
              <w:spacing w:after="0" w:line="240" w:lineRule="auto"/>
              <w:rPr>
                <w:rFonts w:ascii="Garamond" w:hAnsi="Garamond"/>
                <w:b/>
                <w:bCs/>
                <w:sz w:val="18"/>
                <w:szCs w:val="18"/>
                <w:lang w:val="sq-AL"/>
              </w:rPr>
            </w:pPr>
            <w:r w:rsidRPr="0058349C">
              <w:rPr>
                <w:rFonts w:ascii="Garamond" w:hAnsi="Garamond"/>
                <w:b/>
                <w:bCs/>
                <w:sz w:val="18"/>
                <w:szCs w:val="18"/>
                <w:lang w:val="sq-AL"/>
              </w:rPr>
              <w:t>Mbështetja e të ardhura n</w:t>
            </w:r>
            <w:r w:rsidRPr="0058349C">
              <w:rPr>
                <w:rFonts w:ascii="Garamond" w:eastAsia="Arial" w:hAnsi="Garamond"/>
                <w:b/>
                <w:bCs/>
                <w:sz w:val="18"/>
                <w:szCs w:val="18"/>
                <w:lang w:val="sq-AL"/>
              </w:rPr>
              <w:t>ë</w:t>
            </w:r>
            <w:r w:rsidRPr="0058349C">
              <w:rPr>
                <w:rFonts w:ascii="Garamond" w:hAnsi="Garamond"/>
                <w:b/>
                <w:bCs/>
                <w:sz w:val="18"/>
                <w:szCs w:val="18"/>
                <w:lang w:val="sq-AL"/>
              </w:rPr>
              <w:t xml:space="preserve"> ferm</w:t>
            </w:r>
            <w:r w:rsidRPr="0058349C">
              <w:rPr>
                <w:rFonts w:ascii="Garamond" w:eastAsia="Arial" w:hAnsi="Garamond"/>
                <w:b/>
                <w:bCs/>
                <w:sz w:val="18"/>
                <w:szCs w:val="18"/>
                <w:lang w:val="sq-AL"/>
              </w:rPr>
              <w:t>ë</w:t>
            </w:r>
            <w:r w:rsidRPr="0058349C">
              <w:rPr>
                <w:rFonts w:ascii="Garamond" w:hAnsi="Garamond"/>
                <w:b/>
                <w:bCs/>
                <w:sz w:val="18"/>
                <w:szCs w:val="18"/>
                <w:lang w:val="sq-AL"/>
              </w:rPr>
              <w:t xml:space="preserve"> për fermat blegtorale</w:t>
            </w:r>
          </w:p>
        </w:tc>
        <w:tc>
          <w:tcPr>
            <w:tcW w:w="2526" w:type="dxa"/>
            <w:shd w:val="clear" w:color="auto" w:fill="F2F2F2"/>
          </w:tcPr>
          <w:p w14:paraId="0773B363" w14:textId="5C705D23" w:rsidR="00436191" w:rsidRPr="0058349C" w:rsidRDefault="00436191" w:rsidP="00F4367B">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fermave blegtorale të mbështetura në</w:t>
            </w:r>
            <w:r w:rsidR="00CF7694" w:rsidRPr="0058349C">
              <w:rPr>
                <w:rFonts w:ascii="Garamond" w:eastAsia="Arial" w:hAnsi="Garamond"/>
                <w:sz w:val="18"/>
                <w:szCs w:val="18"/>
                <w:lang w:val="sq-AL"/>
              </w:rPr>
              <w:t xml:space="preserve"> </w:t>
            </w:r>
            <w:r w:rsidRPr="0058349C">
              <w:rPr>
                <w:rFonts w:ascii="Garamond" w:eastAsia="Arial" w:hAnsi="Garamond"/>
                <w:sz w:val="18"/>
                <w:szCs w:val="18"/>
                <w:lang w:val="sq-AL"/>
              </w:rPr>
              <w:t xml:space="preserve">vit </w:t>
            </w:r>
          </w:p>
        </w:tc>
        <w:tc>
          <w:tcPr>
            <w:tcW w:w="1419" w:type="dxa"/>
            <w:vMerge/>
            <w:shd w:val="clear" w:color="auto" w:fill="F2F2F2"/>
            <w:vAlign w:val="center"/>
          </w:tcPr>
          <w:p w14:paraId="0773B364" w14:textId="77777777" w:rsidR="00436191" w:rsidRPr="0058349C" w:rsidRDefault="00436191" w:rsidP="00F4367B">
            <w:pPr>
              <w:spacing w:after="0" w:line="240" w:lineRule="auto"/>
              <w:rPr>
                <w:rFonts w:ascii="Garamond" w:eastAsia="Arial" w:hAnsi="Garamond"/>
                <w:sz w:val="18"/>
                <w:szCs w:val="18"/>
                <w:lang w:val="sq-AL"/>
              </w:rPr>
            </w:pPr>
          </w:p>
        </w:tc>
        <w:tc>
          <w:tcPr>
            <w:tcW w:w="3865" w:type="dxa"/>
            <w:gridSpan w:val="3"/>
            <w:vMerge/>
            <w:shd w:val="clear" w:color="auto" w:fill="F2F2F2"/>
            <w:vAlign w:val="center"/>
          </w:tcPr>
          <w:p w14:paraId="0773B365" w14:textId="77777777" w:rsidR="00436191" w:rsidRPr="0058349C" w:rsidRDefault="00436191" w:rsidP="00F4367B">
            <w:pPr>
              <w:spacing w:after="0" w:line="240" w:lineRule="auto"/>
              <w:rPr>
                <w:rFonts w:ascii="Garamond" w:eastAsia="Arial" w:hAnsi="Garamond"/>
                <w:sz w:val="18"/>
                <w:szCs w:val="18"/>
                <w:lang w:val="sq-AL"/>
              </w:rPr>
            </w:pPr>
          </w:p>
        </w:tc>
        <w:tc>
          <w:tcPr>
            <w:tcW w:w="1275" w:type="dxa"/>
            <w:shd w:val="clear" w:color="auto" w:fill="E5F7CA"/>
            <w:vAlign w:val="center"/>
          </w:tcPr>
          <w:p w14:paraId="0773B366"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25,00</w:t>
            </w:r>
          </w:p>
        </w:tc>
        <w:tc>
          <w:tcPr>
            <w:tcW w:w="1134" w:type="dxa"/>
            <w:shd w:val="clear" w:color="auto" w:fill="E5F7CA"/>
            <w:vAlign w:val="center"/>
          </w:tcPr>
          <w:p w14:paraId="0773B367"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3,000</w:t>
            </w:r>
          </w:p>
        </w:tc>
      </w:tr>
      <w:tr w:rsidR="00436191" w:rsidRPr="0058349C" w14:paraId="0773B370" w14:textId="77777777" w:rsidTr="00EA28DE">
        <w:trPr>
          <w:trHeight w:val="20"/>
        </w:trPr>
        <w:tc>
          <w:tcPr>
            <w:tcW w:w="384" w:type="dxa"/>
            <w:vMerge/>
            <w:shd w:val="clear" w:color="auto" w:fill="F2F2F2"/>
          </w:tcPr>
          <w:p w14:paraId="0773B369" w14:textId="77777777" w:rsidR="00436191" w:rsidRPr="0058349C" w:rsidRDefault="00436191" w:rsidP="00F4367B">
            <w:pPr>
              <w:spacing w:after="0" w:line="240" w:lineRule="auto"/>
              <w:rPr>
                <w:rFonts w:ascii="Garamond" w:eastAsia="Arial" w:hAnsi="Garamond"/>
                <w:b/>
                <w:sz w:val="18"/>
                <w:szCs w:val="18"/>
                <w:lang w:val="sq-AL"/>
              </w:rPr>
            </w:pPr>
          </w:p>
        </w:tc>
        <w:tc>
          <w:tcPr>
            <w:tcW w:w="3567" w:type="dxa"/>
            <w:vMerge/>
            <w:shd w:val="clear" w:color="auto" w:fill="F2F2F2"/>
          </w:tcPr>
          <w:p w14:paraId="0773B36A" w14:textId="77777777" w:rsidR="00436191" w:rsidRPr="0058349C" w:rsidRDefault="00436191" w:rsidP="00F4367B">
            <w:pPr>
              <w:spacing w:after="0" w:line="240" w:lineRule="auto"/>
              <w:rPr>
                <w:rFonts w:ascii="Garamond" w:hAnsi="Garamond"/>
                <w:b/>
                <w:bCs/>
                <w:sz w:val="18"/>
                <w:szCs w:val="18"/>
                <w:lang w:val="sq-AL"/>
              </w:rPr>
            </w:pPr>
          </w:p>
        </w:tc>
        <w:tc>
          <w:tcPr>
            <w:tcW w:w="2526" w:type="dxa"/>
            <w:shd w:val="clear" w:color="auto" w:fill="F2F2F2"/>
          </w:tcPr>
          <w:p w14:paraId="0773B36B" w14:textId="10E0FFD1" w:rsidR="00436191" w:rsidRPr="0058349C" w:rsidRDefault="00436191" w:rsidP="00F4367B">
            <w:pPr>
              <w:spacing w:after="0" w:line="240" w:lineRule="auto"/>
              <w:rPr>
                <w:rFonts w:ascii="Garamond" w:eastAsia="Arial" w:hAnsi="Garamond"/>
                <w:sz w:val="18"/>
                <w:szCs w:val="18"/>
                <w:lang w:val="sq-AL"/>
              </w:rPr>
            </w:pPr>
            <w:r w:rsidRPr="0058349C">
              <w:rPr>
                <w:rFonts w:ascii="Garamond" w:eastAsia="Arial" w:hAnsi="Garamond"/>
                <w:sz w:val="18"/>
                <w:szCs w:val="18"/>
                <w:lang w:val="sq-AL"/>
              </w:rPr>
              <w:t xml:space="preserve">Numri i bletarëve të mbështetur në një vit </w:t>
            </w:r>
            <w:r w:rsidRPr="009A2EF6">
              <w:rPr>
                <w:rFonts w:ascii="Garamond" w:eastAsia="Arial" w:hAnsi="Garamond"/>
                <w:sz w:val="18"/>
                <w:szCs w:val="18"/>
                <w:lang w:val="sq-AL"/>
              </w:rPr>
              <w:t>ra gjinore mbi pronësinë dhe</w:t>
            </w:r>
            <w:r w:rsidR="00CF7694" w:rsidRPr="009A2EF6">
              <w:rPr>
                <w:rFonts w:ascii="Garamond" w:eastAsia="Arial" w:hAnsi="Garamond"/>
                <w:sz w:val="18"/>
                <w:szCs w:val="18"/>
                <w:lang w:val="sq-AL"/>
              </w:rPr>
              <w:t xml:space="preserve"> </w:t>
            </w:r>
            <w:r w:rsidRPr="009A2EF6">
              <w:rPr>
                <w:rFonts w:ascii="Garamond" w:eastAsia="Arial" w:hAnsi="Garamond"/>
                <w:sz w:val="18"/>
                <w:szCs w:val="18"/>
                <w:lang w:val="sq-AL"/>
              </w:rPr>
              <w:t>për menaxhimin</w:t>
            </w:r>
            <w:r w:rsidR="00CF7694" w:rsidRPr="009A2EF6">
              <w:rPr>
                <w:rFonts w:ascii="Garamond" w:eastAsia="Arial" w:hAnsi="Garamond"/>
                <w:sz w:val="18"/>
                <w:szCs w:val="18"/>
                <w:lang w:val="sq-AL"/>
              </w:rPr>
              <w:t xml:space="preserve"> </w:t>
            </w:r>
            <w:r w:rsidRPr="009A2EF6">
              <w:rPr>
                <w:rFonts w:ascii="Garamond" w:eastAsia="Arial" w:hAnsi="Garamond"/>
                <w:sz w:val="18"/>
                <w:szCs w:val="18"/>
                <w:lang w:val="sq-AL"/>
              </w:rPr>
              <w:t>e aktivitetit.</w:t>
            </w:r>
          </w:p>
        </w:tc>
        <w:tc>
          <w:tcPr>
            <w:tcW w:w="1419" w:type="dxa"/>
            <w:vMerge/>
            <w:shd w:val="clear" w:color="auto" w:fill="F2F2F2"/>
            <w:vAlign w:val="center"/>
          </w:tcPr>
          <w:p w14:paraId="0773B36C" w14:textId="77777777" w:rsidR="00436191" w:rsidRPr="0058349C" w:rsidRDefault="00436191" w:rsidP="00F4367B">
            <w:pPr>
              <w:spacing w:after="0" w:line="240" w:lineRule="auto"/>
              <w:rPr>
                <w:rFonts w:ascii="Garamond" w:eastAsia="Arial" w:hAnsi="Garamond"/>
                <w:sz w:val="18"/>
                <w:szCs w:val="18"/>
                <w:lang w:val="sq-AL"/>
              </w:rPr>
            </w:pPr>
          </w:p>
        </w:tc>
        <w:tc>
          <w:tcPr>
            <w:tcW w:w="3865" w:type="dxa"/>
            <w:gridSpan w:val="3"/>
            <w:vMerge/>
            <w:shd w:val="clear" w:color="auto" w:fill="F2F2F2"/>
            <w:vAlign w:val="center"/>
          </w:tcPr>
          <w:p w14:paraId="0773B36D" w14:textId="77777777" w:rsidR="00436191" w:rsidRPr="0058349C" w:rsidRDefault="00436191" w:rsidP="00F4367B">
            <w:pPr>
              <w:spacing w:after="0" w:line="240" w:lineRule="auto"/>
              <w:rPr>
                <w:rFonts w:ascii="Garamond" w:eastAsia="Arial" w:hAnsi="Garamond"/>
                <w:sz w:val="18"/>
                <w:szCs w:val="18"/>
                <w:lang w:val="sq-AL"/>
              </w:rPr>
            </w:pPr>
          </w:p>
        </w:tc>
        <w:tc>
          <w:tcPr>
            <w:tcW w:w="1275" w:type="dxa"/>
            <w:shd w:val="clear" w:color="auto" w:fill="E5F7CA"/>
            <w:vAlign w:val="center"/>
          </w:tcPr>
          <w:p w14:paraId="0773B36E"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1,000</w:t>
            </w:r>
          </w:p>
        </w:tc>
        <w:tc>
          <w:tcPr>
            <w:tcW w:w="1134" w:type="dxa"/>
            <w:shd w:val="clear" w:color="auto" w:fill="E5F7CA"/>
            <w:vAlign w:val="center"/>
          </w:tcPr>
          <w:p w14:paraId="0773B36F"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1,200</w:t>
            </w:r>
          </w:p>
        </w:tc>
      </w:tr>
      <w:tr w:rsidR="00436191" w:rsidRPr="0058349C" w14:paraId="0773B378" w14:textId="77777777" w:rsidTr="00EA28DE">
        <w:trPr>
          <w:trHeight w:val="20"/>
        </w:trPr>
        <w:tc>
          <w:tcPr>
            <w:tcW w:w="384" w:type="dxa"/>
            <w:shd w:val="clear" w:color="auto" w:fill="F2F2F2"/>
          </w:tcPr>
          <w:p w14:paraId="0773B371" w14:textId="77777777" w:rsidR="00436191" w:rsidRPr="0058349C" w:rsidRDefault="00436191" w:rsidP="00F4367B">
            <w:pPr>
              <w:spacing w:after="0" w:line="240" w:lineRule="auto"/>
              <w:rPr>
                <w:rFonts w:ascii="Garamond" w:eastAsia="Arial" w:hAnsi="Garamond"/>
                <w:b/>
                <w:sz w:val="18"/>
                <w:szCs w:val="18"/>
                <w:lang w:val="sq-AL"/>
              </w:rPr>
            </w:pPr>
          </w:p>
        </w:tc>
        <w:tc>
          <w:tcPr>
            <w:tcW w:w="3567" w:type="dxa"/>
            <w:shd w:val="clear" w:color="auto" w:fill="F2F2F2"/>
          </w:tcPr>
          <w:p w14:paraId="0773B372" w14:textId="77777777" w:rsidR="00436191" w:rsidRPr="0058349C" w:rsidRDefault="00436191" w:rsidP="00F4367B">
            <w:pPr>
              <w:spacing w:after="0" w:line="240" w:lineRule="auto"/>
              <w:rPr>
                <w:rFonts w:ascii="Garamond" w:hAnsi="Garamond"/>
                <w:b/>
                <w:bCs/>
                <w:sz w:val="18"/>
                <w:szCs w:val="18"/>
                <w:lang w:val="sq-AL"/>
              </w:rPr>
            </w:pPr>
            <w:r w:rsidRPr="0058349C">
              <w:rPr>
                <w:rFonts w:ascii="Garamond" w:hAnsi="Garamond"/>
                <w:b/>
                <w:bCs/>
                <w:sz w:val="18"/>
                <w:szCs w:val="18"/>
                <w:lang w:val="sq-AL"/>
              </w:rPr>
              <w:t>Kompensimi për naftën në bujqësi</w:t>
            </w:r>
          </w:p>
        </w:tc>
        <w:tc>
          <w:tcPr>
            <w:tcW w:w="2526" w:type="dxa"/>
            <w:shd w:val="clear" w:color="auto" w:fill="F2F2F2"/>
          </w:tcPr>
          <w:p w14:paraId="0773B373" w14:textId="22C29F56" w:rsidR="00436191" w:rsidRPr="0058349C" w:rsidRDefault="00436191" w:rsidP="00F4367B">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fermave të mbështetura</w:t>
            </w:r>
            <w:r w:rsidR="00CF7694" w:rsidRPr="0058349C">
              <w:rPr>
                <w:rFonts w:ascii="Garamond" w:eastAsia="Arial" w:hAnsi="Garamond"/>
                <w:sz w:val="18"/>
                <w:szCs w:val="18"/>
                <w:lang w:val="sq-AL"/>
              </w:rPr>
              <w:t xml:space="preserve"> </w:t>
            </w:r>
          </w:p>
        </w:tc>
        <w:tc>
          <w:tcPr>
            <w:tcW w:w="1419" w:type="dxa"/>
            <w:vMerge/>
            <w:shd w:val="clear" w:color="auto" w:fill="F2F2F2"/>
            <w:vAlign w:val="center"/>
          </w:tcPr>
          <w:p w14:paraId="0773B374" w14:textId="77777777" w:rsidR="00436191" w:rsidRPr="0058349C" w:rsidRDefault="00436191" w:rsidP="00F4367B">
            <w:pPr>
              <w:spacing w:after="0" w:line="240" w:lineRule="auto"/>
              <w:jc w:val="center"/>
              <w:rPr>
                <w:rFonts w:ascii="Garamond" w:eastAsia="Arial" w:hAnsi="Garamond"/>
                <w:sz w:val="18"/>
                <w:szCs w:val="18"/>
                <w:lang w:val="sq-AL"/>
              </w:rPr>
            </w:pPr>
          </w:p>
        </w:tc>
        <w:tc>
          <w:tcPr>
            <w:tcW w:w="3865" w:type="dxa"/>
            <w:gridSpan w:val="3"/>
            <w:vMerge/>
            <w:shd w:val="clear" w:color="auto" w:fill="F2F2F2"/>
            <w:vAlign w:val="center"/>
          </w:tcPr>
          <w:p w14:paraId="0773B375" w14:textId="77777777" w:rsidR="00436191" w:rsidRPr="0058349C" w:rsidRDefault="00436191" w:rsidP="00F4367B">
            <w:pPr>
              <w:spacing w:after="0" w:line="240" w:lineRule="auto"/>
              <w:jc w:val="center"/>
              <w:rPr>
                <w:rFonts w:ascii="Garamond" w:eastAsia="Arial" w:hAnsi="Garamond"/>
                <w:sz w:val="18"/>
                <w:szCs w:val="18"/>
                <w:lang w:val="sq-AL"/>
              </w:rPr>
            </w:pPr>
          </w:p>
        </w:tc>
        <w:tc>
          <w:tcPr>
            <w:tcW w:w="1275" w:type="dxa"/>
            <w:shd w:val="clear" w:color="auto" w:fill="E5F7CA"/>
            <w:vAlign w:val="center"/>
          </w:tcPr>
          <w:p w14:paraId="0773B376"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35,000</w:t>
            </w:r>
          </w:p>
        </w:tc>
        <w:tc>
          <w:tcPr>
            <w:tcW w:w="1134" w:type="dxa"/>
            <w:shd w:val="clear" w:color="auto" w:fill="E5F7CA"/>
            <w:vAlign w:val="center"/>
          </w:tcPr>
          <w:p w14:paraId="0773B377"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40,000</w:t>
            </w:r>
          </w:p>
        </w:tc>
      </w:tr>
      <w:tr w:rsidR="00436191" w:rsidRPr="0058349C" w14:paraId="0773B382" w14:textId="77777777" w:rsidTr="00EA28DE">
        <w:trPr>
          <w:trHeight w:val="20"/>
        </w:trPr>
        <w:tc>
          <w:tcPr>
            <w:tcW w:w="384" w:type="dxa"/>
            <w:shd w:val="clear" w:color="auto" w:fill="F2F2F2"/>
          </w:tcPr>
          <w:p w14:paraId="0773B379" w14:textId="77777777" w:rsidR="00436191" w:rsidRPr="0058349C" w:rsidRDefault="00436191" w:rsidP="00F4367B">
            <w:pPr>
              <w:spacing w:after="0" w:line="240" w:lineRule="auto"/>
              <w:rPr>
                <w:rFonts w:ascii="Garamond" w:eastAsia="Arial" w:hAnsi="Garamond"/>
                <w:b/>
                <w:sz w:val="18"/>
                <w:szCs w:val="18"/>
                <w:lang w:val="sq-AL"/>
              </w:rPr>
            </w:pPr>
          </w:p>
        </w:tc>
        <w:tc>
          <w:tcPr>
            <w:tcW w:w="3567" w:type="dxa"/>
            <w:shd w:val="clear" w:color="auto" w:fill="F2F2F2"/>
          </w:tcPr>
          <w:p w14:paraId="0773B37A" w14:textId="77777777" w:rsidR="00436191" w:rsidRPr="0058349C" w:rsidRDefault="00436191" w:rsidP="00F4367B">
            <w:pPr>
              <w:spacing w:after="0" w:line="240" w:lineRule="auto"/>
              <w:rPr>
                <w:rFonts w:ascii="Garamond" w:eastAsia="Arial" w:hAnsi="Garamond" w:cs="Segoe UI"/>
                <w:sz w:val="18"/>
                <w:szCs w:val="18"/>
                <w:lang w:val="sq-AL"/>
              </w:rPr>
            </w:pPr>
            <w:r w:rsidRPr="0058349C">
              <w:rPr>
                <w:rFonts w:ascii="Garamond" w:hAnsi="Garamond"/>
                <w:b/>
                <w:bCs/>
                <w:sz w:val="18"/>
                <w:szCs w:val="18"/>
                <w:lang w:val="sq-AL"/>
              </w:rPr>
              <w:t>Skemat pilot t</w:t>
            </w:r>
            <w:r w:rsidRPr="0058349C">
              <w:rPr>
                <w:rStyle w:val="normaltextrun"/>
                <w:rFonts w:ascii="Garamond" w:eastAsia="Arial" w:hAnsi="Garamond"/>
                <w:b/>
                <w:bCs/>
                <w:sz w:val="18"/>
                <w:szCs w:val="18"/>
                <w:lang w:val="sq-AL"/>
              </w:rPr>
              <w:t>ë</w:t>
            </w:r>
            <w:r w:rsidRPr="0058349C">
              <w:rPr>
                <w:rFonts w:ascii="Garamond" w:hAnsi="Garamond"/>
                <w:b/>
                <w:bCs/>
                <w:sz w:val="18"/>
                <w:szCs w:val="18"/>
                <w:lang w:val="sq-AL"/>
              </w:rPr>
              <w:t xml:space="preserve"> Sigurimeve n</w:t>
            </w:r>
            <w:r w:rsidRPr="0058349C">
              <w:rPr>
                <w:rStyle w:val="normaltextrun"/>
                <w:rFonts w:ascii="Garamond" w:eastAsia="Arial" w:hAnsi="Garamond"/>
                <w:b/>
                <w:bCs/>
                <w:sz w:val="18"/>
                <w:szCs w:val="18"/>
                <w:lang w:val="sq-AL"/>
              </w:rPr>
              <w:t>ë bujqësi</w:t>
            </w:r>
          </w:p>
        </w:tc>
        <w:tc>
          <w:tcPr>
            <w:tcW w:w="2526" w:type="dxa"/>
            <w:shd w:val="clear" w:color="auto" w:fill="F2F2F2"/>
          </w:tcPr>
          <w:p w14:paraId="0773B37B" w14:textId="77777777" w:rsidR="00436191" w:rsidRPr="0058349C" w:rsidRDefault="00436191" w:rsidP="00F4367B">
            <w:pPr>
              <w:spacing w:after="0" w:line="240" w:lineRule="auto"/>
              <w:rPr>
                <w:rFonts w:ascii="Garamond" w:eastAsia="Arial" w:hAnsi="Garamond"/>
                <w:sz w:val="18"/>
                <w:szCs w:val="18"/>
                <w:lang w:val="sq-AL"/>
              </w:rPr>
            </w:pPr>
            <w:r w:rsidRPr="0058349C">
              <w:rPr>
                <w:rFonts w:ascii="Garamond" w:eastAsia="Arial" w:hAnsi="Garamond"/>
                <w:sz w:val="18"/>
                <w:szCs w:val="18"/>
                <w:lang w:val="sq-AL"/>
              </w:rPr>
              <w:t xml:space="preserve">Numri i fermave të mbështetura </w:t>
            </w:r>
          </w:p>
        </w:tc>
        <w:tc>
          <w:tcPr>
            <w:tcW w:w="1419" w:type="dxa"/>
            <w:shd w:val="clear" w:color="auto" w:fill="F2F2F2"/>
            <w:vAlign w:val="center"/>
          </w:tcPr>
          <w:p w14:paraId="0773B37C"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N:50,000</w:t>
            </w:r>
          </w:p>
        </w:tc>
        <w:tc>
          <w:tcPr>
            <w:tcW w:w="1305" w:type="dxa"/>
            <w:shd w:val="clear" w:color="auto" w:fill="F2F2F2"/>
            <w:vAlign w:val="center"/>
          </w:tcPr>
          <w:p w14:paraId="0773B37D"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77" w:type="dxa"/>
            <w:shd w:val="clear" w:color="auto" w:fill="F2F2F2"/>
            <w:vAlign w:val="center"/>
          </w:tcPr>
          <w:p w14:paraId="0773B37E"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3" w:type="dxa"/>
            <w:shd w:val="clear" w:color="auto" w:fill="F2F2F2"/>
            <w:vAlign w:val="center"/>
          </w:tcPr>
          <w:p w14:paraId="0773B37F"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N:50,000</w:t>
            </w:r>
          </w:p>
        </w:tc>
        <w:tc>
          <w:tcPr>
            <w:tcW w:w="1275" w:type="dxa"/>
            <w:shd w:val="clear" w:color="auto" w:fill="E5F7CA"/>
            <w:vAlign w:val="center"/>
          </w:tcPr>
          <w:p w14:paraId="0773B380"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134" w:type="dxa"/>
            <w:shd w:val="clear" w:color="auto" w:fill="E5F7CA"/>
            <w:vAlign w:val="center"/>
          </w:tcPr>
          <w:p w14:paraId="0773B381" w14:textId="77777777" w:rsidR="00436191" w:rsidRPr="0058349C" w:rsidRDefault="00436191" w:rsidP="00F4367B">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bl>
    <w:p w14:paraId="0773B383" w14:textId="77777777" w:rsidR="00F045DA" w:rsidRPr="0058349C" w:rsidRDefault="00F045DA" w:rsidP="00C54AEA">
      <w:pPr>
        <w:pStyle w:val="TEKSTIIII"/>
        <w:rPr>
          <w:lang w:val="sq-AL"/>
        </w:rPr>
      </w:pPr>
    </w:p>
    <w:tbl>
      <w:tblPr>
        <w:tblpPr w:leftFromText="180" w:rightFromText="180" w:vertAnchor="text" w:tblpXSpec="center" w:tblpY="1"/>
        <w:tblOverlap w:val="neve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
        <w:gridCol w:w="2784"/>
        <w:gridCol w:w="3309"/>
        <w:gridCol w:w="1419"/>
        <w:gridCol w:w="1305"/>
        <w:gridCol w:w="1277"/>
        <w:gridCol w:w="1283"/>
        <w:gridCol w:w="1275"/>
        <w:gridCol w:w="1134"/>
      </w:tblGrid>
      <w:tr w:rsidR="006C0CC2" w:rsidRPr="0058349C" w14:paraId="0773B385" w14:textId="77777777" w:rsidTr="00F4367B">
        <w:trPr>
          <w:trHeight w:val="20"/>
        </w:trPr>
        <w:tc>
          <w:tcPr>
            <w:tcW w:w="14170" w:type="dxa"/>
            <w:gridSpan w:val="9"/>
            <w:shd w:val="clear" w:color="auto" w:fill="E5F7CA"/>
            <w:vAlign w:val="center"/>
          </w:tcPr>
          <w:p w14:paraId="0773B384" w14:textId="77777777" w:rsidR="006C0CC2" w:rsidRPr="0058349C" w:rsidRDefault="006C0CC2" w:rsidP="006C0CC2">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Objektivi specifik 2: Rritja e konkurreshm</w:t>
            </w:r>
            <w:r w:rsidRPr="00F4367B">
              <w:rPr>
                <w:rFonts w:ascii="Garamond" w:eastAsia="Arial" w:hAnsi="Garamond"/>
                <w:b/>
                <w:bCs/>
                <w:sz w:val="18"/>
                <w:szCs w:val="18"/>
                <w:lang w:val="sq-AL"/>
              </w:rPr>
              <w:t>ërinë</w:t>
            </w:r>
            <w:r w:rsidRPr="0058349C">
              <w:rPr>
                <w:rFonts w:ascii="Garamond" w:eastAsia="Arial" w:hAnsi="Garamond"/>
                <w:b/>
                <w:bCs/>
                <w:sz w:val="18"/>
                <w:szCs w:val="18"/>
                <w:lang w:val="sq-AL"/>
              </w:rPr>
              <w:t xml:space="preserve"> dhe orientimit drejt tregut e sektorit agroushqimor</w:t>
            </w:r>
          </w:p>
        </w:tc>
      </w:tr>
      <w:tr w:rsidR="006C0CC2" w:rsidRPr="0058349C" w14:paraId="0773B38D" w14:textId="77777777" w:rsidTr="00F4367B">
        <w:trPr>
          <w:trHeight w:val="20"/>
        </w:trPr>
        <w:tc>
          <w:tcPr>
            <w:tcW w:w="384" w:type="dxa"/>
            <w:shd w:val="clear" w:color="auto" w:fill="E5F7CA"/>
          </w:tcPr>
          <w:p w14:paraId="0773B386" w14:textId="77777777" w:rsidR="006C0CC2" w:rsidRPr="0058349C" w:rsidRDefault="006C0CC2" w:rsidP="006C0CC2">
            <w:pPr>
              <w:spacing w:after="0" w:line="240" w:lineRule="auto"/>
              <w:rPr>
                <w:rFonts w:ascii="Garamond" w:eastAsia="Arial" w:hAnsi="Garamond"/>
                <w:b/>
                <w:sz w:val="18"/>
                <w:szCs w:val="18"/>
                <w:lang w:val="sq-AL"/>
              </w:rPr>
            </w:pPr>
          </w:p>
        </w:tc>
        <w:tc>
          <w:tcPr>
            <w:tcW w:w="6093" w:type="dxa"/>
            <w:gridSpan w:val="2"/>
            <w:shd w:val="clear" w:color="auto" w:fill="E5F7CA"/>
          </w:tcPr>
          <w:p w14:paraId="0773B387" w14:textId="56DA7397" w:rsidR="006C0CC2" w:rsidRPr="0058349C" w:rsidRDefault="006C0CC2" w:rsidP="00EA28DE">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Treguesi i rezultatit 2.1: Bilanci tregtar agroushqimor (raporti eksport</w:t>
            </w:r>
            <w:r w:rsidR="00EA28DE">
              <w:rPr>
                <w:rFonts w:ascii="Garamond" w:eastAsia="Arial" w:hAnsi="Garamond"/>
                <w:b/>
                <w:bCs/>
                <w:sz w:val="18"/>
                <w:szCs w:val="18"/>
                <w:lang w:val="sq-AL"/>
              </w:rPr>
              <w:t>- import) ushqim-pije</w:t>
            </w:r>
            <w:r w:rsidRPr="0058349C">
              <w:rPr>
                <w:rFonts w:ascii="Garamond" w:eastAsia="Arial" w:hAnsi="Garamond"/>
                <w:b/>
                <w:bCs/>
                <w:sz w:val="18"/>
                <w:szCs w:val="18"/>
                <w:lang w:val="sq-AL"/>
              </w:rPr>
              <w:t>-duhan</w:t>
            </w:r>
          </w:p>
        </w:tc>
        <w:tc>
          <w:tcPr>
            <w:tcW w:w="1419" w:type="dxa"/>
            <w:shd w:val="clear" w:color="auto" w:fill="E5F7CA"/>
            <w:vAlign w:val="center"/>
          </w:tcPr>
          <w:p w14:paraId="0773B388" w14:textId="77777777" w:rsidR="006C0CC2" w:rsidRPr="0058349C" w:rsidRDefault="006C0CC2" w:rsidP="006C0CC2">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1 : 2.84</w:t>
            </w:r>
          </w:p>
          <w:p w14:paraId="0773B389" w14:textId="77777777" w:rsidR="006C0CC2" w:rsidRPr="0058349C" w:rsidRDefault="006C0CC2" w:rsidP="006C0CC2">
            <w:pPr>
              <w:spacing w:after="0" w:line="240" w:lineRule="auto"/>
              <w:jc w:val="center"/>
              <w:rPr>
                <w:rFonts w:ascii="Garamond" w:eastAsia="Arial" w:hAnsi="Garamond"/>
                <w:b/>
                <w:bCs/>
                <w:sz w:val="18"/>
                <w:szCs w:val="18"/>
                <w:lang w:val="sq-AL"/>
              </w:rPr>
            </w:pPr>
          </w:p>
        </w:tc>
        <w:tc>
          <w:tcPr>
            <w:tcW w:w="3865" w:type="dxa"/>
            <w:gridSpan w:val="3"/>
            <w:shd w:val="clear" w:color="auto" w:fill="E5F7CA"/>
            <w:vAlign w:val="center"/>
          </w:tcPr>
          <w:p w14:paraId="0773B38A" w14:textId="77777777" w:rsidR="006C0CC2" w:rsidRPr="0058349C" w:rsidRDefault="006C0CC2" w:rsidP="006C0CC2">
            <w:pPr>
              <w:spacing w:after="0" w:line="240" w:lineRule="auto"/>
              <w:jc w:val="center"/>
              <w:rPr>
                <w:rFonts w:ascii="Garamond" w:eastAsia="Arial" w:hAnsi="Garamond"/>
                <w:sz w:val="18"/>
                <w:szCs w:val="18"/>
                <w:lang w:val="sq-AL"/>
              </w:rPr>
            </w:pPr>
          </w:p>
        </w:tc>
        <w:tc>
          <w:tcPr>
            <w:tcW w:w="1275" w:type="dxa"/>
            <w:shd w:val="clear" w:color="auto" w:fill="E5F7CA"/>
            <w:vAlign w:val="center"/>
          </w:tcPr>
          <w:p w14:paraId="0773B38B" w14:textId="77777777" w:rsidR="006C0CC2" w:rsidRPr="0058349C" w:rsidRDefault="006C0CC2" w:rsidP="006C0CC2">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1 : 2.4</w:t>
            </w:r>
          </w:p>
        </w:tc>
        <w:tc>
          <w:tcPr>
            <w:tcW w:w="1134" w:type="dxa"/>
            <w:shd w:val="clear" w:color="auto" w:fill="E5F7CA"/>
            <w:vAlign w:val="center"/>
          </w:tcPr>
          <w:p w14:paraId="0773B38C" w14:textId="77777777" w:rsidR="006C0CC2" w:rsidRPr="0058349C" w:rsidRDefault="006C0CC2" w:rsidP="006C0CC2">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1 : 2.0</w:t>
            </w:r>
          </w:p>
        </w:tc>
      </w:tr>
      <w:tr w:rsidR="006C0CC2" w:rsidRPr="0058349C" w14:paraId="0773B398" w14:textId="77777777" w:rsidTr="00F4367B">
        <w:trPr>
          <w:trHeight w:val="20"/>
        </w:trPr>
        <w:tc>
          <w:tcPr>
            <w:tcW w:w="384" w:type="dxa"/>
            <w:vMerge w:val="restart"/>
            <w:shd w:val="clear" w:color="auto" w:fill="F2F2F2"/>
          </w:tcPr>
          <w:p w14:paraId="0773B38E" w14:textId="77777777" w:rsidR="006C0CC2" w:rsidRPr="0058349C" w:rsidRDefault="006C0CC2" w:rsidP="006C0CC2">
            <w:pPr>
              <w:spacing w:after="0" w:line="240" w:lineRule="auto"/>
              <w:rPr>
                <w:rFonts w:ascii="Garamond" w:eastAsia="Arial" w:hAnsi="Garamond"/>
                <w:b/>
                <w:sz w:val="18"/>
                <w:szCs w:val="18"/>
                <w:lang w:val="sq-AL"/>
              </w:rPr>
            </w:pPr>
          </w:p>
        </w:tc>
        <w:tc>
          <w:tcPr>
            <w:tcW w:w="2784" w:type="dxa"/>
            <w:vMerge w:val="restart"/>
            <w:shd w:val="clear" w:color="auto" w:fill="F2F2F2"/>
            <w:vAlign w:val="center"/>
          </w:tcPr>
          <w:p w14:paraId="0773B38F" w14:textId="4472978C" w:rsidR="006C0CC2" w:rsidRPr="0058349C" w:rsidRDefault="006C0CC2" w:rsidP="006C0CC2">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Veprimi </w:t>
            </w:r>
            <w:r w:rsidR="00797859">
              <w:rPr>
                <w:rFonts w:ascii="Garamond" w:eastAsia="Arial" w:hAnsi="Garamond"/>
                <w:b/>
                <w:bCs/>
                <w:sz w:val="18"/>
                <w:szCs w:val="18"/>
                <w:lang w:val="sq-AL"/>
              </w:rPr>
              <w:t>/</w:t>
            </w:r>
            <w:r w:rsidR="00EA28DE" w:rsidRPr="0058349C">
              <w:rPr>
                <w:rFonts w:ascii="Garamond" w:eastAsia="Arial" w:hAnsi="Garamond"/>
                <w:b/>
                <w:bCs/>
                <w:sz w:val="18"/>
                <w:szCs w:val="18"/>
                <w:lang w:val="sq-AL"/>
              </w:rPr>
              <w:t xml:space="preserve">ndërhyrja </w:t>
            </w:r>
            <w:r w:rsidRPr="0058349C">
              <w:rPr>
                <w:rFonts w:ascii="Garamond" w:eastAsia="Arial" w:hAnsi="Garamond"/>
                <w:b/>
                <w:bCs/>
                <w:sz w:val="18"/>
                <w:szCs w:val="18"/>
                <w:lang w:val="sq-AL"/>
              </w:rPr>
              <w:t>:</w:t>
            </w:r>
          </w:p>
        </w:tc>
        <w:tc>
          <w:tcPr>
            <w:tcW w:w="3309" w:type="dxa"/>
            <w:vMerge w:val="restart"/>
            <w:shd w:val="clear" w:color="auto" w:fill="F2F2F2"/>
            <w:vAlign w:val="center"/>
          </w:tcPr>
          <w:p w14:paraId="0773B390" w14:textId="77777777" w:rsidR="006C0CC2" w:rsidRPr="0058349C" w:rsidRDefault="006C0CC2" w:rsidP="006C0CC2">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Treguesi i </w:t>
            </w:r>
            <w:r w:rsidRPr="00EA28DE">
              <w:rPr>
                <w:rFonts w:ascii="Garamond" w:eastAsia="Arial" w:hAnsi="Garamond"/>
                <w:b/>
                <w:bCs/>
                <w:i/>
                <w:iCs/>
                <w:sz w:val="18"/>
                <w:szCs w:val="18"/>
                <w:lang w:val="sq-AL"/>
              </w:rPr>
              <w:t>output</w:t>
            </w:r>
            <w:r w:rsidRPr="0058349C">
              <w:rPr>
                <w:rFonts w:ascii="Garamond" w:eastAsia="Arial" w:hAnsi="Garamond"/>
                <w:b/>
                <w:bCs/>
                <w:sz w:val="18"/>
                <w:szCs w:val="18"/>
                <w:lang w:val="sq-AL"/>
              </w:rPr>
              <w:t>-it:</w:t>
            </w:r>
          </w:p>
        </w:tc>
        <w:tc>
          <w:tcPr>
            <w:tcW w:w="1419" w:type="dxa"/>
            <w:vMerge w:val="restart"/>
            <w:shd w:val="clear" w:color="auto" w:fill="F2F2F2"/>
            <w:vAlign w:val="center"/>
          </w:tcPr>
          <w:p w14:paraId="0773B391"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 xml:space="preserve">Buxheti total 2022 </w:t>
            </w:r>
            <w:r w:rsidRPr="0058349C">
              <w:rPr>
                <w:rFonts w:ascii="Garamond" w:eastAsia="Arial" w:hAnsi="Garamond" w:cs="Arial"/>
                <w:b/>
                <w:bCs/>
                <w:sz w:val="18"/>
                <w:szCs w:val="18"/>
                <w:lang w:val="sq-AL"/>
              </w:rPr>
              <w:t>–</w:t>
            </w:r>
            <w:r w:rsidRPr="0058349C">
              <w:rPr>
                <w:rFonts w:ascii="Garamond" w:eastAsia="Arial" w:hAnsi="Garamond"/>
                <w:b/>
                <w:bCs/>
                <w:sz w:val="18"/>
                <w:szCs w:val="18"/>
                <w:lang w:val="sq-AL"/>
              </w:rPr>
              <w:t xml:space="preserve"> 2024 (EUR)</w:t>
            </w:r>
          </w:p>
        </w:tc>
        <w:tc>
          <w:tcPr>
            <w:tcW w:w="3865" w:type="dxa"/>
            <w:gridSpan w:val="3"/>
            <w:shd w:val="clear" w:color="auto" w:fill="F2F2F2"/>
            <w:vAlign w:val="center"/>
          </w:tcPr>
          <w:p w14:paraId="0773B392" w14:textId="0E236587" w:rsidR="006C0CC2" w:rsidRPr="0058349C" w:rsidRDefault="006C0CC2" w:rsidP="006C0CC2">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Buxheti i alokuar</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w:t>
            </w:r>
            <w:r w:rsidR="00EA28DE" w:rsidRPr="0058349C">
              <w:rPr>
                <w:rFonts w:ascii="Garamond" w:eastAsia="Arial" w:hAnsi="Garamond"/>
                <w:b/>
                <w:bCs/>
                <w:sz w:val="18"/>
                <w:szCs w:val="18"/>
                <w:lang w:val="sq-AL"/>
              </w:rPr>
              <w:t>euro</w:t>
            </w:r>
            <w:r w:rsidRPr="0058349C">
              <w:rPr>
                <w:rFonts w:ascii="Garamond" w:eastAsia="Arial" w:hAnsi="Garamond"/>
                <w:b/>
                <w:bCs/>
                <w:sz w:val="18"/>
                <w:szCs w:val="18"/>
                <w:lang w:val="sq-AL"/>
              </w:rPr>
              <w:t>)</w:t>
            </w:r>
          </w:p>
          <w:p w14:paraId="0773B393" w14:textId="77777777" w:rsidR="006C0CC2" w:rsidRPr="0058349C" w:rsidRDefault="006C0CC2" w:rsidP="006C0CC2">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2022 </w:t>
            </w:r>
            <w:r w:rsidRPr="0058349C">
              <w:rPr>
                <w:rFonts w:ascii="Garamond" w:eastAsia="Arial" w:hAnsi="Garamond" w:cs="Arial"/>
                <w:b/>
                <w:bCs/>
                <w:sz w:val="18"/>
                <w:szCs w:val="18"/>
                <w:lang w:val="sq-AL"/>
              </w:rPr>
              <w:t>–</w:t>
            </w:r>
            <w:r w:rsidRPr="0058349C">
              <w:rPr>
                <w:rFonts w:ascii="Garamond" w:eastAsia="Arial" w:hAnsi="Garamond"/>
                <w:b/>
                <w:bCs/>
                <w:sz w:val="18"/>
                <w:szCs w:val="18"/>
                <w:lang w:val="sq-AL"/>
              </w:rPr>
              <w:t xml:space="preserve"> 2024</w:t>
            </w:r>
          </w:p>
          <w:p w14:paraId="0773B394" w14:textId="139F72AB"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(N = nevoja,</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nuk mbulohet nga buxheti kombëtar/buxheti IPA III</w:t>
            </w:r>
            <w:r w:rsidR="00C259A4">
              <w:rPr>
                <w:rFonts w:ascii="Garamond" w:eastAsia="Arial" w:hAnsi="Garamond"/>
                <w:b/>
                <w:bCs/>
                <w:sz w:val="18"/>
                <w:szCs w:val="18"/>
                <w:lang w:val="sq-AL"/>
              </w:rPr>
              <w:t>)</w:t>
            </w:r>
          </w:p>
        </w:tc>
        <w:tc>
          <w:tcPr>
            <w:tcW w:w="1275" w:type="dxa"/>
            <w:vMerge w:val="restart"/>
            <w:shd w:val="clear" w:color="auto" w:fill="E5F7CA"/>
            <w:vAlign w:val="center"/>
          </w:tcPr>
          <w:p w14:paraId="0773B395"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Objektivi p</w:t>
            </w:r>
            <w:r w:rsidRPr="0058349C">
              <w:rPr>
                <w:rFonts w:ascii="Garamond" w:eastAsia="Arial" w:hAnsi="Garamond"/>
                <w:sz w:val="18"/>
                <w:szCs w:val="18"/>
                <w:lang w:val="sq-AL"/>
              </w:rPr>
              <w:t xml:space="preserve">ër </w:t>
            </w:r>
            <w:r w:rsidRPr="0058349C">
              <w:rPr>
                <w:rFonts w:ascii="Garamond" w:eastAsia="Arial" w:hAnsi="Garamond"/>
                <w:b/>
                <w:bCs/>
                <w:sz w:val="18"/>
                <w:szCs w:val="18"/>
                <w:lang w:val="sq-AL"/>
              </w:rPr>
              <w:t xml:space="preserve">2024 (shumator, sipas treguesit të </w:t>
            </w:r>
            <w:r w:rsidRPr="00EA28DE">
              <w:rPr>
                <w:rFonts w:ascii="Garamond" w:eastAsia="Arial" w:hAnsi="Garamond"/>
                <w:b/>
                <w:bCs/>
                <w:i/>
                <w:iCs/>
                <w:sz w:val="18"/>
                <w:szCs w:val="18"/>
                <w:lang w:val="sq-AL"/>
              </w:rPr>
              <w:t>output</w:t>
            </w:r>
            <w:r w:rsidRPr="0058349C">
              <w:rPr>
                <w:rFonts w:ascii="Garamond" w:eastAsia="Arial" w:hAnsi="Garamond"/>
                <w:b/>
                <w:bCs/>
                <w:sz w:val="18"/>
                <w:szCs w:val="18"/>
                <w:lang w:val="sq-AL"/>
              </w:rPr>
              <w:t>-it)</w:t>
            </w:r>
          </w:p>
        </w:tc>
        <w:tc>
          <w:tcPr>
            <w:tcW w:w="1134" w:type="dxa"/>
            <w:vMerge w:val="restart"/>
            <w:shd w:val="clear" w:color="auto" w:fill="E5F7CA"/>
            <w:vAlign w:val="center"/>
          </w:tcPr>
          <w:p w14:paraId="0773B396" w14:textId="295E1514" w:rsidR="006C0CC2" w:rsidRPr="0058349C" w:rsidRDefault="006C0CC2" w:rsidP="006C0CC2">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Objektivi p</w:t>
            </w:r>
            <w:r w:rsidRPr="0058349C">
              <w:rPr>
                <w:rFonts w:ascii="Garamond" w:eastAsia="Arial" w:hAnsi="Garamond"/>
                <w:sz w:val="18"/>
                <w:szCs w:val="18"/>
                <w:lang w:val="sq-AL"/>
              </w:rPr>
              <w:t>ër</w:t>
            </w:r>
            <w:r w:rsidR="00CF7694" w:rsidRPr="0058349C">
              <w:rPr>
                <w:rFonts w:ascii="Garamond" w:eastAsia="Arial" w:hAnsi="Garamond"/>
                <w:sz w:val="18"/>
                <w:szCs w:val="18"/>
                <w:lang w:val="sq-AL"/>
              </w:rPr>
              <w:t xml:space="preserve"> </w:t>
            </w:r>
            <w:r w:rsidRPr="0058349C">
              <w:rPr>
                <w:rFonts w:ascii="Garamond" w:eastAsia="Arial" w:hAnsi="Garamond"/>
                <w:b/>
                <w:bCs/>
                <w:sz w:val="18"/>
                <w:szCs w:val="18"/>
                <w:lang w:val="sq-AL"/>
              </w:rPr>
              <w:t>2027</w:t>
            </w:r>
          </w:p>
          <w:p w14:paraId="0773B397" w14:textId="56D61B94" w:rsidR="006C0CC2" w:rsidRPr="0058349C" w:rsidRDefault="006C0CC2" w:rsidP="006C0CC2">
            <w:pPr>
              <w:spacing w:after="0" w:line="240" w:lineRule="auto"/>
              <w:rPr>
                <w:rFonts w:ascii="Garamond" w:eastAsia="Arial" w:hAnsi="Garamond"/>
                <w:sz w:val="18"/>
                <w:szCs w:val="18"/>
                <w:lang w:val="sq-AL"/>
              </w:rPr>
            </w:pPr>
            <w:r w:rsidRPr="0058349C">
              <w:rPr>
                <w:rFonts w:ascii="Garamond" w:eastAsia="Arial" w:hAnsi="Garamond"/>
                <w:b/>
                <w:bCs/>
                <w:sz w:val="18"/>
                <w:szCs w:val="18"/>
                <w:lang w:val="sq-AL"/>
              </w:rPr>
              <w:t xml:space="preserve">(shumator, sipas treguesit të </w:t>
            </w:r>
            <w:r w:rsidRPr="00EA28DE">
              <w:rPr>
                <w:rFonts w:ascii="Garamond" w:eastAsia="Arial" w:hAnsi="Garamond"/>
                <w:b/>
                <w:bCs/>
                <w:i/>
                <w:iCs/>
                <w:sz w:val="18"/>
                <w:szCs w:val="18"/>
                <w:lang w:val="sq-AL"/>
              </w:rPr>
              <w:t>output</w:t>
            </w:r>
            <w:r w:rsidRPr="0058349C">
              <w:rPr>
                <w:rFonts w:ascii="Garamond" w:eastAsia="Arial" w:hAnsi="Garamond"/>
                <w:b/>
                <w:bCs/>
                <w:sz w:val="18"/>
                <w:szCs w:val="18"/>
                <w:lang w:val="sq-AL"/>
              </w:rPr>
              <w:t>-it</w:t>
            </w:r>
            <w:r w:rsidR="00C259A4">
              <w:rPr>
                <w:rFonts w:ascii="Garamond" w:eastAsia="Arial" w:hAnsi="Garamond"/>
                <w:b/>
                <w:bCs/>
                <w:sz w:val="18"/>
                <w:szCs w:val="18"/>
                <w:lang w:val="sq-AL"/>
              </w:rPr>
              <w:t>)</w:t>
            </w:r>
          </w:p>
        </w:tc>
      </w:tr>
      <w:tr w:rsidR="006C0CC2" w:rsidRPr="0058349C" w14:paraId="0773B3A2" w14:textId="77777777" w:rsidTr="00F4367B">
        <w:trPr>
          <w:trHeight w:val="20"/>
        </w:trPr>
        <w:tc>
          <w:tcPr>
            <w:tcW w:w="384" w:type="dxa"/>
            <w:vMerge/>
            <w:shd w:val="clear" w:color="auto" w:fill="F2F2F2"/>
          </w:tcPr>
          <w:p w14:paraId="0773B399" w14:textId="77777777" w:rsidR="006C0CC2" w:rsidRPr="0058349C" w:rsidRDefault="006C0CC2" w:rsidP="006C0CC2">
            <w:pPr>
              <w:spacing w:after="0" w:line="240" w:lineRule="auto"/>
              <w:rPr>
                <w:rFonts w:ascii="Garamond" w:eastAsia="Arial" w:hAnsi="Garamond"/>
                <w:b/>
                <w:sz w:val="18"/>
                <w:szCs w:val="18"/>
                <w:lang w:val="sq-AL"/>
              </w:rPr>
            </w:pPr>
          </w:p>
        </w:tc>
        <w:tc>
          <w:tcPr>
            <w:tcW w:w="2784" w:type="dxa"/>
            <w:vMerge/>
            <w:shd w:val="clear" w:color="auto" w:fill="F2F2F2"/>
          </w:tcPr>
          <w:p w14:paraId="0773B39A" w14:textId="77777777" w:rsidR="006C0CC2" w:rsidRPr="0058349C" w:rsidRDefault="006C0CC2" w:rsidP="006C0CC2">
            <w:pPr>
              <w:spacing w:after="0" w:line="240" w:lineRule="auto"/>
              <w:rPr>
                <w:rFonts w:ascii="Garamond" w:eastAsia="Arial" w:hAnsi="Garamond"/>
                <w:b/>
                <w:bCs/>
                <w:sz w:val="18"/>
                <w:szCs w:val="18"/>
                <w:lang w:val="sq-AL"/>
              </w:rPr>
            </w:pPr>
          </w:p>
        </w:tc>
        <w:tc>
          <w:tcPr>
            <w:tcW w:w="3309" w:type="dxa"/>
            <w:vMerge/>
            <w:shd w:val="clear" w:color="auto" w:fill="F2F2F2"/>
          </w:tcPr>
          <w:p w14:paraId="0773B39B" w14:textId="77777777" w:rsidR="006C0CC2" w:rsidRPr="0058349C" w:rsidRDefault="006C0CC2" w:rsidP="006C0CC2">
            <w:pPr>
              <w:spacing w:after="0" w:line="240" w:lineRule="auto"/>
              <w:rPr>
                <w:rFonts w:ascii="Garamond" w:eastAsia="Arial" w:hAnsi="Garamond"/>
                <w:b/>
                <w:bCs/>
                <w:sz w:val="18"/>
                <w:szCs w:val="18"/>
                <w:lang w:val="sq-AL"/>
              </w:rPr>
            </w:pPr>
          </w:p>
        </w:tc>
        <w:tc>
          <w:tcPr>
            <w:tcW w:w="1419" w:type="dxa"/>
            <w:vMerge/>
            <w:shd w:val="clear" w:color="auto" w:fill="F2F2F2"/>
            <w:vAlign w:val="center"/>
          </w:tcPr>
          <w:p w14:paraId="0773B39C" w14:textId="77777777" w:rsidR="006C0CC2" w:rsidRPr="0058349C" w:rsidRDefault="006C0CC2" w:rsidP="006C0CC2">
            <w:pPr>
              <w:spacing w:after="0" w:line="240" w:lineRule="auto"/>
              <w:rPr>
                <w:rFonts w:ascii="Garamond" w:eastAsia="Arial" w:hAnsi="Garamond"/>
                <w:sz w:val="18"/>
                <w:szCs w:val="18"/>
                <w:lang w:val="sq-AL"/>
              </w:rPr>
            </w:pPr>
          </w:p>
        </w:tc>
        <w:tc>
          <w:tcPr>
            <w:tcW w:w="1305" w:type="dxa"/>
            <w:shd w:val="clear" w:color="auto" w:fill="F2F2F2"/>
            <w:vAlign w:val="center"/>
          </w:tcPr>
          <w:p w14:paraId="0773B39D" w14:textId="77777777" w:rsidR="006C0CC2" w:rsidRPr="0058349C" w:rsidRDefault="006C0CC2" w:rsidP="006C0CC2">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2022</w:t>
            </w:r>
          </w:p>
        </w:tc>
        <w:tc>
          <w:tcPr>
            <w:tcW w:w="1277" w:type="dxa"/>
            <w:shd w:val="clear" w:color="auto" w:fill="F2F2F2"/>
            <w:vAlign w:val="center"/>
          </w:tcPr>
          <w:p w14:paraId="0773B39E" w14:textId="77777777" w:rsidR="006C0CC2" w:rsidRPr="0058349C" w:rsidRDefault="006C0CC2" w:rsidP="006C0CC2">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2023</w:t>
            </w:r>
          </w:p>
        </w:tc>
        <w:tc>
          <w:tcPr>
            <w:tcW w:w="1283" w:type="dxa"/>
            <w:shd w:val="clear" w:color="auto" w:fill="F2F2F2"/>
            <w:vAlign w:val="center"/>
          </w:tcPr>
          <w:p w14:paraId="0773B39F" w14:textId="77777777" w:rsidR="006C0CC2" w:rsidRPr="0058349C" w:rsidRDefault="006C0CC2" w:rsidP="006C0CC2">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2024</w:t>
            </w:r>
          </w:p>
        </w:tc>
        <w:tc>
          <w:tcPr>
            <w:tcW w:w="1275" w:type="dxa"/>
            <w:vMerge/>
            <w:shd w:val="clear" w:color="auto" w:fill="E5F7CA"/>
          </w:tcPr>
          <w:p w14:paraId="0773B3A0" w14:textId="77777777" w:rsidR="006C0CC2" w:rsidRPr="0058349C" w:rsidRDefault="006C0CC2" w:rsidP="006C0CC2">
            <w:pPr>
              <w:spacing w:after="0" w:line="240" w:lineRule="auto"/>
              <w:rPr>
                <w:rFonts w:ascii="Garamond" w:eastAsia="Arial" w:hAnsi="Garamond"/>
                <w:sz w:val="18"/>
                <w:szCs w:val="18"/>
                <w:lang w:val="sq-AL"/>
              </w:rPr>
            </w:pPr>
          </w:p>
        </w:tc>
        <w:tc>
          <w:tcPr>
            <w:tcW w:w="1134" w:type="dxa"/>
            <w:vMerge/>
            <w:shd w:val="clear" w:color="auto" w:fill="E5F7CA"/>
          </w:tcPr>
          <w:p w14:paraId="0773B3A1" w14:textId="77777777" w:rsidR="006C0CC2" w:rsidRPr="0058349C" w:rsidRDefault="006C0CC2" w:rsidP="006C0CC2">
            <w:pPr>
              <w:spacing w:after="0" w:line="240" w:lineRule="auto"/>
              <w:rPr>
                <w:rFonts w:ascii="Garamond" w:eastAsia="Arial" w:hAnsi="Garamond"/>
                <w:sz w:val="18"/>
                <w:szCs w:val="18"/>
                <w:lang w:val="sq-AL"/>
              </w:rPr>
            </w:pPr>
          </w:p>
        </w:tc>
      </w:tr>
      <w:tr w:rsidR="006C0CC2" w:rsidRPr="0058349C" w14:paraId="0773B3B0" w14:textId="77777777" w:rsidTr="00F4367B">
        <w:trPr>
          <w:trHeight w:val="20"/>
        </w:trPr>
        <w:tc>
          <w:tcPr>
            <w:tcW w:w="384" w:type="dxa"/>
            <w:vMerge/>
            <w:shd w:val="clear" w:color="auto" w:fill="F2F2F2"/>
          </w:tcPr>
          <w:p w14:paraId="0773B3A3" w14:textId="77777777" w:rsidR="006C0CC2" w:rsidRPr="0058349C" w:rsidRDefault="006C0CC2" w:rsidP="006C0CC2">
            <w:pPr>
              <w:spacing w:after="0" w:line="240" w:lineRule="auto"/>
              <w:rPr>
                <w:rFonts w:ascii="Garamond" w:eastAsia="Arial" w:hAnsi="Garamond"/>
                <w:b/>
                <w:sz w:val="18"/>
                <w:szCs w:val="18"/>
                <w:lang w:val="sq-AL"/>
              </w:rPr>
            </w:pPr>
          </w:p>
        </w:tc>
        <w:tc>
          <w:tcPr>
            <w:tcW w:w="2784" w:type="dxa"/>
            <w:vMerge w:val="restart"/>
            <w:shd w:val="clear" w:color="auto" w:fill="F2F2F2"/>
          </w:tcPr>
          <w:p w14:paraId="0773B3A4" w14:textId="725E851C" w:rsidR="006C0CC2" w:rsidRPr="0058349C" w:rsidRDefault="006C0CC2" w:rsidP="006C0CC2">
            <w:pPr>
              <w:spacing w:after="0" w:line="240" w:lineRule="auto"/>
              <w:ind w:right="405"/>
              <w:rPr>
                <w:rFonts w:ascii="Garamond" w:hAnsi="Garamond"/>
                <w:b/>
                <w:bCs/>
                <w:sz w:val="18"/>
                <w:szCs w:val="18"/>
                <w:lang w:val="sq-AL"/>
              </w:rPr>
            </w:pPr>
            <w:r w:rsidRPr="0058349C">
              <w:rPr>
                <w:rFonts w:ascii="Garamond" w:hAnsi="Garamond"/>
                <w:b/>
                <w:bCs/>
                <w:sz w:val="18"/>
                <w:szCs w:val="18"/>
                <w:lang w:val="sq-AL"/>
              </w:rPr>
              <w:t>Investime në modernizimin e aset</w:t>
            </w:r>
            <w:r w:rsidR="00EA28DE">
              <w:rPr>
                <w:rFonts w:ascii="Garamond" w:hAnsi="Garamond"/>
                <w:b/>
                <w:bCs/>
                <w:sz w:val="18"/>
                <w:szCs w:val="18"/>
                <w:lang w:val="sq-AL"/>
              </w:rPr>
              <w:t>eve fizike të njësive bujqësore</w:t>
            </w:r>
            <w:r w:rsidR="00797859">
              <w:rPr>
                <w:rFonts w:ascii="Garamond" w:hAnsi="Garamond"/>
                <w:b/>
                <w:bCs/>
                <w:sz w:val="18"/>
                <w:szCs w:val="18"/>
                <w:lang w:val="sq-AL"/>
              </w:rPr>
              <w:t>/</w:t>
            </w:r>
            <w:r w:rsidRPr="0058349C">
              <w:rPr>
                <w:rFonts w:ascii="Garamond" w:hAnsi="Garamond"/>
                <w:b/>
                <w:bCs/>
                <w:sz w:val="18"/>
                <w:szCs w:val="18"/>
                <w:lang w:val="sq-AL"/>
              </w:rPr>
              <w:t>mekanizimi</w:t>
            </w:r>
            <w:r w:rsidR="00CF7694" w:rsidRPr="0058349C">
              <w:rPr>
                <w:rFonts w:ascii="Garamond" w:hAnsi="Garamond"/>
                <w:b/>
                <w:bCs/>
                <w:sz w:val="18"/>
                <w:szCs w:val="18"/>
                <w:lang w:val="sq-AL"/>
              </w:rPr>
              <w:t xml:space="preserve"> </w:t>
            </w:r>
          </w:p>
          <w:p w14:paraId="0773B3A5" w14:textId="77777777" w:rsidR="006C0CC2" w:rsidRPr="0058349C" w:rsidRDefault="006C0CC2" w:rsidP="006C0CC2">
            <w:pPr>
              <w:spacing w:after="0" w:line="240" w:lineRule="auto"/>
              <w:ind w:right="405"/>
              <w:rPr>
                <w:rFonts w:ascii="Garamond" w:hAnsi="Garamond"/>
                <w:b/>
                <w:bCs/>
                <w:sz w:val="18"/>
                <w:szCs w:val="18"/>
                <w:lang w:val="sq-AL"/>
              </w:rPr>
            </w:pPr>
            <w:r w:rsidRPr="0058349C">
              <w:rPr>
                <w:rFonts w:ascii="Garamond" w:hAnsi="Garamond"/>
                <w:b/>
                <w:bCs/>
                <w:sz w:val="18"/>
                <w:szCs w:val="18"/>
                <w:lang w:val="sq-AL"/>
              </w:rPr>
              <w:t> </w:t>
            </w:r>
          </w:p>
          <w:p w14:paraId="0773B3A6" w14:textId="77777777" w:rsidR="006C0CC2" w:rsidRPr="0058349C" w:rsidRDefault="006C0CC2" w:rsidP="006C0CC2">
            <w:pPr>
              <w:spacing w:after="0" w:line="240" w:lineRule="auto"/>
              <w:rPr>
                <w:rFonts w:ascii="Garamond" w:hAnsi="Garamond"/>
                <w:b/>
                <w:bCs/>
                <w:sz w:val="18"/>
                <w:szCs w:val="18"/>
                <w:lang w:val="sq-AL"/>
              </w:rPr>
            </w:pPr>
          </w:p>
        </w:tc>
        <w:tc>
          <w:tcPr>
            <w:tcW w:w="3309" w:type="dxa"/>
            <w:shd w:val="clear" w:color="auto" w:fill="F2F2F2"/>
          </w:tcPr>
          <w:p w14:paraId="0773B3A7" w14:textId="6FC6689D" w:rsidR="006C0CC2" w:rsidRPr="0058349C" w:rsidRDefault="006C0CC2" w:rsidP="006C0CC2">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fermave</w:t>
            </w:r>
            <w:r w:rsidR="00CF7694" w:rsidRPr="0058349C">
              <w:rPr>
                <w:rFonts w:ascii="Garamond" w:eastAsia="Arial" w:hAnsi="Garamond"/>
                <w:sz w:val="18"/>
                <w:szCs w:val="18"/>
                <w:lang w:val="sq-AL"/>
              </w:rPr>
              <w:t xml:space="preserve"> </w:t>
            </w:r>
            <w:r w:rsidRPr="0058349C">
              <w:rPr>
                <w:rFonts w:ascii="Garamond" w:eastAsia="Arial" w:hAnsi="Garamond"/>
                <w:sz w:val="18"/>
                <w:szCs w:val="18"/>
                <w:lang w:val="sq-AL"/>
              </w:rPr>
              <w:t xml:space="preserve">përfituese të mbështetura nga IPARD III – </w:t>
            </w:r>
            <w:r w:rsidR="00EA28DE" w:rsidRPr="0058349C">
              <w:rPr>
                <w:rFonts w:ascii="Garamond" w:eastAsia="Arial" w:hAnsi="Garamond"/>
                <w:sz w:val="18"/>
                <w:szCs w:val="18"/>
                <w:lang w:val="sq-AL"/>
              </w:rPr>
              <w:t xml:space="preserve">masa </w:t>
            </w:r>
            <w:r w:rsidRPr="0058349C">
              <w:rPr>
                <w:rFonts w:ascii="Garamond" w:eastAsia="Arial" w:hAnsi="Garamond"/>
                <w:sz w:val="18"/>
                <w:szCs w:val="18"/>
                <w:lang w:val="sq-AL"/>
              </w:rPr>
              <w:t xml:space="preserve">1 </w:t>
            </w:r>
          </w:p>
        </w:tc>
        <w:tc>
          <w:tcPr>
            <w:tcW w:w="1419" w:type="dxa"/>
            <w:shd w:val="clear" w:color="auto" w:fill="F2F2F2"/>
            <w:vAlign w:val="center"/>
          </w:tcPr>
          <w:p w14:paraId="0773B3A8"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15,323,333</w:t>
            </w:r>
          </w:p>
        </w:tc>
        <w:tc>
          <w:tcPr>
            <w:tcW w:w="1305" w:type="dxa"/>
            <w:shd w:val="clear" w:color="auto" w:fill="F2F2F2"/>
            <w:vAlign w:val="center"/>
          </w:tcPr>
          <w:p w14:paraId="0773B3A9" w14:textId="77777777" w:rsidR="006C0CC2" w:rsidRPr="0058349C" w:rsidRDefault="006C0CC2" w:rsidP="006C0CC2">
            <w:pPr>
              <w:spacing w:after="0" w:line="240" w:lineRule="auto"/>
              <w:jc w:val="center"/>
              <w:rPr>
                <w:rFonts w:ascii="Garamond" w:eastAsia="Arial" w:hAnsi="Garamond"/>
                <w:sz w:val="18"/>
                <w:szCs w:val="18"/>
                <w:lang w:val="sq-AL"/>
              </w:rPr>
            </w:pPr>
          </w:p>
          <w:p w14:paraId="0773B3AA"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 xml:space="preserve">5,333,333 </w:t>
            </w:r>
          </w:p>
          <w:p w14:paraId="0773B3AB" w14:textId="77777777" w:rsidR="006C0CC2" w:rsidRPr="0058349C" w:rsidRDefault="006C0CC2" w:rsidP="006C0CC2">
            <w:pPr>
              <w:spacing w:after="0" w:line="240" w:lineRule="auto"/>
              <w:jc w:val="center"/>
              <w:rPr>
                <w:rFonts w:ascii="Garamond" w:eastAsia="Arial" w:hAnsi="Garamond"/>
                <w:sz w:val="18"/>
                <w:szCs w:val="18"/>
                <w:lang w:val="sq-AL"/>
              </w:rPr>
            </w:pPr>
          </w:p>
        </w:tc>
        <w:tc>
          <w:tcPr>
            <w:tcW w:w="1277" w:type="dxa"/>
            <w:shd w:val="clear" w:color="auto" w:fill="F2F2F2"/>
            <w:vAlign w:val="center"/>
          </w:tcPr>
          <w:p w14:paraId="0773B3AC"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3,990,000</w:t>
            </w:r>
          </w:p>
        </w:tc>
        <w:tc>
          <w:tcPr>
            <w:tcW w:w="1283" w:type="dxa"/>
            <w:shd w:val="clear" w:color="auto" w:fill="F2F2F2"/>
            <w:vAlign w:val="center"/>
          </w:tcPr>
          <w:p w14:paraId="0773B3AD"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4,656,667</w:t>
            </w:r>
          </w:p>
        </w:tc>
        <w:tc>
          <w:tcPr>
            <w:tcW w:w="1275" w:type="dxa"/>
            <w:shd w:val="clear" w:color="auto" w:fill="E5F7CA"/>
            <w:vAlign w:val="center"/>
          </w:tcPr>
          <w:p w14:paraId="0773B3AE"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250</w:t>
            </w:r>
          </w:p>
        </w:tc>
        <w:tc>
          <w:tcPr>
            <w:tcW w:w="1134" w:type="dxa"/>
            <w:shd w:val="clear" w:color="auto" w:fill="E5F7CA"/>
            <w:vAlign w:val="center"/>
          </w:tcPr>
          <w:p w14:paraId="0773B3AF"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540</w:t>
            </w:r>
          </w:p>
        </w:tc>
      </w:tr>
      <w:tr w:rsidR="006C0CC2" w:rsidRPr="0058349C" w14:paraId="0773B3BA" w14:textId="77777777" w:rsidTr="00F4367B">
        <w:trPr>
          <w:trHeight w:val="20"/>
        </w:trPr>
        <w:tc>
          <w:tcPr>
            <w:tcW w:w="384" w:type="dxa"/>
            <w:vMerge/>
            <w:shd w:val="clear" w:color="auto" w:fill="F2F2F2"/>
          </w:tcPr>
          <w:p w14:paraId="0773B3B1" w14:textId="77777777" w:rsidR="006C0CC2" w:rsidRPr="0058349C" w:rsidRDefault="006C0CC2" w:rsidP="006C0CC2">
            <w:pPr>
              <w:spacing w:after="0" w:line="240" w:lineRule="auto"/>
              <w:rPr>
                <w:rFonts w:ascii="Garamond" w:eastAsia="Arial" w:hAnsi="Garamond"/>
                <w:b/>
                <w:sz w:val="18"/>
                <w:szCs w:val="18"/>
                <w:lang w:val="sq-AL"/>
              </w:rPr>
            </w:pPr>
          </w:p>
        </w:tc>
        <w:tc>
          <w:tcPr>
            <w:tcW w:w="2784" w:type="dxa"/>
            <w:vMerge/>
            <w:shd w:val="clear" w:color="auto" w:fill="F2F2F2"/>
          </w:tcPr>
          <w:p w14:paraId="0773B3B2" w14:textId="77777777" w:rsidR="006C0CC2" w:rsidRPr="0058349C" w:rsidRDefault="006C0CC2" w:rsidP="006C0CC2">
            <w:pPr>
              <w:spacing w:after="0" w:line="240" w:lineRule="auto"/>
              <w:rPr>
                <w:rFonts w:ascii="Garamond" w:hAnsi="Garamond"/>
                <w:b/>
                <w:bCs/>
                <w:sz w:val="18"/>
                <w:szCs w:val="18"/>
                <w:lang w:val="sq-AL"/>
              </w:rPr>
            </w:pPr>
          </w:p>
        </w:tc>
        <w:tc>
          <w:tcPr>
            <w:tcW w:w="3309" w:type="dxa"/>
            <w:shd w:val="clear" w:color="auto" w:fill="F2F2F2"/>
          </w:tcPr>
          <w:p w14:paraId="0773B3B3" w14:textId="11982B76" w:rsidR="006C0CC2" w:rsidRPr="0058349C" w:rsidRDefault="006C0CC2" w:rsidP="006C0CC2">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fermave të mbështetura me buxhetin kombëtar (indikativ</w:t>
            </w:r>
            <w:r w:rsidR="00C259A4">
              <w:rPr>
                <w:rFonts w:ascii="Garamond" w:eastAsia="Arial" w:hAnsi="Garamond"/>
                <w:sz w:val="18"/>
                <w:szCs w:val="18"/>
                <w:lang w:val="sq-AL"/>
              </w:rPr>
              <w:t>)</w:t>
            </w:r>
          </w:p>
        </w:tc>
        <w:tc>
          <w:tcPr>
            <w:tcW w:w="1419" w:type="dxa"/>
            <w:shd w:val="clear" w:color="auto" w:fill="F2F2F2"/>
            <w:vAlign w:val="center"/>
          </w:tcPr>
          <w:p w14:paraId="0773B3B4"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BK</w:t>
            </w:r>
          </w:p>
        </w:tc>
        <w:tc>
          <w:tcPr>
            <w:tcW w:w="1305" w:type="dxa"/>
            <w:shd w:val="clear" w:color="auto" w:fill="F2F2F2"/>
            <w:vAlign w:val="center"/>
          </w:tcPr>
          <w:p w14:paraId="0773B3B5"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BK</w:t>
            </w:r>
          </w:p>
        </w:tc>
        <w:tc>
          <w:tcPr>
            <w:tcW w:w="1277" w:type="dxa"/>
            <w:shd w:val="clear" w:color="auto" w:fill="F2F2F2"/>
            <w:vAlign w:val="center"/>
          </w:tcPr>
          <w:p w14:paraId="0773B3B6"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BK</w:t>
            </w:r>
          </w:p>
        </w:tc>
        <w:tc>
          <w:tcPr>
            <w:tcW w:w="1283" w:type="dxa"/>
            <w:shd w:val="clear" w:color="auto" w:fill="F2F2F2"/>
            <w:vAlign w:val="center"/>
          </w:tcPr>
          <w:p w14:paraId="0773B3B7"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BK</w:t>
            </w:r>
          </w:p>
        </w:tc>
        <w:tc>
          <w:tcPr>
            <w:tcW w:w="1275" w:type="dxa"/>
            <w:shd w:val="clear" w:color="auto" w:fill="E5F7CA"/>
            <w:vAlign w:val="center"/>
          </w:tcPr>
          <w:p w14:paraId="0773B3B8"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500</w:t>
            </w:r>
          </w:p>
        </w:tc>
        <w:tc>
          <w:tcPr>
            <w:tcW w:w="1134" w:type="dxa"/>
            <w:shd w:val="clear" w:color="auto" w:fill="E5F7CA"/>
            <w:vAlign w:val="center"/>
          </w:tcPr>
          <w:p w14:paraId="0773B3B9"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1,000</w:t>
            </w:r>
          </w:p>
        </w:tc>
      </w:tr>
      <w:tr w:rsidR="006C0CC2" w:rsidRPr="0058349C" w14:paraId="0773B3C5" w14:textId="77777777" w:rsidTr="00F4367B">
        <w:trPr>
          <w:trHeight w:val="20"/>
        </w:trPr>
        <w:tc>
          <w:tcPr>
            <w:tcW w:w="384" w:type="dxa"/>
            <w:vMerge/>
            <w:shd w:val="clear" w:color="auto" w:fill="F2F2F2"/>
          </w:tcPr>
          <w:p w14:paraId="0773B3BB" w14:textId="77777777" w:rsidR="006C0CC2" w:rsidRPr="0058349C" w:rsidRDefault="006C0CC2" w:rsidP="006C0CC2">
            <w:pPr>
              <w:spacing w:after="0" w:line="240" w:lineRule="auto"/>
              <w:rPr>
                <w:rFonts w:ascii="Garamond" w:eastAsia="Arial" w:hAnsi="Garamond"/>
                <w:b/>
                <w:sz w:val="18"/>
                <w:szCs w:val="18"/>
                <w:lang w:val="sq-AL"/>
              </w:rPr>
            </w:pPr>
          </w:p>
        </w:tc>
        <w:tc>
          <w:tcPr>
            <w:tcW w:w="2784" w:type="dxa"/>
            <w:vMerge/>
            <w:shd w:val="clear" w:color="auto" w:fill="F2F2F2"/>
          </w:tcPr>
          <w:p w14:paraId="0773B3BC" w14:textId="77777777" w:rsidR="006C0CC2" w:rsidRPr="0058349C" w:rsidRDefault="006C0CC2" w:rsidP="006C0CC2">
            <w:pPr>
              <w:spacing w:after="0" w:line="240" w:lineRule="auto"/>
              <w:rPr>
                <w:rFonts w:ascii="Garamond" w:hAnsi="Garamond"/>
                <w:b/>
                <w:bCs/>
                <w:sz w:val="18"/>
                <w:szCs w:val="18"/>
                <w:lang w:val="sq-AL"/>
              </w:rPr>
            </w:pPr>
          </w:p>
        </w:tc>
        <w:tc>
          <w:tcPr>
            <w:tcW w:w="3309" w:type="dxa"/>
            <w:shd w:val="clear" w:color="auto" w:fill="F2F2F2"/>
          </w:tcPr>
          <w:p w14:paraId="0773B3BD" w14:textId="7DF70B28" w:rsidR="006C0CC2" w:rsidRPr="0058349C" w:rsidRDefault="006C0CC2" w:rsidP="006C0CC2">
            <w:pPr>
              <w:spacing w:after="0" w:line="240" w:lineRule="auto"/>
              <w:rPr>
                <w:rFonts w:ascii="Garamond" w:eastAsia="Arial" w:hAnsi="Garamond"/>
                <w:sz w:val="18"/>
                <w:szCs w:val="18"/>
                <w:lang w:val="sq-AL"/>
              </w:rPr>
            </w:pPr>
            <w:r w:rsidRPr="0058349C">
              <w:rPr>
                <w:rFonts w:ascii="Garamond" w:eastAsia="Arial" w:hAnsi="Garamond"/>
                <w:sz w:val="18"/>
                <w:szCs w:val="18"/>
                <w:lang w:val="sq-AL"/>
              </w:rPr>
              <w:t>Në kuadër të IPARD III – Masa 1, sasia</w:t>
            </w:r>
            <w:r w:rsidR="00CF7694" w:rsidRPr="0058349C">
              <w:rPr>
                <w:rFonts w:ascii="Garamond" w:eastAsia="Arial" w:hAnsi="Garamond"/>
                <w:sz w:val="18"/>
                <w:szCs w:val="18"/>
                <w:lang w:val="sq-AL"/>
              </w:rPr>
              <w:t xml:space="preserve"> </w:t>
            </w:r>
            <w:r w:rsidRPr="0058349C">
              <w:rPr>
                <w:rFonts w:ascii="Garamond" w:eastAsia="Arial" w:hAnsi="Garamond"/>
                <w:sz w:val="18"/>
                <w:szCs w:val="18"/>
                <w:lang w:val="sq-AL"/>
              </w:rPr>
              <w:t>në Ha serra,</w:t>
            </w:r>
            <w:r w:rsidR="00CF7694" w:rsidRPr="0058349C">
              <w:rPr>
                <w:rFonts w:ascii="Garamond" w:eastAsia="Arial" w:hAnsi="Garamond"/>
                <w:sz w:val="18"/>
                <w:szCs w:val="18"/>
                <w:lang w:val="sq-AL"/>
              </w:rPr>
              <w:t xml:space="preserve"> </w:t>
            </w:r>
            <w:r w:rsidRPr="0058349C">
              <w:rPr>
                <w:rFonts w:ascii="Garamond" w:eastAsia="Arial" w:hAnsi="Garamond"/>
                <w:sz w:val="18"/>
                <w:szCs w:val="18"/>
                <w:lang w:val="sq-AL"/>
              </w:rPr>
              <w:t xml:space="preserve">e sipërfaqeve të reja ose të modernizuara </w:t>
            </w:r>
          </w:p>
          <w:p w14:paraId="0773B3BE" w14:textId="77777777" w:rsidR="006C0CC2" w:rsidRPr="0058349C" w:rsidRDefault="006C0CC2" w:rsidP="006C0CC2">
            <w:pPr>
              <w:spacing w:after="0" w:line="240" w:lineRule="auto"/>
              <w:rPr>
                <w:rFonts w:ascii="Garamond" w:eastAsia="Arial" w:hAnsi="Garamond"/>
                <w:sz w:val="18"/>
                <w:szCs w:val="18"/>
                <w:lang w:val="sq-AL"/>
              </w:rPr>
            </w:pPr>
          </w:p>
        </w:tc>
        <w:tc>
          <w:tcPr>
            <w:tcW w:w="1419" w:type="dxa"/>
            <w:shd w:val="clear" w:color="auto" w:fill="F2F2F2"/>
            <w:vAlign w:val="center"/>
          </w:tcPr>
          <w:p w14:paraId="0773B3BF" w14:textId="77777777" w:rsidR="006C0CC2" w:rsidRPr="0058349C" w:rsidRDefault="006C0CC2" w:rsidP="006C0CC2">
            <w:pPr>
              <w:spacing w:after="0" w:line="240" w:lineRule="auto"/>
              <w:rPr>
                <w:rFonts w:ascii="Garamond" w:eastAsia="Arial" w:hAnsi="Garamond"/>
                <w:sz w:val="18"/>
                <w:szCs w:val="18"/>
                <w:lang w:val="sq-AL"/>
              </w:rPr>
            </w:pPr>
            <w:r w:rsidRPr="0058349C">
              <w:rPr>
                <w:rFonts w:ascii="Garamond" w:eastAsia="Arial" w:hAnsi="Garamond"/>
                <w:sz w:val="18"/>
                <w:szCs w:val="18"/>
                <w:lang w:val="sq-AL"/>
              </w:rPr>
              <w:t>E pazbatueshme (e përfshirë në BK dhe në buxhetin për M1)</w:t>
            </w:r>
          </w:p>
        </w:tc>
        <w:tc>
          <w:tcPr>
            <w:tcW w:w="1305" w:type="dxa"/>
            <w:shd w:val="clear" w:color="auto" w:fill="F2F2F2"/>
            <w:vAlign w:val="center"/>
          </w:tcPr>
          <w:p w14:paraId="0773B3C0" w14:textId="77777777" w:rsidR="006C0CC2" w:rsidRPr="0058349C" w:rsidRDefault="006C0CC2" w:rsidP="006C0CC2">
            <w:pPr>
              <w:spacing w:after="0" w:line="240" w:lineRule="auto"/>
              <w:rPr>
                <w:rFonts w:ascii="Garamond" w:eastAsia="Arial" w:hAnsi="Garamond"/>
                <w:sz w:val="18"/>
                <w:szCs w:val="18"/>
                <w:lang w:val="sq-AL"/>
              </w:rPr>
            </w:pPr>
            <w:r w:rsidRPr="0058349C">
              <w:rPr>
                <w:rFonts w:ascii="Garamond" w:eastAsia="Arial" w:hAnsi="Garamond"/>
                <w:sz w:val="18"/>
                <w:szCs w:val="18"/>
                <w:lang w:val="sq-AL"/>
              </w:rPr>
              <w:t>E pazbatueshme (e përfshirë në BK dhe në buxhetin për M1)</w:t>
            </w:r>
          </w:p>
        </w:tc>
        <w:tc>
          <w:tcPr>
            <w:tcW w:w="1277" w:type="dxa"/>
            <w:shd w:val="clear" w:color="auto" w:fill="F2F2F2"/>
            <w:vAlign w:val="center"/>
          </w:tcPr>
          <w:p w14:paraId="0773B3C1" w14:textId="77777777" w:rsidR="006C0CC2" w:rsidRPr="0058349C" w:rsidRDefault="006C0CC2" w:rsidP="006C0CC2">
            <w:pPr>
              <w:spacing w:after="0" w:line="240" w:lineRule="auto"/>
              <w:rPr>
                <w:rFonts w:ascii="Garamond" w:eastAsia="Arial" w:hAnsi="Garamond"/>
                <w:sz w:val="18"/>
                <w:szCs w:val="18"/>
                <w:lang w:val="sq-AL"/>
              </w:rPr>
            </w:pPr>
            <w:r w:rsidRPr="0058349C">
              <w:rPr>
                <w:rFonts w:ascii="Garamond" w:eastAsia="Arial" w:hAnsi="Garamond"/>
                <w:sz w:val="18"/>
                <w:szCs w:val="18"/>
                <w:lang w:val="sq-AL"/>
              </w:rPr>
              <w:t>E pazbatueshme (e përfshirë në BK dhe në buxhetin për M1)</w:t>
            </w:r>
          </w:p>
        </w:tc>
        <w:tc>
          <w:tcPr>
            <w:tcW w:w="1283" w:type="dxa"/>
            <w:shd w:val="clear" w:color="auto" w:fill="F2F2F2"/>
            <w:vAlign w:val="center"/>
          </w:tcPr>
          <w:p w14:paraId="0773B3C2" w14:textId="77777777" w:rsidR="006C0CC2" w:rsidRPr="0058349C" w:rsidRDefault="006C0CC2" w:rsidP="006C0CC2">
            <w:pPr>
              <w:spacing w:after="0" w:line="240" w:lineRule="auto"/>
              <w:rPr>
                <w:rFonts w:ascii="Garamond" w:eastAsia="Arial" w:hAnsi="Garamond"/>
                <w:sz w:val="18"/>
                <w:szCs w:val="18"/>
                <w:lang w:val="sq-AL"/>
              </w:rPr>
            </w:pPr>
            <w:r w:rsidRPr="0058349C">
              <w:rPr>
                <w:rFonts w:ascii="Garamond" w:eastAsia="Arial" w:hAnsi="Garamond"/>
                <w:sz w:val="18"/>
                <w:szCs w:val="18"/>
                <w:lang w:val="sq-AL"/>
              </w:rPr>
              <w:t>E pazbatueshme (e përfshirë në BK dhe në buxhetin për M1)</w:t>
            </w:r>
          </w:p>
        </w:tc>
        <w:tc>
          <w:tcPr>
            <w:tcW w:w="1275" w:type="dxa"/>
            <w:shd w:val="clear" w:color="auto" w:fill="E5F7CA"/>
            <w:vAlign w:val="center"/>
          </w:tcPr>
          <w:p w14:paraId="0773B3C3"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500</w:t>
            </w:r>
          </w:p>
        </w:tc>
        <w:tc>
          <w:tcPr>
            <w:tcW w:w="1134" w:type="dxa"/>
            <w:shd w:val="clear" w:color="auto" w:fill="E5F7CA"/>
            <w:vAlign w:val="center"/>
          </w:tcPr>
          <w:p w14:paraId="0773B3C4"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1,000</w:t>
            </w:r>
          </w:p>
        </w:tc>
      </w:tr>
      <w:tr w:rsidR="006C0CC2" w:rsidRPr="0058349C" w14:paraId="0773B3CF" w14:textId="77777777" w:rsidTr="00F4367B">
        <w:trPr>
          <w:trHeight w:val="20"/>
        </w:trPr>
        <w:tc>
          <w:tcPr>
            <w:tcW w:w="384" w:type="dxa"/>
            <w:vMerge/>
            <w:shd w:val="clear" w:color="auto" w:fill="F2F2F2"/>
          </w:tcPr>
          <w:p w14:paraId="0773B3C6" w14:textId="77777777" w:rsidR="006C0CC2" w:rsidRPr="0058349C" w:rsidRDefault="006C0CC2" w:rsidP="006C0CC2">
            <w:pPr>
              <w:spacing w:after="0" w:line="240" w:lineRule="auto"/>
              <w:rPr>
                <w:rFonts w:ascii="Garamond" w:eastAsia="Arial" w:hAnsi="Garamond"/>
                <w:b/>
                <w:sz w:val="18"/>
                <w:szCs w:val="18"/>
                <w:lang w:val="sq-AL"/>
              </w:rPr>
            </w:pPr>
          </w:p>
        </w:tc>
        <w:tc>
          <w:tcPr>
            <w:tcW w:w="2784" w:type="dxa"/>
            <w:vMerge/>
            <w:shd w:val="clear" w:color="auto" w:fill="F2F2F2"/>
          </w:tcPr>
          <w:p w14:paraId="0773B3C7" w14:textId="77777777" w:rsidR="006C0CC2" w:rsidRPr="0058349C" w:rsidRDefault="006C0CC2" w:rsidP="006C0CC2">
            <w:pPr>
              <w:spacing w:after="0" w:line="240" w:lineRule="auto"/>
              <w:rPr>
                <w:rFonts w:ascii="Garamond" w:hAnsi="Garamond"/>
                <w:b/>
                <w:bCs/>
                <w:sz w:val="18"/>
                <w:szCs w:val="18"/>
                <w:lang w:val="sq-AL"/>
              </w:rPr>
            </w:pPr>
          </w:p>
        </w:tc>
        <w:tc>
          <w:tcPr>
            <w:tcW w:w="3309" w:type="dxa"/>
            <w:shd w:val="clear" w:color="auto" w:fill="F2F2F2"/>
          </w:tcPr>
          <w:p w14:paraId="0773B3C8" w14:textId="77777777" w:rsidR="006C0CC2" w:rsidRPr="0058349C" w:rsidRDefault="006C0CC2" w:rsidP="006C0CC2">
            <w:pPr>
              <w:spacing w:after="0" w:line="240" w:lineRule="auto"/>
              <w:rPr>
                <w:rFonts w:ascii="Garamond" w:eastAsia="Arial" w:hAnsi="Garamond"/>
                <w:sz w:val="18"/>
                <w:szCs w:val="18"/>
                <w:lang w:val="sq-AL"/>
              </w:rPr>
            </w:pPr>
            <w:r w:rsidRPr="0058349C">
              <w:rPr>
                <w:rFonts w:ascii="Garamond" w:eastAsia="Arial" w:hAnsi="Garamond"/>
                <w:sz w:val="18"/>
                <w:szCs w:val="18"/>
                <w:lang w:val="sq-AL"/>
              </w:rPr>
              <w:t xml:space="preserve">Numri i grandeve në kuadër të IPARD III – Masa 1 për investime për fermat e reja </w:t>
            </w:r>
            <w:r w:rsidRPr="00EA28DE">
              <w:rPr>
                <w:rFonts w:ascii="Garamond" w:eastAsia="Arial" w:hAnsi="Garamond"/>
                <w:i/>
                <w:iCs/>
                <w:sz w:val="18"/>
                <w:szCs w:val="18"/>
                <w:lang w:val="sq-AL"/>
              </w:rPr>
              <w:t>(start-up).</w:t>
            </w:r>
          </w:p>
        </w:tc>
        <w:tc>
          <w:tcPr>
            <w:tcW w:w="1419" w:type="dxa"/>
            <w:shd w:val="clear" w:color="auto" w:fill="F2F2F2"/>
          </w:tcPr>
          <w:p w14:paraId="0773B3C9"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E pazbatueshme (e përfshirë në buxhetin për M1)</w:t>
            </w:r>
          </w:p>
        </w:tc>
        <w:tc>
          <w:tcPr>
            <w:tcW w:w="1305" w:type="dxa"/>
            <w:shd w:val="clear" w:color="auto" w:fill="F2F2F2"/>
          </w:tcPr>
          <w:p w14:paraId="0773B3CA"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E pazbatueshme (e përfshirë në buxhetin për M1)</w:t>
            </w:r>
          </w:p>
        </w:tc>
        <w:tc>
          <w:tcPr>
            <w:tcW w:w="1277" w:type="dxa"/>
            <w:shd w:val="clear" w:color="auto" w:fill="F2F2F2"/>
          </w:tcPr>
          <w:p w14:paraId="0773B3CB" w14:textId="77777777" w:rsidR="006C0CC2" w:rsidRPr="0058349C" w:rsidRDefault="006C0CC2" w:rsidP="006C0CC2">
            <w:pPr>
              <w:spacing w:after="0" w:line="240" w:lineRule="auto"/>
              <w:rPr>
                <w:rFonts w:ascii="Garamond" w:eastAsia="Arial" w:hAnsi="Garamond"/>
                <w:sz w:val="18"/>
                <w:szCs w:val="18"/>
                <w:lang w:val="sq-AL"/>
              </w:rPr>
            </w:pPr>
            <w:r w:rsidRPr="0058349C">
              <w:rPr>
                <w:rFonts w:ascii="Garamond" w:eastAsia="Arial" w:hAnsi="Garamond"/>
                <w:sz w:val="18"/>
                <w:szCs w:val="18"/>
                <w:lang w:val="sq-AL"/>
              </w:rPr>
              <w:t>E pazbatueshme (e përfshirë në buxhetin për M1)</w:t>
            </w:r>
          </w:p>
        </w:tc>
        <w:tc>
          <w:tcPr>
            <w:tcW w:w="1283" w:type="dxa"/>
            <w:shd w:val="clear" w:color="auto" w:fill="F2F2F2"/>
          </w:tcPr>
          <w:p w14:paraId="0773B3CC" w14:textId="77777777" w:rsidR="006C0CC2" w:rsidRPr="0058349C" w:rsidRDefault="006C0CC2" w:rsidP="006C0CC2">
            <w:pPr>
              <w:spacing w:after="0" w:line="240" w:lineRule="auto"/>
              <w:rPr>
                <w:rFonts w:ascii="Garamond" w:eastAsia="Arial" w:hAnsi="Garamond"/>
                <w:sz w:val="18"/>
                <w:szCs w:val="18"/>
                <w:lang w:val="sq-AL"/>
              </w:rPr>
            </w:pPr>
            <w:r w:rsidRPr="0058349C">
              <w:rPr>
                <w:rFonts w:ascii="Garamond" w:eastAsia="Arial" w:hAnsi="Garamond"/>
                <w:sz w:val="18"/>
                <w:szCs w:val="18"/>
                <w:lang w:val="sq-AL"/>
              </w:rPr>
              <w:t>E pazbatueshme (e përfshirë në buxhetin për M1)</w:t>
            </w:r>
          </w:p>
        </w:tc>
        <w:tc>
          <w:tcPr>
            <w:tcW w:w="1275" w:type="dxa"/>
            <w:shd w:val="clear" w:color="auto" w:fill="E5F7CA"/>
            <w:vAlign w:val="center"/>
          </w:tcPr>
          <w:p w14:paraId="0773B3CD"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40</w:t>
            </w:r>
          </w:p>
        </w:tc>
        <w:tc>
          <w:tcPr>
            <w:tcW w:w="1134" w:type="dxa"/>
            <w:shd w:val="clear" w:color="auto" w:fill="E5F7CA"/>
            <w:vAlign w:val="center"/>
          </w:tcPr>
          <w:p w14:paraId="0773B3CE"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90</w:t>
            </w:r>
          </w:p>
        </w:tc>
      </w:tr>
      <w:tr w:rsidR="006C0CC2" w:rsidRPr="0058349C" w14:paraId="0773B3DA" w14:textId="77777777" w:rsidTr="00F4367B">
        <w:trPr>
          <w:trHeight w:val="20"/>
        </w:trPr>
        <w:tc>
          <w:tcPr>
            <w:tcW w:w="384" w:type="dxa"/>
            <w:shd w:val="clear" w:color="auto" w:fill="F2F2F2"/>
          </w:tcPr>
          <w:p w14:paraId="0773B3D0" w14:textId="77777777" w:rsidR="006C0CC2" w:rsidRPr="0058349C" w:rsidRDefault="006C0CC2" w:rsidP="006C0CC2">
            <w:pPr>
              <w:spacing w:after="0" w:line="240" w:lineRule="auto"/>
              <w:rPr>
                <w:rFonts w:ascii="Garamond" w:eastAsia="Arial" w:hAnsi="Garamond"/>
                <w:b/>
                <w:sz w:val="18"/>
                <w:szCs w:val="18"/>
                <w:lang w:val="sq-AL"/>
              </w:rPr>
            </w:pPr>
          </w:p>
        </w:tc>
        <w:tc>
          <w:tcPr>
            <w:tcW w:w="2784" w:type="dxa"/>
            <w:shd w:val="clear" w:color="auto" w:fill="F2F2F2"/>
          </w:tcPr>
          <w:p w14:paraId="0773B3D1" w14:textId="0973F7AB" w:rsidR="006C0CC2" w:rsidRPr="0058349C" w:rsidRDefault="006C0CC2" w:rsidP="006C0CC2">
            <w:pPr>
              <w:spacing w:after="0" w:line="240" w:lineRule="auto"/>
              <w:rPr>
                <w:rFonts w:ascii="Garamond" w:hAnsi="Garamond"/>
                <w:b/>
                <w:bCs/>
                <w:sz w:val="18"/>
                <w:szCs w:val="18"/>
                <w:lang w:val="sq-AL"/>
              </w:rPr>
            </w:pPr>
            <w:r w:rsidRPr="0058349C">
              <w:rPr>
                <w:rFonts w:ascii="Garamond" w:hAnsi="Garamond"/>
                <w:b/>
                <w:bCs/>
                <w:sz w:val="18"/>
                <w:szCs w:val="18"/>
                <w:lang w:val="sq-AL"/>
              </w:rPr>
              <w:t>Investimet në modernizimin e aseteve fizike në lidhje me përpunimin dhe tregtimin e produkteve bujqësore dhe të peshkimit</w:t>
            </w:r>
            <w:r w:rsidR="00CF7694" w:rsidRPr="0058349C">
              <w:rPr>
                <w:rFonts w:ascii="Garamond" w:hAnsi="Garamond"/>
                <w:b/>
                <w:bCs/>
                <w:sz w:val="18"/>
                <w:szCs w:val="18"/>
                <w:lang w:val="sq-AL"/>
              </w:rPr>
              <w:t xml:space="preserve"> </w:t>
            </w:r>
          </w:p>
        </w:tc>
        <w:tc>
          <w:tcPr>
            <w:tcW w:w="3309" w:type="dxa"/>
            <w:shd w:val="clear" w:color="auto" w:fill="F2F2F2"/>
          </w:tcPr>
          <w:p w14:paraId="0773B3D2" w14:textId="77777777" w:rsidR="006C0CC2" w:rsidRPr="0058349C" w:rsidRDefault="006C0CC2" w:rsidP="006C0CC2">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përpunuesve agroushqimor të mbështetur nga IPARD III – Masa 3.</w:t>
            </w:r>
          </w:p>
          <w:p w14:paraId="0773B3D3" w14:textId="77777777" w:rsidR="006C0CC2" w:rsidRPr="0058349C" w:rsidRDefault="006C0CC2" w:rsidP="006C0CC2">
            <w:pPr>
              <w:spacing w:after="0" w:line="240" w:lineRule="auto"/>
              <w:rPr>
                <w:rFonts w:ascii="Garamond" w:eastAsia="Arial" w:hAnsi="Garamond"/>
                <w:sz w:val="18"/>
                <w:szCs w:val="18"/>
                <w:lang w:val="sq-AL"/>
              </w:rPr>
            </w:pPr>
          </w:p>
        </w:tc>
        <w:tc>
          <w:tcPr>
            <w:tcW w:w="1419" w:type="dxa"/>
            <w:shd w:val="clear" w:color="auto" w:fill="F2F2F2"/>
            <w:vAlign w:val="center"/>
          </w:tcPr>
          <w:p w14:paraId="0773B3D4"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14,394,570</w:t>
            </w:r>
          </w:p>
        </w:tc>
        <w:tc>
          <w:tcPr>
            <w:tcW w:w="1305" w:type="dxa"/>
            <w:shd w:val="clear" w:color="auto" w:fill="F2F2F2"/>
            <w:vAlign w:val="center"/>
          </w:tcPr>
          <w:p w14:paraId="0773B3D5"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4,000,000</w:t>
            </w:r>
          </w:p>
        </w:tc>
        <w:tc>
          <w:tcPr>
            <w:tcW w:w="1277" w:type="dxa"/>
            <w:shd w:val="clear" w:color="auto" w:fill="F2F2F2"/>
            <w:vAlign w:val="center"/>
          </w:tcPr>
          <w:p w14:paraId="0773B3D6"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5,226,667</w:t>
            </w:r>
          </w:p>
        </w:tc>
        <w:tc>
          <w:tcPr>
            <w:tcW w:w="1283" w:type="dxa"/>
            <w:shd w:val="clear" w:color="auto" w:fill="F2F2F2"/>
            <w:vAlign w:val="center"/>
          </w:tcPr>
          <w:p w14:paraId="0773B3D7"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5,167,903</w:t>
            </w:r>
          </w:p>
        </w:tc>
        <w:tc>
          <w:tcPr>
            <w:tcW w:w="1275" w:type="dxa"/>
            <w:shd w:val="clear" w:color="auto" w:fill="E5F7CA"/>
            <w:vAlign w:val="center"/>
          </w:tcPr>
          <w:p w14:paraId="0773B3D8"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110</w:t>
            </w:r>
          </w:p>
        </w:tc>
        <w:tc>
          <w:tcPr>
            <w:tcW w:w="1134" w:type="dxa"/>
            <w:shd w:val="clear" w:color="auto" w:fill="E5F7CA"/>
            <w:vAlign w:val="center"/>
          </w:tcPr>
          <w:p w14:paraId="0773B3D9"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270</w:t>
            </w:r>
          </w:p>
        </w:tc>
      </w:tr>
      <w:tr w:rsidR="006C0CC2" w:rsidRPr="0058349C" w14:paraId="0773B3E8" w14:textId="77777777" w:rsidTr="00F4367B">
        <w:trPr>
          <w:trHeight w:val="20"/>
        </w:trPr>
        <w:tc>
          <w:tcPr>
            <w:tcW w:w="384" w:type="dxa"/>
            <w:shd w:val="clear" w:color="auto" w:fill="F2F2F2"/>
          </w:tcPr>
          <w:p w14:paraId="0773B3DB" w14:textId="77777777" w:rsidR="006C0CC2" w:rsidRPr="0058349C" w:rsidRDefault="006C0CC2" w:rsidP="006C0CC2">
            <w:pPr>
              <w:spacing w:after="0" w:line="240" w:lineRule="auto"/>
              <w:rPr>
                <w:rFonts w:ascii="Garamond" w:eastAsia="Arial" w:hAnsi="Garamond"/>
                <w:b/>
                <w:sz w:val="18"/>
                <w:szCs w:val="18"/>
                <w:lang w:val="sq-AL"/>
              </w:rPr>
            </w:pPr>
          </w:p>
        </w:tc>
        <w:tc>
          <w:tcPr>
            <w:tcW w:w="2784" w:type="dxa"/>
            <w:shd w:val="clear" w:color="auto" w:fill="F2F2F2"/>
          </w:tcPr>
          <w:p w14:paraId="0773B3DC" w14:textId="77777777" w:rsidR="006C0CC2" w:rsidRPr="0058349C" w:rsidRDefault="006C0CC2" w:rsidP="006C0CC2">
            <w:pPr>
              <w:spacing w:after="0" w:line="240" w:lineRule="auto"/>
              <w:rPr>
                <w:rFonts w:ascii="Garamond" w:hAnsi="Garamond"/>
                <w:b/>
                <w:bCs/>
                <w:sz w:val="18"/>
                <w:szCs w:val="18"/>
                <w:lang w:val="sq-AL"/>
              </w:rPr>
            </w:pPr>
            <w:r w:rsidRPr="0058349C">
              <w:rPr>
                <w:rFonts w:ascii="Garamond" w:hAnsi="Garamond"/>
                <w:b/>
                <w:bCs/>
                <w:sz w:val="18"/>
                <w:szCs w:val="18"/>
                <w:lang w:val="sq-AL"/>
              </w:rPr>
              <w:t>Rehabilitimi i infrastrukturës së ujitjes dhe kullimit</w:t>
            </w:r>
          </w:p>
        </w:tc>
        <w:tc>
          <w:tcPr>
            <w:tcW w:w="3309" w:type="dxa"/>
            <w:shd w:val="clear" w:color="auto" w:fill="F2F2F2"/>
          </w:tcPr>
          <w:p w14:paraId="0773B3DD" w14:textId="77777777" w:rsidR="006C0CC2" w:rsidRPr="0058349C" w:rsidRDefault="006C0CC2" w:rsidP="006C0CC2">
            <w:pPr>
              <w:spacing w:after="0" w:line="240" w:lineRule="auto"/>
              <w:rPr>
                <w:rFonts w:ascii="Garamond" w:eastAsia="Arial" w:hAnsi="Garamond"/>
                <w:sz w:val="18"/>
                <w:szCs w:val="18"/>
                <w:lang w:val="sq-AL"/>
              </w:rPr>
            </w:pPr>
            <w:r w:rsidRPr="0058349C">
              <w:rPr>
                <w:rFonts w:ascii="Garamond" w:eastAsia="Arial" w:hAnsi="Garamond"/>
                <w:sz w:val="18"/>
                <w:szCs w:val="18"/>
                <w:lang w:val="sq-AL"/>
              </w:rPr>
              <w:t>Rritja dhe p</w:t>
            </w:r>
            <w:r w:rsidRPr="0058349C">
              <w:rPr>
                <w:rStyle w:val="normaltextrun"/>
                <w:rFonts w:ascii="Garamond" w:eastAsia="Arial" w:hAnsi="Garamond"/>
                <w:bCs/>
                <w:sz w:val="18"/>
                <w:szCs w:val="18"/>
                <w:lang w:val="sq-AL"/>
              </w:rPr>
              <w:t>ërmirësimi i a</w:t>
            </w:r>
            <w:r w:rsidRPr="0058349C">
              <w:rPr>
                <w:rFonts w:ascii="Garamond" w:eastAsia="Arial" w:hAnsi="Garamond"/>
                <w:sz w:val="18"/>
                <w:szCs w:val="18"/>
                <w:lang w:val="sq-AL"/>
              </w:rPr>
              <w:t>ft</w:t>
            </w:r>
            <w:r w:rsidRPr="0058349C">
              <w:rPr>
                <w:rStyle w:val="normaltextrun"/>
                <w:rFonts w:ascii="Garamond" w:eastAsia="Arial" w:hAnsi="Garamond"/>
                <w:bCs/>
                <w:sz w:val="18"/>
                <w:szCs w:val="18"/>
                <w:lang w:val="sq-AL"/>
              </w:rPr>
              <w:t>ësisë ujitëse në HA</w:t>
            </w:r>
          </w:p>
        </w:tc>
        <w:tc>
          <w:tcPr>
            <w:tcW w:w="1419" w:type="dxa"/>
            <w:shd w:val="clear" w:color="auto" w:fill="F2F2F2"/>
            <w:vAlign w:val="center"/>
          </w:tcPr>
          <w:p w14:paraId="0773B3DE" w14:textId="77777777" w:rsidR="006C0CC2" w:rsidRPr="0058349C" w:rsidRDefault="006C0CC2" w:rsidP="006C0CC2">
            <w:pPr>
              <w:spacing w:after="0" w:line="240" w:lineRule="auto"/>
              <w:jc w:val="center"/>
              <w:rPr>
                <w:rFonts w:ascii="Garamond" w:eastAsia="Arial" w:hAnsi="Garamond"/>
                <w:sz w:val="18"/>
                <w:szCs w:val="18"/>
                <w:lang w:val="sq-AL"/>
              </w:rPr>
            </w:pPr>
          </w:p>
          <w:p w14:paraId="0773B3DF" w14:textId="77777777" w:rsidR="006C0CC2" w:rsidRPr="0058349C" w:rsidRDefault="006C0CC2" w:rsidP="006C0CC2">
            <w:pPr>
              <w:spacing w:after="0" w:line="240" w:lineRule="auto"/>
              <w:jc w:val="center"/>
              <w:rPr>
                <w:rFonts w:ascii="Garamond" w:hAnsi="Garamond"/>
                <w:sz w:val="18"/>
                <w:szCs w:val="18"/>
                <w:lang w:val="sq-AL"/>
              </w:rPr>
            </w:pPr>
            <w:r w:rsidRPr="0058349C">
              <w:rPr>
                <w:rFonts w:ascii="Garamond" w:eastAsia="Arial" w:hAnsi="Garamond"/>
                <w:sz w:val="18"/>
                <w:szCs w:val="18"/>
                <w:lang w:val="sq-AL"/>
              </w:rPr>
              <w:t>BK</w:t>
            </w:r>
          </w:p>
        </w:tc>
        <w:tc>
          <w:tcPr>
            <w:tcW w:w="1305" w:type="dxa"/>
            <w:shd w:val="clear" w:color="auto" w:fill="F2F2F2"/>
            <w:vAlign w:val="center"/>
          </w:tcPr>
          <w:p w14:paraId="0773B3E0" w14:textId="77777777" w:rsidR="006C0CC2" w:rsidRPr="0058349C" w:rsidRDefault="006C0CC2" w:rsidP="006C0CC2">
            <w:pPr>
              <w:spacing w:after="0" w:line="240" w:lineRule="auto"/>
              <w:jc w:val="center"/>
              <w:rPr>
                <w:rFonts w:ascii="Garamond" w:eastAsia="Arial" w:hAnsi="Garamond"/>
                <w:sz w:val="18"/>
                <w:szCs w:val="18"/>
                <w:lang w:val="sq-AL"/>
              </w:rPr>
            </w:pPr>
          </w:p>
          <w:p w14:paraId="0773B3E1" w14:textId="77777777" w:rsidR="006C0CC2" w:rsidRPr="0058349C" w:rsidRDefault="006C0CC2" w:rsidP="006C0CC2">
            <w:pPr>
              <w:spacing w:after="0" w:line="240" w:lineRule="auto"/>
              <w:jc w:val="center"/>
              <w:rPr>
                <w:rFonts w:ascii="Garamond" w:hAnsi="Garamond"/>
                <w:sz w:val="18"/>
                <w:szCs w:val="18"/>
                <w:lang w:val="sq-AL"/>
              </w:rPr>
            </w:pPr>
            <w:r w:rsidRPr="0058349C">
              <w:rPr>
                <w:rFonts w:ascii="Garamond" w:eastAsia="Arial" w:hAnsi="Garamond"/>
                <w:sz w:val="18"/>
                <w:szCs w:val="18"/>
                <w:lang w:val="sq-AL"/>
              </w:rPr>
              <w:t>BK</w:t>
            </w:r>
          </w:p>
        </w:tc>
        <w:tc>
          <w:tcPr>
            <w:tcW w:w="1277" w:type="dxa"/>
            <w:shd w:val="clear" w:color="auto" w:fill="F2F2F2"/>
            <w:vAlign w:val="center"/>
          </w:tcPr>
          <w:p w14:paraId="0773B3E2" w14:textId="77777777" w:rsidR="006C0CC2" w:rsidRPr="0058349C" w:rsidRDefault="006C0CC2" w:rsidP="006C0CC2">
            <w:pPr>
              <w:spacing w:after="0" w:line="240" w:lineRule="auto"/>
              <w:jc w:val="center"/>
              <w:rPr>
                <w:rFonts w:ascii="Garamond" w:eastAsia="Arial" w:hAnsi="Garamond"/>
                <w:sz w:val="18"/>
                <w:szCs w:val="18"/>
                <w:lang w:val="sq-AL"/>
              </w:rPr>
            </w:pPr>
          </w:p>
          <w:p w14:paraId="0773B3E3" w14:textId="77777777" w:rsidR="006C0CC2" w:rsidRPr="0058349C" w:rsidRDefault="006C0CC2" w:rsidP="006C0CC2">
            <w:pPr>
              <w:spacing w:after="0" w:line="240" w:lineRule="auto"/>
              <w:jc w:val="center"/>
              <w:rPr>
                <w:rFonts w:ascii="Garamond" w:hAnsi="Garamond"/>
                <w:sz w:val="18"/>
                <w:szCs w:val="18"/>
                <w:lang w:val="sq-AL"/>
              </w:rPr>
            </w:pPr>
            <w:r w:rsidRPr="0058349C">
              <w:rPr>
                <w:rFonts w:ascii="Garamond" w:eastAsia="Arial" w:hAnsi="Garamond"/>
                <w:sz w:val="18"/>
                <w:szCs w:val="18"/>
                <w:lang w:val="sq-AL"/>
              </w:rPr>
              <w:t>BK</w:t>
            </w:r>
          </w:p>
        </w:tc>
        <w:tc>
          <w:tcPr>
            <w:tcW w:w="1283" w:type="dxa"/>
            <w:shd w:val="clear" w:color="auto" w:fill="F2F2F2"/>
            <w:vAlign w:val="center"/>
          </w:tcPr>
          <w:p w14:paraId="0773B3E4" w14:textId="77777777" w:rsidR="006C0CC2" w:rsidRPr="0058349C" w:rsidRDefault="006C0CC2" w:rsidP="006C0CC2">
            <w:pPr>
              <w:spacing w:after="0" w:line="240" w:lineRule="auto"/>
              <w:jc w:val="center"/>
              <w:rPr>
                <w:rFonts w:ascii="Garamond" w:eastAsia="Arial" w:hAnsi="Garamond"/>
                <w:sz w:val="18"/>
                <w:szCs w:val="18"/>
                <w:lang w:val="sq-AL"/>
              </w:rPr>
            </w:pPr>
          </w:p>
          <w:p w14:paraId="0773B3E5" w14:textId="77777777" w:rsidR="006C0CC2" w:rsidRPr="0058349C" w:rsidRDefault="006C0CC2" w:rsidP="006C0CC2">
            <w:pPr>
              <w:spacing w:after="0" w:line="240" w:lineRule="auto"/>
              <w:jc w:val="center"/>
              <w:rPr>
                <w:rFonts w:ascii="Garamond" w:hAnsi="Garamond"/>
                <w:sz w:val="18"/>
                <w:szCs w:val="18"/>
                <w:lang w:val="sq-AL"/>
              </w:rPr>
            </w:pPr>
            <w:r w:rsidRPr="0058349C">
              <w:rPr>
                <w:rFonts w:ascii="Garamond" w:eastAsia="Arial" w:hAnsi="Garamond"/>
                <w:sz w:val="18"/>
                <w:szCs w:val="18"/>
                <w:lang w:val="sq-AL"/>
              </w:rPr>
              <w:t>BK</w:t>
            </w:r>
          </w:p>
        </w:tc>
        <w:tc>
          <w:tcPr>
            <w:tcW w:w="1275" w:type="dxa"/>
            <w:shd w:val="clear" w:color="auto" w:fill="E5F7CA"/>
            <w:vAlign w:val="center"/>
          </w:tcPr>
          <w:p w14:paraId="0773B3E6"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10,000</w:t>
            </w:r>
          </w:p>
        </w:tc>
        <w:tc>
          <w:tcPr>
            <w:tcW w:w="1134" w:type="dxa"/>
            <w:shd w:val="clear" w:color="auto" w:fill="E5F7CA"/>
            <w:vAlign w:val="center"/>
          </w:tcPr>
          <w:p w14:paraId="0773B3E7"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30,000</w:t>
            </w:r>
          </w:p>
        </w:tc>
      </w:tr>
      <w:tr w:rsidR="006C0CC2" w:rsidRPr="0058349C" w14:paraId="0773B3F2" w14:textId="77777777" w:rsidTr="00F4367B">
        <w:trPr>
          <w:trHeight w:val="20"/>
        </w:trPr>
        <w:tc>
          <w:tcPr>
            <w:tcW w:w="384" w:type="dxa"/>
            <w:vMerge w:val="restart"/>
            <w:shd w:val="clear" w:color="auto" w:fill="F2F2F2"/>
          </w:tcPr>
          <w:p w14:paraId="0773B3E9" w14:textId="77777777" w:rsidR="006C0CC2" w:rsidRPr="0058349C" w:rsidRDefault="006C0CC2" w:rsidP="006C0CC2">
            <w:pPr>
              <w:spacing w:after="0" w:line="240" w:lineRule="auto"/>
              <w:rPr>
                <w:rFonts w:ascii="Garamond" w:eastAsia="Arial" w:hAnsi="Garamond"/>
                <w:b/>
                <w:sz w:val="18"/>
                <w:szCs w:val="18"/>
                <w:lang w:val="sq-AL"/>
              </w:rPr>
            </w:pPr>
          </w:p>
        </w:tc>
        <w:tc>
          <w:tcPr>
            <w:tcW w:w="2784" w:type="dxa"/>
            <w:vMerge w:val="restart"/>
            <w:shd w:val="clear" w:color="auto" w:fill="F2F2F2"/>
          </w:tcPr>
          <w:p w14:paraId="0773B3EA" w14:textId="40F11198" w:rsidR="006C0CC2" w:rsidRPr="0058349C" w:rsidRDefault="006C0CC2" w:rsidP="006C0CC2">
            <w:pPr>
              <w:spacing w:after="0" w:line="240" w:lineRule="auto"/>
              <w:rPr>
                <w:rFonts w:ascii="Garamond" w:hAnsi="Garamond"/>
                <w:b/>
                <w:bCs/>
                <w:sz w:val="18"/>
                <w:szCs w:val="18"/>
                <w:lang w:val="sq-AL"/>
              </w:rPr>
            </w:pPr>
            <w:r w:rsidRPr="0058349C">
              <w:rPr>
                <w:rFonts w:ascii="Garamond" w:hAnsi="Garamond"/>
                <w:b/>
                <w:bCs/>
                <w:sz w:val="18"/>
                <w:szCs w:val="18"/>
                <w:lang w:val="sq-AL"/>
              </w:rPr>
              <w:t>Instrumentet financiare</w:t>
            </w:r>
            <w:r w:rsidR="00CF7694" w:rsidRPr="0058349C">
              <w:rPr>
                <w:rFonts w:ascii="Garamond" w:hAnsi="Garamond"/>
                <w:b/>
                <w:bCs/>
                <w:sz w:val="18"/>
                <w:szCs w:val="18"/>
                <w:lang w:val="sq-AL"/>
              </w:rPr>
              <w:t xml:space="preserve"> </w:t>
            </w:r>
          </w:p>
        </w:tc>
        <w:tc>
          <w:tcPr>
            <w:tcW w:w="3309" w:type="dxa"/>
            <w:vMerge w:val="restart"/>
            <w:shd w:val="clear" w:color="auto" w:fill="F2F2F2"/>
          </w:tcPr>
          <w:p w14:paraId="0773B3EB" w14:textId="7B3CD014" w:rsidR="006C0CC2" w:rsidRPr="0058349C" w:rsidRDefault="006C0CC2" w:rsidP="006C0CC2">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fermave dhe përpunuesve agroushqimore</w:t>
            </w:r>
            <w:r w:rsidR="00CF7694" w:rsidRPr="0058349C">
              <w:rPr>
                <w:rFonts w:ascii="Garamond" w:eastAsia="Arial" w:hAnsi="Garamond"/>
                <w:sz w:val="18"/>
                <w:szCs w:val="18"/>
                <w:lang w:val="sq-AL"/>
              </w:rPr>
              <w:t xml:space="preserve"> </w:t>
            </w:r>
            <w:r w:rsidRPr="0058349C">
              <w:rPr>
                <w:rFonts w:ascii="Garamond" w:eastAsia="Arial" w:hAnsi="Garamond"/>
                <w:sz w:val="18"/>
                <w:szCs w:val="18"/>
                <w:lang w:val="sq-AL"/>
              </w:rPr>
              <w:t xml:space="preserve">të mbështetura përmes skemës të garancive për kreditë agroushqimore </w:t>
            </w:r>
          </w:p>
        </w:tc>
        <w:tc>
          <w:tcPr>
            <w:tcW w:w="1419" w:type="dxa"/>
            <w:shd w:val="clear" w:color="auto" w:fill="F2F2F2"/>
            <w:vAlign w:val="center"/>
          </w:tcPr>
          <w:p w14:paraId="0773B3EC"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4,832,392</w:t>
            </w:r>
          </w:p>
        </w:tc>
        <w:tc>
          <w:tcPr>
            <w:tcW w:w="1305" w:type="dxa"/>
            <w:shd w:val="clear" w:color="auto" w:fill="F2F2F2"/>
            <w:vAlign w:val="center"/>
          </w:tcPr>
          <w:p w14:paraId="0773B3ED"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641,008</w:t>
            </w:r>
          </w:p>
        </w:tc>
        <w:tc>
          <w:tcPr>
            <w:tcW w:w="1277" w:type="dxa"/>
            <w:shd w:val="clear" w:color="auto" w:fill="F2F2F2"/>
            <w:vAlign w:val="center"/>
          </w:tcPr>
          <w:p w14:paraId="0773B3EE"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274,685</w:t>
            </w:r>
          </w:p>
        </w:tc>
        <w:tc>
          <w:tcPr>
            <w:tcW w:w="1283" w:type="dxa"/>
            <w:shd w:val="clear" w:color="auto" w:fill="F2F2F2"/>
            <w:vAlign w:val="center"/>
          </w:tcPr>
          <w:p w14:paraId="0773B3EF"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3,916,699</w:t>
            </w:r>
          </w:p>
        </w:tc>
        <w:tc>
          <w:tcPr>
            <w:tcW w:w="1275" w:type="dxa"/>
            <w:shd w:val="clear" w:color="auto" w:fill="E5F7CA"/>
            <w:vAlign w:val="center"/>
          </w:tcPr>
          <w:p w14:paraId="0773B3F0"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 xml:space="preserve"> 500</w:t>
            </w:r>
          </w:p>
        </w:tc>
        <w:tc>
          <w:tcPr>
            <w:tcW w:w="1134" w:type="dxa"/>
            <w:shd w:val="clear" w:color="auto" w:fill="E5F7CA"/>
            <w:vAlign w:val="center"/>
          </w:tcPr>
          <w:p w14:paraId="0773B3F1"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2,000</w:t>
            </w:r>
          </w:p>
        </w:tc>
      </w:tr>
      <w:tr w:rsidR="006C0CC2" w:rsidRPr="0058349C" w14:paraId="0773B3FC" w14:textId="77777777" w:rsidTr="00F4367B">
        <w:trPr>
          <w:trHeight w:val="20"/>
        </w:trPr>
        <w:tc>
          <w:tcPr>
            <w:tcW w:w="384" w:type="dxa"/>
            <w:vMerge/>
            <w:shd w:val="clear" w:color="auto" w:fill="F2F2F2"/>
          </w:tcPr>
          <w:p w14:paraId="0773B3F3" w14:textId="77777777" w:rsidR="006C0CC2" w:rsidRPr="0058349C" w:rsidRDefault="006C0CC2" w:rsidP="006C0CC2">
            <w:pPr>
              <w:spacing w:after="0" w:line="240" w:lineRule="auto"/>
              <w:rPr>
                <w:rFonts w:ascii="Garamond" w:eastAsia="Arial" w:hAnsi="Garamond"/>
                <w:b/>
                <w:sz w:val="18"/>
                <w:szCs w:val="18"/>
                <w:lang w:val="sq-AL"/>
              </w:rPr>
            </w:pPr>
          </w:p>
        </w:tc>
        <w:tc>
          <w:tcPr>
            <w:tcW w:w="2784" w:type="dxa"/>
            <w:vMerge/>
            <w:shd w:val="clear" w:color="auto" w:fill="F2F2F2"/>
          </w:tcPr>
          <w:p w14:paraId="0773B3F4" w14:textId="77777777" w:rsidR="006C0CC2" w:rsidRPr="0058349C" w:rsidRDefault="006C0CC2" w:rsidP="006C0CC2">
            <w:pPr>
              <w:spacing w:after="0" w:line="240" w:lineRule="auto"/>
              <w:rPr>
                <w:rFonts w:ascii="Garamond" w:hAnsi="Garamond"/>
                <w:b/>
                <w:bCs/>
                <w:sz w:val="18"/>
                <w:szCs w:val="18"/>
                <w:lang w:val="sq-AL"/>
              </w:rPr>
            </w:pPr>
          </w:p>
        </w:tc>
        <w:tc>
          <w:tcPr>
            <w:tcW w:w="3309" w:type="dxa"/>
            <w:vMerge/>
            <w:shd w:val="clear" w:color="auto" w:fill="F2F2F2"/>
          </w:tcPr>
          <w:p w14:paraId="0773B3F5" w14:textId="77777777" w:rsidR="006C0CC2" w:rsidRPr="0058349C" w:rsidRDefault="006C0CC2" w:rsidP="006C0CC2">
            <w:pPr>
              <w:spacing w:after="0" w:line="240" w:lineRule="auto"/>
              <w:rPr>
                <w:rFonts w:ascii="Garamond" w:eastAsia="Arial" w:hAnsi="Garamond"/>
                <w:sz w:val="18"/>
                <w:szCs w:val="18"/>
                <w:lang w:val="sq-AL"/>
              </w:rPr>
            </w:pPr>
          </w:p>
        </w:tc>
        <w:tc>
          <w:tcPr>
            <w:tcW w:w="1419" w:type="dxa"/>
            <w:shd w:val="clear" w:color="auto" w:fill="F2F2F2"/>
            <w:vAlign w:val="center"/>
          </w:tcPr>
          <w:p w14:paraId="0773B3F6" w14:textId="77777777" w:rsidR="006C0CC2" w:rsidRPr="0058349C" w:rsidRDefault="006C0CC2" w:rsidP="006C0CC2">
            <w:pPr>
              <w:spacing w:after="0" w:line="240" w:lineRule="auto"/>
              <w:jc w:val="center"/>
              <w:rPr>
                <w:rFonts w:ascii="Garamond" w:eastAsia="Arial" w:hAnsi="Garamond"/>
                <w:sz w:val="18"/>
                <w:szCs w:val="18"/>
                <w:lang w:val="sq-AL"/>
              </w:rPr>
            </w:pPr>
          </w:p>
        </w:tc>
        <w:tc>
          <w:tcPr>
            <w:tcW w:w="1305" w:type="dxa"/>
            <w:shd w:val="clear" w:color="auto" w:fill="F2F2F2"/>
            <w:vAlign w:val="center"/>
          </w:tcPr>
          <w:p w14:paraId="0773B3F7" w14:textId="77777777" w:rsidR="006C0CC2" w:rsidRPr="0058349C" w:rsidRDefault="006C0CC2" w:rsidP="006C0CC2">
            <w:pPr>
              <w:spacing w:after="0" w:line="240" w:lineRule="auto"/>
              <w:jc w:val="center"/>
              <w:rPr>
                <w:rFonts w:ascii="Garamond" w:eastAsia="Arial" w:hAnsi="Garamond"/>
                <w:sz w:val="18"/>
                <w:szCs w:val="18"/>
                <w:lang w:val="sq-AL"/>
              </w:rPr>
            </w:pPr>
          </w:p>
        </w:tc>
        <w:tc>
          <w:tcPr>
            <w:tcW w:w="1277" w:type="dxa"/>
            <w:shd w:val="clear" w:color="auto" w:fill="F2F2F2"/>
            <w:vAlign w:val="center"/>
          </w:tcPr>
          <w:p w14:paraId="0773B3F8" w14:textId="77777777" w:rsidR="006C0CC2" w:rsidRPr="0058349C" w:rsidRDefault="006C0CC2" w:rsidP="006C0CC2">
            <w:pPr>
              <w:spacing w:after="0" w:line="240" w:lineRule="auto"/>
              <w:jc w:val="center"/>
              <w:rPr>
                <w:rFonts w:ascii="Garamond" w:eastAsia="Arial" w:hAnsi="Garamond"/>
                <w:sz w:val="18"/>
                <w:szCs w:val="18"/>
                <w:lang w:val="sq-AL"/>
              </w:rPr>
            </w:pPr>
          </w:p>
        </w:tc>
        <w:tc>
          <w:tcPr>
            <w:tcW w:w="1283" w:type="dxa"/>
            <w:shd w:val="clear" w:color="auto" w:fill="F2F2F2"/>
            <w:vAlign w:val="center"/>
          </w:tcPr>
          <w:p w14:paraId="0773B3F9" w14:textId="77777777" w:rsidR="006C0CC2" w:rsidRPr="0058349C" w:rsidRDefault="006C0CC2" w:rsidP="006C0CC2">
            <w:pPr>
              <w:spacing w:after="0" w:line="240" w:lineRule="auto"/>
              <w:jc w:val="center"/>
              <w:rPr>
                <w:rFonts w:ascii="Garamond" w:eastAsia="Arial" w:hAnsi="Garamond"/>
                <w:sz w:val="18"/>
                <w:szCs w:val="18"/>
                <w:lang w:val="sq-AL"/>
              </w:rPr>
            </w:pPr>
          </w:p>
        </w:tc>
        <w:tc>
          <w:tcPr>
            <w:tcW w:w="1275" w:type="dxa"/>
            <w:shd w:val="clear" w:color="auto" w:fill="E5F7CA"/>
            <w:vAlign w:val="center"/>
          </w:tcPr>
          <w:p w14:paraId="0773B3FA" w14:textId="77777777" w:rsidR="006C0CC2" w:rsidRPr="0058349C" w:rsidRDefault="006C0CC2" w:rsidP="006C0CC2">
            <w:pPr>
              <w:spacing w:after="0" w:line="240" w:lineRule="auto"/>
              <w:jc w:val="center"/>
              <w:rPr>
                <w:rFonts w:ascii="Garamond" w:eastAsia="Arial" w:hAnsi="Garamond"/>
                <w:sz w:val="18"/>
                <w:szCs w:val="18"/>
                <w:lang w:val="sq-AL"/>
              </w:rPr>
            </w:pPr>
          </w:p>
        </w:tc>
        <w:tc>
          <w:tcPr>
            <w:tcW w:w="1134" w:type="dxa"/>
            <w:shd w:val="clear" w:color="auto" w:fill="E5F7CA"/>
            <w:vAlign w:val="center"/>
          </w:tcPr>
          <w:p w14:paraId="0773B3FB" w14:textId="77777777" w:rsidR="006C0CC2" w:rsidRPr="0058349C" w:rsidRDefault="006C0CC2" w:rsidP="006C0CC2">
            <w:pPr>
              <w:spacing w:after="0" w:line="240" w:lineRule="auto"/>
              <w:jc w:val="center"/>
              <w:rPr>
                <w:rFonts w:ascii="Garamond" w:eastAsia="Arial" w:hAnsi="Garamond"/>
                <w:sz w:val="18"/>
                <w:szCs w:val="18"/>
                <w:lang w:val="sq-AL"/>
              </w:rPr>
            </w:pPr>
          </w:p>
        </w:tc>
      </w:tr>
      <w:tr w:rsidR="006C0CC2" w:rsidRPr="0058349C" w14:paraId="0773B406" w14:textId="77777777" w:rsidTr="00F4367B">
        <w:trPr>
          <w:trHeight w:val="20"/>
        </w:trPr>
        <w:tc>
          <w:tcPr>
            <w:tcW w:w="384" w:type="dxa"/>
            <w:shd w:val="clear" w:color="auto" w:fill="F2F2F2"/>
          </w:tcPr>
          <w:p w14:paraId="0773B3FD" w14:textId="77777777" w:rsidR="006C0CC2" w:rsidRPr="0058349C" w:rsidRDefault="006C0CC2" w:rsidP="006C0CC2">
            <w:pPr>
              <w:spacing w:after="0" w:line="240" w:lineRule="auto"/>
              <w:rPr>
                <w:rFonts w:ascii="Garamond" w:eastAsia="Arial" w:hAnsi="Garamond"/>
                <w:b/>
                <w:sz w:val="18"/>
                <w:szCs w:val="18"/>
                <w:lang w:val="sq-AL"/>
              </w:rPr>
            </w:pPr>
          </w:p>
        </w:tc>
        <w:tc>
          <w:tcPr>
            <w:tcW w:w="2784" w:type="dxa"/>
            <w:shd w:val="clear" w:color="auto" w:fill="F2F2F2"/>
          </w:tcPr>
          <w:p w14:paraId="0773B3FE" w14:textId="77777777" w:rsidR="006C0CC2" w:rsidRPr="0058349C" w:rsidRDefault="006C0CC2" w:rsidP="006C0CC2">
            <w:pPr>
              <w:spacing w:after="0" w:line="240" w:lineRule="auto"/>
              <w:rPr>
                <w:rFonts w:ascii="Garamond" w:hAnsi="Garamond"/>
                <w:b/>
                <w:bCs/>
                <w:sz w:val="18"/>
                <w:szCs w:val="18"/>
                <w:lang w:val="sq-AL"/>
              </w:rPr>
            </w:pPr>
            <w:r w:rsidRPr="0058349C">
              <w:rPr>
                <w:rFonts w:ascii="Garamond" w:hAnsi="Garamond"/>
                <w:b/>
                <w:bCs/>
                <w:sz w:val="18"/>
                <w:szCs w:val="18"/>
                <w:lang w:val="sq-AL"/>
              </w:rPr>
              <w:t>Grand për instalimin (start-up) t</w:t>
            </w:r>
            <w:r w:rsidRPr="0058349C">
              <w:rPr>
                <w:rFonts w:ascii="Garamond" w:eastAsia="Arial" w:hAnsi="Garamond"/>
                <w:sz w:val="18"/>
                <w:szCs w:val="18"/>
                <w:lang w:val="sq-AL"/>
              </w:rPr>
              <w:t>ë</w:t>
            </w:r>
            <w:r w:rsidRPr="0058349C">
              <w:rPr>
                <w:rFonts w:ascii="Garamond" w:hAnsi="Garamond"/>
                <w:b/>
                <w:bCs/>
                <w:sz w:val="18"/>
                <w:szCs w:val="18"/>
                <w:lang w:val="sq-AL"/>
              </w:rPr>
              <w:t xml:space="preserve"> fermerëve të rinj</w:t>
            </w:r>
          </w:p>
        </w:tc>
        <w:tc>
          <w:tcPr>
            <w:tcW w:w="3309" w:type="dxa"/>
            <w:shd w:val="clear" w:color="auto" w:fill="F2F2F2"/>
          </w:tcPr>
          <w:p w14:paraId="0773B3FF" w14:textId="670783A1" w:rsidR="006C0CC2" w:rsidRPr="0058349C" w:rsidRDefault="006C0CC2" w:rsidP="006C0CC2">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fermerëve të rinj të mbështetur me grande</w:t>
            </w:r>
            <w:r w:rsidR="00CF7694" w:rsidRPr="0058349C">
              <w:rPr>
                <w:rFonts w:ascii="Garamond" w:eastAsia="Arial" w:hAnsi="Garamond"/>
                <w:sz w:val="18"/>
                <w:szCs w:val="18"/>
                <w:lang w:val="sq-AL"/>
              </w:rPr>
              <w:t xml:space="preserve"> </w:t>
            </w:r>
            <w:r w:rsidRPr="0058349C">
              <w:rPr>
                <w:rFonts w:ascii="Garamond" w:eastAsia="Arial" w:hAnsi="Garamond"/>
                <w:sz w:val="18"/>
                <w:szCs w:val="18"/>
                <w:lang w:val="sq-AL"/>
              </w:rPr>
              <w:t>për start-up do të arrijë në 800 të tillë deri në vitin 2027.</w:t>
            </w:r>
          </w:p>
        </w:tc>
        <w:tc>
          <w:tcPr>
            <w:tcW w:w="1419" w:type="dxa"/>
            <w:shd w:val="clear" w:color="auto" w:fill="F2F2F2"/>
            <w:vAlign w:val="center"/>
          </w:tcPr>
          <w:p w14:paraId="0773B400"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 1,000,000</w:t>
            </w:r>
          </w:p>
        </w:tc>
        <w:tc>
          <w:tcPr>
            <w:tcW w:w="1305" w:type="dxa"/>
            <w:shd w:val="clear" w:color="auto" w:fill="F2F2F2"/>
            <w:vAlign w:val="center"/>
          </w:tcPr>
          <w:p w14:paraId="0773B401"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77" w:type="dxa"/>
            <w:shd w:val="clear" w:color="auto" w:fill="F2F2F2"/>
            <w:vAlign w:val="center"/>
          </w:tcPr>
          <w:p w14:paraId="0773B402"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3" w:type="dxa"/>
            <w:shd w:val="clear" w:color="auto" w:fill="F2F2F2"/>
            <w:vAlign w:val="center"/>
          </w:tcPr>
          <w:p w14:paraId="0773B403"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1,000,000</w:t>
            </w:r>
          </w:p>
        </w:tc>
        <w:tc>
          <w:tcPr>
            <w:tcW w:w="1275" w:type="dxa"/>
            <w:shd w:val="clear" w:color="auto" w:fill="E5F7CA"/>
            <w:vAlign w:val="center"/>
          </w:tcPr>
          <w:p w14:paraId="0773B404"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200</w:t>
            </w:r>
          </w:p>
        </w:tc>
        <w:tc>
          <w:tcPr>
            <w:tcW w:w="1134" w:type="dxa"/>
            <w:shd w:val="clear" w:color="auto" w:fill="E5F7CA"/>
            <w:vAlign w:val="center"/>
          </w:tcPr>
          <w:p w14:paraId="0773B405"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800</w:t>
            </w:r>
          </w:p>
        </w:tc>
      </w:tr>
      <w:tr w:rsidR="006C0CC2" w:rsidRPr="0058349C" w14:paraId="0773B410" w14:textId="77777777" w:rsidTr="00F4367B">
        <w:trPr>
          <w:trHeight w:val="20"/>
        </w:trPr>
        <w:tc>
          <w:tcPr>
            <w:tcW w:w="384" w:type="dxa"/>
            <w:shd w:val="clear" w:color="auto" w:fill="F2F2F2"/>
          </w:tcPr>
          <w:p w14:paraId="0773B407" w14:textId="77777777" w:rsidR="006C0CC2" w:rsidRPr="0058349C" w:rsidRDefault="006C0CC2" w:rsidP="006C0CC2">
            <w:pPr>
              <w:spacing w:after="0" w:line="240" w:lineRule="auto"/>
              <w:rPr>
                <w:rFonts w:ascii="Garamond" w:eastAsia="Arial" w:hAnsi="Garamond"/>
                <w:b/>
                <w:sz w:val="18"/>
                <w:szCs w:val="18"/>
                <w:lang w:val="sq-AL"/>
              </w:rPr>
            </w:pPr>
          </w:p>
        </w:tc>
        <w:tc>
          <w:tcPr>
            <w:tcW w:w="2784" w:type="dxa"/>
            <w:shd w:val="clear" w:color="auto" w:fill="F2F2F2"/>
          </w:tcPr>
          <w:p w14:paraId="0773B408" w14:textId="77777777" w:rsidR="006C0CC2" w:rsidRPr="0058349C" w:rsidRDefault="006C0CC2" w:rsidP="006C0CC2">
            <w:pPr>
              <w:spacing w:after="0" w:line="240" w:lineRule="auto"/>
              <w:rPr>
                <w:rFonts w:ascii="Garamond" w:hAnsi="Garamond"/>
                <w:b/>
                <w:bCs/>
                <w:sz w:val="18"/>
                <w:szCs w:val="18"/>
                <w:lang w:val="sq-AL"/>
              </w:rPr>
            </w:pPr>
            <w:r w:rsidRPr="0058349C">
              <w:rPr>
                <w:rFonts w:ascii="Garamond" w:hAnsi="Garamond"/>
                <w:b/>
                <w:bCs/>
                <w:sz w:val="18"/>
                <w:szCs w:val="18"/>
                <w:lang w:val="sq-AL"/>
              </w:rPr>
              <w:t>Grand p</w:t>
            </w:r>
            <w:r w:rsidRPr="0058349C">
              <w:rPr>
                <w:rFonts w:ascii="Garamond" w:eastAsia="Arial" w:hAnsi="Garamond"/>
                <w:sz w:val="18"/>
                <w:szCs w:val="18"/>
                <w:lang w:val="sq-AL"/>
              </w:rPr>
              <w:t xml:space="preserve">ër </w:t>
            </w:r>
            <w:r w:rsidRPr="0058349C">
              <w:rPr>
                <w:rFonts w:ascii="Garamond" w:hAnsi="Garamond"/>
                <w:b/>
                <w:bCs/>
                <w:sz w:val="18"/>
                <w:szCs w:val="18"/>
                <w:lang w:val="sq-AL"/>
              </w:rPr>
              <w:t>Grupet e prodhuesve për ullinj, fruta dhe perime (M2)</w:t>
            </w:r>
          </w:p>
        </w:tc>
        <w:tc>
          <w:tcPr>
            <w:tcW w:w="3309" w:type="dxa"/>
            <w:shd w:val="clear" w:color="auto" w:fill="F2F2F2"/>
          </w:tcPr>
          <w:p w14:paraId="0773B409" w14:textId="77777777" w:rsidR="006C0CC2" w:rsidRPr="0058349C" w:rsidRDefault="006C0CC2" w:rsidP="006C0CC2">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grupeve të prodhuesve të mbështetur (IPARD III) do të jetë 60 grupe deri në vitin 2027.</w:t>
            </w:r>
          </w:p>
        </w:tc>
        <w:tc>
          <w:tcPr>
            <w:tcW w:w="1419" w:type="dxa"/>
            <w:shd w:val="clear" w:color="auto" w:fill="F2F2F2"/>
            <w:vAlign w:val="center"/>
          </w:tcPr>
          <w:p w14:paraId="0773B40A"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 1,000,000</w:t>
            </w:r>
          </w:p>
        </w:tc>
        <w:tc>
          <w:tcPr>
            <w:tcW w:w="1305" w:type="dxa"/>
            <w:shd w:val="clear" w:color="auto" w:fill="F2F2F2"/>
            <w:vAlign w:val="center"/>
          </w:tcPr>
          <w:p w14:paraId="0773B40B"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77" w:type="dxa"/>
            <w:shd w:val="clear" w:color="auto" w:fill="F2F2F2"/>
            <w:vAlign w:val="center"/>
          </w:tcPr>
          <w:p w14:paraId="0773B40C"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3" w:type="dxa"/>
            <w:shd w:val="clear" w:color="auto" w:fill="F2F2F2"/>
            <w:vAlign w:val="center"/>
          </w:tcPr>
          <w:p w14:paraId="0773B40D"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1,000,000</w:t>
            </w:r>
          </w:p>
        </w:tc>
        <w:tc>
          <w:tcPr>
            <w:tcW w:w="1275" w:type="dxa"/>
            <w:shd w:val="clear" w:color="auto" w:fill="E5F7CA"/>
            <w:vAlign w:val="center"/>
          </w:tcPr>
          <w:p w14:paraId="0773B40E"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15</w:t>
            </w:r>
          </w:p>
        </w:tc>
        <w:tc>
          <w:tcPr>
            <w:tcW w:w="1134" w:type="dxa"/>
            <w:shd w:val="clear" w:color="auto" w:fill="E5F7CA"/>
            <w:vAlign w:val="center"/>
          </w:tcPr>
          <w:p w14:paraId="0773B40F" w14:textId="77777777" w:rsidR="006C0CC2" w:rsidRPr="0058349C" w:rsidRDefault="006C0CC2" w:rsidP="006C0CC2">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60</w:t>
            </w:r>
          </w:p>
        </w:tc>
      </w:tr>
    </w:tbl>
    <w:p w14:paraId="0773B411" w14:textId="77777777" w:rsidR="00436191" w:rsidRPr="0058349C" w:rsidRDefault="00436191" w:rsidP="00C54AEA">
      <w:pPr>
        <w:pStyle w:val="TEKSTIIII"/>
        <w:rPr>
          <w:lang w:val="sq-AL"/>
        </w:rPr>
      </w:pPr>
    </w:p>
    <w:p w14:paraId="0773B412" w14:textId="77777777" w:rsidR="006C0CC2" w:rsidRPr="0058349C" w:rsidRDefault="006C0CC2" w:rsidP="00C54AEA">
      <w:pPr>
        <w:pStyle w:val="TEKSTIIII"/>
        <w:rPr>
          <w:lang w:val="sq-AL"/>
        </w:rPr>
      </w:pPr>
    </w:p>
    <w:tbl>
      <w:tblPr>
        <w:tblpPr w:leftFromText="180" w:rightFromText="180" w:vertAnchor="text" w:tblpXSpec="center" w:tblpY="1"/>
        <w:tblOverlap w:val="neve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
        <w:gridCol w:w="2874"/>
        <w:gridCol w:w="3219"/>
        <w:gridCol w:w="1419"/>
        <w:gridCol w:w="1305"/>
        <w:gridCol w:w="1277"/>
        <w:gridCol w:w="1283"/>
        <w:gridCol w:w="1275"/>
        <w:gridCol w:w="1134"/>
      </w:tblGrid>
      <w:tr w:rsidR="00CA146F" w:rsidRPr="0058349C" w14:paraId="0773B414" w14:textId="77777777" w:rsidTr="00EA28DE">
        <w:trPr>
          <w:trHeight w:val="20"/>
        </w:trPr>
        <w:tc>
          <w:tcPr>
            <w:tcW w:w="14170" w:type="dxa"/>
            <w:gridSpan w:val="9"/>
            <w:shd w:val="clear" w:color="auto" w:fill="E5F7CA"/>
            <w:vAlign w:val="center"/>
          </w:tcPr>
          <w:p w14:paraId="0773B413" w14:textId="77777777" w:rsidR="00CA146F" w:rsidRPr="0058349C" w:rsidRDefault="00CA146F" w:rsidP="00CA146F">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Objektivi specifik 3: Përmirësimi i reagimit ndaj kërkesave të konsumatorëve për ushqim të sigurt, me vlera ushqyese dhe të qëndrueshëm</w:t>
            </w:r>
          </w:p>
        </w:tc>
      </w:tr>
      <w:tr w:rsidR="00CA146F" w:rsidRPr="0058349C" w14:paraId="0773B41B" w14:textId="77777777" w:rsidTr="00EA28DE">
        <w:trPr>
          <w:trHeight w:val="20"/>
        </w:trPr>
        <w:tc>
          <w:tcPr>
            <w:tcW w:w="384" w:type="dxa"/>
            <w:shd w:val="clear" w:color="auto" w:fill="E5F7CA"/>
          </w:tcPr>
          <w:p w14:paraId="0773B415" w14:textId="77777777" w:rsidR="00CA146F" w:rsidRPr="0058349C" w:rsidRDefault="00CA146F" w:rsidP="00CA146F">
            <w:pPr>
              <w:spacing w:after="0" w:line="240" w:lineRule="auto"/>
              <w:rPr>
                <w:rFonts w:ascii="Garamond" w:eastAsia="Arial" w:hAnsi="Garamond"/>
                <w:b/>
                <w:sz w:val="18"/>
                <w:szCs w:val="18"/>
                <w:lang w:val="sq-AL"/>
              </w:rPr>
            </w:pPr>
          </w:p>
        </w:tc>
        <w:tc>
          <w:tcPr>
            <w:tcW w:w="6093" w:type="dxa"/>
            <w:gridSpan w:val="2"/>
            <w:shd w:val="clear" w:color="auto" w:fill="E5F7CA"/>
          </w:tcPr>
          <w:p w14:paraId="0773B416" w14:textId="356571FB" w:rsidR="00CA146F" w:rsidRPr="0058349C" w:rsidRDefault="00CA146F" w:rsidP="00CA146F">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 xml:space="preserve">Treguesi i rezultatit 3.1: </w:t>
            </w:r>
            <w:r w:rsidRPr="0058349C">
              <w:rPr>
                <w:rFonts w:ascii="Garamond" w:eastAsia="Arial" w:hAnsi="Garamond"/>
                <w:bCs/>
                <w:sz w:val="18"/>
                <w:szCs w:val="18"/>
                <w:lang w:val="sq-AL"/>
              </w:rPr>
              <w:t>Tregtimi dhe p</w:t>
            </w:r>
            <w:r w:rsidRPr="0058349C">
              <w:rPr>
                <w:rStyle w:val="normaltextrun"/>
                <w:rFonts w:ascii="Garamond" w:eastAsia="Arial" w:hAnsi="Garamond"/>
                <w:bCs/>
                <w:sz w:val="18"/>
                <w:szCs w:val="18"/>
                <w:lang w:val="sq-AL"/>
              </w:rPr>
              <w:t>ërdorimi i PMB-ve</w:t>
            </w:r>
            <w:r w:rsidRPr="0058349C">
              <w:rPr>
                <w:rFonts w:ascii="Garamond" w:eastAsia="Arial" w:hAnsi="Garamond"/>
                <w:sz w:val="18"/>
                <w:szCs w:val="18"/>
                <w:lang w:val="sq-AL"/>
              </w:rPr>
              <w:t xml:space="preserve"> dhe</w:t>
            </w:r>
            <w:r w:rsidR="00CF7694" w:rsidRPr="0058349C">
              <w:rPr>
                <w:rStyle w:val="normaltextrun"/>
                <w:rFonts w:ascii="Garamond" w:eastAsia="Arial" w:hAnsi="Garamond"/>
                <w:bCs/>
                <w:sz w:val="18"/>
                <w:szCs w:val="18"/>
                <w:lang w:val="sq-AL"/>
              </w:rPr>
              <w:t xml:space="preserve"> </w:t>
            </w:r>
            <w:r w:rsidR="00EA28DE">
              <w:rPr>
                <w:rStyle w:val="normaltextrun"/>
                <w:rFonts w:ascii="Garamond" w:eastAsia="Arial" w:hAnsi="Garamond"/>
                <w:bCs/>
                <w:sz w:val="18"/>
                <w:szCs w:val="18"/>
                <w:lang w:val="sq-AL"/>
              </w:rPr>
              <w:t xml:space="preserve">i </w:t>
            </w:r>
            <w:r w:rsidRPr="0058349C">
              <w:rPr>
                <w:rFonts w:ascii="Garamond" w:eastAsia="Arial" w:hAnsi="Garamond"/>
                <w:bCs/>
                <w:sz w:val="18"/>
                <w:szCs w:val="18"/>
                <w:lang w:val="sq-AL"/>
              </w:rPr>
              <w:t>antibiotik</w:t>
            </w:r>
            <w:r w:rsidRPr="0058349C">
              <w:rPr>
                <w:rFonts w:ascii="Garamond" w:eastAsia="Arial" w:hAnsi="Garamond"/>
                <w:sz w:val="18"/>
                <w:szCs w:val="18"/>
                <w:lang w:val="sq-AL"/>
              </w:rPr>
              <w:t>ëve</w:t>
            </w:r>
            <w:r w:rsidRPr="0058349C">
              <w:rPr>
                <w:rFonts w:ascii="Garamond" w:eastAsia="Arial" w:hAnsi="Garamond"/>
                <w:bCs/>
                <w:sz w:val="18"/>
                <w:szCs w:val="18"/>
                <w:lang w:val="sq-AL"/>
              </w:rPr>
              <w:t xml:space="preserve"> veterinare</w:t>
            </w:r>
            <w:r w:rsidR="00CF7694" w:rsidRPr="0058349C">
              <w:rPr>
                <w:rFonts w:ascii="Garamond" w:eastAsia="Arial" w:hAnsi="Garamond"/>
                <w:sz w:val="18"/>
                <w:szCs w:val="18"/>
                <w:lang w:val="sq-AL"/>
              </w:rPr>
              <w:t xml:space="preserve"> </w:t>
            </w:r>
            <w:r w:rsidRPr="0058349C">
              <w:rPr>
                <w:rFonts w:ascii="Garamond" w:eastAsia="Arial" w:hAnsi="Garamond"/>
                <w:sz w:val="18"/>
                <w:szCs w:val="18"/>
                <w:lang w:val="sq-AL"/>
              </w:rPr>
              <w:t>b</w:t>
            </w:r>
            <w:r w:rsidRPr="0058349C">
              <w:rPr>
                <w:rStyle w:val="normaltextrun"/>
                <w:rFonts w:ascii="Garamond" w:eastAsia="Arial" w:hAnsi="Garamond"/>
                <w:bCs/>
                <w:sz w:val="18"/>
                <w:szCs w:val="18"/>
                <w:lang w:val="sq-AL"/>
              </w:rPr>
              <w:t xml:space="preserve">ëhet në përputhje me standardet </w:t>
            </w:r>
            <w:r w:rsidRPr="0058349C">
              <w:rPr>
                <w:rFonts w:ascii="Garamond" w:eastAsia="Arial" w:hAnsi="Garamond"/>
                <w:sz w:val="18"/>
                <w:szCs w:val="18"/>
                <w:lang w:val="sq-AL"/>
              </w:rPr>
              <w:t>e BE</w:t>
            </w:r>
            <w:r w:rsidR="00EA28DE">
              <w:rPr>
                <w:rFonts w:ascii="Garamond" w:eastAsia="Arial" w:hAnsi="Garamond"/>
                <w:sz w:val="18"/>
                <w:szCs w:val="18"/>
                <w:lang w:val="sq-AL"/>
              </w:rPr>
              <w:t>-</w:t>
            </w:r>
            <w:r w:rsidRPr="0058349C">
              <w:rPr>
                <w:rFonts w:ascii="Garamond" w:eastAsia="Arial" w:hAnsi="Garamond"/>
                <w:sz w:val="18"/>
                <w:szCs w:val="18"/>
                <w:lang w:val="sq-AL"/>
              </w:rPr>
              <w:t>së</w:t>
            </w:r>
          </w:p>
        </w:tc>
        <w:tc>
          <w:tcPr>
            <w:tcW w:w="1419" w:type="dxa"/>
            <w:shd w:val="clear" w:color="auto" w:fill="E5F7CA"/>
          </w:tcPr>
          <w:p w14:paraId="0773B417" w14:textId="067DB2CD" w:rsidR="00CA146F" w:rsidRPr="0058349C" w:rsidRDefault="00CA146F" w:rsidP="00CA146F">
            <w:pPr>
              <w:spacing w:after="0" w:line="240" w:lineRule="auto"/>
              <w:rPr>
                <w:rFonts w:ascii="Garamond" w:eastAsia="Arial" w:hAnsi="Garamond"/>
                <w:b/>
                <w:bCs/>
                <w:sz w:val="18"/>
                <w:szCs w:val="18"/>
                <w:lang w:val="sq-AL"/>
              </w:rPr>
            </w:pPr>
            <w:r w:rsidRPr="0058349C">
              <w:rPr>
                <w:rFonts w:ascii="Garamond" w:eastAsia="Arial" w:hAnsi="Garamond"/>
                <w:sz w:val="18"/>
                <w:szCs w:val="18"/>
                <w:lang w:val="sq-AL"/>
              </w:rPr>
              <w:t>Nuk ka vlerë bazë disponibël</w:t>
            </w:r>
            <w:r w:rsidR="00CF7694" w:rsidRPr="0058349C">
              <w:rPr>
                <w:rFonts w:ascii="Garamond" w:eastAsia="Arial" w:hAnsi="Garamond"/>
                <w:sz w:val="18"/>
                <w:szCs w:val="18"/>
                <w:lang w:val="sq-AL"/>
              </w:rPr>
              <w:t xml:space="preserve"> </w:t>
            </w:r>
          </w:p>
        </w:tc>
        <w:tc>
          <w:tcPr>
            <w:tcW w:w="3865" w:type="dxa"/>
            <w:gridSpan w:val="3"/>
            <w:shd w:val="clear" w:color="auto" w:fill="E5F7CA"/>
          </w:tcPr>
          <w:p w14:paraId="0773B418" w14:textId="77777777" w:rsidR="00CA146F" w:rsidRPr="0058349C" w:rsidRDefault="00CA146F" w:rsidP="00CA146F">
            <w:pPr>
              <w:spacing w:after="0" w:line="240" w:lineRule="auto"/>
              <w:rPr>
                <w:rFonts w:ascii="Garamond" w:eastAsia="Arial" w:hAnsi="Garamond"/>
                <w:sz w:val="18"/>
                <w:szCs w:val="18"/>
                <w:lang w:val="sq-AL"/>
              </w:rPr>
            </w:pPr>
          </w:p>
        </w:tc>
        <w:tc>
          <w:tcPr>
            <w:tcW w:w="1275" w:type="dxa"/>
            <w:shd w:val="clear" w:color="auto" w:fill="E5F7CA"/>
          </w:tcPr>
          <w:p w14:paraId="0773B419" w14:textId="77777777" w:rsidR="00CA146F" w:rsidRPr="0058349C" w:rsidRDefault="00CA146F" w:rsidP="00CA146F">
            <w:pPr>
              <w:spacing w:after="0" w:line="240" w:lineRule="auto"/>
              <w:rPr>
                <w:rFonts w:ascii="Garamond" w:eastAsia="Arial" w:hAnsi="Garamond"/>
                <w:sz w:val="18"/>
                <w:szCs w:val="18"/>
                <w:lang w:val="sq-AL"/>
              </w:rPr>
            </w:pPr>
            <w:r w:rsidRPr="0058349C">
              <w:rPr>
                <w:rFonts w:ascii="Garamond" w:eastAsia="Arial" w:hAnsi="Garamond"/>
                <w:sz w:val="18"/>
                <w:szCs w:val="18"/>
                <w:lang w:val="sq-AL"/>
              </w:rPr>
              <w:t>Deri në mesataren e BE-së</w:t>
            </w:r>
          </w:p>
        </w:tc>
        <w:tc>
          <w:tcPr>
            <w:tcW w:w="1134" w:type="dxa"/>
            <w:shd w:val="clear" w:color="auto" w:fill="E5F7CA"/>
          </w:tcPr>
          <w:p w14:paraId="0773B41A" w14:textId="77777777" w:rsidR="00CA146F" w:rsidRPr="0058349C" w:rsidRDefault="00CA146F" w:rsidP="00CA146F">
            <w:pPr>
              <w:spacing w:after="0" w:line="240" w:lineRule="auto"/>
              <w:rPr>
                <w:rFonts w:ascii="Garamond" w:eastAsia="Arial" w:hAnsi="Garamond"/>
                <w:sz w:val="18"/>
                <w:szCs w:val="18"/>
                <w:lang w:val="sq-AL"/>
              </w:rPr>
            </w:pPr>
            <w:r w:rsidRPr="0058349C">
              <w:rPr>
                <w:rFonts w:ascii="Garamond" w:eastAsia="Arial" w:hAnsi="Garamond"/>
                <w:sz w:val="18"/>
                <w:szCs w:val="18"/>
                <w:lang w:val="sq-AL"/>
              </w:rPr>
              <w:t>Deri në mesataren e BE-së</w:t>
            </w:r>
          </w:p>
        </w:tc>
      </w:tr>
      <w:tr w:rsidR="00CA146F" w:rsidRPr="0058349C" w14:paraId="0773B422" w14:textId="77777777" w:rsidTr="00EA28DE">
        <w:trPr>
          <w:trHeight w:val="20"/>
        </w:trPr>
        <w:tc>
          <w:tcPr>
            <w:tcW w:w="384" w:type="dxa"/>
            <w:shd w:val="clear" w:color="auto" w:fill="E5F7CA"/>
          </w:tcPr>
          <w:p w14:paraId="0773B41C" w14:textId="77777777" w:rsidR="00CA146F" w:rsidRPr="0058349C" w:rsidRDefault="00CA146F" w:rsidP="00CA146F">
            <w:pPr>
              <w:spacing w:after="0" w:line="240" w:lineRule="auto"/>
              <w:rPr>
                <w:rFonts w:ascii="Garamond" w:eastAsia="Arial" w:hAnsi="Garamond"/>
                <w:b/>
                <w:sz w:val="18"/>
                <w:szCs w:val="18"/>
                <w:lang w:val="sq-AL"/>
              </w:rPr>
            </w:pPr>
          </w:p>
        </w:tc>
        <w:tc>
          <w:tcPr>
            <w:tcW w:w="6093" w:type="dxa"/>
            <w:gridSpan w:val="2"/>
            <w:shd w:val="clear" w:color="auto" w:fill="E5F7CA"/>
          </w:tcPr>
          <w:p w14:paraId="0773B41D" w14:textId="77777777" w:rsidR="00CA146F" w:rsidRPr="0058349C" w:rsidRDefault="00CA146F" w:rsidP="00CA146F">
            <w:pPr>
              <w:spacing w:after="0" w:line="240" w:lineRule="auto"/>
              <w:rPr>
                <w:rFonts w:ascii="Garamond" w:eastAsia="Arial" w:hAnsi="Garamond"/>
                <w:b/>
                <w:bCs/>
                <w:sz w:val="18"/>
                <w:szCs w:val="18"/>
                <w:lang w:val="sq-AL"/>
              </w:rPr>
            </w:pPr>
          </w:p>
        </w:tc>
        <w:tc>
          <w:tcPr>
            <w:tcW w:w="1419" w:type="dxa"/>
            <w:shd w:val="clear" w:color="auto" w:fill="E5F7CA"/>
          </w:tcPr>
          <w:p w14:paraId="0773B41E" w14:textId="77777777" w:rsidR="00CA146F" w:rsidRPr="0058349C" w:rsidRDefault="00CA146F" w:rsidP="00CA146F">
            <w:pPr>
              <w:spacing w:after="0" w:line="240" w:lineRule="auto"/>
              <w:rPr>
                <w:rFonts w:ascii="Garamond" w:eastAsia="Arial" w:hAnsi="Garamond"/>
                <w:b/>
                <w:bCs/>
                <w:sz w:val="18"/>
                <w:szCs w:val="18"/>
                <w:lang w:val="sq-AL"/>
              </w:rPr>
            </w:pPr>
          </w:p>
        </w:tc>
        <w:tc>
          <w:tcPr>
            <w:tcW w:w="3865" w:type="dxa"/>
            <w:gridSpan w:val="3"/>
            <w:shd w:val="clear" w:color="auto" w:fill="E5F7CA"/>
          </w:tcPr>
          <w:p w14:paraId="0773B41F" w14:textId="77777777" w:rsidR="00CA146F" w:rsidRPr="0058349C" w:rsidRDefault="00CA146F" w:rsidP="00CA146F">
            <w:pPr>
              <w:spacing w:after="0" w:line="240" w:lineRule="auto"/>
              <w:rPr>
                <w:rFonts w:ascii="Garamond" w:eastAsia="Arial" w:hAnsi="Garamond"/>
                <w:sz w:val="18"/>
                <w:szCs w:val="18"/>
                <w:lang w:val="sq-AL"/>
              </w:rPr>
            </w:pPr>
          </w:p>
        </w:tc>
        <w:tc>
          <w:tcPr>
            <w:tcW w:w="1275" w:type="dxa"/>
            <w:shd w:val="clear" w:color="auto" w:fill="E5F7CA"/>
          </w:tcPr>
          <w:p w14:paraId="0773B420" w14:textId="77777777" w:rsidR="00CA146F" w:rsidRPr="0058349C" w:rsidRDefault="00CA146F" w:rsidP="00CA146F">
            <w:pPr>
              <w:spacing w:after="0" w:line="240" w:lineRule="auto"/>
              <w:rPr>
                <w:rFonts w:ascii="Garamond" w:eastAsia="Arial" w:hAnsi="Garamond"/>
                <w:sz w:val="18"/>
                <w:szCs w:val="18"/>
                <w:lang w:val="sq-AL"/>
              </w:rPr>
            </w:pPr>
          </w:p>
        </w:tc>
        <w:tc>
          <w:tcPr>
            <w:tcW w:w="1134" w:type="dxa"/>
            <w:shd w:val="clear" w:color="auto" w:fill="E5F7CA"/>
          </w:tcPr>
          <w:p w14:paraId="0773B421" w14:textId="77777777" w:rsidR="00CA146F" w:rsidRPr="0058349C" w:rsidRDefault="00CA146F" w:rsidP="00CA146F">
            <w:pPr>
              <w:spacing w:after="0" w:line="240" w:lineRule="auto"/>
              <w:rPr>
                <w:rFonts w:ascii="Garamond" w:eastAsia="Arial" w:hAnsi="Garamond"/>
                <w:sz w:val="18"/>
                <w:szCs w:val="18"/>
                <w:lang w:val="sq-AL"/>
              </w:rPr>
            </w:pPr>
          </w:p>
        </w:tc>
      </w:tr>
      <w:tr w:rsidR="00CA146F" w:rsidRPr="0058349C" w14:paraId="0773B42D" w14:textId="77777777" w:rsidTr="00EA28DE">
        <w:trPr>
          <w:trHeight w:val="20"/>
        </w:trPr>
        <w:tc>
          <w:tcPr>
            <w:tcW w:w="384" w:type="dxa"/>
            <w:vMerge w:val="restart"/>
            <w:shd w:val="clear" w:color="auto" w:fill="F2F2F2"/>
            <w:vAlign w:val="center"/>
          </w:tcPr>
          <w:p w14:paraId="0773B423" w14:textId="77777777" w:rsidR="00CA146F" w:rsidRPr="0058349C" w:rsidRDefault="00CA146F" w:rsidP="00CA146F">
            <w:pPr>
              <w:spacing w:after="0" w:line="240" w:lineRule="auto"/>
              <w:jc w:val="center"/>
              <w:rPr>
                <w:rFonts w:ascii="Garamond" w:eastAsia="Arial" w:hAnsi="Garamond"/>
                <w:b/>
                <w:sz w:val="18"/>
                <w:szCs w:val="18"/>
                <w:lang w:val="sq-AL"/>
              </w:rPr>
            </w:pPr>
          </w:p>
        </w:tc>
        <w:tc>
          <w:tcPr>
            <w:tcW w:w="2874" w:type="dxa"/>
            <w:vMerge w:val="restart"/>
            <w:shd w:val="clear" w:color="auto" w:fill="F2F2F2"/>
            <w:vAlign w:val="center"/>
          </w:tcPr>
          <w:p w14:paraId="0773B424" w14:textId="66F827FE" w:rsidR="00CA146F" w:rsidRPr="0058349C" w:rsidRDefault="00CA146F" w:rsidP="00CA146F">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 xml:space="preserve">Masa </w:t>
            </w:r>
            <w:r w:rsidR="00797859">
              <w:rPr>
                <w:rFonts w:ascii="Garamond" w:eastAsia="Arial" w:hAnsi="Garamond"/>
                <w:b/>
                <w:bCs/>
                <w:sz w:val="18"/>
                <w:szCs w:val="18"/>
                <w:lang w:val="sq-AL"/>
              </w:rPr>
              <w:t>/</w:t>
            </w:r>
            <w:r w:rsidRPr="0058349C">
              <w:rPr>
                <w:rFonts w:ascii="Garamond" w:eastAsia="Arial" w:hAnsi="Garamond"/>
                <w:b/>
                <w:bCs/>
                <w:sz w:val="18"/>
                <w:szCs w:val="18"/>
                <w:lang w:val="sq-AL"/>
              </w:rPr>
              <w:t xml:space="preserve">Veprimi </w:t>
            </w:r>
            <w:r w:rsidR="00797859">
              <w:rPr>
                <w:rFonts w:ascii="Garamond" w:eastAsia="Arial" w:hAnsi="Garamond"/>
                <w:b/>
                <w:bCs/>
                <w:sz w:val="18"/>
                <w:szCs w:val="18"/>
                <w:lang w:val="sq-AL"/>
              </w:rPr>
              <w:t>/</w:t>
            </w:r>
            <w:r w:rsidRPr="0058349C">
              <w:rPr>
                <w:rFonts w:ascii="Garamond" w:eastAsia="Arial" w:hAnsi="Garamond"/>
                <w:b/>
                <w:bCs/>
                <w:sz w:val="18"/>
                <w:szCs w:val="18"/>
                <w:lang w:val="sq-AL"/>
              </w:rPr>
              <w:t>Ndërhyrja:</w:t>
            </w:r>
          </w:p>
        </w:tc>
        <w:tc>
          <w:tcPr>
            <w:tcW w:w="3219" w:type="dxa"/>
            <w:vMerge w:val="restart"/>
            <w:shd w:val="clear" w:color="auto" w:fill="F2F2F2"/>
            <w:vAlign w:val="center"/>
          </w:tcPr>
          <w:p w14:paraId="0773B425" w14:textId="77777777" w:rsidR="00CA146F" w:rsidRPr="0058349C" w:rsidRDefault="00CA146F" w:rsidP="00CA146F">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 xml:space="preserve">Treguesi i </w:t>
            </w:r>
            <w:r w:rsidRPr="00D02254">
              <w:rPr>
                <w:rFonts w:ascii="Garamond" w:eastAsia="Arial" w:hAnsi="Garamond"/>
                <w:b/>
                <w:bCs/>
                <w:i/>
                <w:iCs/>
                <w:sz w:val="18"/>
                <w:szCs w:val="18"/>
                <w:lang w:val="sq-AL"/>
              </w:rPr>
              <w:t>output</w:t>
            </w:r>
            <w:r w:rsidRPr="0058349C">
              <w:rPr>
                <w:rFonts w:ascii="Garamond" w:eastAsia="Arial" w:hAnsi="Garamond"/>
                <w:b/>
                <w:bCs/>
                <w:sz w:val="18"/>
                <w:szCs w:val="18"/>
                <w:lang w:val="sq-AL"/>
              </w:rPr>
              <w:t>-it :</w:t>
            </w:r>
          </w:p>
        </w:tc>
        <w:tc>
          <w:tcPr>
            <w:tcW w:w="1419" w:type="dxa"/>
            <w:vMerge w:val="restart"/>
            <w:shd w:val="clear" w:color="auto" w:fill="F2F2F2"/>
            <w:vAlign w:val="center"/>
          </w:tcPr>
          <w:p w14:paraId="0773B426" w14:textId="77777777" w:rsidR="00CA146F" w:rsidRPr="0058349C" w:rsidRDefault="00CA146F" w:rsidP="00CA146F">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Buxheti total</w:t>
            </w:r>
          </w:p>
          <w:p w14:paraId="0773B427" w14:textId="61736710" w:rsidR="00CA146F" w:rsidRPr="0058349C" w:rsidRDefault="00CA146F" w:rsidP="00CA146F">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 xml:space="preserve">2022 </w:t>
            </w:r>
            <w:r w:rsidRPr="0058349C">
              <w:rPr>
                <w:rFonts w:ascii="Garamond" w:eastAsia="Arial" w:hAnsi="Garamond" w:cs="Arial"/>
                <w:b/>
                <w:bCs/>
                <w:sz w:val="18"/>
                <w:szCs w:val="18"/>
                <w:lang w:val="sq-AL"/>
              </w:rPr>
              <w:t>–</w:t>
            </w:r>
            <w:r w:rsidRPr="0058349C">
              <w:rPr>
                <w:rFonts w:ascii="Garamond" w:eastAsia="Arial" w:hAnsi="Garamond"/>
                <w:b/>
                <w:bCs/>
                <w:sz w:val="18"/>
                <w:szCs w:val="18"/>
                <w:lang w:val="sq-AL"/>
              </w:rPr>
              <w:t xml:space="preserve"> 2024 (</w:t>
            </w:r>
            <w:r w:rsidR="00D02254" w:rsidRPr="0058349C">
              <w:rPr>
                <w:rFonts w:ascii="Garamond" w:eastAsia="Arial" w:hAnsi="Garamond"/>
                <w:b/>
                <w:bCs/>
                <w:sz w:val="18"/>
                <w:szCs w:val="18"/>
                <w:lang w:val="sq-AL"/>
              </w:rPr>
              <w:t>euro</w:t>
            </w:r>
            <w:r w:rsidRPr="0058349C">
              <w:rPr>
                <w:rFonts w:ascii="Garamond" w:eastAsia="Arial" w:hAnsi="Garamond"/>
                <w:b/>
                <w:bCs/>
                <w:sz w:val="18"/>
                <w:szCs w:val="18"/>
                <w:lang w:val="sq-AL"/>
              </w:rPr>
              <w:t>)</w:t>
            </w:r>
          </w:p>
        </w:tc>
        <w:tc>
          <w:tcPr>
            <w:tcW w:w="3865" w:type="dxa"/>
            <w:gridSpan w:val="3"/>
            <w:shd w:val="clear" w:color="auto" w:fill="F2F2F2"/>
            <w:vAlign w:val="center"/>
          </w:tcPr>
          <w:p w14:paraId="0773B428" w14:textId="0A5889BB" w:rsidR="00CA146F" w:rsidRPr="0058349C" w:rsidRDefault="00CA146F" w:rsidP="00CA146F">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Buxheti i alokuar</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w:t>
            </w:r>
            <w:r w:rsidR="00D02254" w:rsidRPr="0058349C">
              <w:rPr>
                <w:rFonts w:ascii="Garamond" w:eastAsia="Arial" w:hAnsi="Garamond"/>
                <w:b/>
                <w:bCs/>
                <w:sz w:val="18"/>
                <w:szCs w:val="18"/>
                <w:lang w:val="sq-AL"/>
              </w:rPr>
              <w:t>euro</w:t>
            </w:r>
            <w:r w:rsidRPr="0058349C">
              <w:rPr>
                <w:rFonts w:ascii="Garamond" w:eastAsia="Arial" w:hAnsi="Garamond"/>
                <w:b/>
                <w:bCs/>
                <w:sz w:val="18"/>
                <w:szCs w:val="18"/>
                <w:lang w:val="sq-AL"/>
              </w:rPr>
              <w:t>)</w:t>
            </w:r>
          </w:p>
          <w:p w14:paraId="0773B429" w14:textId="77777777" w:rsidR="00CA146F" w:rsidRPr="0058349C" w:rsidRDefault="00CA146F" w:rsidP="00CA146F">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2022 </w:t>
            </w:r>
            <w:r w:rsidRPr="0058349C">
              <w:rPr>
                <w:rFonts w:ascii="Garamond" w:eastAsia="Arial" w:hAnsi="Garamond" w:cs="Arial"/>
                <w:b/>
                <w:bCs/>
                <w:sz w:val="18"/>
                <w:szCs w:val="18"/>
                <w:lang w:val="sq-AL"/>
              </w:rPr>
              <w:t>–</w:t>
            </w:r>
            <w:r w:rsidRPr="0058349C">
              <w:rPr>
                <w:rFonts w:ascii="Garamond" w:eastAsia="Arial" w:hAnsi="Garamond"/>
                <w:b/>
                <w:bCs/>
                <w:sz w:val="18"/>
                <w:szCs w:val="18"/>
                <w:lang w:val="sq-AL"/>
              </w:rPr>
              <w:t xml:space="preserve"> 2024</w:t>
            </w:r>
          </w:p>
          <w:p w14:paraId="0773B42A" w14:textId="38973439" w:rsidR="00CA146F" w:rsidRPr="0058349C" w:rsidRDefault="00CA146F" w:rsidP="00CA146F">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(N = nevoja,</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nuk mbulohet nga buxheti kombëtar/buxheti IPA III</w:t>
            </w:r>
            <w:r w:rsidR="00C259A4">
              <w:rPr>
                <w:rFonts w:ascii="Garamond" w:eastAsia="Arial" w:hAnsi="Garamond"/>
                <w:b/>
                <w:bCs/>
                <w:sz w:val="18"/>
                <w:szCs w:val="18"/>
                <w:lang w:val="sq-AL"/>
              </w:rPr>
              <w:t>)</w:t>
            </w:r>
          </w:p>
        </w:tc>
        <w:tc>
          <w:tcPr>
            <w:tcW w:w="1275" w:type="dxa"/>
            <w:vMerge w:val="restart"/>
            <w:shd w:val="clear" w:color="auto" w:fill="E5F7CA"/>
            <w:vAlign w:val="center"/>
          </w:tcPr>
          <w:p w14:paraId="0773B42B" w14:textId="77777777" w:rsidR="00CA146F" w:rsidRPr="0058349C" w:rsidRDefault="00CA146F" w:rsidP="00CA146F">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 xml:space="preserve">Objektivi 2024 (shumator, sipas treguesit të </w:t>
            </w:r>
            <w:r w:rsidRPr="00D02254">
              <w:rPr>
                <w:rFonts w:ascii="Garamond" w:eastAsia="Arial" w:hAnsi="Garamond"/>
                <w:b/>
                <w:bCs/>
                <w:i/>
                <w:iCs/>
                <w:sz w:val="18"/>
                <w:szCs w:val="18"/>
                <w:lang w:val="sq-AL"/>
              </w:rPr>
              <w:t>output</w:t>
            </w:r>
            <w:r w:rsidRPr="0058349C">
              <w:rPr>
                <w:rFonts w:ascii="Garamond" w:eastAsia="Arial" w:hAnsi="Garamond"/>
                <w:b/>
                <w:bCs/>
                <w:sz w:val="18"/>
                <w:szCs w:val="18"/>
                <w:lang w:val="sq-AL"/>
              </w:rPr>
              <w:t>-it)</w:t>
            </w:r>
          </w:p>
        </w:tc>
        <w:tc>
          <w:tcPr>
            <w:tcW w:w="1134" w:type="dxa"/>
            <w:vMerge w:val="restart"/>
            <w:shd w:val="clear" w:color="auto" w:fill="E5F7CA"/>
            <w:vAlign w:val="center"/>
          </w:tcPr>
          <w:p w14:paraId="0773B42C" w14:textId="77777777" w:rsidR="00CA146F" w:rsidRPr="0058349C" w:rsidRDefault="00CA146F" w:rsidP="00CA146F">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 xml:space="preserve">Objektivi 2027 shumator, sipas treguesit të </w:t>
            </w:r>
            <w:r w:rsidRPr="00D02254">
              <w:rPr>
                <w:rFonts w:ascii="Garamond" w:eastAsia="Arial" w:hAnsi="Garamond"/>
                <w:b/>
                <w:bCs/>
                <w:i/>
                <w:iCs/>
                <w:sz w:val="18"/>
                <w:szCs w:val="18"/>
                <w:lang w:val="sq-AL"/>
              </w:rPr>
              <w:t>output</w:t>
            </w:r>
            <w:r w:rsidRPr="0058349C">
              <w:rPr>
                <w:rFonts w:ascii="Garamond" w:eastAsia="Arial" w:hAnsi="Garamond"/>
                <w:b/>
                <w:bCs/>
                <w:sz w:val="18"/>
                <w:szCs w:val="18"/>
                <w:lang w:val="sq-AL"/>
              </w:rPr>
              <w:t>-it)</w:t>
            </w:r>
          </w:p>
        </w:tc>
      </w:tr>
      <w:tr w:rsidR="00CA146F" w:rsidRPr="0058349C" w14:paraId="0773B437" w14:textId="77777777" w:rsidTr="00EA28DE">
        <w:trPr>
          <w:trHeight w:val="20"/>
        </w:trPr>
        <w:tc>
          <w:tcPr>
            <w:tcW w:w="384" w:type="dxa"/>
            <w:vMerge/>
            <w:shd w:val="clear" w:color="auto" w:fill="F2F2F2"/>
          </w:tcPr>
          <w:p w14:paraId="0773B42E" w14:textId="77777777" w:rsidR="00CA146F" w:rsidRPr="0058349C" w:rsidRDefault="00CA146F" w:rsidP="00CA146F">
            <w:pPr>
              <w:spacing w:after="0" w:line="240" w:lineRule="auto"/>
              <w:rPr>
                <w:rFonts w:ascii="Garamond" w:eastAsia="Arial" w:hAnsi="Garamond"/>
                <w:b/>
                <w:sz w:val="18"/>
                <w:szCs w:val="18"/>
                <w:lang w:val="sq-AL"/>
              </w:rPr>
            </w:pPr>
          </w:p>
        </w:tc>
        <w:tc>
          <w:tcPr>
            <w:tcW w:w="2874" w:type="dxa"/>
            <w:vMerge/>
            <w:shd w:val="clear" w:color="auto" w:fill="F2F2F2"/>
          </w:tcPr>
          <w:p w14:paraId="0773B42F" w14:textId="77777777" w:rsidR="00CA146F" w:rsidRPr="0058349C" w:rsidRDefault="00CA146F" w:rsidP="00CA146F">
            <w:pPr>
              <w:spacing w:after="0" w:line="240" w:lineRule="auto"/>
              <w:rPr>
                <w:rFonts w:ascii="Garamond" w:eastAsia="Arial" w:hAnsi="Garamond"/>
                <w:b/>
                <w:bCs/>
                <w:sz w:val="18"/>
                <w:szCs w:val="18"/>
                <w:lang w:val="sq-AL"/>
              </w:rPr>
            </w:pPr>
          </w:p>
        </w:tc>
        <w:tc>
          <w:tcPr>
            <w:tcW w:w="3219" w:type="dxa"/>
            <w:vMerge/>
            <w:shd w:val="clear" w:color="auto" w:fill="F2F2F2"/>
            <w:vAlign w:val="center"/>
          </w:tcPr>
          <w:p w14:paraId="0773B430" w14:textId="77777777" w:rsidR="00CA146F" w:rsidRPr="0058349C" w:rsidRDefault="00CA146F" w:rsidP="00CA146F">
            <w:pPr>
              <w:spacing w:after="0" w:line="240" w:lineRule="auto"/>
              <w:rPr>
                <w:rFonts w:ascii="Garamond" w:eastAsia="Arial" w:hAnsi="Garamond"/>
                <w:b/>
                <w:bCs/>
                <w:sz w:val="18"/>
                <w:szCs w:val="18"/>
                <w:lang w:val="sq-AL"/>
              </w:rPr>
            </w:pPr>
          </w:p>
        </w:tc>
        <w:tc>
          <w:tcPr>
            <w:tcW w:w="1419" w:type="dxa"/>
            <w:vMerge/>
            <w:shd w:val="clear" w:color="auto" w:fill="F2F2F2"/>
          </w:tcPr>
          <w:p w14:paraId="0773B431" w14:textId="77777777" w:rsidR="00CA146F" w:rsidRPr="0058349C" w:rsidRDefault="00CA146F" w:rsidP="00CA146F">
            <w:pPr>
              <w:spacing w:after="0" w:line="240" w:lineRule="auto"/>
              <w:rPr>
                <w:rFonts w:ascii="Garamond" w:eastAsia="Arial" w:hAnsi="Garamond"/>
                <w:sz w:val="18"/>
                <w:szCs w:val="18"/>
                <w:lang w:val="sq-AL"/>
              </w:rPr>
            </w:pPr>
          </w:p>
        </w:tc>
        <w:tc>
          <w:tcPr>
            <w:tcW w:w="1305" w:type="dxa"/>
            <w:shd w:val="clear" w:color="auto" w:fill="F2F2F2"/>
            <w:vAlign w:val="center"/>
          </w:tcPr>
          <w:p w14:paraId="0773B432" w14:textId="77777777" w:rsidR="00CA146F" w:rsidRPr="0058349C" w:rsidRDefault="00CA146F" w:rsidP="00CA146F">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2022</w:t>
            </w:r>
          </w:p>
        </w:tc>
        <w:tc>
          <w:tcPr>
            <w:tcW w:w="1277" w:type="dxa"/>
            <w:shd w:val="clear" w:color="auto" w:fill="F2F2F2"/>
            <w:vAlign w:val="center"/>
          </w:tcPr>
          <w:p w14:paraId="0773B433" w14:textId="77777777" w:rsidR="00CA146F" w:rsidRPr="0058349C" w:rsidRDefault="00CA146F" w:rsidP="00CA146F">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2023</w:t>
            </w:r>
          </w:p>
        </w:tc>
        <w:tc>
          <w:tcPr>
            <w:tcW w:w="1283" w:type="dxa"/>
            <w:shd w:val="clear" w:color="auto" w:fill="F2F2F2"/>
            <w:vAlign w:val="center"/>
          </w:tcPr>
          <w:p w14:paraId="0773B434" w14:textId="77777777" w:rsidR="00CA146F" w:rsidRPr="0058349C" w:rsidRDefault="00CA146F" w:rsidP="00CA146F">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2024</w:t>
            </w:r>
          </w:p>
        </w:tc>
        <w:tc>
          <w:tcPr>
            <w:tcW w:w="1275" w:type="dxa"/>
            <w:vMerge/>
            <w:shd w:val="clear" w:color="auto" w:fill="E5F7CA"/>
          </w:tcPr>
          <w:p w14:paraId="0773B435" w14:textId="77777777" w:rsidR="00CA146F" w:rsidRPr="0058349C" w:rsidRDefault="00CA146F" w:rsidP="00CA146F">
            <w:pPr>
              <w:spacing w:after="0" w:line="240" w:lineRule="auto"/>
              <w:rPr>
                <w:rFonts w:ascii="Garamond" w:eastAsia="Arial" w:hAnsi="Garamond"/>
                <w:sz w:val="18"/>
                <w:szCs w:val="18"/>
                <w:lang w:val="sq-AL"/>
              </w:rPr>
            </w:pPr>
          </w:p>
        </w:tc>
        <w:tc>
          <w:tcPr>
            <w:tcW w:w="1134" w:type="dxa"/>
            <w:vMerge/>
            <w:shd w:val="clear" w:color="auto" w:fill="E5F7CA"/>
          </w:tcPr>
          <w:p w14:paraId="0773B436" w14:textId="77777777" w:rsidR="00CA146F" w:rsidRPr="0058349C" w:rsidRDefault="00CA146F" w:rsidP="00CA146F">
            <w:pPr>
              <w:spacing w:after="0" w:line="240" w:lineRule="auto"/>
              <w:rPr>
                <w:rFonts w:ascii="Garamond" w:eastAsia="Arial" w:hAnsi="Garamond"/>
                <w:sz w:val="18"/>
                <w:szCs w:val="18"/>
                <w:lang w:val="sq-AL"/>
              </w:rPr>
            </w:pPr>
          </w:p>
        </w:tc>
      </w:tr>
      <w:tr w:rsidR="00CA146F" w:rsidRPr="0058349C" w14:paraId="0773B441" w14:textId="77777777" w:rsidTr="00EA28DE">
        <w:trPr>
          <w:trHeight w:val="20"/>
        </w:trPr>
        <w:tc>
          <w:tcPr>
            <w:tcW w:w="384" w:type="dxa"/>
            <w:shd w:val="clear" w:color="auto" w:fill="F2F2F2"/>
          </w:tcPr>
          <w:p w14:paraId="0773B438" w14:textId="77777777" w:rsidR="00CA146F" w:rsidRPr="0058349C" w:rsidRDefault="00CA146F" w:rsidP="00CA146F">
            <w:pPr>
              <w:spacing w:after="0" w:line="240" w:lineRule="auto"/>
              <w:rPr>
                <w:rFonts w:ascii="Garamond" w:eastAsia="Arial" w:hAnsi="Garamond"/>
                <w:b/>
                <w:sz w:val="18"/>
                <w:szCs w:val="18"/>
                <w:lang w:val="sq-AL"/>
              </w:rPr>
            </w:pPr>
          </w:p>
        </w:tc>
        <w:tc>
          <w:tcPr>
            <w:tcW w:w="2874" w:type="dxa"/>
            <w:shd w:val="clear" w:color="auto" w:fill="F2F2F2"/>
          </w:tcPr>
          <w:p w14:paraId="0773B439" w14:textId="3E3D008E" w:rsidR="00CA146F" w:rsidRPr="0058349C" w:rsidRDefault="00CA146F" w:rsidP="00CA146F">
            <w:pPr>
              <w:spacing w:after="0" w:line="240" w:lineRule="auto"/>
              <w:rPr>
                <w:rFonts w:ascii="Garamond" w:eastAsia="Arial" w:hAnsi="Garamond" w:cs="Segoe UI"/>
                <w:sz w:val="18"/>
                <w:szCs w:val="18"/>
                <w:lang w:val="sq-AL"/>
              </w:rPr>
            </w:pPr>
            <w:r w:rsidRPr="0058349C">
              <w:rPr>
                <w:rFonts w:ascii="Garamond" w:hAnsi="Garamond"/>
                <w:b/>
                <w:bCs/>
                <w:sz w:val="18"/>
                <w:szCs w:val="18"/>
                <w:lang w:val="sq-AL"/>
              </w:rPr>
              <w:t>Grande për sistemet lokale ushqimore dhe zinxhirët e</w:t>
            </w:r>
            <w:r w:rsidR="00CF7694" w:rsidRPr="0058349C">
              <w:rPr>
                <w:rFonts w:ascii="Garamond" w:hAnsi="Garamond"/>
                <w:b/>
                <w:bCs/>
                <w:sz w:val="18"/>
                <w:szCs w:val="18"/>
                <w:lang w:val="sq-AL"/>
              </w:rPr>
              <w:t xml:space="preserve"> </w:t>
            </w:r>
            <w:r w:rsidRPr="0058349C">
              <w:rPr>
                <w:rFonts w:ascii="Garamond" w:hAnsi="Garamond"/>
                <w:b/>
                <w:bCs/>
                <w:sz w:val="18"/>
                <w:szCs w:val="18"/>
                <w:lang w:val="sq-AL"/>
              </w:rPr>
              <w:t>shkurtër</w:t>
            </w:r>
            <w:r w:rsidR="00CF7694" w:rsidRPr="0058349C">
              <w:rPr>
                <w:rFonts w:ascii="Garamond" w:hAnsi="Garamond"/>
                <w:b/>
                <w:bCs/>
                <w:sz w:val="18"/>
                <w:szCs w:val="18"/>
                <w:lang w:val="sq-AL"/>
              </w:rPr>
              <w:t xml:space="preserve"> </w:t>
            </w:r>
            <w:r w:rsidRPr="0058349C">
              <w:rPr>
                <w:rFonts w:ascii="Garamond" w:hAnsi="Garamond"/>
                <w:b/>
                <w:bCs/>
                <w:sz w:val="18"/>
                <w:szCs w:val="18"/>
                <w:lang w:val="sq-AL"/>
              </w:rPr>
              <w:t xml:space="preserve">të furnizimit </w:t>
            </w:r>
          </w:p>
        </w:tc>
        <w:tc>
          <w:tcPr>
            <w:tcW w:w="3219" w:type="dxa"/>
            <w:shd w:val="clear" w:color="auto" w:fill="F2F2F2"/>
          </w:tcPr>
          <w:p w14:paraId="0773B43A" w14:textId="5D25CB3A" w:rsidR="00CA146F" w:rsidRPr="0058349C" w:rsidRDefault="00CA146F" w:rsidP="00CA146F">
            <w:pPr>
              <w:spacing w:after="0" w:line="240" w:lineRule="auto"/>
              <w:rPr>
                <w:rFonts w:ascii="Garamond" w:eastAsia="Arial" w:hAnsi="Garamond"/>
                <w:sz w:val="18"/>
                <w:szCs w:val="18"/>
                <w:lang w:val="sq-AL"/>
              </w:rPr>
            </w:pPr>
            <w:r w:rsidRPr="0058349C">
              <w:rPr>
                <w:rFonts w:ascii="Garamond" w:hAnsi="Garamond"/>
                <w:sz w:val="18"/>
                <w:szCs w:val="18"/>
                <w:lang w:val="sq-AL"/>
              </w:rPr>
              <w:t xml:space="preserve">Numri i prodhuesve të mbështetur nga IPARD III </w:t>
            </w:r>
            <w:r w:rsidR="00D02254">
              <w:rPr>
                <w:rFonts w:ascii="Garamond" w:hAnsi="Garamond"/>
                <w:sz w:val="18"/>
                <w:szCs w:val="18"/>
                <w:lang w:val="sq-AL"/>
              </w:rPr>
              <w:t>–</w:t>
            </w:r>
            <w:r w:rsidRPr="0058349C">
              <w:rPr>
                <w:rFonts w:ascii="Garamond" w:hAnsi="Garamond"/>
                <w:sz w:val="18"/>
                <w:szCs w:val="18"/>
                <w:lang w:val="sq-AL"/>
              </w:rPr>
              <w:t xml:space="preserve"> M</w:t>
            </w:r>
            <w:r w:rsidR="00D02254">
              <w:rPr>
                <w:rFonts w:ascii="Garamond" w:hAnsi="Garamond"/>
                <w:sz w:val="18"/>
                <w:szCs w:val="18"/>
                <w:lang w:val="sq-AL"/>
              </w:rPr>
              <w:t>asa 7</w:t>
            </w:r>
            <w:r w:rsidRPr="0058349C">
              <w:rPr>
                <w:rFonts w:ascii="Garamond" w:hAnsi="Garamond"/>
                <w:sz w:val="18"/>
                <w:szCs w:val="18"/>
                <w:lang w:val="sq-AL"/>
              </w:rPr>
              <w:t xml:space="preserve"> (me nj</w:t>
            </w:r>
            <w:r w:rsidRPr="0058349C">
              <w:rPr>
                <w:rFonts w:ascii="Garamond" w:eastAsia="Arial" w:hAnsi="Garamond"/>
                <w:sz w:val="18"/>
                <w:szCs w:val="18"/>
                <w:lang w:val="sq-AL"/>
              </w:rPr>
              <w:t xml:space="preserve">ë </w:t>
            </w:r>
            <w:r w:rsidRPr="0058349C">
              <w:rPr>
                <w:rFonts w:ascii="Garamond" w:hAnsi="Garamond"/>
                <w:sz w:val="18"/>
                <w:szCs w:val="18"/>
                <w:lang w:val="sq-AL"/>
              </w:rPr>
              <w:t>buxhet orientues 20% i buxhetit të total të masës)</w:t>
            </w:r>
            <w:r w:rsidRPr="0058349C">
              <w:rPr>
                <w:rFonts w:ascii="Garamond" w:eastAsia="Arial" w:hAnsi="Garamond"/>
                <w:sz w:val="18"/>
                <w:szCs w:val="18"/>
                <w:lang w:val="sq-AL"/>
              </w:rPr>
              <w:t>.</w:t>
            </w:r>
          </w:p>
        </w:tc>
        <w:tc>
          <w:tcPr>
            <w:tcW w:w="1419" w:type="dxa"/>
            <w:shd w:val="clear" w:color="auto" w:fill="F2F2F2"/>
            <w:vAlign w:val="center"/>
          </w:tcPr>
          <w:p w14:paraId="0773B43B" w14:textId="77777777" w:rsidR="00CA146F" w:rsidRPr="0058349C" w:rsidRDefault="00CA146F" w:rsidP="00CA146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2,234,941</w:t>
            </w:r>
          </w:p>
        </w:tc>
        <w:tc>
          <w:tcPr>
            <w:tcW w:w="1305" w:type="dxa"/>
            <w:shd w:val="clear" w:color="auto" w:fill="F2F2F2"/>
            <w:vAlign w:val="center"/>
          </w:tcPr>
          <w:p w14:paraId="0773B43C" w14:textId="77777777" w:rsidR="00CA146F" w:rsidRPr="0058349C" w:rsidRDefault="00CA146F" w:rsidP="00CA146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562,667</w:t>
            </w:r>
          </w:p>
        </w:tc>
        <w:tc>
          <w:tcPr>
            <w:tcW w:w="1277" w:type="dxa"/>
            <w:shd w:val="clear" w:color="auto" w:fill="F2F2F2"/>
            <w:vAlign w:val="center"/>
          </w:tcPr>
          <w:p w14:paraId="0773B43D" w14:textId="77777777" w:rsidR="00CA146F" w:rsidRPr="0058349C" w:rsidRDefault="00CA146F" w:rsidP="00CA146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647,638</w:t>
            </w:r>
          </w:p>
        </w:tc>
        <w:tc>
          <w:tcPr>
            <w:tcW w:w="1283" w:type="dxa"/>
            <w:shd w:val="clear" w:color="auto" w:fill="F2F2F2"/>
            <w:vAlign w:val="center"/>
          </w:tcPr>
          <w:p w14:paraId="0773B43E" w14:textId="77777777" w:rsidR="00CA146F" w:rsidRPr="0058349C" w:rsidRDefault="00CA146F" w:rsidP="00CA146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1,024,636</w:t>
            </w:r>
          </w:p>
        </w:tc>
        <w:tc>
          <w:tcPr>
            <w:tcW w:w="1275" w:type="dxa"/>
            <w:shd w:val="clear" w:color="auto" w:fill="E5F7CA"/>
            <w:vAlign w:val="center"/>
          </w:tcPr>
          <w:p w14:paraId="0773B43F" w14:textId="77777777" w:rsidR="00CA146F" w:rsidRPr="0058349C" w:rsidRDefault="00CA146F" w:rsidP="00CA146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67</w:t>
            </w:r>
          </w:p>
        </w:tc>
        <w:tc>
          <w:tcPr>
            <w:tcW w:w="1134" w:type="dxa"/>
            <w:shd w:val="clear" w:color="auto" w:fill="E5F7CA"/>
            <w:vAlign w:val="center"/>
          </w:tcPr>
          <w:p w14:paraId="0773B440" w14:textId="77777777" w:rsidR="00CA146F" w:rsidRPr="0058349C" w:rsidRDefault="00CA146F" w:rsidP="00CA146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160</w:t>
            </w:r>
          </w:p>
        </w:tc>
      </w:tr>
      <w:tr w:rsidR="00CA146F" w:rsidRPr="0058349C" w14:paraId="0773B44C" w14:textId="77777777" w:rsidTr="00EA28DE">
        <w:trPr>
          <w:trHeight w:val="20"/>
        </w:trPr>
        <w:tc>
          <w:tcPr>
            <w:tcW w:w="384" w:type="dxa"/>
            <w:shd w:val="clear" w:color="auto" w:fill="F2F2F2"/>
          </w:tcPr>
          <w:p w14:paraId="0773B442" w14:textId="77777777" w:rsidR="00CA146F" w:rsidRPr="0058349C" w:rsidRDefault="00CA146F" w:rsidP="00CA146F">
            <w:pPr>
              <w:spacing w:after="0" w:line="240" w:lineRule="auto"/>
              <w:rPr>
                <w:rFonts w:ascii="Garamond" w:hAnsi="Garamond"/>
                <w:bCs/>
                <w:sz w:val="18"/>
                <w:szCs w:val="18"/>
                <w:lang w:val="sq-AL"/>
              </w:rPr>
            </w:pPr>
          </w:p>
        </w:tc>
        <w:tc>
          <w:tcPr>
            <w:tcW w:w="2874" w:type="dxa"/>
            <w:shd w:val="clear" w:color="auto" w:fill="F2F2F2"/>
          </w:tcPr>
          <w:p w14:paraId="0773B443" w14:textId="454B17C2" w:rsidR="00CA146F" w:rsidRPr="0058349C" w:rsidRDefault="00CA146F" w:rsidP="00CA146F">
            <w:pPr>
              <w:spacing w:after="0" w:line="240" w:lineRule="auto"/>
              <w:rPr>
                <w:rFonts w:ascii="Garamond" w:hAnsi="Garamond"/>
                <w:b/>
                <w:bCs/>
                <w:sz w:val="18"/>
                <w:szCs w:val="18"/>
                <w:lang w:val="sq-AL"/>
              </w:rPr>
            </w:pPr>
            <w:r w:rsidRPr="0058349C">
              <w:rPr>
                <w:rFonts w:ascii="Garamond" w:hAnsi="Garamond"/>
                <w:b/>
                <w:bCs/>
                <w:sz w:val="18"/>
                <w:szCs w:val="18"/>
                <w:lang w:val="sq-AL"/>
              </w:rPr>
              <w:t>Skema e cilësisë/siguris</w:t>
            </w:r>
            <w:r w:rsidRPr="0058349C">
              <w:rPr>
                <w:rStyle w:val="normaltextrun"/>
                <w:rFonts w:ascii="Garamond" w:eastAsia="Arial" w:hAnsi="Garamond"/>
                <w:b/>
                <w:bCs/>
                <w:sz w:val="18"/>
                <w:szCs w:val="18"/>
                <w:lang w:val="sq-AL"/>
              </w:rPr>
              <w:t>ë</w:t>
            </w:r>
            <w:r w:rsidRPr="0058349C">
              <w:rPr>
                <w:rFonts w:ascii="Garamond" w:hAnsi="Garamond"/>
                <w:b/>
                <w:bCs/>
                <w:sz w:val="18"/>
                <w:szCs w:val="18"/>
                <w:lang w:val="sq-AL"/>
              </w:rPr>
              <w:t xml:space="preserve"> së qumështit</w:t>
            </w:r>
            <w:r w:rsidR="00CF7694" w:rsidRPr="0058349C">
              <w:rPr>
                <w:rFonts w:ascii="Garamond" w:hAnsi="Garamond"/>
                <w:b/>
                <w:bCs/>
                <w:sz w:val="18"/>
                <w:szCs w:val="18"/>
                <w:lang w:val="sq-AL"/>
              </w:rPr>
              <w:t xml:space="preserve"> </w:t>
            </w:r>
          </w:p>
        </w:tc>
        <w:tc>
          <w:tcPr>
            <w:tcW w:w="3219" w:type="dxa"/>
            <w:shd w:val="clear" w:color="auto" w:fill="F2F2F2"/>
          </w:tcPr>
          <w:p w14:paraId="0773B444" w14:textId="6CDB54F3" w:rsidR="00CA146F" w:rsidRPr="0058349C" w:rsidRDefault="00CA146F" w:rsidP="00CA146F">
            <w:pPr>
              <w:spacing w:after="0" w:line="240" w:lineRule="auto"/>
              <w:rPr>
                <w:rFonts w:ascii="Garamond" w:hAnsi="Garamond"/>
                <w:sz w:val="18"/>
                <w:szCs w:val="18"/>
                <w:lang w:val="sq-AL"/>
              </w:rPr>
            </w:pPr>
            <w:r w:rsidRPr="0058349C">
              <w:rPr>
                <w:rFonts w:ascii="Garamond" w:hAnsi="Garamond"/>
                <w:sz w:val="18"/>
                <w:szCs w:val="18"/>
                <w:lang w:val="sq-AL"/>
              </w:rPr>
              <w:t>Numri i fermave të mbështetura në një vit me k</w:t>
            </w:r>
            <w:r w:rsidRPr="0058349C">
              <w:rPr>
                <w:rFonts w:ascii="Garamond" w:eastAsia="Arial" w:hAnsi="Garamond"/>
                <w:sz w:val="18"/>
                <w:szCs w:val="18"/>
                <w:lang w:val="sq-AL"/>
              </w:rPr>
              <w:t>ëtë skemë</w:t>
            </w:r>
            <w:r w:rsidRPr="0058349C">
              <w:rPr>
                <w:rFonts w:ascii="Garamond" w:hAnsi="Garamond"/>
                <w:sz w:val="18"/>
                <w:szCs w:val="18"/>
                <w:lang w:val="sq-AL"/>
              </w:rPr>
              <w:t xml:space="preserve"> synohet t</w:t>
            </w:r>
            <w:r w:rsidRPr="0058349C">
              <w:rPr>
                <w:rFonts w:ascii="Garamond" w:eastAsia="Arial" w:hAnsi="Garamond"/>
                <w:sz w:val="18"/>
                <w:szCs w:val="18"/>
                <w:lang w:val="sq-AL"/>
              </w:rPr>
              <w:t>ë</w:t>
            </w:r>
            <w:r w:rsidR="00CF7694" w:rsidRPr="0058349C">
              <w:rPr>
                <w:rFonts w:ascii="Garamond" w:eastAsia="Arial" w:hAnsi="Garamond"/>
                <w:sz w:val="18"/>
                <w:szCs w:val="18"/>
                <w:lang w:val="sq-AL"/>
              </w:rPr>
              <w:t xml:space="preserve"> </w:t>
            </w:r>
            <w:r w:rsidRPr="0058349C">
              <w:rPr>
                <w:rFonts w:ascii="Garamond" w:hAnsi="Garamond"/>
                <w:sz w:val="18"/>
                <w:szCs w:val="18"/>
                <w:lang w:val="sq-AL"/>
              </w:rPr>
              <w:t xml:space="preserve">arrijë në 1000 deri </w:t>
            </w:r>
            <w:r w:rsidRPr="0058349C">
              <w:rPr>
                <w:rFonts w:ascii="Garamond" w:eastAsia="Arial" w:hAnsi="Garamond"/>
                <w:sz w:val="18"/>
                <w:szCs w:val="18"/>
                <w:lang w:val="sq-AL"/>
              </w:rPr>
              <w:t>në vitin 2027.</w:t>
            </w:r>
            <w:r w:rsidRPr="0058349C">
              <w:rPr>
                <w:rFonts w:ascii="Garamond" w:hAnsi="Garamond"/>
                <w:sz w:val="18"/>
                <w:szCs w:val="18"/>
                <w:lang w:val="sq-AL"/>
              </w:rPr>
              <w:t xml:space="preserve"> </w:t>
            </w:r>
          </w:p>
          <w:p w14:paraId="0773B445" w14:textId="77777777" w:rsidR="00CA146F" w:rsidRPr="0058349C" w:rsidRDefault="00CA146F" w:rsidP="00CA146F">
            <w:pPr>
              <w:spacing w:after="0" w:line="240" w:lineRule="auto"/>
              <w:rPr>
                <w:rFonts w:ascii="Garamond" w:hAnsi="Garamond"/>
                <w:sz w:val="18"/>
                <w:szCs w:val="18"/>
                <w:lang w:val="sq-AL"/>
              </w:rPr>
            </w:pPr>
          </w:p>
        </w:tc>
        <w:tc>
          <w:tcPr>
            <w:tcW w:w="1419" w:type="dxa"/>
            <w:shd w:val="clear" w:color="auto" w:fill="F2F2F2"/>
            <w:vAlign w:val="center"/>
          </w:tcPr>
          <w:p w14:paraId="0773B446"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N: 600,000</w:t>
            </w:r>
          </w:p>
        </w:tc>
        <w:tc>
          <w:tcPr>
            <w:tcW w:w="1305" w:type="dxa"/>
            <w:shd w:val="clear" w:color="auto" w:fill="F2F2F2"/>
            <w:vAlign w:val="center"/>
          </w:tcPr>
          <w:p w14:paraId="0773B447"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0</w:t>
            </w:r>
          </w:p>
        </w:tc>
        <w:tc>
          <w:tcPr>
            <w:tcW w:w="1277" w:type="dxa"/>
            <w:shd w:val="clear" w:color="auto" w:fill="F2F2F2"/>
            <w:vAlign w:val="center"/>
          </w:tcPr>
          <w:p w14:paraId="0773B448"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N:300,000</w:t>
            </w:r>
          </w:p>
        </w:tc>
        <w:tc>
          <w:tcPr>
            <w:tcW w:w="1283" w:type="dxa"/>
            <w:shd w:val="clear" w:color="auto" w:fill="F2F2F2"/>
            <w:vAlign w:val="center"/>
          </w:tcPr>
          <w:p w14:paraId="0773B449"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N:300,000</w:t>
            </w:r>
          </w:p>
        </w:tc>
        <w:tc>
          <w:tcPr>
            <w:tcW w:w="1275" w:type="dxa"/>
            <w:shd w:val="clear" w:color="auto" w:fill="E5F7CA"/>
            <w:vAlign w:val="center"/>
          </w:tcPr>
          <w:p w14:paraId="0773B44A"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0</w:t>
            </w:r>
          </w:p>
        </w:tc>
        <w:tc>
          <w:tcPr>
            <w:tcW w:w="1134" w:type="dxa"/>
            <w:shd w:val="clear" w:color="auto" w:fill="E5F7CA"/>
            <w:vAlign w:val="center"/>
          </w:tcPr>
          <w:p w14:paraId="0773B44B"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1000</w:t>
            </w:r>
          </w:p>
        </w:tc>
      </w:tr>
      <w:tr w:rsidR="00CA146F" w:rsidRPr="0058349C" w14:paraId="0773B458" w14:textId="77777777" w:rsidTr="00EA28DE">
        <w:trPr>
          <w:trHeight w:val="20"/>
        </w:trPr>
        <w:tc>
          <w:tcPr>
            <w:tcW w:w="384" w:type="dxa"/>
            <w:shd w:val="clear" w:color="auto" w:fill="F2F2F2"/>
          </w:tcPr>
          <w:p w14:paraId="0773B44D" w14:textId="77777777" w:rsidR="00CA146F" w:rsidRPr="0058349C" w:rsidRDefault="00CA146F" w:rsidP="00CA146F">
            <w:pPr>
              <w:spacing w:after="0" w:line="240" w:lineRule="auto"/>
              <w:rPr>
                <w:rFonts w:ascii="Garamond" w:hAnsi="Garamond"/>
                <w:bCs/>
                <w:sz w:val="18"/>
                <w:szCs w:val="18"/>
                <w:lang w:val="sq-AL"/>
              </w:rPr>
            </w:pPr>
          </w:p>
        </w:tc>
        <w:tc>
          <w:tcPr>
            <w:tcW w:w="2874" w:type="dxa"/>
            <w:shd w:val="clear" w:color="auto" w:fill="F2F2F2"/>
          </w:tcPr>
          <w:p w14:paraId="0773B44E" w14:textId="77777777" w:rsidR="00CA146F" w:rsidRPr="0058349C" w:rsidRDefault="00CA146F" w:rsidP="00CA146F">
            <w:pPr>
              <w:spacing w:after="0" w:line="240" w:lineRule="auto"/>
              <w:rPr>
                <w:rFonts w:ascii="Garamond" w:hAnsi="Garamond"/>
                <w:b/>
                <w:bCs/>
                <w:sz w:val="18"/>
                <w:szCs w:val="18"/>
                <w:lang w:val="sq-AL"/>
              </w:rPr>
            </w:pPr>
            <w:r w:rsidRPr="0058349C">
              <w:rPr>
                <w:rFonts w:ascii="Garamond" w:hAnsi="Garamond"/>
                <w:b/>
                <w:bCs/>
                <w:sz w:val="18"/>
                <w:szCs w:val="18"/>
                <w:lang w:val="sq-AL"/>
              </w:rPr>
              <w:t>Mbështetje për investime për të harmonizuar në mënyrë progresive me standardet e BE-së për higjienën dhe mirëqenien e kafshëve</w:t>
            </w:r>
          </w:p>
        </w:tc>
        <w:tc>
          <w:tcPr>
            <w:tcW w:w="3219" w:type="dxa"/>
            <w:shd w:val="clear" w:color="auto" w:fill="F2F2F2"/>
          </w:tcPr>
          <w:p w14:paraId="0773B450" w14:textId="26C49662" w:rsidR="00CA146F" w:rsidRPr="0058349C" w:rsidRDefault="00CA146F" w:rsidP="00D02254">
            <w:pPr>
              <w:spacing w:after="0" w:line="240" w:lineRule="auto"/>
              <w:rPr>
                <w:rFonts w:ascii="Garamond" w:hAnsi="Garamond"/>
                <w:sz w:val="18"/>
                <w:szCs w:val="18"/>
                <w:lang w:val="sq-AL"/>
              </w:rPr>
            </w:pPr>
            <w:r w:rsidRPr="0058349C">
              <w:rPr>
                <w:rFonts w:ascii="Garamond" w:hAnsi="Garamond"/>
                <w:sz w:val="18"/>
                <w:szCs w:val="18"/>
                <w:lang w:val="sq-AL"/>
              </w:rPr>
              <w:t>Numri i fermave dhe ndërmarrjeve t</w:t>
            </w:r>
            <w:r w:rsidRPr="0058349C">
              <w:rPr>
                <w:rFonts w:ascii="Garamond" w:eastAsia="Arial" w:hAnsi="Garamond"/>
                <w:sz w:val="18"/>
                <w:szCs w:val="18"/>
                <w:lang w:val="sq-AL"/>
              </w:rPr>
              <w:t>ë</w:t>
            </w:r>
            <w:r w:rsidRPr="0058349C">
              <w:rPr>
                <w:rFonts w:ascii="Garamond" w:hAnsi="Garamond"/>
                <w:sz w:val="18"/>
                <w:szCs w:val="18"/>
                <w:lang w:val="sq-AL"/>
              </w:rPr>
              <w:t xml:space="preserve"> përpunimit t</w:t>
            </w:r>
            <w:r w:rsidRPr="0058349C">
              <w:rPr>
                <w:rFonts w:ascii="Garamond" w:eastAsia="Arial" w:hAnsi="Garamond"/>
                <w:sz w:val="18"/>
                <w:szCs w:val="18"/>
                <w:lang w:val="sq-AL"/>
              </w:rPr>
              <w:t>ë</w:t>
            </w:r>
            <w:r w:rsidR="00CF7694" w:rsidRPr="0058349C">
              <w:rPr>
                <w:rFonts w:ascii="Garamond" w:hAnsi="Garamond"/>
                <w:sz w:val="18"/>
                <w:szCs w:val="18"/>
                <w:lang w:val="sq-AL"/>
              </w:rPr>
              <w:t xml:space="preserve"> </w:t>
            </w:r>
            <w:r w:rsidRPr="0058349C">
              <w:rPr>
                <w:rFonts w:ascii="Garamond" w:hAnsi="Garamond"/>
                <w:sz w:val="18"/>
                <w:szCs w:val="18"/>
                <w:lang w:val="sq-AL"/>
              </w:rPr>
              <w:t>ushqimit, t</w:t>
            </w:r>
            <w:r w:rsidRPr="0058349C">
              <w:rPr>
                <w:rFonts w:ascii="Garamond" w:eastAsia="Arial" w:hAnsi="Garamond"/>
                <w:sz w:val="18"/>
                <w:szCs w:val="18"/>
                <w:lang w:val="sq-AL"/>
              </w:rPr>
              <w:t>ë mbështetura (IPARD III) do të arrijë në 320 në vitin 2027.</w:t>
            </w:r>
          </w:p>
          <w:p w14:paraId="0773B451" w14:textId="77777777" w:rsidR="00CA146F" w:rsidRPr="0058349C" w:rsidRDefault="00CA146F" w:rsidP="00CA146F">
            <w:pPr>
              <w:spacing w:after="0" w:line="240" w:lineRule="auto"/>
              <w:rPr>
                <w:rFonts w:ascii="Garamond" w:hAnsi="Garamond"/>
                <w:sz w:val="18"/>
                <w:szCs w:val="18"/>
                <w:lang w:val="sq-AL"/>
              </w:rPr>
            </w:pPr>
          </w:p>
        </w:tc>
        <w:tc>
          <w:tcPr>
            <w:tcW w:w="1419" w:type="dxa"/>
            <w:shd w:val="clear" w:color="auto" w:fill="F2F2F2"/>
            <w:vAlign w:val="center"/>
          </w:tcPr>
          <w:p w14:paraId="0773B452" w14:textId="77777777" w:rsidR="00CA146F" w:rsidRPr="0058349C" w:rsidRDefault="00CA146F" w:rsidP="00CA146F">
            <w:pPr>
              <w:spacing w:after="0" w:line="240" w:lineRule="auto"/>
              <w:rPr>
                <w:rFonts w:ascii="Garamond" w:hAnsi="Garamond"/>
                <w:sz w:val="18"/>
                <w:szCs w:val="18"/>
                <w:lang w:val="sq-AL"/>
              </w:rPr>
            </w:pPr>
            <w:r w:rsidRPr="0058349C">
              <w:rPr>
                <w:rFonts w:ascii="Garamond" w:hAnsi="Garamond"/>
                <w:sz w:val="18"/>
                <w:szCs w:val="18"/>
                <w:lang w:val="sq-AL"/>
              </w:rPr>
              <w:t>(e përfshirë në buxhetin për M1 dhe M3</w:t>
            </w:r>
            <w:r w:rsidRPr="0058349C">
              <w:rPr>
                <w:rFonts w:ascii="Garamond" w:eastAsia="Arial" w:hAnsi="Garamond"/>
                <w:sz w:val="18"/>
                <w:szCs w:val="18"/>
                <w:lang w:val="sq-AL"/>
              </w:rPr>
              <w:t>)</w:t>
            </w:r>
          </w:p>
        </w:tc>
        <w:tc>
          <w:tcPr>
            <w:tcW w:w="1305" w:type="dxa"/>
            <w:shd w:val="clear" w:color="auto" w:fill="F2F2F2"/>
            <w:vAlign w:val="center"/>
          </w:tcPr>
          <w:p w14:paraId="0773B453"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w:t>
            </w:r>
          </w:p>
        </w:tc>
        <w:tc>
          <w:tcPr>
            <w:tcW w:w="1277" w:type="dxa"/>
            <w:shd w:val="clear" w:color="auto" w:fill="F2F2F2"/>
            <w:vAlign w:val="center"/>
          </w:tcPr>
          <w:p w14:paraId="0773B454"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w:t>
            </w:r>
          </w:p>
        </w:tc>
        <w:tc>
          <w:tcPr>
            <w:tcW w:w="1283" w:type="dxa"/>
            <w:shd w:val="clear" w:color="auto" w:fill="F2F2F2"/>
            <w:vAlign w:val="center"/>
          </w:tcPr>
          <w:p w14:paraId="0773B455"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w:t>
            </w:r>
          </w:p>
        </w:tc>
        <w:tc>
          <w:tcPr>
            <w:tcW w:w="1275" w:type="dxa"/>
            <w:shd w:val="clear" w:color="auto" w:fill="E5F7CA"/>
            <w:vAlign w:val="center"/>
          </w:tcPr>
          <w:p w14:paraId="0773B456"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150</w:t>
            </w:r>
          </w:p>
        </w:tc>
        <w:tc>
          <w:tcPr>
            <w:tcW w:w="1134" w:type="dxa"/>
            <w:shd w:val="clear" w:color="auto" w:fill="E5F7CA"/>
            <w:vAlign w:val="center"/>
          </w:tcPr>
          <w:p w14:paraId="0773B457"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320</w:t>
            </w:r>
          </w:p>
        </w:tc>
      </w:tr>
      <w:tr w:rsidR="00CA146F" w:rsidRPr="0058349C" w14:paraId="0773B467" w14:textId="77777777" w:rsidTr="00EA28DE">
        <w:trPr>
          <w:trHeight w:val="20"/>
        </w:trPr>
        <w:tc>
          <w:tcPr>
            <w:tcW w:w="384" w:type="dxa"/>
            <w:vMerge w:val="restart"/>
            <w:shd w:val="clear" w:color="auto" w:fill="F2F2F2"/>
          </w:tcPr>
          <w:p w14:paraId="0773B459" w14:textId="77777777" w:rsidR="00CA146F" w:rsidRPr="0058349C" w:rsidRDefault="00CA146F" w:rsidP="00CA146F">
            <w:pPr>
              <w:spacing w:after="0" w:line="240" w:lineRule="auto"/>
              <w:rPr>
                <w:rFonts w:ascii="Garamond" w:hAnsi="Garamond"/>
                <w:bCs/>
                <w:sz w:val="18"/>
                <w:szCs w:val="18"/>
                <w:lang w:val="sq-AL"/>
              </w:rPr>
            </w:pPr>
          </w:p>
        </w:tc>
        <w:tc>
          <w:tcPr>
            <w:tcW w:w="2874" w:type="dxa"/>
            <w:vMerge w:val="restart"/>
            <w:shd w:val="clear" w:color="auto" w:fill="F2F2F2"/>
          </w:tcPr>
          <w:p w14:paraId="0773B45A" w14:textId="77777777" w:rsidR="00CA146F" w:rsidRPr="0058349C" w:rsidRDefault="00CA146F" w:rsidP="00CA146F">
            <w:pPr>
              <w:spacing w:after="0" w:line="240" w:lineRule="auto"/>
              <w:rPr>
                <w:rFonts w:ascii="Garamond" w:hAnsi="Garamond"/>
                <w:b/>
                <w:bCs/>
                <w:sz w:val="18"/>
                <w:szCs w:val="18"/>
                <w:lang w:val="sq-AL"/>
              </w:rPr>
            </w:pPr>
            <w:r w:rsidRPr="0058349C">
              <w:rPr>
                <w:rFonts w:ascii="Garamond" w:hAnsi="Garamond"/>
                <w:b/>
                <w:bCs/>
                <w:sz w:val="18"/>
                <w:szCs w:val="18"/>
                <w:lang w:val="sq-AL"/>
              </w:rPr>
              <w:t>AT për Global GAP dhe HACCP</w:t>
            </w:r>
          </w:p>
          <w:p w14:paraId="0773B45B" w14:textId="77777777" w:rsidR="00CA146F" w:rsidRPr="0058349C" w:rsidRDefault="00CA146F" w:rsidP="00CA146F">
            <w:pPr>
              <w:spacing w:after="0" w:line="240" w:lineRule="auto"/>
              <w:rPr>
                <w:rFonts w:ascii="Garamond" w:hAnsi="Garamond"/>
                <w:b/>
                <w:bCs/>
                <w:sz w:val="18"/>
                <w:szCs w:val="18"/>
                <w:lang w:val="sq-AL"/>
              </w:rPr>
            </w:pPr>
          </w:p>
        </w:tc>
        <w:tc>
          <w:tcPr>
            <w:tcW w:w="3219" w:type="dxa"/>
            <w:shd w:val="clear" w:color="auto" w:fill="F2F2F2"/>
          </w:tcPr>
          <w:p w14:paraId="0773B45C" w14:textId="1F200B9E" w:rsidR="00CA146F" w:rsidRPr="0058349C" w:rsidRDefault="00CA146F" w:rsidP="00CA146F">
            <w:pPr>
              <w:spacing w:after="0" w:line="240" w:lineRule="auto"/>
              <w:rPr>
                <w:rFonts w:ascii="Garamond" w:hAnsi="Garamond"/>
                <w:sz w:val="18"/>
                <w:szCs w:val="18"/>
                <w:lang w:val="sq-AL"/>
              </w:rPr>
            </w:pPr>
            <w:r w:rsidRPr="0058349C">
              <w:rPr>
                <w:rFonts w:ascii="Garamond" w:hAnsi="Garamond"/>
                <w:sz w:val="18"/>
                <w:szCs w:val="18"/>
                <w:lang w:val="sq-AL"/>
              </w:rPr>
              <w:t>Numri i fermave t</w:t>
            </w:r>
            <w:r w:rsidRPr="0058349C">
              <w:rPr>
                <w:rFonts w:ascii="Garamond" w:eastAsia="Arial" w:hAnsi="Garamond"/>
                <w:sz w:val="18"/>
                <w:szCs w:val="18"/>
                <w:lang w:val="sq-AL"/>
              </w:rPr>
              <w:t>ë</w:t>
            </w:r>
            <w:r w:rsidRPr="0058349C">
              <w:rPr>
                <w:rFonts w:ascii="Garamond" w:hAnsi="Garamond"/>
                <w:sz w:val="18"/>
                <w:szCs w:val="18"/>
                <w:lang w:val="sq-AL"/>
              </w:rPr>
              <w:t xml:space="preserve"> mbështetura për certifikimin me standardin Global G.A.P</w:t>
            </w:r>
            <w:r w:rsidR="0071471D">
              <w:rPr>
                <w:rFonts w:ascii="Garamond" w:hAnsi="Garamond"/>
                <w:sz w:val="18"/>
                <w:szCs w:val="18"/>
                <w:lang w:val="sq-AL"/>
              </w:rPr>
              <w:t>.</w:t>
            </w:r>
            <w:r w:rsidRPr="0058349C">
              <w:rPr>
                <w:rFonts w:ascii="Garamond" w:hAnsi="Garamond"/>
                <w:sz w:val="18"/>
                <w:szCs w:val="18"/>
                <w:lang w:val="sq-AL"/>
              </w:rPr>
              <w:t xml:space="preserve"> do t</w:t>
            </w:r>
            <w:r w:rsidRPr="0058349C">
              <w:rPr>
                <w:rFonts w:ascii="Garamond" w:eastAsia="Arial" w:hAnsi="Garamond"/>
                <w:sz w:val="18"/>
                <w:szCs w:val="18"/>
                <w:lang w:val="sq-AL"/>
              </w:rPr>
              <w:t>ë arrijë në 30</w:t>
            </w:r>
            <w:r w:rsidRPr="0058349C">
              <w:rPr>
                <w:rFonts w:ascii="Garamond" w:hAnsi="Garamond"/>
                <w:sz w:val="18"/>
                <w:szCs w:val="18"/>
                <w:lang w:val="sq-AL"/>
              </w:rPr>
              <w:t xml:space="preserve"> (tregues orientues) do</w:t>
            </w:r>
            <w:r w:rsidRPr="0058349C">
              <w:rPr>
                <w:rFonts w:ascii="Garamond" w:eastAsia="Arial" w:hAnsi="Garamond"/>
                <w:sz w:val="18"/>
                <w:szCs w:val="18"/>
                <w:lang w:val="sq-AL"/>
              </w:rPr>
              <w:t xml:space="preserve"> t</w:t>
            </w:r>
            <w:r w:rsidRPr="0058349C">
              <w:rPr>
                <w:rFonts w:ascii="Garamond" w:hAnsi="Garamond"/>
                <w:sz w:val="18"/>
                <w:szCs w:val="18"/>
                <w:lang w:val="sq-AL"/>
              </w:rPr>
              <w:t>ë arrijë në 10 deri në vitin 2024 dhe</w:t>
            </w:r>
            <w:r w:rsidR="00CF7694" w:rsidRPr="0058349C">
              <w:rPr>
                <w:rFonts w:ascii="Garamond" w:hAnsi="Garamond"/>
                <w:sz w:val="18"/>
                <w:szCs w:val="18"/>
                <w:lang w:val="sq-AL"/>
              </w:rPr>
              <w:t xml:space="preserve"> </w:t>
            </w:r>
            <w:r w:rsidRPr="0058349C">
              <w:rPr>
                <w:rFonts w:ascii="Garamond" w:hAnsi="Garamond"/>
                <w:sz w:val="18"/>
                <w:szCs w:val="18"/>
                <w:lang w:val="sq-AL"/>
              </w:rPr>
              <w:t>në 30 deri vitin 2027.</w:t>
            </w:r>
          </w:p>
        </w:tc>
        <w:tc>
          <w:tcPr>
            <w:tcW w:w="1419" w:type="dxa"/>
            <w:shd w:val="clear" w:color="auto" w:fill="F2F2F2"/>
          </w:tcPr>
          <w:p w14:paraId="0773B45D" w14:textId="77777777" w:rsidR="00CA146F" w:rsidRPr="0058349C" w:rsidRDefault="00CA146F" w:rsidP="00CA146F">
            <w:pPr>
              <w:spacing w:after="0" w:line="240" w:lineRule="auto"/>
              <w:rPr>
                <w:rFonts w:ascii="Garamond" w:eastAsia="Arial" w:hAnsi="Garamond"/>
                <w:sz w:val="18"/>
                <w:szCs w:val="18"/>
                <w:lang w:val="sq-AL"/>
              </w:rPr>
            </w:pPr>
          </w:p>
          <w:p w14:paraId="0773B45E" w14:textId="77777777" w:rsidR="00CA146F" w:rsidRPr="0058349C" w:rsidRDefault="00CA146F" w:rsidP="00CA146F">
            <w:pPr>
              <w:spacing w:after="0" w:line="240" w:lineRule="auto"/>
              <w:rPr>
                <w:rFonts w:ascii="Garamond" w:hAnsi="Garamond"/>
                <w:sz w:val="18"/>
                <w:szCs w:val="18"/>
                <w:lang w:val="sq-AL"/>
              </w:rPr>
            </w:pPr>
            <w:r w:rsidRPr="0058349C">
              <w:rPr>
                <w:rFonts w:ascii="Garamond" w:eastAsia="Arial" w:hAnsi="Garamond"/>
                <w:sz w:val="18"/>
                <w:szCs w:val="18"/>
                <w:lang w:val="sq-AL"/>
              </w:rPr>
              <w:t>BK</w:t>
            </w:r>
          </w:p>
        </w:tc>
        <w:tc>
          <w:tcPr>
            <w:tcW w:w="1305" w:type="dxa"/>
            <w:shd w:val="clear" w:color="auto" w:fill="F2F2F2"/>
          </w:tcPr>
          <w:p w14:paraId="0773B45F" w14:textId="77777777" w:rsidR="00CA146F" w:rsidRPr="0058349C" w:rsidRDefault="00CA146F" w:rsidP="00CA146F">
            <w:pPr>
              <w:spacing w:after="0" w:line="240" w:lineRule="auto"/>
              <w:rPr>
                <w:rFonts w:ascii="Garamond" w:eastAsia="Arial" w:hAnsi="Garamond"/>
                <w:sz w:val="18"/>
                <w:szCs w:val="18"/>
                <w:lang w:val="sq-AL"/>
              </w:rPr>
            </w:pPr>
          </w:p>
          <w:p w14:paraId="0773B460" w14:textId="77777777" w:rsidR="00CA146F" w:rsidRPr="0058349C" w:rsidRDefault="00CA146F" w:rsidP="00CA146F">
            <w:pPr>
              <w:spacing w:after="0" w:line="240" w:lineRule="auto"/>
              <w:rPr>
                <w:rFonts w:ascii="Garamond" w:hAnsi="Garamond"/>
                <w:sz w:val="18"/>
                <w:szCs w:val="18"/>
                <w:lang w:val="sq-AL"/>
              </w:rPr>
            </w:pPr>
            <w:r w:rsidRPr="0058349C">
              <w:rPr>
                <w:rFonts w:ascii="Garamond" w:eastAsia="Arial" w:hAnsi="Garamond"/>
                <w:sz w:val="18"/>
                <w:szCs w:val="18"/>
                <w:lang w:val="sq-AL"/>
              </w:rPr>
              <w:t>BK</w:t>
            </w:r>
          </w:p>
        </w:tc>
        <w:tc>
          <w:tcPr>
            <w:tcW w:w="1277" w:type="dxa"/>
            <w:shd w:val="clear" w:color="auto" w:fill="F2F2F2"/>
          </w:tcPr>
          <w:p w14:paraId="0773B461" w14:textId="77777777" w:rsidR="00CA146F" w:rsidRPr="0058349C" w:rsidRDefault="00CA146F" w:rsidP="00CA146F">
            <w:pPr>
              <w:spacing w:after="0" w:line="240" w:lineRule="auto"/>
              <w:rPr>
                <w:rFonts w:ascii="Garamond" w:eastAsia="Arial" w:hAnsi="Garamond"/>
                <w:sz w:val="18"/>
                <w:szCs w:val="18"/>
                <w:lang w:val="sq-AL"/>
              </w:rPr>
            </w:pPr>
          </w:p>
          <w:p w14:paraId="0773B462" w14:textId="77777777" w:rsidR="00CA146F" w:rsidRPr="0058349C" w:rsidRDefault="00CA146F" w:rsidP="00CA146F">
            <w:pPr>
              <w:spacing w:after="0" w:line="240" w:lineRule="auto"/>
              <w:rPr>
                <w:rFonts w:ascii="Garamond" w:hAnsi="Garamond"/>
                <w:sz w:val="18"/>
                <w:szCs w:val="18"/>
                <w:lang w:val="sq-AL"/>
              </w:rPr>
            </w:pPr>
            <w:r w:rsidRPr="0058349C">
              <w:rPr>
                <w:rFonts w:ascii="Garamond" w:eastAsia="Arial" w:hAnsi="Garamond"/>
                <w:sz w:val="18"/>
                <w:szCs w:val="18"/>
                <w:lang w:val="sq-AL"/>
              </w:rPr>
              <w:t>BK</w:t>
            </w:r>
          </w:p>
        </w:tc>
        <w:tc>
          <w:tcPr>
            <w:tcW w:w="1283" w:type="dxa"/>
            <w:shd w:val="clear" w:color="auto" w:fill="F2F2F2"/>
          </w:tcPr>
          <w:p w14:paraId="0773B463" w14:textId="77777777" w:rsidR="00CA146F" w:rsidRPr="0058349C" w:rsidRDefault="00CA146F" w:rsidP="00CA146F">
            <w:pPr>
              <w:spacing w:after="0" w:line="240" w:lineRule="auto"/>
              <w:rPr>
                <w:rFonts w:ascii="Garamond" w:eastAsia="Arial" w:hAnsi="Garamond"/>
                <w:sz w:val="18"/>
                <w:szCs w:val="18"/>
                <w:lang w:val="sq-AL"/>
              </w:rPr>
            </w:pPr>
          </w:p>
          <w:p w14:paraId="0773B464" w14:textId="77777777" w:rsidR="00CA146F" w:rsidRPr="0058349C" w:rsidRDefault="00CA146F" w:rsidP="00CA146F">
            <w:pPr>
              <w:spacing w:after="0" w:line="240" w:lineRule="auto"/>
              <w:rPr>
                <w:rFonts w:ascii="Garamond" w:hAnsi="Garamond"/>
                <w:sz w:val="18"/>
                <w:szCs w:val="18"/>
                <w:lang w:val="sq-AL"/>
              </w:rPr>
            </w:pPr>
            <w:r w:rsidRPr="0058349C">
              <w:rPr>
                <w:rFonts w:ascii="Garamond" w:eastAsia="Arial" w:hAnsi="Garamond"/>
                <w:sz w:val="18"/>
                <w:szCs w:val="18"/>
                <w:lang w:val="sq-AL"/>
              </w:rPr>
              <w:t>BK</w:t>
            </w:r>
          </w:p>
        </w:tc>
        <w:tc>
          <w:tcPr>
            <w:tcW w:w="1275" w:type="dxa"/>
            <w:shd w:val="clear" w:color="auto" w:fill="E5F7CA"/>
            <w:vAlign w:val="center"/>
          </w:tcPr>
          <w:p w14:paraId="0773B465"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10</w:t>
            </w:r>
          </w:p>
        </w:tc>
        <w:tc>
          <w:tcPr>
            <w:tcW w:w="1134" w:type="dxa"/>
            <w:shd w:val="clear" w:color="auto" w:fill="E5F7CA"/>
            <w:vAlign w:val="center"/>
          </w:tcPr>
          <w:p w14:paraId="0773B466"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30</w:t>
            </w:r>
          </w:p>
        </w:tc>
      </w:tr>
      <w:tr w:rsidR="00CA146F" w:rsidRPr="0058349C" w14:paraId="0773B471" w14:textId="77777777" w:rsidTr="00EA28DE">
        <w:trPr>
          <w:trHeight w:val="20"/>
        </w:trPr>
        <w:tc>
          <w:tcPr>
            <w:tcW w:w="384" w:type="dxa"/>
            <w:vMerge/>
            <w:shd w:val="clear" w:color="auto" w:fill="F2F2F2"/>
          </w:tcPr>
          <w:p w14:paraId="0773B468" w14:textId="77777777" w:rsidR="00CA146F" w:rsidRPr="0058349C" w:rsidRDefault="00CA146F" w:rsidP="00CA146F">
            <w:pPr>
              <w:spacing w:after="0" w:line="240" w:lineRule="auto"/>
              <w:rPr>
                <w:rFonts w:ascii="Garamond" w:hAnsi="Garamond"/>
                <w:bCs/>
                <w:sz w:val="18"/>
                <w:szCs w:val="18"/>
                <w:lang w:val="sq-AL"/>
              </w:rPr>
            </w:pPr>
          </w:p>
        </w:tc>
        <w:tc>
          <w:tcPr>
            <w:tcW w:w="2874" w:type="dxa"/>
            <w:vMerge/>
            <w:shd w:val="clear" w:color="auto" w:fill="F2F2F2"/>
          </w:tcPr>
          <w:p w14:paraId="0773B469" w14:textId="77777777" w:rsidR="00CA146F" w:rsidRPr="0058349C" w:rsidRDefault="00CA146F" w:rsidP="00CA146F">
            <w:pPr>
              <w:spacing w:after="0" w:line="240" w:lineRule="auto"/>
              <w:rPr>
                <w:rFonts w:ascii="Garamond" w:hAnsi="Garamond"/>
                <w:b/>
                <w:bCs/>
                <w:sz w:val="18"/>
                <w:szCs w:val="18"/>
                <w:lang w:val="sq-AL"/>
              </w:rPr>
            </w:pPr>
          </w:p>
        </w:tc>
        <w:tc>
          <w:tcPr>
            <w:tcW w:w="3219" w:type="dxa"/>
            <w:shd w:val="clear" w:color="auto" w:fill="F2F2F2"/>
          </w:tcPr>
          <w:p w14:paraId="0773B46A" w14:textId="3230ED16" w:rsidR="00CA146F" w:rsidRPr="0058349C" w:rsidRDefault="00CA146F" w:rsidP="00CA146F">
            <w:pPr>
              <w:spacing w:after="0" w:line="240" w:lineRule="auto"/>
              <w:rPr>
                <w:rFonts w:ascii="Garamond" w:hAnsi="Garamond"/>
                <w:sz w:val="18"/>
                <w:szCs w:val="18"/>
                <w:lang w:val="sq-AL"/>
              </w:rPr>
            </w:pPr>
            <w:r w:rsidRPr="0058349C">
              <w:rPr>
                <w:rFonts w:ascii="Garamond" w:hAnsi="Garamond"/>
                <w:sz w:val="18"/>
                <w:szCs w:val="18"/>
                <w:lang w:val="sq-AL"/>
              </w:rPr>
              <w:t>Numri i fermerëve të trajnuar për Global GAP. Do t</w:t>
            </w:r>
            <w:r w:rsidRPr="0058349C">
              <w:rPr>
                <w:rFonts w:ascii="Garamond" w:eastAsia="Arial" w:hAnsi="Garamond"/>
                <w:sz w:val="18"/>
                <w:szCs w:val="18"/>
                <w:lang w:val="sq-AL"/>
              </w:rPr>
              <w:t>ë arrijë në 500 në 2024 dhe në 1,500 deri në vitin 2027.</w:t>
            </w:r>
            <w:r w:rsidR="00CF7694" w:rsidRPr="0058349C">
              <w:rPr>
                <w:rFonts w:ascii="Garamond" w:eastAsia="Arial" w:hAnsi="Garamond"/>
                <w:sz w:val="18"/>
                <w:szCs w:val="18"/>
                <w:lang w:val="sq-AL"/>
              </w:rPr>
              <w:t xml:space="preserve"> </w:t>
            </w:r>
          </w:p>
        </w:tc>
        <w:tc>
          <w:tcPr>
            <w:tcW w:w="1419" w:type="dxa"/>
            <w:shd w:val="clear" w:color="auto" w:fill="F2F2F2"/>
            <w:vAlign w:val="center"/>
          </w:tcPr>
          <w:p w14:paraId="0773B46B"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N:200,000</w:t>
            </w:r>
          </w:p>
        </w:tc>
        <w:tc>
          <w:tcPr>
            <w:tcW w:w="1305" w:type="dxa"/>
            <w:shd w:val="clear" w:color="auto" w:fill="F2F2F2"/>
            <w:vAlign w:val="center"/>
          </w:tcPr>
          <w:p w14:paraId="0773B46C"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0</w:t>
            </w:r>
          </w:p>
        </w:tc>
        <w:tc>
          <w:tcPr>
            <w:tcW w:w="1277" w:type="dxa"/>
            <w:shd w:val="clear" w:color="auto" w:fill="F2F2F2"/>
            <w:vAlign w:val="center"/>
          </w:tcPr>
          <w:p w14:paraId="0773B46D"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N:100,000</w:t>
            </w:r>
          </w:p>
        </w:tc>
        <w:tc>
          <w:tcPr>
            <w:tcW w:w="1283" w:type="dxa"/>
            <w:shd w:val="clear" w:color="auto" w:fill="F2F2F2"/>
            <w:vAlign w:val="center"/>
          </w:tcPr>
          <w:p w14:paraId="0773B46E"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N:100,000</w:t>
            </w:r>
          </w:p>
        </w:tc>
        <w:tc>
          <w:tcPr>
            <w:tcW w:w="1275" w:type="dxa"/>
            <w:shd w:val="clear" w:color="auto" w:fill="E5F7CA"/>
            <w:vAlign w:val="center"/>
          </w:tcPr>
          <w:p w14:paraId="0773B46F"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500</w:t>
            </w:r>
          </w:p>
        </w:tc>
        <w:tc>
          <w:tcPr>
            <w:tcW w:w="1134" w:type="dxa"/>
            <w:shd w:val="clear" w:color="auto" w:fill="E5F7CA"/>
            <w:vAlign w:val="center"/>
          </w:tcPr>
          <w:p w14:paraId="0773B470"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1,500</w:t>
            </w:r>
          </w:p>
        </w:tc>
      </w:tr>
      <w:tr w:rsidR="00CA146F" w:rsidRPr="0058349C" w14:paraId="0773B47C" w14:textId="77777777" w:rsidTr="00EA28DE">
        <w:trPr>
          <w:trHeight w:val="20"/>
        </w:trPr>
        <w:tc>
          <w:tcPr>
            <w:tcW w:w="384" w:type="dxa"/>
            <w:vMerge/>
            <w:shd w:val="clear" w:color="auto" w:fill="F2F2F2"/>
          </w:tcPr>
          <w:p w14:paraId="0773B472" w14:textId="77777777" w:rsidR="00CA146F" w:rsidRPr="0058349C" w:rsidRDefault="00CA146F" w:rsidP="00CA146F">
            <w:pPr>
              <w:spacing w:after="0" w:line="240" w:lineRule="auto"/>
              <w:rPr>
                <w:rFonts w:ascii="Garamond" w:hAnsi="Garamond"/>
                <w:bCs/>
                <w:sz w:val="18"/>
                <w:szCs w:val="18"/>
                <w:lang w:val="sq-AL"/>
              </w:rPr>
            </w:pPr>
          </w:p>
        </w:tc>
        <w:tc>
          <w:tcPr>
            <w:tcW w:w="2874" w:type="dxa"/>
            <w:vMerge/>
            <w:shd w:val="clear" w:color="auto" w:fill="F2F2F2"/>
          </w:tcPr>
          <w:p w14:paraId="0773B473" w14:textId="77777777" w:rsidR="00CA146F" w:rsidRPr="0058349C" w:rsidRDefault="00CA146F" w:rsidP="00CA146F">
            <w:pPr>
              <w:spacing w:after="0" w:line="240" w:lineRule="auto"/>
              <w:rPr>
                <w:rFonts w:ascii="Garamond" w:hAnsi="Garamond"/>
                <w:b/>
                <w:bCs/>
                <w:sz w:val="18"/>
                <w:szCs w:val="18"/>
                <w:lang w:val="sq-AL"/>
              </w:rPr>
            </w:pPr>
          </w:p>
        </w:tc>
        <w:tc>
          <w:tcPr>
            <w:tcW w:w="3219" w:type="dxa"/>
            <w:shd w:val="clear" w:color="auto" w:fill="F2F2F2"/>
          </w:tcPr>
          <w:p w14:paraId="0773B475" w14:textId="01A891F8" w:rsidR="00CA146F" w:rsidRPr="0058349C" w:rsidRDefault="00CA146F" w:rsidP="00D02254">
            <w:pPr>
              <w:spacing w:after="0" w:line="240" w:lineRule="auto"/>
              <w:rPr>
                <w:rFonts w:ascii="Garamond" w:hAnsi="Garamond"/>
                <w:sz w:val="18"/>
                <w:szCs w:val="18"/>
                <w:lang w:val="sq-AL"/>
              </w:rPr>
            </w:pPr>
            <w:r w:rsidRPr="0058349C">
              <w:rPr>
                <w:rFonts w:ascii="Garamond" w:hAnsi="Garamond"/>
                <w:sz w:val="18"/>
                <w:szCs w:val="18"/>
                <w:lang w:val="sq-AL"/>
              </w:rPr>
              <w:t>Numri i punonj</w:t>
            </w:r>
            <w:r w:rsidRPr="0058349C">
              <w:rPr>
                <w:rFonts w:ascii="Garamond" w:eastAsia="Arial" w:hAnsi="Garamond"/>
                <w:sz w:val="18"/>
                <w:szCs w:val="18"/>
                <w:lang w:val="sq-AL"/>
              </w:rPr>
              <w:t>ësve</w:t>
            </w:r>
            <w:r w:rsidRPr="0058349C">
              <w:rPr>
                <w:rFonts w:ascii="Garamond" w:hAnsi="Garamond"/>
                <w:sz w:val="18"/>
                <w:szCs w:val="18"/>
                <w:lang w:val="sq-AL"/>
              </w:rPr>
              <w:t xml:space="preserve"> të nj</w:t>
            </w:r>
            <w:r w:rsidRPr="0058349C">
              <w:rPr>
                <w:rFonts w:ascii="Garamond" w:eastAsia="Arial" w:hAnsi="Garamond"/>
                <w:sz w:val="18"/>
                <w:szCs w:val="18"/>
                <w:lang w:val="sq-AL"/>
              </w:rPr>
              <w:t>ësive</w:t>
            </w:r>
            <w:r w:rsidRPr="0058349C">
              <w:rPr>
                <w:rFonts w:ascii="Garamond" w:hAnsi="Garamond"/>
                <w:sz w:val="18"/>
                <w:szCs w:val="18"/>
                <w:lang w:val="sq-AL"/>
              </w:rPr>
              <w:t xml:space="preserve"> agro-përpunuese të trajnuar p</w:t>
            </w:r>
            <w:r w:rsidRPr="0058349C">
              <w:rPr>
                <w:rFonts w:ascii="Garamond" w:eastAsia="Arial" w:hAnsi="Garamond"/>
                <w:sz w:val="18"/>
                <w:szCs w:val="18"/>
                <w:lang w:val="sq-AL"/>
              </w:rPr>
              <w:t xml:space="preserve">ër </w:t>
            </w:r>
            <w:r w:rsidRPr="0058349C">
              <w:rPr>
                <w:rFonts w:ascii="Garamond" w:hAnsi="Garamond"/>
                <w:sz w:val="18"/>
                <w:szCs w:val="18"/>
                <w:lang w:val="sq-AL"/>
              </w:rPr>
              <w:t>HACCP-indo t</w:t>
            </w:r>
            <w:r w:rsidRPr="0058349C">
              <w:rPr>
                <w:rFonts w:ascii="Garamond" w:eastAsia="Arial" w:hAnsi="Garamond"/>
                <w:sz w:val="18"/>
                <w:szCs w:val="18"/>
                <w:lang w:val="sq-AL"/>
              </w:rPr>
              <w:t>ë rritet n</w:t>
            </w:r>
            <w:r w:rsidRPr="0058349C">
              <w:rPr>
                <w:rFonts w:ascii="Garamond" w:hAnsi="Garamond"/>
                <w:sz w:val="18"/>
                <w:szCs w:val="18"/>
                <w:lang w:val="sq-AL"/>
              </w:rPr>
              <w:t xml:space="preserve">ë 125 deri në vitin 2024 dhe </w:t>
            </w:r>
            <w:r w:rsidRPr="0058349C">
              <w:rPr>
                <w:rFonts w:ascii="Garamond" w:eastAsia="Arial" w:hAnsi="Garamond"/>
                <w:sz w:val="18"/>
                <w:szCs w:val="18"/>
                <w:lang w:val="sq-AL"/>
              </w:rPr>
              <w:t>në 375 deri në vitin 2027.</w:t>
            </w:r>
          </w:p>
        </w:tc>
        <w:tc>
          <w:tcPr>
            <w:tcW w:w="1419" w:type="dxa"/>
            <w:shd w:val="clear" w:color="auto" w:fill="F2F2F2"/>
            <w:vAlign w:val="center"/>
          </w:tcPr>
          <w:p w14:paraId="0773B476"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N:50,000</w:t>
            </w:r>
          </w:p>
        </w:tc>
        <w:tc>
          <w:tcPr>
            <w:tcW w:w="1305" w:type="dxa"/>
            <w:shd w:val="clear" w:color="auto" w:fill="F2F2F2"/>
            <w:vAlign w:val="center"/>
          </w:tcPr>
          <w:p w14:paraId="0773B477"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0</w:t>
            </w:r>
          </w:p>
        </w:tc>
        <w:tc>
          <w:tcPr>
            <w:tcW w:w="1277" w:type="dxa"/>
            <w:shd w:val="clear" w:color="auto" w:fill="F2F2F2"/>
            <w:vAlign w:val="center"/>
          </w:tcPr>
          <w:p w14:paraId="0773B478"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N:25,000</w:t>
            </w:r>
          </w:p>
        </w:tc>
        <w:tc>
          <w:tcPr>
            <w:tcW w:w="1283" w:type="dxa"/>
            <w:shd w:val="clear" w:color="auto" w:fill="F2F2F2"/>
            <w:vAlign w:val="center"/>
          </w:tcPr>
          <w:p w14:paraId="0773B479"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N:25,000</w:t>
            </w:r>
          </w:p>
        </w:tc>
        <w:tc>
          <w:tcPr>
            <w:tcW w:w="1275" w:type="dxa"/>
            <w:shd w:val="clear" w:color="auto" w:fill="E5F7CA"/>
            <w:vAlign w:val="center"/>
          </w:tcPr>
          <w:p w14:paraId="0773B47A"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125</w:t>
            </w:r>
          </w:p>
        </w:tc>
        <w:tc>
          <w:tcPr>
            <w:tcW w:w="1134" w:type="dxa"/>
            <w:shd w:val="clear" w:color="auto" w:fill="E5F7CA"/>
            <w:vAlign w:val="center"/>
          </w:tcPr>
          <w:p w14:paraId="0773B47B" w14:textId="77777777" w:rsidR="00CA146F" w:rsidRPr="0058349C" w:rsidRDefault="00CA146F" w:rsidP="00CA146F">
            <w:pPr>
              <w:spacing w:after="0" w:line="240" w:lineRule="auto"/>
              <w:jc w:val="center"/>
              <w:rPr>
                <w:rFonts w:ascii="Garamond" w:hAnsi="Garamond"/>
                <w:sz w:val="18"/>
                <w:szCs w:val="18"/>
                <w:lang w:val="sq-AL"/>
              </w:rPr>
            </w:pPr>
            <w:r w:rsidRPr="0058349C">
              <w:rPr>
                <w:rFonts w:ascii="Garamond" w:hAnsi="Garamond"/>
                <w:sz w:val="18"/>
                <w:szCs w:val="18"/>
                <w:lang w:val="sq-AL"/>
              </w:rPr>
              <w:t>375</w:t>
            </w:r>
          </w:p>
        </w:tc>
      </w:tr>
    </w:tbl>
    <w:p w14:paraId="0773B47D" w14:textId="77777777" w:rsidR="00CA146F" w:rsidRPr="0058349C" w:rsidRDefault="00CA146F" w:rsidP="00C54AEA">
      <w:pPr>
        <w:pStyle w:val="TEKSTIIII"/>
        <w:rPr>
          <w:lang w:val="sq-AL"/>
        </w:rPr>
      </w:pPr>
    </w:p>
    <w:p w14:paraId="0773B47E" w14:textId="77777777" w:rsidR="00830F27" w:rsidRPr="0058349C" w:rsidRDefault="00830F27" w:rsidP="00C54AEA">
      <w:pPr>
        <w:pStyle w:val="TEKSTIIII"/>
        <w:rPr>
          <w:lang w:val="sq-AL"/>
        </w:rPr>
      </w:pPr>
    </w:p>
    <w:tbl>
      <w:tblPr>
        <w:tblpPr w:leftFromText="180" w:rightFromText="180" w:vertAnchor="text" w:tblpY="1"/>
        <w:tblOverlap w:val="never"/>
        <w:tblW w:w="14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
        <w:gridCol w:w="3234"/>
        <w:gridCol w:w="2859"/>
        <w:gridCol w:w="1419"/>
        <w:gridCol w:w="1305"/>
        <w:gridCol w:w="1277"/>
        <w:gridCol w:w="1240"/>
        <w:gridCol w:w="43"/>
        <w:gridCol w:w="1134"/>
        <w:gridCol w:w="1275"/>
        <w:gridCol w:w="8"/>
      </w:tblGrid>
      <w:tr w:rsidR="005F12DF" w:rsidRPr="0058349C" w14:paraId="0773B484" w14:textId="77777777" w:rsidTr="00CF7694">
        <w:trPr>
          <w:gridAfter w:val="1"/>
          <w:wAfter w:w="8" w:type="dxa"/>
        </w:trPr>
        <w:tc>
          <w:tcPr>
            <w:tcW w:w="6477" w:type="dxa"/>
            <w:gridSpan w:val="3"/>
            <w:shd w:val="clear" w:color="auto" w:fill="E5F7CA"/>
            <w:vAlign w:val="center"/>
          </w:tcPr>
          <w:p w14:paraId="0773B47F" w14:textId="539447C7" w:rsidR="005F12DF" w:rsidRPr="0058349C" w:rsidRDefault="00D02254" w:rsidP="005F12DF">
            <w:pPr>
              <w:shd w:val="clear" w:color="auto" w:fill="E5F7CA"/>
              <w:spacing w:after="0" w:line="240" w:lineRule="auto"/>
              <w:jc w:val="center"/>
              <w:rPr>
                <w:rFonts w:ascii="Garamond" w:eastAsia="Arial" w:hAnsi="Garamond"/>
                <w:b/>
                <w:bCs/>
                <w:sz w:val="18"/>
                <w:szCs w:val="18"/>
                <w:lang w:val="sq-AL"/>
              </w:rPr>
            </w:pPr>
            <w:r>
              <w:rPr>
                <w:rFonts w:ascii="Garamond" w:eastAsia="Arial" w:hAnsi="Garamond"/>
                <w:b/>
                <w:bCs/>
                <w:sz w:val="18"/>
                <w:szCs w:val="18"/>
                <w:lang w:val="sq-AL"/>
              </w:rPr>
              <w:t>OBJEKTIVI</w:t>
            </w:r>
            <w:r w:rsidR="00797859">
              <w:rPr>
                <w:rFonts w:ascii="Garamond" w:eastAsia="Arial" w:hAnsi="Garamond"/>
                <w:b/>
                <w:bCs/>
                <w:sz w:val="18"/>
                <w:szCs w:val="18"/>
                <w:lang w:val="sq-AL"/>
              </w:rPr>
              <w:t>/</w:t>
            </w:r>
            <w:r w:rsidR="005F12DF" w:rsidRPr="0058349C">
              <w:rPr>
                <w:rFonts w:ascii="Garamond" w:eastAsia="Arial" w:hAnsi="Garamond"/>
                <w:b/>
                <w:bCs/>
                <w:sz w:val="18"/>
                <w:szCs w:val="18"/>
                <w:lang w:val="sq-AL"/>
              </w:rPr>
              <w:t>TREGUESI</w:t>
            </w:r>
          </w:p>
        </w:tc>
        <w:tc>
          <w:tcPr>
            <w:tcW w:w="1419" w:type="dxa"/>
            <w:shd w:val="clear" w:color="auto" w:fill="E5F7CA"/>
            <w:vAlign w:val="center"/>
          </w:tcPr>
          <w:p w14:paraId="0773B480" w14:textId="77777777" w:rsidR="005F12DF" w:rsidRPr="0058349C" w:rsidRDefault="005F12DF" w:rsidP="005F12DF">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Vlera bazë – 2019 </w:t>
            </w:r>
          </w:p>
        </w:tc>
        <w:tc>
          <w:tcPr>
            <w:tcW w:w="3865" w:type="dxa"/>
            <w:gridSpan w:val="4"/>
            <w:shd w:val="clear" w:color="auto" w:fill="E5F7CA"/>
            <w:vAlign w:val="center"/>
          </w:tcPr>
          <w:p w14:paraId="0773B481" w14:textId="77777777" w:rsidR="005F12DF" w:rsidRPr="0058349C" w:rsidRDefault="005F12DF" w:rsidP="005F12DF">
            <w:pPr>
              <w:shd w:val="clear" w:color="auto" w:fill="E5F7CA"/>
              <w:spacing w:after="0" w:line="240" w:lineRule="auto"/>
              <w:jc w:val="center"/>
              <w:rPr>
                <w:rFonts w:ascii="Garamond" w:eastAsia="Arial" w:hAnsi="Garamond"/>
                <w:b/>
                <w:bCs/>
                <w:sz w:val="18"/>
                <w:szCs w:val="18"/>
                <w:lang w:val="sq-AL"/>
              </w:rPr>
            </w:pPr>
          </w:p>
        </w:tc>
        <w:tc>
          <w:tcPr>
            <w:tcW w:w="1134" w:type="dxa"/>
            <w:shd w:val="clear" w:color="auto" w:fill="E5F7CA"/>
            <w:vAlign w:val="center"/>
          </w:tcPr>
          <w:p w14:paraId="0773B482" w14:textId="4BD48D2E" w:rsidR="005F12DF" w:rsidRPr="0058349C" w:rsidRDefault="005F12DF" w:rsidP="00D02254">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Objektivi deri </w:t>
            </w:r>
            <w:r w:rsidR="00D02254">
              <w:rPr>
                <w:rFonts w:ascii="Garamond" w:eastAsia="Arial" w:hAnsi="Garamond"/>
                <w:b/>
                <w:bCs/>
                <w:sz w:val="18"/>
                <w:szCs w:val="18"/>
                <w:lang w:val="sq-AL"/>
              </w:rPr>
              <w:t>më</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2024</w:t>
            </w:r>
            <w:r w:rsidR="00D02254">
              <w:rPr>
                <w:rFonts w:ascii="Garamond" w:eastAsia="Arial" w:hAnsi="Garamond"/>
                <w:b/>
                <w:bCs/>
                <w:sz w:val="18"/>
                <w:szCs w:val="18"/>
                <w:lang w:val="sq-AL"/>
              </w:rPr>
              <w:t>-n</w:t>
            </w:r>
          </w:p>
        </w:tc>
        <w:tc>
          <w:tcPr>
            <w:tcW w:w="1275" w:type="dxa"/>
            <w:shd w:val="clear" w:color="auto" w:fill="E5F7CA"/>
            <w:vAlign w:val="center"/>
          </w:tcPr>
          <w:p w14:paraId="0773B483" w14:textId="2389A7FB" w:rsidR="005F12DF" w:rsidRPr="0058349C" w:rsidRDefault="005F12DF" w:rsidP="00D02254">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Objektivi deri </w:t>
            </w:r>
            <w:r w:rsidR="00D02254">
              <w:rPr>
                <w:rFonts w:ascii="Garamond" w:eastAsia="Arial" w:hAnsi="Garamond"/>
                <w:b/>
                <w:bCs/>
                <w:sz w:val="18"/>
                <w:szCs w:val="18"/>
                <w:lang w:val="sq-AL"/>
              </w:rPr>
              <w:t>më</w:t>
            </w:r>
            <w:r w:rsidR="00CF7694" w:rsidRPr="0058349C">
              <w:rPr>
                <w:rFonts w:ascii="Garamond" w:hAnsi="Garamond"/>
                <w:sz w:val="18"/>
                <w:szCs w:val="18"/>
                <w:lang w:val="sq-AL"/>
              </w:rPr>
              <w:t xml:space="preserve"> </w:t>
            </w:r>
            <w:r w:rsidRPr="0058349C">
              <w:rPr>
                <w:rFonts w:ascii="Garamond" w:eastAsia="Arial" w:hAnsi="Garamond"/>
                <w:b/>
                <w:bCs/>
                <w:sz w:val="18"/>
                <w:szCs w:val="18"/>
                <w:lang w:val="sq-AL"/>
              </w:rPr>
              <w:t>2027</w:t>
            </w:r>
            <w:r w:rsidR="00D02254">
              <w:rPr>
                <w:rFonts w:ascii="Garamond" w:eastAsia="Arial" w:hAnsi="Garamond"/>
                <w:b/>
                <w:bCs/>
                <w:sz w:val="18"/>
                <w:szCs w:val="18"/>
                <w:lang w:val="sq-AL"/>
              </w:rPr>
              <w:t>-n</w:t>
            </w:r>
          </w:p>
        </w:tc>
      </w:tr>
      <w:tr w:rsidR="005F12DF" w:rsidRPr="0058349C" w14:paraId="0773B486" w14:textId="77777777" w:rsidTr="00CF7694">
        <w:trPr>
          <w:trHeight w:val="477"/>
        </w:trPr>
        <w:tc>
          <w:tcPr>
            <w:tcW w:w="14178" w:type="dxa"/>
            <w:gridSpan w:val="11"/>
            <w:shd w:val="clear" w:color="auto" w:fill="E5F7CA"/>
            <w:vAlign w:val="center"/>
          </w:tcPr>
          <w:p w14:paraId="0773B485" w14:textId="77777777" w:rsidR="005F12DF" w:rsidRPr="0058349C" w:rsidRDefault="005F12DF" w:rsidP="005F12DF">
            <w:pPr>
              <w:spacing w:after="0" w:line="240" w:lineRule="auto"/>
              <w:rPr>
                <w:rFonts w:ascii="Garamond" w:eastAsia="Arial" w:hAnsi="Garamond"/>
                <w:b/>
                <w:bCs/>
                <w:sz w:val="18"/>
                <w:szCs w:val="18"/>
                <w:lang w:val="sq-AL"/>
              </w:rPr>
            </w:pPr>
            <w:r w:rsidRPr="0058349C">
              <w:rPr>
                <w:rStyle w:val="normaltextrun"/>
                <w:rFonts w:ascii="Garamond" w:eastAsia="Arial" w:hAnsi="Garamond"/>
                <w:b/>
                <w:bCs/>
                <w:sz w:val="18"/>
                <w:szCs w:val="18"/>
                <w:lang w:val="sq-AL"/>
              </w:rPr>
              <w:t>Objektivi i Përgjithshëm 2 - Forcimi i menaxhimit të qëndrueshëm të burimeve natyrore dhe ndërmarrja e veprimeve klimatike</w:t>
            </w:r>
          </w:p>
        </w:tc>
      </w:tr>
      <w:tr w:rsidR="005F12DF" w:rsidRPr="0058349C" w14:paraId="0773B48D" w14:textId="77777777" w:rsidTr="00CF7694">
        <w:trPr>
          <w:gridAfter w:val="1"/>
          <w:wAfter w:w="8" w:type="dxa"/>
        </w:trPr>
        <w:tc>
          <w:tcPr>
            <w:tcW w:w="384" w:type="dxa"/>
            <w:shd w:val="clear" w:color="auto" w:fill="E5F7CA"/>
          </w:tcPr>
          <w:p w14:paraId="0773B487" w14:textId="77777777" w:rsidR="005F12DF" w:rsidRPr="0058349C" w:rsidRDefault="005F12DF" w:rsidP="005F12DF">
            <w:pPr>
              <w:spacing w:after="0" w:line="240" w:lineRule="auto"/>
              <w:rPr>
                <w:rFonts w:ascii="Garamond" w:eastAsia="Arial" w:hAnsi="Garamond"/>
                <w:b/>
                <w:sz w:val="18"/>
                <w:szCs w:val="18"/>
                <w:lang w:val="sq-AL"/>
              </w:rPr>
            </w:pPr>
          </w:p>
        </w:tc>
        <w:tc>
          <w:tcPr>
            <w:tcW w:w="6093" w:type="dxa"/>
            <w:gridSpan w:val="2"/>
            <w:shd w:val="clear" w:color="auto" w:fill="E5F7CA"/>
          </w:tcPr>
          <w:p w14:paraId="0773B488" w14:textId="4BF93195" w:rsidR="005F12DF" w:rsidRPr="0058349C" w:rsidRDefault="005F12DF" w:rsidP="005F12DF">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 xml:space="preserve">Treguesi i ndikimit 2.2: Sipërfaqja e tokave livadhore - Kullota me </w:t>
            </w:r>
            <w:r w:rsidR="00221F3D" w:rsidRPr="0058349C">
              <w:rPr>
                <w:rFonts w:ascii="Garamond" w:eastAsia="Arial" w:hAnsi="Garamond"/>
                <w:b/>
                <w:bCs/>
                <w:sz w:val="18"/>
                <w:szCs w:val="18"/>
                <w:lang w:val="sq-AL"/>
              </w:rPr>
              <w:t xml:space="preserve">vlerë të lartë natyrore </w:t>
            </w:r>
            <w:r w:rsidRPr="0058349C">
              <w:rPr>
                <w:rFonts w:ascii="Garamond" w:eastAsia="Arial" w:hAnsi="Garamond"/>
                <w:b/>
                <w:bCs/>
                <w:sz w:val="18"/>
                <w:szCs w:val="18"/>
                <w:lang w:val="sq-AL"/>
              </w:rPr>
              <w:t>(VLN) do të përmirësohet në drejtim të mirë menaxhimit nga përdoruesit.</w:t>
            </w:r>
          </w:p>
        </w:tc>
        <w:tc>
          <w:tcPr>
            <w:tcW w:w="1419" w:type="dxa"/>
            <w:shd w:val="clear" w:color="auto" w:fill="E5F7CA"/>
            <w:vAlign w:val="center"/>
          </w:tcPr>
          <w:p w14:paraId="0773B489"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Nuk ka vlerë bazë disponibël</w:t>
            </w:r>
          </w:p>
        </w:tc>
        <w:tc>
          <w:tcPr>
            <w:tcW w:w="3822" w:type="dxa"/>
            <w:gridSpan w:val="3"/>
            <w:shd w:val="clear" w:color="auto" w:fill="E5F7CA"/>
            <w:vAlign w:val="center"/>
          </w:tcPr>
          <w:p w14:paraId="0773B48A" w14:textId="77777777" w:rsidR="005F12DF" w:rsidRPr="0058349C" w:rsidRDefault="005F12DF" w:rsidP="005F12DF">
            <w:pPr>
              <w:spacing w:after="0" w:line="240" w:lineRule="auto"/>
              <w:jc w:val="center"/>
              <w:rPr>
                <w:rFonts w:ascii="Garamond" w:eastAsia="Arial" w:hAnsi="Garamond"/>
                <w:sz w:val="18"/>
                <w:szCs w:val="18"/>
                <w:lang w:val="sq-AL"/>
              </w:rPr>
            </w:pPr>
          </w:p>
        </w:tc>
        <w:tc>
          <w:tcPr>
            <w:tcW w:w="1177" w:type="dxa"/>
            <w:gridSpan w:val="2"/>
            <w:shd w:val="clear" w:color="auto" w:fill="E5F7CA"/>
            <w:vAlign w:val="center"/>
          </w:tcPr>
          <w:p w14:paraId="0773B48B"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Mirëmbajtja</w:t>
            </w:r>
          </w:p>
        </w:tc>
        <w:tc>
          <w:tcPr>
            <w:tcW w:w="1275" w:type="dxa"/>
            <w:shd w:val="clear" w:color="auto" w:fill="E5F7CA"/>
            <w:vAlign w:val="center"/>
          </w:tcPr>
          <w:p w14:paraId="0773B48C"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Mirëmbajtja</w:t>
            </w:r>
          </w:p>
        </w:tc>
      </w:tr>
      <w:tr w:rsidR="005F12DF" w:rsidRPr="0058349C" w14:paraId="0773B494" w14:textId="77777777" w:rsidTr="00CF7694">
        <w:trPr>
          <w:gridAfter w:val="1"/>
          <w:wAfter w:w="8" w:type="dxa"/>
        </w:trPr>
        <w:tc>
          <w:tcPr>
            <w:tcW w:w="384" w:type="dxa"/>
            <w:shd w:val="clear" w:color="auto" w:fill="E5F7CA"/>
          </w:tcPr>
          <w:p w14:paraId="0773B48E" w14:textId="77777777" w:rsidR="005F12DF" w:rsidRPr="0058349C" w:rsidRDefault="005F12DF" w:rsidP="005F12DF">
            <w:pPr>
              <w:spacing w:after="0" w:line="240" w:lineRule="auto"/>
              <w:rPr>
                <w:rFonts w:ascii="Garamond" w:eastAsia="Arial" w:hAnsi="Garamond"/>
                <w:b/>
                <w:sz w:val="18"/>
                <w:szCs w:val="18"/>
                <w:lang w:val="sq-AL"/>
              </w:rPr>
            </w:pPr>
          </w:p>
        </w:tc>
        <w:tc>
          <w:tcPr>
            <w:tcW w:w="6093" w:type="dxa"/>
            <w:gridSpan w:val="2"/>
            <w:shd w:val="clear" w:color="auto" w:fill="E5F7CA"/>
          </w:tcPr>
          <w:p w14:paraId="0773B48F" w14:textId="09A25633" w:rsidR="005F12DF" w:rsidRPr="0058349C" w:rsidRDefault="005F12DF" w:rsidP="005F12DF">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 xml:space="preserve">Treguesi i ndikimit 2.3: Përmbajtja e </w:t>
            </w:r>
            <w:r w:rsidR="00221F3D" w:rsidRPr="0058349C">
              <w:rPr>
                <w:rFonts w:ascii="Garamond" w:eastAsia="Arial" w:hAnsi="Garamond"/>
                <w:b/>
                <w:bCs/>
                <w:sz w:val="18"/>
                <w:szCs w:val="18"/>
                <w:lang w:val="sq-AL"/>
              </w:rPr>
              <w:t xml:space="preserve">nitrateve </w:t>
            </w:r>
            <w:r w:rsidRPr="0058349C">
              <w:rPr>
                <w:rFonts w:ascii="Garamond" w:eastAsia="Arial" w:hAnsi="Garamond"/>
                <w:b/>
                <w:bCs/>
                <w:sz w:val="18"/>
                <w:szCs w:val="18"/>
                <w:lang w:val="sq-AL"/>
              </w:rPr>
              <w:t>në ujërat sipërfaqësore do të arrijë vlera më të ulëta ose deri n</w:t>
            </w:r>
            <w:r w:rsidRPr="0058349C">
              <w:rPr>
                <w:rStyle w:val="normaltextrun"/>
                <w:rFonts w:ascii="Garamond" w:eastAsia="Arial" w:hAnsi="Garamond"/>
                <w:b/>
                <w:bCs/>
                <w:sz w:val="18"/>
                <w:szCs w:val="18"/>
                <w:lang w:val="sq-AL"/>
              </w:rPr>
              <w:t>ë</w:t>
            </w:r>
            <w:r w:rsidRPr="0058349C">
              <w:rPr>
                <w:rFonts w:ascii="Garamond" w:eastAsia="Arial" w:hAnsi="Garamond"/>
                <w:b/>
                <w:bCs/>
                <w:sz w:val="18"/>
                <w:szCs w:val="18"/>
                <w:lang w:val="sq-AL"/>
              </w:rPr>
              <w:t xml:space="preserve"> 50 mg NO</w:t>
            </w:r>
            <w:r w:rsidRPr="0071471D">
              <w:rPr>
                <w:rFonts w:ascii="Garamond" w:eastAsia="Arial" w:hAnsi="Garamond"/>
                <w:b/>
                <w:bCs/>
                <w:sz w:val="18"/>
                <w:szCs w:val="18"/>
                <w:vertAlign w:val="subscript"/>
                <w:lang w:val="sq-AL"/>
              </w:rPr>
              <w:t>3</w:t>
            </w:r>
            <w:r w:rsidR="00797859">
              <w:rPr>
                <w:rFonts w:ascii="Garamond" w:eastAsia="Arial" w:hAnsi="Garamond"/>
                <w:b/>
                <w:bCs/>
                <w:sz w:val="18"/>
                <w:szCs w:val="18"/>
                <w:lang w:val="sq-AL"/>
              </w:rPr>
              <w:t>/</w:t>
            </w:r>
            <w:r w:rsidR="00930D2C" w:rsidRPr="0058349C">
              <w:rPr>
                <w:rFonts w:ascii="Garamond" w:eastAsia="Arial" w:hAnsi="Garamond"/>
                <w:b/>
                <w:bCs/>
                <w:sz w:val="18"/>
                <w:szCs w:val="18"/>
                <w:lang w:val="sq-AL"/>
              </w:rPr>
              <w:t xml:space="preserve">litër </w:t>
            </w:r>
          </w:p>
        </w:tc>
        <w:tc>
          <w:tcPr>
            <w:tcW w:w="1419" w:type="dxa"/>
            <w:shd w:val="clear" w:color="auto" w:fill="E5F7CA"/>
            <w:vAlign w:val="center"/>
          </w:tcPr>
          <w:p w14:paraId="0773B490"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Nuk ka vlerë bazë disponibël</w:t>
            </w:r>
          </w:p>
        </w:tc>
        <w:tc>
          <w:tcPr>
            <w:tcW w:w="3822" w:type="dxa"/>
            <w:gridSpan w:val="3"/>
            <w:shd w:val="clear" w:color="auto" w:fill="E5F7CA"/>
            <w:vAlign w:val="center"/>
          </w:tcPr>
          <w:p w14:paraId="0773B491" w14:textId="77777777" w:rsidR="005F12DF" w:rsidRPr="0058349C" w:rsidRDefault="005F12DF" w:rsidP="005F12DF">
            <w:pPr>
              <w:spacing w:after="0" w:line="240" w:lineRule="auto"/>
              <w:jc w:val="center"/>
              <w:rPr>
                <w:rFonts w:ascii="Garamond" w:eastAsia="Arial" w:hAnsi="Garamond"/>
                <w:sz w:val="18"/>
                <w:szCs w:val="18"/>
                <w:lang w:val="sq-AL"/>
              </w:rPr>
            </w:pPr>
          </w:p>
        </w:tc>
        <w:tc>
          <w:tcPr>
            <w:tcW w:w="1177" w:type="dxa"/>
            <w:gridSpan w:val="2"/>
            <w:shd w:val="clear" w:color="auto" w:fill="E5F7CA"/>
            <w:vAlign w:val="center"/>
          </w:tcPr>
          <w:p w14:paraId="0773B492"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Nën 50 mg NO</w:t>
            </w:r>
            <w:r w:rsidRPr="0071471D">
              <w:rPr>
                <w:rFonts w:ascii="Garamond" w:eastAsia="Arial" w:hAnsi="Garamond"/>
                <w:sz w:val="18"/>
                <w:szCs w:val="18"/>
                <w:vertAlign w:val="subscript"/>
                <w:lang w:val="sq-AL"/>
              </w:rPr>
              <w:t>3</w:t>
            </w:r>
            <w:r w:rsidRPr="0058349C">
              <w:rPr>
                <w:rFonts w:ascii="Garamond" w:eastAsia="Arial" w:hAnsi="Garamond"/>
                <w:sz w:val="18"/>
                <w:szCs w:val="18"/>
                <w:lang w:val="sq-AL"/>
              </w:rPr>
              <w:t>/l</w:t>
            </w:r>
          </w:p>
        </w:tc>
        <w:tc>
          <w:tcPr>
            <w:tcW w:w="1275" w:type="dxa"/>
            <w:shd w:val="clear" w:color="auto" w:fill="E5F7CA"/>
            <w:vAlign w:val="center"/>
          </w:tcPr>
          <w:p w14:paraId="0773B493"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Nën 50 mg NO</w:t>
            </w:r>
            <w:r w:rsidRPr="0071471D">
              <w:rPr>
                <w:rFonts w:ascii="Garamond" w:eastAsia="Arial" w:hAnsi="Garamond"/>
                <w:sz w:val="18"/>
                <w:szCs w:val="18"/>
                <w:vertAlign w:val="subscript"/>
                <w:lang w:val="sq-AL"/>
              </w:rPr>
              <w:t>3</w:t>
            </w:r>
            <w:r w:rsidRPr="0058349C">
              <w:rPr>
                <w:rFonts w:ascii="Garamond" w:eastAsia="Arial" w:hAnsi="Garamond"/>
                <w:sz w:val="18"/>
                <w:szCs w:val="18"/>
                <w:lang w:val="sq-AL"/>
              </w:rPr>
              <w:t>/l</w:t>
            </w:r>
          </w:p>
        </w:tc>
      </w:tr>
      <w:tr w:rsidR="005F12DF" w:rsidRPr="0058349C" w14:paraId="0773B497" w14:textId="77777777" w:rsidTr="00CF7694">
        <w:trPr>
          <w:trHeight w:val="398"/>
        </w:trPr>
        <w:tc>
          <w:tcPr>
            <w:tcW w:w="384" w:type="dxa"/>
            <w:shd w:val="clear" w:color="auto" w:fill="E5F7CA"/>
          </w:tcPr>
          <w:p w14:paraId="0773B495" w14:textId="77777777" w:rsidR="005F12DF" w:rsidRPr="0058349C" w:rsidRDefault="005F12DF" w:rsidP="005F12DF">
            <w:pPr>
              <w:spacing w:after="0" w:line="240" w:lineRule="auto"/>
              <w:rPr>
                <w:rFonts w:ascii="Garamond" w:eastAsia="Arial" w:hAnsi="Garamond"/>
                <w:b/>
                <w:bCs/>
                <w:sz w:val="18"/>
                <w:szCs w:val="18"/>
                <w:lang w:val="sq-AL"/>
              </w:rPr>
            </w:pPr>
          </w:p>
        </w:tc>
        <w:tc>
          <w:tcPr>
            <w:tcW w:w="13794" w:type="dxa"/>
            <w:gridSpan w:val="10"/>
            <w:shd w:val="clear" w:color="auto" w:fill="E5F7CA"/>
            <w:vAlign w:val="center"/>
          </w:tcPr>
          <w:p w14:paraId="0773B496" w14:textId="77777777" w:rsidR="005F12DF" w:rsidRPr="0058349C" w:rsidRDefault="005F12DF" w:rsidP="005F12DF">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Objektivi specifik 4: Kontributi në zbutjen dhe përshtatjen ndaj ndryshimeve klimatike, si dhe në energjinë e rinovueshme</w:t>
            </w:r>
          </w:p>
        </w:tc>
      </w:tr>
      <w:tr w:rsidR="005F12DF" w:rsidRPr="0058349C" w14:paraId="0773B49E" w14:textId="77777777" w:rsidTr="00CF7694">
        <w:trPr>
          <w:gridAfter w:val="1"/>
          <w:wAfter w:w="8" w:type="dxa"/>
          <w:trHeight w:val="444"/>
        </w:trPr>
        <w:tc>
          <w:tcPr>
            <w:tcW w:w="384" w:type="dxa"/>
            <w:shd w:val="clear" w:color="auto" w:fill="E5F7CA"/>
            <w:vAlign w:val="center"/>
          </w:tcPr>
          <w:p w14:paraId="0773B498" w14:textId="77777777" w:rsidR="005F12DF" w:rsidRPr="0058349C" w:rsidRDefault="005F12DF" w:rsidP="005F12DF">
            <w:pPr>
              <w:spacing w:after="0" w:line="240" w:lineRule="auto"/>
              <w:jc w:val="center"/>
              <w:rPr>
                <w:rFonts w:ascii="Garamond" w:eastAsia="Arial" w:hAnsi="Garamond"/>
                <w:b/>
                <w:sz w:val="18"/>
                <w:szCs w:val="18"/>
                <w:lang w:val="sq-AL"/>
              </w:rPr>
            </w:pPr>
          </w:p>
        </w:tc>
        <w:tc>
          <w:tcPr>
            <w:tcW w:w="6093" w:type="dxa"/>
            <w:gridSpan w:val="2"/>
            <w:shd w:val="clear" w:color="auto" w:fill="E5F7CA"/>
            <w:vAlign w:val="center"/>
          </w:tcPr>
          <w:p w14:paraId="0773B499" w14:textId="11046B45" w:rsidR="005F12DF" w:rsidRPr="0058349C" w:rsidRDefault="005F12DF" w:rsidP="005F12DF">
            <w:pPr>
              <w:spacing w:after="0" w:line="240" w:lineRule="auto"/>
              <w:rPr>
                <w:rFonts w:ascii="Garamond" w:eastAsia="Arial" w:hAnsi="Garamond"/>
                <w:sz w:val="18"/>
                <w:szCs w:val="18"/>
                <w:lang w:val="sq-AL"/>
              </w:rPr>
            </w:pPr>
            <w:r w:rsidRPr="0058349C">
              <w:rPr>
                <w:rFonts w:ascii="Garamond" w:eastAsia="Arial" w:hAnsi="Garamond"/>
                <w:b/>
                <w:bCs/>
                <w:sz w:val="18"/>
                <w:szCs w:val="18"/>
                <w:lang w:val="sq-AL"/>
              </w:rPr>
              <w:t>Treguesi i rezultatit 4.1: Pjesa e emetimeve të GS nga bujqësia do të pak</w:t>
            </w:r>
            <w:r w:rsidRPr="0058349C">
              <w:rPr>
                <w:rFonts w:ascii="Garamond" w:hAnsi="Garamond"/>
                <w:b/>
                <w:sz w:val="18"/>
                <w:szCs w:val="18"/>
                <w:lang w:val="sq-AL"/>
              </w:rPr>
              <w:t>ësohet</w:t>
            </w:r>
            <w:r w:rsidRPr="0058349C">
              <w:rPr>
                <w:rFonts w:ascii="Garamond" w:hAnsi="Garamond"/>
                <w:sz w:val="18"/>
                <w:szCs w:val="18"/>
                <w:lang w:val="sq-AL"/>
              </w:rPr>
              <w:t xml:space="preserve"> </w:t>
            </w:r>
            <w:r w:rsidRPr="0058349C">
              <w:rPr>
                <w:rFonts w:ascii="Garamond" w:eastAsia="Arial" w:hAnsi="Garamond"/>
                <w:b/>
                <w:bCs/>
                <w:sz w:val="18"/>
                <w:szCs w:val="18"/>
                <w:lang w:val="sq-AL"/>
              </w:rPr>
              <w:t>me 2,5% deri në vitin 2027 krahasuar me treguesin bazë 29.48%</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(2018)</w:t>
            </w:r>
          </w:p>
        </w:tc>
        <w:tc>
          <w:tcPr>
            <w:tcW w:w="1419" w:type="dxa"/>
            <w:shd w:val="clear" w:color="auto" w:fill="E5F7CA"/>
            <w:vAlign w:val="center"/>
          </w:tcPr>
          <w:p w14:paraId="0773B49A"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29.49% (2018)</w:t>
            </w:r>
          </w:p>
        </w:tc>
        <w:tc>
          <w:tcPr>
            <w:tcW w:w="3865" w:type="dxa"/>
            <w:gridSpan w:val="4"/>
            <w:shd w:val="clear" w:color="auto" w:fill="E5F7CA"/>
            <w:vAlign w:val="center"/>
          </w:tcPr>
          <w:p w14:paraId="0773B49B" w14:textId="77777777" w:rsidR="005F12DF" w:rsidRPr="0058349C" w:rsidRDefault="005F12DF" w:rsidP="005F12DF">
            <w:pPr>
              <w:spacing w:after="0" w:line="240" w:lineRule="auto"/>
              <w:jc w:val="center"/>
              <w:rPr>
                <w:rFonts w:ascii="Garamond" w:eastAsia="Arial" w:hAnsi="Garamond"/>
                <w:sz w:val="18"/>
                <w:szCs w:val="18"/>
                <w:lang w:val="sq-AL"/>
              </w:rPr>
            </w:pPr>
          </w:p>
        </w:tc>
        <w:tc>
          <w:tcPr>
            <w:tcW w:w="1134" w:type="dxa"/>
            <w:shd w:val="clear" w:color="auto" w:fill="E5F7CA"/>
            <w:vAlign w:val="center"/>
          </w:tcPr>
          <w:p w14:paraId="0773B49C"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28%</w:t>
            </w:r>
          </w:p>
        </w:tc>
        <w:tc>
          <w:tcPr>
            <w:tcW w:w="1275" w:type="dxa"/>
            <w:shd w:val="clear" w:color="auto" w:fill="E5F7CA"/>
            <w:vAlign w:val="center"/>
          </w:tcPr>
          <w:p w14:paraId="0773B49D"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27%</w:t>
            </w:r>
          </w:p>
        </w:tc>
      </w:tr>
      <w:tr w:rsidR="005F12DF" w:rsidRPr="0058349C" w14:paraId="0773B4A8" w14:textId="77777777" w:rsidTr="00CF7694">
        <w:trPr>
          <w:gridAfter w:val="1"/>
          <w:wAfter w:w="8" w:type="dxa"/>
        </w:trPr>
        <w:tc>
          <w:tcPr>
            <w:tcW w:w="384" w:type="dxa"/>
            <w:vMerge w:val="restart"/>
            <w:shd w:val="clear" w:color="auto" w:fill="F2F2F2"/>
          </w:tcPr>
          <w:p w14:paraId="0773B49F" w14:textId="77777777" w:rsidR="005F12DF" w:rsidRPr="0058349C" w:rsidRDefault="005F12DF" w:rsidP="005F12DF">
            <w:pPr>
              <w:spacing w:after="0" w:line="240" w:lineRule="auto"/>
              <w:rPr>
                <w:rFonts w:ascii="Garamond" w:eastAsia="Arial" w:hAnsi="Garamond"/>
                <w:b/>
                <w:sz w:val="18"/>
                <w:szCs w:val="18"/>
                <w:lang w:val="sq-AL"/>
              </w:rPr>
            </w:pPr>
          </w:p>
        </w:tc>
        <w:tc>
          <w:tcPr>
            <w:tcW w:w="3234" w:type="dxa"/>
            <w:vMerge w:val="restart"/>
            <w:shd w:val="clear" w:color="auto" w:fill="F2F2F2"/>
            <w:vAlign w:val="center"/>
          </w:tcPr>
          <w:p w14:paraId="0773B4A0" w14:textId="00F322A3"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 xml:space="preserve">Masa </w:t>
            </w:r>
            <w:r w:rsidR="00797859">
              <w:rPr>
                <w:rFonts w:ascii="Garamond" w:eastAsia="Arial" w:hAnsi="Garamond"/>
                <w:b/>
                <w:bCs/>
                <w:sz w:val="18"/>
                <w:szCs w:val="18"/>
                <w:lang w:val="sq-AL"/>
              </w:rPr>
              <w:t>/</w:t>
            </w:r>
            <w:r w:rsidR="00930D2C" w:rsidRPr="0058349C">
              <w:rPr>
                <w:rFonts w:ascii="Garamond" w:eastAsia="Arial" w:hAnsi="Garamond"/>
                <w:b/>
                <w:bCs/>
                <w:sz w:val="18"/>
                <w:szCs w:val="18"/>
                <w:lang w:val="sq-AL"/>
              </w:rPr>
              <w:t xml:space="preserve">veprimi </w:t>
            </w:r>
            <w:r w:rsidR="00930D2C">
              <w:rPr>
                <w:rFonts w:ascii="Garamond" w:eastAsia="Arial" w:hAnsi="Garamond"/>
                <w:b/>
                <w:bCs/>
                <w:sz w:val="18"/>
                <w:szCs w:val="18"/>
                <w:lang w:val="sq-AL"/>
              </w:rPr>
              <w:t>/</w:t>
            </w:r>
            <w:r w:rsidR="00930D2C" w:rsidRPr="0058349C">
              <w:rPr>
                <w:rFonts w:ascii="Garamond" w:eastAsia="Arial" w:hAnsi="Garamond"/>
                <w:b/>
                <w:bCs/>
                <w:sz w:val="18"/>
                <w:szCs w:val="18"/>
                <w:lang w:val="sq-AL"/>
              </w:rPr>
              <w:t>ndërhyrja</w:t>
            </w:r>
          </w:p>
        </w:tc>
        <w:tc>
          <w:tcPr>
            <w:tcW w:w="2859" w:type="dxa"/>
            <w:vMerge w:val="restart"/>
            <w:shd w:val="clear" w:color="auto" w:fill="F2F2F2"/>
            <w:vAlign w:val="center"/>
          </w:tcPr>
          <w:p w14:paraId="0773B4A1"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 xml:space="preserve">Treguesi i </w:t>
            </w:r>
            <w:r w:rsidRPr="0071471D">
              <w:rPr>
                <w:rFonts w:ascii="Garamond" w:eastAsia="Arial" w:hAnsi="Garamond"/>
                <w:b/>
                <w:bCs/>
                <w:i/>
                <w:iCs/>
                <w:sz w:val="18"/>
                <w:szCs w:val="18"/>
                <w:lang w:val="sq-AL"/>
              </w:rPr>
              <w:t>output</w:t>
            </w:r>
            <w:r w:rsidRPr="0058349C">
              <w:rPr>
                <w:rFonts w:ascii="Garamond" w:eastAsia="Arial" w:hAnsi="Garamond"/>
                <w:b/>
                <w:bCs/>
                <w:sz w:val="18"/>
                <w:szCs w:val="18"/>
                <w:lang w:val="sq-AL"/>
              </w:rPr>
              <w:t>-it</w:t>
            </w:r>
          </w:p>
        </w:tc>
        <w:tc>
          <w:tcPr>
            <w:tcW w:w="1419" w:type="dxa"/>
            <w:vMerge w:val="restart"/>
            <w:shd w:val="clear" w:color="auto" w:fill="F2F2F2"/>
            <w:vAlign w:val="center"/>
          </w:tcPr>
          <w:p w14:paraId="0773B4A2"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 xml:space="preserve">Buxheti total 2022 </w:t>
            </w:r>
            <w:r w:rsidRPr="0058349C">
              <w:rPr>
                <w:rFonts w:ascii="Garamond" w:eastAsia="Arial" w:hAnsi="Garamond" w:cs="Arial"/>
                <w:b/>
                <w:bCs/>
                <w:sz w:val="18"/>
                <w:szCs w:val="18"/>
                <w:lang w:val="sq-AL"/>
              </w:rPr>
              <w:t>–</w:t>
            </w:r>
            <w:r w:rsidRPr="0058349C">
              <w:rPr>
                <w:rFonts w:ascii="Garamond" w:eastAsia="Arial" w:hAnsi="Garamond"/>
                <w:b/>
                <w:bCs/>
                <w:sz w:val="18"/>
                <w:szCs w:val="18"/>
                <w:lang w:val="sq-AL"/>
              </w:rPr>
              <w:t xml:space="preserve"> 2024 (Euro)</w:t>
            </w:r>
          </w:p>
        </w:tc>
        <w:tc>
          <w:tcPr>
            <w:tcW w:w="3865" w:type="dxa"/>
            <w:gridSpan w:val="4"/>
            <w:shd w:val="clear" w:color="auto" w:fill="F2F2F2"/>
            <w:vAlign w:val="center"/>
          </w:tcPr>
          <w:p w14:paraId="0773B4A3" w14:textId="7193F60D" w:rsidR="005F12DF" w:rsidRPr="0058349C" w:rsidRDefault="005F12DF" w:rsidP="005F12DF">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Buxheti i alokuar</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(Euro)</w:t>
            </w:r>
          </w:p>
          <w:p w14:paraId="0773B4A4" w14:textId="77777777" w:rsidR="005F12DF" w:rsidRPr="0058349C" w:rsidRDefault="005F12DF" w:rsidP="005F12DF">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2022 </w:t>
            </w:r>
            <w:r w:rsidRPr="0058349C">
              <w:rPr>
                <w:rFonts w:ascii="Garamond" w:eastAsia="Arial" w:hAnsi="Garamond" w:cs="Arial"/>
                <w:b/>
                <w:bCs/>
                <w:sz w:val="18"/>
                <w:szCs w:val="18"/>
                <w:lang w:val="sq-AL"/>
              </w:rPr>
              <w:t>–</w:t>
            </w:r>
            <w:r w:rsidRPr="0058349C">
              <w:rPr>
                <w:rFonts w:ascii="Garamond" w:eastAsia="Arial" w:hAnsi="Garamond"/>
                <w:b/>
                <w:bCs/>
                <w:sz w:val="18"/>
                <w:szCs w:val="18"/>
                <w:lang w:val="sq-AL"/>
              </w:rPr>
              <w:t xml:space="preserve"> 2024</w:t>
            </w:r>
          </w:p>
          <w:p w14:paraId="0773B4A5" w14:textId="7970C4D3"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(N = nevoja,</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nuk mbulohet nga buxheti kombëtar/buxheti IPA III</w:t>
            </w:r>
            <w:r w:rsidR="00C259A4">
              <w:rPr>
                <w:rFonts w:ascii="Garamond" w:eastAsia="Arial" w:hAnsi="Garamond"/>
                <w:b/>
                <w:bCs/>
                <w:sz w:val="18"/>
                <w:szCs w:val="18"/>
                <w:lang w:val="sq-AL"/>
              </w:rPr>
              <w:t>)</w:t>
            </w:r>
          </w:p>
        </w:tc>
        <w:tc>
          <w:tcPr>
            <w:tcW w:w="1134" w:type="dxa"/>
            <w:vMerge w:val="restart"/>
            <w:shd w:val="clear" w:color="auto" w:fill="E5F7CA"/>
            <w:vAlign w:val="center"/>
          </w:tcPr>
          <w:p w14:paraId="0773B4A6" w14:textId="73F3A2FD" w:rsidR="005F12DF" w:rsidRPr="0058349C" w:rsidRDefault="005F12DF" w:rsidP="0071471D">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 xml:space="preserve">Objektivi </w:t>
            </w:r>
            <w:r w:rsidR="0071471D">
              <w:rPr>
                <w:rFonts w:ascii="Garamond" w:eastAsia="Arial" w:hAnsi="Garamond"/>
                <w:b/>
                <w:bCs/>
                <w:sz w:val="18"/>
                <w:szCs w:val="18"/>
                <w:lang w:val="sq-AL"/>
              </w:rPr>
              <w:t>m</w:t>
            </w:r>
            <w:r w:rsidRPr="0058349C">
              <w:rPr>
                <w:rFonts w:ascii="Garamond" w:eastAsia="Arial" w:hAnsi="Garamond"/>
                <w:b/>
                <w:bCs/>
                <w:sz w:val="18"/>
                <w:szCs w:val="18"/>
                <w:lang w:val="sq-AL"/>
              </w:rPr>
              <w:t>ë 2024</w:t>
            </w:r>
            <w:r w:rsidR="0071471D">
              <w:rPr>
                <w:rFonts w:ascii="Garamond" w:eastAsia="Arial" w:hAnsi="Garamond"/>
                <w:b/>
                <w:bCs/>
                <w:sz w:val="18"/>
                <w:szCs w:val="18"/>
                <w:lang w:val="sq-AL"/>
              </w:rPr>
              <w:t>-n</w:t>
            </w:r>
          </w:p>
        </w:tc>
        <w:tc>
          <w:tcPr>
            <w:tcW w:w="1275" w:type="dxa"/>
            <w:vMerge w:val="restart"/>
            <w:shd w:val="clear" w:color="auto" w:fill="E5F7CA"/>
            <w:vAlign w:val="center"/>
          </w:tcPr>
          <w:p w14:paraId="0773B4A7" w14:textId="7747F8C8" w:rsidR="005F12DF" w:rsidRPr="0058349C" w:rsidRDefault="005F12DF" w:rsidP="0071471D">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Objektivi </w:t>
            </w:r>
            <w:r w:rsidR="0071471D">
              <w:rPr>
                <w:rFonts w:ascii="Garamond" w:eastAsia="Arial" w:hAnsi="Garamond"/>
                <w:b/>
                <w:bCs/>
                <w:sz w:val="18"/>
                <w:szCs w:val="18"/>
                <w:lang w:val="sq-AL"/>
              </w:rPr>
              <w:t>m</w:t>
            </w:r>
            <w:r w:rsidRPr="0058349C">
              <w:rPr>
                <w:rFonts w:ascii="Garamond" w:eastAsia="Arial" w:hAnsi="Garamond"/>
                <w:b/>
                <w:bCs/>
                <w:sz w:val="18"/>
                <w:szCs w:val="18"/>
                <w:lang w:val="sq-AL"/>
              </w:rPr>
              <w:t>ë 2027</w:t>
            </w:r>
            <w:r w:rsidR="0071471D">
              <w:rPr>
                <w:rFonts w:ascii="Garamond" w:eastAsia="Arial" w:hAnsi="Garamond"/>
                <w:b/>
                <w:bCs/>
                <w:sz w:val="18"/>
                <w:szCs w:val="18"/>
                <w:lang w:val="sq-AL"/>
              </w:rPr>
              <w:t>-n</w:t>
            </w:r>
          </w:p>
        </w:tc>
      </w:tr>
      <w:tr w:rsidR="005F12DF" w:rsidRPr="0058349C" w14:paraId="0773B4B2" w14:textId="77777777" w:rsidTr="00CF7694">
        <w:trPr>
          <w:gridAfter w:val="1"/>
          <w:wAfter w:w="8" w:type="dxa"/>
        </w:trPr>
        <w:tc>
          <w:tcPr>
            <w:tcW w:w="384" w:type="dxa"/>
            <w:vMerge/>
            <w:shd w:val="clear" w:color="auto" w:fill="F2F2F2"/>
          </w:tcPr>
          <w:p w14:paraId="0773B4A9" w14:textId="77777777" w:rsidR="005F12DF" w:rsidRPr="0058349C" w:rsidRDefault="005F12DF" w:rsidP="005F12DF">
            <w:pPr>
              <w:spacing w:after="0" w:line="240" w:lineRule="auto"/>
              <w:rPr>
                <w:rFonts w:ascii="Garamond" w:eastAsia="Arial" w:hAnsi="Garamond"/>
                <w:b/>
                <w:sz w:val="18"/>
                <w:szCs w:val="18"/>
                <w:lang w:val="sq-AL"/>
              </w:rPr>
            </w:pPr>
          </w:p>
        </w:tc>
        <w:tc>
          <w:tcPr>
            <w:tcW w:w="3234" w:type="dxa"/>
            <w:vMerge/>
            <w:shd w:val="clear" w:color="auto" w:fill="F2F2F2"/>
          </w:tcPr>
          <w:p w14:paraId="0773B4AA" w14:textId="77777777" w:rsidR="005F12DF" w:rsidRPr="0058349C" w:rsidRDefault="005F12DF" w:rsidP="005F12DF">
            <w:pPr>
              <w:spacing w:after="0" w:line="240" w:lineRule="auto"/>
              <w:rPr>
                <w:rFonts w:ascii="Garamond" w:eastAsia="Arial" w:hAnsi="Garamond"/>
                <w:b/>
                <w:bCs/>
                <w:sz w:val="18"/>
                <w:szCs w:val="18"/>
                <w:lang w:val="sq-AL"/>
              </w:rPr>
            </w:pPr>
          </w:p>
        </w:tc>
        <w:tc>
          <w:tcPr>
            <w:tcW w:w="2859" w:type="dxa"/>
            <w:vMerge/>
            <w:shd w:val="clear" w:color="auto" w:fill="F2F2F2"/>
          </w:tcPr>
          <w:p w14:paraId="0773B4AB" w14:textId="77777777" w:rsidR="005F12DF" w:rsidRPr="0058349C" w:rsidRDefault="005F12DF" w:rsidP="005F12DF">
            <w:pPr>
              <w:spacing w:after="0" w:line="240" w:lineRule="auto"/>
              <w:rPr>
                <w:rFonts w:ascii="Garamond" w:eastAsia="Arial" w:hAnsi="Garamond"/>
                <w:b/>
                <w:bCs/>
                <w:sz w:val="18"/>
                <w:szCs w:val="18"/>
                <w:lang w:val="sq-AL"/>
              </w:rPr>
            </w:pPr>
          </w:p>
        </w:tc>
        <w:tc>
          <w:tcPr>
            <w:tcW w:w="1419" w:type="dxa"/>
            <w:vMerge/>
            <w:shd w:val="clear" w:color="auto" w:fill="F2F2F2"/>
          </w:tcPr>
          <w:p w14:paraId="0773B4AC" w14:textId="77777777" w:rsidR="005F12DF" w:rsidRPr="0058349C" w:rsidRDefault="005F12DF" w:rsidP="005F12DF">
            <w:pPr>
              <w:spacing w:after="0" w:line="240" w:lineRule="auto"/>
              <w:rPr>
                <w:rFonts w:ascii="Garamond" w:eastAsia="Arial" w:hAnsi="Garamond"/>
                <w:sz w:val="18"/>
                <w:szCs w:val="18"/>
                <w:lang w:val="sq-AL"/>
              </w:rPr>
            </w:pPr>
          </w:p>
        </w:tc>
        <w:tc>
          <w:tcPr>
            <w:tcW w:w="1305" w:type="dxa"/>
            <w:shd w:val="clear" w:color="auto" w:fill="F2F2F2"/>
          </w:tcPr>
          <w:p w14:paraId="0773B4AD"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2022</w:t>
            </w:r>
          </w:p>
        </w:tc>
        <w:tc>
          <w:tcPr>
            <w:tcW w:w="1277" w:type="dxa"/>
            <w:shd w:val="clear" w:color="auto" w:fill="F2F2F2"/>
          </w:tcPr>
          <w:p w14:paraId="0773B4AE"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2023</w:t>
            </w:r>
          </w:p>
        </w:tc>
        <w:tc>
          <w:tcPr>
            <w:tcW w:w="1283" w:type="dxa"/>
            <w:gridSpan w:val="2"/>
            <w:shd w:val="clear" w:color="auto" w:fill="F2F2F2"/>
          </w:tcPr>
          <w:p w14:paraId="0773B4AF"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2024</w:t>
            </w:r>
          </w:p>
        </w:tc>
        <w:tc>
          <w:tcPr>
            <w:tcW w:w="1134" w:type="dxa"/>
            <w:vMerge/>
            <w:shd w:val="clear" w:color="auto" w:fill="auto"/>
          </w:tcPr>
          <w:p w14:paraId="0773B4B0" w14:textId="77777777" w:rsidR="005F12DF" w:rsidRPr="0058349C" w:rsidRDefault="005F12DF" w:rsidP="005F12DF">
            <w:pPr>
              <w:spacing w:after="0" w:line="240" w:lineRule="auto"/>
              <w:rPr>
                <w:rFonts w:ascii="Garamond" w:eastAsia="Arial" w:hAnsi="Garamond"/>
                <w:sz w:val="18"/>
                <w:szCs w:val="18"/>
                <w:lang w:val="sq-AL"/>
              </w:rPr>
            </w:pPr>
          </w:p>
        </w:tc>
        <w:tc>
          <w:tcPr>
            <w:tcW w:w="1275" w:type="dxa"/>
            <w:vMerge/>
            <w:shd w:val="clear" w:color="auto" w:fill="auto"/>
          </w:tcPr>
          <w:p w14:paraId="0773B4B1" w14:textId="77777777" w:rsidR="005F12DF" w:rsidRPr="0058349C" w:rsidRDefault="005F12DF" w:rsidP="005F12DF">
            <w:pPr>
              <w:spacing w:after="0" w:line="240" w:lineRule="auto"/>
              <w:rPr>
                <w:rFonts w:ascii="Garamond" w:eastAsia="Arial" w:hAnsi="Garamond"/>
                <w:sz w:val="18"/>
                <w:szCs w:val="18"/>
                <w:lang w:val="sq-AL"/>
              </w:rPr>
            </w:pPr>
          </w:p>
        </w:tc>
      </w:tr>
      <w:tr w:rsidR="005F12DF" w:rsidRPr="0058349C" w14:paraId="0773B4BD" w14:textId="77777777" w:rsidTr="00CF7694">
        <w:trPr>
          <w:gridAfter w:val="1"/>
          <w:wAfter w:w="8" w:type="dxa"/>
        </w:trPr>
        <w:tc>
          <w:tcPr>
            <w:tcW w:w="384" w:type="dxa"/>
            <w:shd w:val="clear" w:color="auto" w:fill="F2F2F2"/>
          </w:tcPr>
          <w:p w14:paraId="0773B4B3" w14:textId="77777777" w:rsidR="005F12DF" w:rsidRPr="0058349C" w:rsidRDefault="005F12DF" w:rsidP="005F12DF">
            <w:pPr>
              <w:spacing w:after="0" w:line="240" w:lineRule="auto"/>
              <w:rPr>
                <w:rFonts w:ascii="Garamond" w:eastAsia="Arial" w:hAnsi="Garamond"/>
                <w:b/>
                <w:sz w:val="18"/>
                <w:szCs w:val="18"/>
                <w:lang w:val="sq-AL"/>
              </w:rPr>
            </w:pPr>
          </w:p>
        </w:tc>
        <w:tc>
          <w:tcPr>
            <w:tcW w:w="3234" w:type="dxa"/>
            <w:shd w:val="clear" w:color="auto" w:fill="F2F2F2"/>
          </w:tcPr>
          <w:p w14:paraId="0773B4B4" w14:textId="1C069DD4" w:rsidR="005F12DF" w:rsidRPr="0058349C" w:rsidRDefault="005F12DF" w:rsidP="005F12DF">
            <w:pPr>
              <w:spacing w:after="0" w:line="240" w:lineRule="auto"/>
              <w:rPr>
                <w:rFonts w:ascii="Garamond" w:eastAsia="Arial" w:hAnsi="Garamond"/>
                <w:b/>
                <w:bCs/>
                <w:sz w:val="18"/>
                <w:szCs w:val="18"/>
                <w:lang w:val="sq-AL"/>
              </w:rPr>
            </w:pPr>
            <w:r w:rsidRPr="0058349C">
              <w:rPr>
                <w:rFonts w:ascii="Garamond" w:eastAsia="Arial" w:hAnsi="Garamond" w:cs="Segoe UI"/>
                <w:b/>
                <w:bCs/>
                <w:sz w:val="18"/>
                <w:szCs w:val="18"/>
                <w:lang w:val="sq-AL"/>
              </w:rPr>
              <w:t>Futja n</w:t>
            </w:r>
            <w:r w:rsidRPr="0058349C">
              <w:rPr>
                <w:rFonts w:ascii="Garamond" w:hAnsi="Garamond"/>
                <w:b/>
                <w:sz w:val="18"/>
                <w:szCs w:val="18"/>
                <w:lang w:val="sq-AL"/>
              </w:rPr>
              <w:t>ë zbatim</w:t>
            </w:r>
            <w:r w:rsidRPr="0058349C">
              <w:rPr>
                <w:rFonts w:ascii="Garamond" w:eastAsia="Arial" w:hAnsi="Garamond" w:cs="Segoe UI"/>
                <w:b/>
                <w:bCs/>
                <w:sz w:val="18"/>
                <w:szCs w:val="18"/>
                <w:lang w:val="sq-AL"/>
              </w:rPr>
              <w:t xml:space="preserve"> e kushteve të mira bujqësore dhe mjedisore</w:t>
            </w:r>
            <w:r w:rsidR="00CF7694" w:rsidRPr="0058349C">
              <w:rPr>
                <w:rFonts w:ascii="Garamond" w:eastAsia="Arial" w:hAnsi="Garamond" w:cs="Segoe UI"/>
                <w:b/>
                <w:bCs/>
                <w:sz w:val="18"/>
                <w:szCs w:val="18"/>
                <w:lang w:val="sq-AL"/>
              </w:rPr>
              <w:t xml:space="preserve"> </w:t>
            </w:r>
          </w:p>
        </w:tc>
        <w:tc>
          <w:tcPr>
            <w:tcW w:w="2859" w:type="dxa"/>
            <w:shd w:val="clear" w:color="auto" w:fill="F2F2F2"/>
          </w:tcPr>
          <w:p w14:paraId="0773B4B5" w14:textId="0E249892" w:rsidR="005F12DF" w:rsidRPr="0058349C" w:rsidRDefault="005F12DF" w:rsidP="005F12DF">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fermave t</w:t>
            </w:r>
            <w:r w:rsidRPr="0058349C">
              <w:rPr>
                <w:rFonts w:ascii="Garamond" w:eastAsia="Arial" w:hAnsi="Garamond"/>
                <w:bCs/>
                <w:sz w:val="18"/>
                <w:szCs w:val="18"/>
                <w:lang w:val="sq-AL"/>
              </w:rPr>
              <w:t xml:space="preserve">ë mbështetura </w:t>
            </w:r>
            <w:r w:rsidRPr="0058349C">
              <w:rPr>
                <w:rFonts w:ascii="Garamond" w:eastAsia="Arial" w:hAnsi="Garamond"/>
                <w:sz w:val="18"/>
                <w:szCs w:val="18"/>
                <w:lang w:val="sq-AL"/>
              </w:rPr>
              <w:t>me kushtëzime që lidhen me zbutjen dhe përshtatjen ndaj ndryshimeve klimatike (p.sh., ndali</w:t>
            </w:r>
            <w:r w:rsidR="00930D2C">
              <w:rPr>
                <w:rFonts w:ascii="Garamond" w:eastAsia="Arial" w:hAnsi="Garamond"/>
                <w:sz w:val="18"/>
                <w:szCs w:val="18"/>
                <w:lang w:val="sq-AL"/>
              </w:rPr>
              <w:t>mi i djegies së bimësisë</w:t>
            </w:r>
            <w:r w:rsidR="00797859">
              <w:rPr>
                <w:rFonts w:ascii="Garamond" w:eastAsia="Arial" w:hAnsi="Garamond"/>
                <w:sz w:val="18"/>
                <w:szCs w:val="18"/>
                <w:lang w:val="sq-AL"/>
              </w:rPr>
              <w:t>/</w:t>
            </w:r>
            <w:r w:rsidR="00930D2C">
              <w:rPr>
                <w:rFonts w:ascii="Garamond" w:eastAsia="Arial" w:hAnsi="Garamond"/>
                <w:sz w:val="18"/>
                <w:szCs w:val="18"/>
                <w:lang w:val="sq-AL"/>
              </w:rPr>
              <w:t>mbetjet e bimësisë</w:t>
            </w:r>
            <w:r w:rsidR="00797859">
              <w:rPr>
                <w:rFonts w:ascii="Garamond" w:eastAsia="Arial" w:hAnsi="Garamond"/>
                <w:sz w:val="18"/>
                <w:szCs w:val="18"/>
                <w:lang w:val="sq-AL"/>
              </w:rPr>
              <w:t>/</w:t>
            </w:r>
            <w:r w:rsidR="00930D2C">
              <w:rPr>
                <w:rFonts w:ascii="Garamond" w:eastAsia="Arial" w:hAnsi="Garamond"/>
                <w:sz w:val="18"/>
                <w:szCs w:val="18"/>
                <w:lang w:val="sq-AL"/>
              </w:rPr>
              <w:t>barërat e këqija</w:t>
            </w:r>
            <w:r w:rsidR="00797859">
              <w:rPr>
                <w:rFonts w:ascii="Garamond" w:eastAsia="Arial" w:hAnsi="Garamond"/>
                <w:sz w:val="18"/>
                <w:szCs w:val="18"/>
                <w:lang w:val="sq-AL"/>
              </w:rPr>
              <w:t>/</w:t>
            </w:r>
            <w:r w:rsidRPr="0058349C">
              <w:rPr>
                <w:rFonts w:ascii="Garamond" w:eastAsia="Arial" w:hAnsi="Garamond"/>
                <w:sz w:val="18"/>
                <w:szCs w:val="18"/>
                <w:lang w:val="sq-AL"/>
              </w:rPr>
              <w:t>kashta) do t</w:t>
            </w:r>
            <w:r w:rsidRPr="0058349C">
              <w:rPr>
                <w:rFonts w:ascii="Garamond" w:eastAsia="Arial" w:hAnsi="Garamond"/>
                <w:bCs/>
                <w:sz w:val="18"/>
                <w:szCs w:val="18"/>
                <w:lang w:val="sq-AL"/>
              </w:rPr>
              <w:t>ë rritet në 10,000 deri në vitin 2027.</w:t>
            </w:r>
          </w:p>
          <w:p w14:paraId="0773B4B6" w14:textId="77777777" w:rsidR="005F12DF" w:rsidRPr="0058349C" w:rsidRDefault="005F12DF" w:rsidP="005F12DF">
            <w:pPr>
              <w:spacing w:after="0" w:line="240" w:lineRule="auto"/>
              <w:rPr>
                <w:rFonts w:ascii="Garamond" w:eastAsia="Arial" w:hAnsi="Garamond"/>
                <w:sz w:val="18"/>
                <w:szCs w:val="18"/>
                <w:lang w:val="sq-AL"/>
              </w:rPr>
            </w:pPr>
          </w:p>
        </w:tc>
        <w:tc>
          <w:tcPr>
            <w:tcW w:w="1419" w:type="dxa"/>
            <w:shd w:val="clear" w:color="auto" w:fill="F2F2F2"/>
            <w:vAlign w:val="center"/>
          </w:tcPr>
          <w:p w14:paraId="0773B4B7" w14:textId="77777777" w:rsidR="005F12DF" w:rsidRPr="0058349C" w:rsidRDefault="005F12DF" w:rsidP="005F12DF">
            <w:pPr>
              <w:spacing w:after="0" w:line="240" w:lineRule="auto"/>
              <w:rPr>
                <w:rFonts w:ascii="Garamond" w:eastAsia="Arial" w:hAnsi="Garamond"/>
                <w:sz w:val="18"/>
                <w:szCs w:val="18"/>
                <w:lang w:val="sq-AL"/>
              </w:rPr>
            </w:pPr>
            <w:r w:rsidRPr="0058349C">
              <w:rPr>
                <w:rFonts w:ascii="Garamond" w:eastAsia="Arial" w:hAnsi="Garamond"/>
                <w:sz w:val="18"/>
                <w:szCs w:val="18"/>
                <w:lang w:val="sq-AL"/>
              </w:rPr>
              <w:t>Jo disiponib</w:t>
            </w:r>
            <w:r w:rsidRPr="0058349C">
              <w:rPr>
                <w:rFonts w:ascii="Garamond" w:eastAsia="Arial" w:hAnsi="Garamond"/>
                <w:bCs/>
                <w:sz w:val="18"/>
                <w:szCs w:val="18"/>
                <w:lang w:val="sq-AL"/>
              </w:rPr>
              <w:t>ël</w:t>
            </w:r>
            <w:r w:rsidRPr="0058349C">
              <w:rPr>
                <w:rFonts w:ascii="Garamond" w:eastAsia="Arial" w:hAnsi="Garamond"/>
                <w:sz w:val="18"/>
                <w:szCs w:val="18"/>
                <w:lang w:val="sq-AL"/>
              </w:rPr>
              <w:t xml:space="preserve"> - pasi është vetëm një kusht i lidhur me pagesat për sipërfaqen.</w:t>
            </w:r>
          </w:p>
        </w:tc>
        <w:tc>
          <w:tcPr>
            <w:tcW w:w="1305" w:type="dxa"/>
            <w:shd w:val="clear" w:color="auto" w:fill="F2F2F2"/>
            <w:vAlign w:val="center"/>
          </w:tcPr>
          <w:p w14:paraId="0773B4B8"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77" w:type="dxa"/>
            <w:shd w:val="clear" w:color="auto" w:fill="F2F2F2"/>
            <w:vAlign w:val="center"/>
          </w:tcPr>
          <w:p w14:paraId="0773B4B9"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3" w:type="dxa"/>
            <w:gridSpan w:val="2"/>
            <w:shd w:val="clear" w:color="auto" w:fill="F2F2F2"/>
            <w:vAlign w:val="center"/>
          </w:tcPr>
          <w:p w14:paraId="0773B4BA"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4BB"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7,000</w:t>
            </w:r>
          </w:p>
        </w:tc>
        <w:tc>
          <w:tcPr>
            <w:tcW w:w="1275" w:type="dxa"/>
            <w:shd w:val="clear" w:color="auto" w:fill="E5F7CA"/>
            <w:vAlign w:val="center"/>
          </w:tcPr>
          <w:p w14:paraId="0773B4BC"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10,000</w:t>
            </w:r>
          </w:p>
        </w:tc>
      </w:tr>
      <w:tr w:rsidR="005F12DF" w:rsidRPr="0058349C" w14:paraId="0773B4C8" w14:textId="77777777" w:rsidTr="00CF7694">
        <w:trPr>
          <w:gridAfter w:val="1"/>
          <w:wAfter w:w="8" w:type="dxa"/>
          <w:trHeight w:val="526"/>
        </w:trPr>
        <w:tc>
          <w:tcPr>
            <w:tcW w:w="384" w:type="dxa"/>
            <w:shd w:val="clear" w:color="auto" w:fill="F2F2F2"/>
          </w:tcPr>
          <w:p w14:paraId="0773B4BE" w14:textId="77777777" w:rsidR="005F12DF" w:rsidRPr="0058349C" w:rsidRDefault="005F12DF" w:rsidP="005F12DF">
            <w:pPr>
              <w:spacing w:after="0" w:line="240" w:lineRule="auto"/>
              <w:rPr>
                <w:rFonts w:ascii="Garamond" w:eastAsia="Arial" w:hAnsi="Garamond"/>
                <w:b/>
                <w:sz w:val="18"/>
                <w:szCs w:val="18"/>
                <w:lang w:val="sq-AL"/>
              </w:rPr>
            </w:pPr>
          </w:p>
        </w:tc>
        <w:tc>
          <w:tcPr>
            <w:tcW w:w="3234" w:type="dxa"/>
            <w:shd w:val="clear" w:color="auto" w:fill="F2F2F2"/>
          </w:tcPr>
          <w:p w14:paraId="0773B4BF" w14:textId="77777777" w:rsidR="005F12DF" w:rsidRPr="0058349C" w:rsidRDefault="005F12DF" w:rsidP="005F12DF">
            <w:pPr>
              <w:spacing w:after="0" w:line="240" w:lineRule="auto"/>
              <w:rPr>
                <w:rFonts w:ascii="Garamond" w:eastAsia="Arial" w:hAnsi="Garamond" w:cs="Segoe UI"/>
                <w:b/>
                <w:bCs/>
                <w:sz w:val="18"/>
                <w:szCs w:val="18"/>
                <w:lang w:val="sq-AL"/>
              </w:rPr>
            </w:pPr>
            <w:r w:rsidRPr="0058349C">
              <w:rPr>
                <w:rFonts w:ascii="Garamond" w:hAnsi="Garamond"/>
                <w:b/>
                <w:bCs/>
                <w:sz w:val="18"/>
                <w:szCs w:val="18"/>
                <w:lang w:val="sq-AL"/>
              </w:rPr>
              <w:t>Mb</w:t>
            </w:r>
            <w:r w:rsidRPr="0058349C">
              <w:rPr>
                <w:rFonts w:ascii="Garamond" w:hAnsi="Garamond"/>
                <w:b/>
                <w:sz w:val="18"/>
                <w:szCs w:val="18"/>
                <w:lang w:val="sq-AL"/>
              </w:rPr>
              <w:t xml:space="preserve">ështetje për mbarështimin e </w:t>
            </w:r>
            <w:r w:rsidRPr="0058349C">
              <w:rPr>
                <w:rFonts w:ascii="Garamond" w:hAnsi="Garamond"/>
                <w:b/>
                <w:bCs/>
                <w:sz w:val="18"/>
                <w:szCs w:val="18"/>
                <w:lang w:val="sq-AL"/>
              </w:rPr>
              <w:t>Racave lokale</w:t>
            </w:r>
          </w:p>
        </w:tc>
        <w:tc>
          <w:tcPr>
            <w:tcW w:w="2859" w:type="dxa"/>
            <w:shd w:val="clear" w:color="auto" w:fill="F2F2F2"/>
          </w:tcPr>
          <w:p w14:paraId="0773B4C0" w14:textId="2D2BE8C7" w:rsidR="005F12DF" w:rsidRPr="0058349C" w:rsidRDefault="005F12DF" w:rsidP="005F12DF">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fermave t</w:t>
            </w:r>
            <w:r w:rsidRPr="0058349C">
              <w:rPr>
                <w:rFonts w:ascii="Garamond" w:eastAsia="Arial" w:hAnsi="Garamond"/>
                <w:bCs/>
                <w:sz w:val="18"/>
                <w:szCs w:val="18"/>
                <w:lang w:val="sq-AL"/>
              </w:rPr>
              <w:t>ë</w:t>
            </w:r>
            <w:r w:rsidRPr="0058349C">
              <w:rPr>
                <w:rFonts w:ascii="Garamond" w:eastAsia="Arial" w:hAnsi="Garamond"/>
                <w:sz w:val="18"/>
                <w:szCs w:val="18"/>
                <w:lang w:val="sq-AL"/>
              </w:rPr>
              <w:t xml:space="preserve"> ripërtypësve të vegjël të mbështetura në vit (IPARD III </w:t>
            </w:r>
            <w:r w:rsidR="00930D2C">
              <w:rPr>
                <w:rFonts w:ascii="Garamond" w:eastAsia="Arial" w:hAnsi="Garamond"/>
                <w:sz w:val="18"/>
                <w:szCs w:val="18"/>
                <w:lang w:val="sq-AL"/>
              </w:rPr>
              <w:t>–</w:t>
            </w:r>
            <w:r w:rsidRPr="0058349C">
              <w:rPr>
                <w:rFonts w:ascii="Garamond" w:eastAsia="Arial" w:hAnsi="Garamond"/>
                <w:sz w:val="18"/>
                <w:szCs w:val="18"/>
                <w:lang w:val="sq-AL"/>
              </w:rPr>
              <w:t xml:space="preserve"> Masa 4, orientuese - 50% e buxhetit të M4) do t</w:t>
            </w:r>
            <w:r w:rsidRPr="0058349C">
              <w:rPr>
                <w:rFonts w:ascii="Garamond" w:eastAsia="Arial" w:hAnsi="Garamond"/>
                <w:bCs/>
                <w:sz w:val="18"/>
                <w:szCs w:val="18"/>
                <w:lang w:val="sq-AL"/>
              </w:rPr>
              <w:t xml:space="preserve">ë arrijë në 2,100 </w:t>
            </w:r>
            <w:r w:rsidRPr="0058349C">
              <w:rPr>
                <w:rFonts w:ascii="Garamond" w:eastAsia="Arial" w:hAnsi="Garamond"/>
                <w:bCs/>
                <w:sz w:val="18"/>
                <w:szCs w:val="18"/>
                <w:lang w:val="sq-AL"/>
              </w:rPr>
              <w:lastRenderedPageBreak/>
              <w:t>në vitin 2024.</w:t>
            </w:r>
          </w:p>
          <w:p w14:paraId="0773B4C1" w14:textId="77777777" w:rsidR="005F12DF" w:rsidRPr="0058349C" w:rsidRDefault="005F12DF" w:rsidP="005F12DF">
            <w:pPr>
              <w:spacing w:after="0" w:line="240" w:lineRule="auto"/>
              <w:rPr>
                <w:rFonts w:ascii="Garamond" w:eastAsia="Arial" w:hAnsi="Garamond"/>
                <w:b/>
                <w:bCs/>
                <w:sz w:val="18"/>
                <w:szCs w:val="18"/>
                <w:lang w:val="sq-AL"/>
              </w:rPr>
            </w:pPr>
          </w:p>
        </w:tc>
        <w:tc>
          <w:tcPr>
            <w:tcW w:w="1419" w:type="dxa"/>
            <w:shd w:val="clear" w:color="auto" w:fill="F2F2F2"/>
            <w:vAlign w:val="center"/>
          </w:tcPr>
          <w:p w14:paraId="0773B4C2"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lastRenderedPageBreak/>
              <w:t>118,840</w:t>
            </w:r>
          </w:p>
        </w:tc>
        <w:tc>
          <w:tcPr>
            <w:tcW w:w="1305" w:type="dxa"/>
            <w:shd w:val="clear" w:color="auto" w:fill="F2F2F2"/>
            <w:vAlign w:val="center"/>
          </w:tcPr>
          <w:p w14:paraId="0773B4C3"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77" w:type="dxa"/>
            <w:shd w:val="clear" w:color="auto" w:fill="F2F2F2"/>
            <w:vAlign w:val="center"/>
          </w:tcPr>
          <w:p w14:paraId="0773B4C4"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48,000</w:t>
            </w:r>
          </w:p>
        </w:tc>
        <w:tc>
          <w:tcPr>
            <w:tcW w:w="1283" w:type="dxa"/>
            <w:gridSpan w:val="2"/>
            <w:shd w:val="clear" w:color="auto" w:fill="F2F2F2"/>
            <w:vAlign w:val="center"/>
          </w:tcPr>
          <w:p w14:paraId="0773B4C5"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70,840</w:t>
            </w:r>
          </w:p>
        </w:tc>
        <w:tc>
          <w:tcPr>
            <w:tcW w:w="1134" w:type="dxa"/>
            <w:shd w:val="clear" w:color="auto" w:fill="E5F7CA"/>
            <w:vAlign w:val="center"/>
          </w:tcPr>
          <w:p w14:paraId="0773B4C6"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2,100</w:t>
            </w:r>
          </w:p>
        </w:tc>
        <w:tc>
          <w:tcPr>
            <w:tcW w:w="1275" w:type="dxa"/>
            <w:shd w:val="clear" w:color="auto" w:fill="E5F7CA"/>
            <w:vAlign w:val="center"/>
          </w:tcPr>
          <w:p w14:paraId="0773B4C7"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2,100</w:t>
            </w:r>
          </w:p>
        </w:tc>
      </w:tr>
      <w:tr w:rsidR="005F12DF" w:rsidRPr="0058349C" w14:paraId="0773B4D3" w14:textId="77777777" w:rsidTr="00CF7694">
        <w:trPr>
          <w:gridAfter w:val="1"/>
          <w:wAfter w:w="8" w:type="dxa"/>
        </w:trPr>
        <w:tc>
          <w:tcPr>
            <w:tcW w:w="384" w:type="dxa"/>
            <w:shd w:val="clear" w:color="auto" w:fill="F2F2F2"/>
          </w:tcPr>
          <w:p w14:paraId="0773B4C9" w14:textId="77777777" w:rsidR="005F12DF" w:rsidRPr="0058349C" w:rsidRDefault="005F12DF" w:rsidP="005F12DF">
            <w:pPr>
              <w:spacing w:after="0" w:line="240" w:lineRule="auto"/>
              <w:rPr>
                <w:rFonts w:ascii="Garamond" w:eastAsia="Arial" w:hAnsi="Garamond"/>
                <w:b/>
                <w:sz w:val="18"/>
                <w:szCs w:val="18"/>
                <w:lang w:val="sq-AL"/>
              </w:rPr>
            </w:pPr>
          </w:p>
        </w:tc>
        <w:tc>
          <w:tcPr>
            <w:tcW w:w="3234" w:type="dxa"/>
            <w:shd w:val="clear" w:color="auto" w:fill="F2F2F2"/>
          </w:tcPr>
          <w:p w14:paraId="0773B4CA" w14:textId="5F4752B2" w:rsidR="005F12DF" w:rsidRPr="0058349C" w:rsidRDefault="005F12DF" w:rsidP="005F12DF">
            <w:pPr>
              <w:spacing w:after="0" w:line="240" w:lineRule="auto"/>
              <w:rPr>
                <w:rFonts w:ascii="Garamond" w:eastAsia="Arial" w:hAnsi="Garamond"/>
                <w:b/>
                <w:bCs/>
                <w:sz w:val="18"/>
                <w:szCs w:val="18"/>
                <w:lang w:val="sq-AL"/>
              </w:rPr>
            </w:pPr>
            <w:r w:rsidRPr="0058349C">
              <w:rPr>
                <w:rFonts w:ascii="Garamond" w:hAnsi="Garamond"/>
                <w:b/>
                <w:bCs/>
                <w:sz w:val="18"/>
                <w:szCs w:val="18"/>
                <w:lang w:val="sq-AL"/>
              </w:rPr>
              <w:t>Mb</w:t>
            </w:r>
            <w:r w:rsidRPr="0058349C">
              <w:rPr>
                <w:rFonts w:ascii="Garamond" w:eastAsia="Arial" w:hAnsi="Garamond"/>
                <w:b/>
                <w:sz w:val="18"/>
                <w:szCs w:val="18"/>
                <w:lang w:val="sq-AL"/>
              </w:rPr>
              <w:t xml:space="preserve">ështetje për </w:t>
            </w:r>
            <w:r w:rsidR="00930D2C" w:rsidRPr="0058349C">
              <w:rPr>
                <w:rFonts w:ascii="Garamond" w:hAnsi="Garamond"/>
                <w:b/>
                <w:bCs/>
                <w:sz w:val="18"/>
                <w:szCs w:val="18"/>
                <w:lang w:val="sq-AL"/>
              </w:rPr>
              <w:t xml:space="preserve">ullishte </w:t>
            </w:r>
            <w:r w:rsidRPr="0058349C">
              <w:rPr>
                <w:rFonts w:ascii="Garamond" w:hAnsi="Garamond"/>
                <w:b/>
                <w:bCs/>
                <w:sz w:val="18"/>
                <w:szCs w:val="18"/>
                <w:lang w:val="sq-AL"/>
              </w:rPr>
              <w:t xml:space="preserve">tradicionale të mirëmbajtura </w:t>
            </w:r>
          </w:p>
        </w:tc>
        <w:tc>
          <w:tcPr>
            <w:tcW w:w="2859" w:type="dxa"/>
            <w:shd w:val="clear" w:color="auto" w:fill="F2F2F2"/>
          </w:tcPr>
          <w:p w14:paraId="0773B4CC" w14:textId="7A705F11" w:rsidR="005F12DF" w:rsidRPr="0058349C" w:rsidRDefault="005F12DF" w:rsidP="00930D2C">
            <w:pPr>
              <w:spacing w:after="0" w:line="240" w:lineRule="auto"/>
              <w:rPr>
                <w:rFonts w:ascii="Garamond" w:eastAsia="Arial" w:hAnsi="Garamond"/>
                <w:sz w:val="18"/>
                <w:szCs w:val="18"/>
                <w:lang w:val="sq-AL"/>
              </w:rPr>
            </w:pPr>
            <w:r w:rsidRPr="0058349C">
              <w:rPr>
                <w:rFonts w:ascii="Garamond" w:eastAsia="Arial" w:hAnsi="Garamond"/>
                <w:sz w:val="18"/>
                <w:szCs w:val="18"/>
                <w:lang w:val="sq-AL"/>
              </w:rPr>
              <w:t>Ha të mbështetur në vit n</w:t>
            </w:r>
            <w:r w:rsidRPr="0058349C">
              <w:rPr>
                <w:rFonts w:ascii="Garamond" w:eastAsia="Arial" w:hAnsi="Garamond"/>
                <w:bCs/>
                <w:sz w:val="18"/>
                <w:szCs w:val="18"/>
                <w:lang w:val="sq-AL"/>
              </w:rPr>
              <w:t>ë</w:t>
            </w:r>
            <w:r w:rsidR="00CF7694" w:rsidRPr="0058349C">
              <w:rPr>
                <w:rFonts w:ascii="Garamond" w:eastAsia="Arial" w:hAnsi="Garamond"/>
                <w:sz w:val="18"/>
                <w:szCs w:val="18"/>
                <w:lang w:val="sq-AL"/>
              </w:rPr>
              <w:t xml:space="preserve"> </w:t>
            </w:r>
            <w:r w:rsidRPr="0058349C">
              <w:rPr>
                <w:rFonts w:ascii="Garamond" w:eastAsia="Arial" w:hAnsi="Garamond"/>
                <w:sz w:val="18"/>
                <w:szCs w:val="18"/>
                <w:lang w:val="sq-AL"/>
              </w:rPr>
              <w:t>kuad</w:t>
            </w:r>
            <w:r w:rsidRPr="0058349C">
              <w:rPr>
                <w:rFonts w:ascii="Garamond" w:eastAsia="Arial" w:hAnsi="Garamond"/>
                <w:bCs/>
                <w:sz w:val="18"/>
                <w:szCs w:val="18"/>
                <w:lang w:val="sq-AL"/>
              </w:rPr>
              <w:t>ë</w:t>
            </w:r>
            <w:r w:rsidRPr="0058349C">
              <w:rPr>
                <w:rFonts w:ascii="Garamond" w:eastAsia="Arial" w:hAnsi="Garamond"/>
                <w:sz w:val="18"/>
                <w:szCs w:val="18"/>
                <w:lang w:val="sq-AL"/>
              </w:rPr>
              <w:t>r t</w:t>
            </w:r>
            <w:r w:rsidRPr="0058349C">
              <w:rPr>
                <w:rFonts w:ascii="Garamond" w:eastAsia="Arial" w:hAnsi="Garamond"/>
                <w:bCs/>
                <w:sz w:val="18"/>
                <w:szCs w:val="18"/>
                <w:lang w:val="sq-AL"/>
              </w:rPr>
              <w:t>ë</w:t>
            </w:r>
            <w:r w:rsidRPr="0058349C">
              <w:rPr>
                <w:rFonts w:ascii="Garamond" w:eastAsia="Arial" w:hAnsi="Garamond"/>
                <w:sz w:val="18"/>
                <w:szCs w:val="18"/>
                <w:lang w:val="sq-AL"/>
              </w:rPr>
              <w:t xml:space="preserve"> IPARD III</w:t>
            </w:r>
            <w:r w:rsidR="00930D2C">
              <w:rPr>
                <w:rFonts w:ascii="Garamond" w:eastAsia="Arial" w:hAnsi="Garamond"/>
                <w:sz w:val="18"/>
                <w:szCs w:val="18"/>
                <w:lang w:val="sq-AL"/>
              </w:rPr>
              <w:t xml:space="preserve"> – </w:t>
            </w:r>
            <w:r w:rsidRPr="0058349C">
              <w:rPr>
                <w:rFonts w:ascii="Garamond" w:eastAsia="Arial" w:hAnsi="Garamond"/>
                <w:sz w:val="18"/>
                <w:szCs w:val="18"/>
                <w:lang w:val="sq-AL"/>
              </w:rPr>
              <w:t>M</w:t>
            </w:r>
            <w:r w:rsidR="00930D2C">
              <w:rPr>
                <w:rFonts w:ascii="Garamond" w:eastAsia="Arial" w:hAnsi="Garamond"/>
                <w:sz w:val="18"/>
                <w:szCs w:val="18"/>
                <w:lang w:val="sq-AL"/>
              </w:rPr>
              <w:t>asa 4</w:t>
            </w:r>
            <w:r w:rsidR="00CF7694" w:rsidRPr="0058349C">
              <w:rPr>
                <w:rFonts w:ascii="Garamond" w:eastAsia="Arial" w:hAnsi="Garamond"/>
                <w:sz w:val="18"/>
                <w:szCs w:val="18"/>
                <w:lang w:val="sq-AL"/>
              </w:rPr>
              <w:t xml:space="preserve"> </w:t>
            </w:r>
            <w:r w:rsidRPr="0058349C">
              <w:rPr>
                <w:rFonts w:ascii="Garamond" w:eastAsia="Arial" w:hAnsi="Garamond"/>
                <w:sz w:val="18"/>
                <w:szCs w:val="18"/>
                <w:lang w:val="sq-AL"/>
              </w:rPr>
              <w:t>(buxheti orientues- 25% e totalit t</w:t>
            </w:r>
            <w:r w:rsidRPr="0058349C">
              <w:rPr>
                <w:rFonts w:ascii="Garamond" w:hAnsi="Garamond"/>
                <w:sz w:val="18"/>
                <w:szCs w:val="18"/>
                <w:lang w:val="sq-AL"/>
              </w:rPr>
              <w:t>ë M4</w:t>
            </w:r>
            <w:r w:rsidRPr="0058349C">
              <w:rPr>
                <w:rFonts w:ascii="Garamond" w:eastAsia="Arial" w:hAnsi="Garamond"/>
                <w:sz w:val="18"/>
                <w:szCs w:val="18"/>
                <w:lang w:val="sq-AL"/>
              </w:rPr>
              <w:t>) do t</w:t>
            </w:r>
            <w:r w:rsidRPr="0058349C">
              <w:rPr>
                <w:rFonts w:ascii="Garamond" w:eastAsia="Arial" w:hAnsi="Garamond"/>
                <w:bCs/>
                <w:sz w:val="18"/>
                <w:szCs w:val="18"/>
                <w:lang w:val="sq-AL"/>
              </w:rPr>
              <w:t xml:space="preserve">ë arrijë në 500 </w:t>
            </w:r>
            <w:r w:rsidR="00930D2C" w:rsidRPr="0058349C">
              <w:rPr>
                <w:rFonts w:ascii="Garamond" w:eastAsia="Arial" w:hAnsi="Garamond"/>
                <w:bCs/>
                <w:sz w:val="18"/>
                <w:szCs w:val="18"/>
                <w:lang w:val="sq-AL"/>
              </w:rPr>
              <w:t xml:space="preserve">ha </w:t>
            </w:r>
            <w:r w:rsidRPr="0058349C">
              <w:rPr>
                <w:rFonts w:ascii="Garamond" w:eastAsia="Arial" w:hAnsi="Garamond"/>
                <w:bCs/>
                <w:sz w:val="18"/>
                <w:szCs w:val="18"/>
                <w:lang w:val="sq-AL"/>
              </w:rPr>
              <w:t>në vitin 2024.</w:t>
            </w:r>
          </w:p>
        </w:tc>
        <w:tc>
          <w:tcPr>
            <w:tcW w:w="1419" w:type="dxa"/>
            <w:shd w:val="clear" w:color="auto" w:fill="F2F2F2"/>
            <w:vAlign w:val="center"/>
          </w:tcPr>
          <w:p w14:paraId="0773B4CD"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60,000</w:t>
            </w:r>
          </w:p>
        </w:tc>
        <w:tc>
          <w:tcPr>
            <w:tcW w:w="1305" w:type="dxa"/>
            <w:shd w:val="clear" w:color="auto" w:fill="F2F2F2"/>
            <w:vAlign w:val="center"/>
          </w:tcPr>
          <w:p w14:paraId="0773B4CE"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77" w:type="dxa"/>
            <w:shd w:val="clear" w:color="auto" w:fill="F2F2F2"/>
            <w:vAlign w:val="center"/>
          </w:tcPr>
          <w:p w14:paraId="0773B4CF"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24,000</w:t>
            </w:r>
          </w:p>
        </w:tc>
        <w:tc>
          <w:tcPr>
            <w:tcW w:w="1283" w:type="dxa"/>
            <w:gridSpan w:val="2"/>
            <w:shd w:val="clear" w:color="auto" w:fill="F2F2F2"/>
            <w:vAlign w:val="center"/>
          </w:tcPr>
          <w:p w14:paraId="0773B4D0"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35,420</w:t>
            </w:r>
          </w:p>
        </w:tc>
        <w:tc>
          <w:tcPr>
            <w:tcW w:w="1134" w:type="dxa"/>
            <w:shd w:val="clear" w:color="auto" w:fill="E5F7CA"/>
            <w:vAlign w:val="center"/>
          </w:tcPr>
          <w:p w14:paraId="0773B4D1"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500</w:t>
            </w:r>
          </w:p>
        </w:tc>
        <w:tc>
          <w:tcPr>
            <w:tcW w:w="1275" w:type="dxa"/>
            <w:shd w:val="clear" w:color="auto" w:fill="E5F7CA"/>
            <w:vAlign w:val="center"/>
          </w:tcPr>
          <w:p w14:paraId="0773B4D2"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500</w:t>
            </w:r>
          </w:p>
        </w:tc>
      </w:tr>
      <w:tr w:rsidR="005F12DF" w:rsidRPr="0058349C" w14:paraId="0773B4DE" w14:textId="77777777" w:rsidTr="00CF7694">
        <w:trPr>
          <w:gridAfter w:val="1"/>
          <w:wAfter w:w="8" w:type="dxa"/>
          <w:trHeight w:val="167"/>
        </w:trPr>
        <w:tc>
          <w:tcPr>
            <w:tcW w:w="384" w:type="dxa"/>
            <w:shd w:val="clear" w:color="auto" w:fill="F2F2F2"/>
          </w:tcPr>
          <w:p w14:paraId="0773B4D4" w14:textId="77777777" w:rsidR="005F12DF" w:rsidRPr="0058349C" w:rsidRDefault="005F12DF" w:rsidP="005F12DF">
            <w:pPr>
              <w:spacing w:after="0" w:line="240" w:lineRule="auto"/>
              <w:rPr>
                <w:rFonts w:ascii="Garamond" w:eastAsia="Arial" w:hAnsi="Garamond"/>
                <w:b/>
                <w:sz w:val="18"/>
                <w:szCs w:val="18"/>
                <w:lang w:val="sq-AL"/>
              </w:rPr>
            </w:pPr>
          </w:p>
        </w:tc>
        <w:tc>
          <w:tcPr>
            <w:tcW w:w="3234" w:type="dxa"/>
            <w:shd w:val="clear" w:color="auto" w:fill="F2F2F2"/>
          </w:tcPr>
          <w:p w14:paraId="0773B4D5" w14:textId="4ECAF4A2" w:rsidR="005F12DF" w:rsidRPr="0058349C" w:rsidRDefault="005F12DF" w:rsidP="005F12DF">
            <w:pPr>
              <w:spacing w:after="0" w:line="240" w:lineRule="auto"/>
              <w:rPr>
                <w:rFonts w:ascii="Garamond" w:eastAsia="Arial" w:hAnsi="Garamond" w:cs="Segoe UI"/>
                <w:b/>
                <w:bCs/>
                <w:sz w:val="18"/>
                <w:szCs w:val="18"/>
                <w:lang w:val="sq-AL"/>
              </w:rPr>
            </w:pPr>
            <w:r w:rsidRPr="0058349C">
              <w:rPr>
                <w:rFonts w:ascii="Garamond" w:eastAsia="Arial" w:hAnsi="Garamond" w:cs="Segoe UI"/>
                <w:b/>
                <w:bCs/>
                <w:sz w:val="18"/>
                <w:szCs w:val="18"/>
                <w:lang w:val="sq-AL"/>
              </w:rPr>
              <w:t>Mb</w:t>
            </w:r>
            <w:r w:rsidRPr="0058349C">
              <w:rPr>
                <w:rFonts w:ascii="Garamond" w:eastAsia="Arial" w:hAnsi="Garamond"/>
                <w:b/>
                <w:sz w:val="18"/>
                <w:szCs w:val="18"/>
                <w:lang w:val="sq-AL"/>
              </w:rPr>
              <w:t xml:space="preserve">ështetje për </w:t>
            </w:r>
            <w:r w:rsidR="00930D2C" w:rsidRPr="0058349C">
              <w:rPr>
                <w:rFonts w:ascii="Garamond" w:eastAsia="Arial" w:hAnsi="Garamond" w:cs="Segoe UI"/>
                <w:b/>
                <w:bCs/>
                <w:sz w:val="18"/>
                <w:szCs w:val="18"/>
                <w:lang w:val="sq-AL"/>
              </w:rPr>
              <w:t>pyllëzimin</w:t>
            </w:r>
            <w:r w:rsidR="00797859">
              <w:rPr>
                <w:rFonts w:ascii="Garamond" w:eastAsia="Arial" w:hAnsi="Garamond" w:cs="Segoe UI"/>
                <w:b/>
                <w:bCs/>
                <w:sz w:val="18"/>
                <w:szCs w:val="18"/>
                <w:lang w:val="sq-AL"/>
              </w:rPr>
              <w:t>/</w:t>
            </w:r>
            <w:r w:rsidRPr="0058349C">
              <w:rPr>
                <w:rFonts w:ascii="Garamond" w:eastAsia="Arial" w:hAnsi="Garamond" w:cs="Segoe UI"/>
                <w:b/>
                <w:bCs/>
                <w:sz w:val="18"/>
                <w:szCs w:val="18"/>
                <w:lang w:val="sq-AL"/>
              </w:rPr>
              <w:t>ripyll</w:t>
            </w:r>
            <w:r w:rsidRPr="0058349C">
              <w:rPr>
                <w:rFonts w:ascii="Garamond" w:eastAsia="Arial" w:hAnsi="Garamond"/>
                <w:b/>
                <w:sz w:val="18"/>
                <w:szCs w:val="18"/>
                <w:lang w:val="sq-AL"/>
              </w:rPr>
              <w:t>ëzimin</w:t>
            </w:r>
          </w:p>
        </w:tc>
        <w:tc>
          <w:tcPr>
            <w:tcW w:w="2859" w:type="dxa"/>
            <w:shd w:val="clear" w:color="auto" w:fill="F2F2F2"/>
          </w:tcPr>
          <w:p w14:paraId="0773B4D7" w14:textId="71E2842B" w:rsidR="005F12DF" w:rsidRPr="0058349C" w:rsidRDefault="005F12DF" w:rsidP="00930D2C">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ha të pyllëzuar me mb</w:t>
            </w:r>
            <w:r w:rsidRPr="0058349C">
              <w:rPr>
                <w:rFonts w:ascii="Garamond" w:eastAsia="Arial" w:hAnsi="Garamond"/>
                <w:bCs/>
                <w:sz w:val="18"/>
                <w:szCs w:val="18"/>
                <w:lang w:val="sq-AL"/>
              </w:rPr>
              <w:t>ë</w:t>
            </w:r>
            <w:r w:rsidRPr="0058349C">
              <w:rPr>
                <w:rFonts w:ascii="Garamond" w:eastAsia="Arial" w:hAnsi="Garamond"/>
                <w:sz w:val="18"/>
                <w:szCs w:val="18"/>
                <w:lang w:val="sq-AL"/>
              </w:rPr>
              <w:t>shtetjen e ofruar n</w:t>
            </w:r>
            <w:r w:rsidRPr="0058349C">
              <w:rPr>
                <w:rFonts w:ascii="Garamond" w:eastAsia="Arial" w:hAnsi="Garamond"/>
                <w:bCs/>
                <w:sz w:val="18"/>
                <w:szCs w:val="18"/>
                <w:lang w:val="sq-AL"/>
              </w:rPr>
              <w:t>ë</w:t>
            </w:r>
            <w:r w:rsidR="00CF7694" w:rsidRPr="0058349C">
              <w:rPr>
                <w:rFonts w:ascii="Garamond" w:eastAsia="Arial" w:hAnsi="Garamond"/>
                <w:sz w:val="18"/>
                <w:szCs w:val="18"/>
                <w:lang w:val="sq-AL"/>
              </w:rPr>
              <w:t xml:space="preserve"> </w:t>
            </w:r>
            <w:r w:rsidRPr="0058349C">
              <w:rPr>
                <w:rFonts w:ascii="Garamond" w:eastAsia="Arial" w:hAnsi="Garamond"/>
                <w:sz w:val="18"/>
                <w:szCs w:val="18"/>
                <w:lang w:val="sq-AL"/>
              </w:rPr>
              <w:t>kuad</w:t>
            </w:r>
            <w:r w:rsidRPr="0058349C">
              <w:rPr>
                <w:rFonts w:ascii="Garamond" w:eastAsia="Arial" w:hAnsi="Garamond"/>
                <w:bCs/>
                <w:sz w:val="18"/>
                <w:szCs w:val="18"/>
                <w:lang w:val="sq-AL"/>
              </w:rPr>
              <w:t>ë</w:t>
            </w:r>
            <w:r w:rsidRPr="0058349C">
              <w:rPr>
                <w:rFonts w:ascii="Garamond" w:eastAsia="Arial" w:hAnsi="Garamond"/>
                <w:sz w:val="18"/>
                <w:szCs w:val="18"/>
                <w:lang w:val="sq-AL"/>
              </w:rPr>
              <w:t>r t</w:t>
            </w:r>
            <w:r w:rsidRPr="0058349C">
              <w:rPr>
                <w:rFonts w:ascii="Garamond" w:eastAsia="Arial" w:hAnsi="Garamond"/>
                <w:bCs/>
                <w:sz w:val="18"/>
                <w:szCs w:val="18"/>
                <w:lang w:val="sq-AL"/>
              </w:rPr>
              <w:t>ë</w:t>
            </w:r>
            <w:r w:rsidRPr="0058349C">
              <w:rPr>
                <w:rFonts w:ascii="Garamond" w:eastAsia="Arial" w:hAnsi="Garamond"/>
                <w:sz w:val="18"/>
                <w:szCs w:val="18"/>
                <w:lang w:val="sq-AL"/>
              </w:rPr>
              <w:t xml:space="preserve"> IPARD III</w:t>
            </w:r>
            <w:r w:rsidR="00930D2C">
              <w:rPr>
                <w:rFonts w:ascii="Garamond" w:eastAsia="Arial" w:hAnsi="Garamond"/>
                <w:sz w:val="18"/>
                <w:szCs w:val="18"/>
                <w:lang w:val="sq-AL"/>
              </w:rPr>
              <w:t xml:space="preserve"> </w:t>
            </w:r>
            <w:r w:rsidRPr="0058349C">
              <w:rPr>
                <w:rFonts w:ascii="Garamond" w:eastAsia="Arial" w:hAnsi="Garamond"/>
                <w:sz w:val="18"/>
                <w:szCs w:val="18"/>
                <w:lang w:val="sq-AL"/>
              </w:rPr>
              <w:t>–</w:t>
            </w:r>
            <w:r w:rsidR="00930D2C">
              <w:rPr>
                <w:rFonts w:ascii="Garamond" w:eastAsia="Arial" w:hAnsi="Garamond"/>
                <w:sz w:val="18"/>
                <w:szCs w:val="18"/>
                <w:lang w:val="sq-AL"/>
              </w:rPr>
              <w:t xml:space="preserve"> </w:t>
            </w:r>
            <w:r w:rsidRPr="0058349C">
              <w:rPr>
                <w:rFonts w:ascii="Garamond" w:eastAsia="Arial" w:hAnsi="Garamond"/>
                <w:sz w:val="18"/>
                <w:szCs w:val="18"/>
                <w:lang w:val="sq-AL"/>
              </w:rPr>
              <w:t>Masa</w:t>
            </w:r>
            <w:r w:rsidR="00930D2C">
              <w:rPr>
                <w:rFonts w:ascii="Garamond" w:eastAsia="Arial" w:hAnsi="Garamond"/>
                <w:sz w:val="18"/>
                <w:szCs w:val="18"/>
                <w:lang w:val="sq-AL"/>
              </w:rPr>
              <w:t xml:space="preserve"> </w:t>
            </w:r>
            <w:r w:rsidRPr="0058349C">
              <w:rPr>
                <w:rFonts w:ascii="Garamond" w:eastAsia="Arial" w:hAnsi="Garamond"/>
                <w:sz w:val="18"/>
                <w:szCs w:val="18"/>
                <w:lang w:val="sq-AL"/>
              </w:rPr>
              <w:t>11 do t</w:t>
            </w:r>
            <w:r w:rsidRPr="0058349C">
              <w:rPr>
                <w:rFonts w:ascii="Garamond" w:eastAsia="Arial" w:hAnsi="Garamond"/>
                <w:bCs/>
                <w:sz w:val="18"/>
                <w:szCs w:val="18"/>
                <w:lang w:val="sq-AL"/>
              </w:rPr>
              <w:t xml:space="preserve">ë arrijë në 297 </w:t>
            </w:r>
            <w:r w:rsidR="00930D2C" w:rsidRPr="0058349C">
              <w:rPr>
                <w:rFonts w:ascii="Garamond" w:eastAsia="Arial" w:hAnsi="Garamond"/>
                <w:bCs/>
                <w:sz w:val="18"/>
                <w:szCs w:val="18"/>
                <w:lang w:val="sq-AL"/>
              </w:rPr>
              <w:t xml:space="preserve">ha </w:t>
            </w:r>
            <w:r w:rsidRPr="0058349C">
              <w:rPr>
                <w:rFonts w:ascii="Garamond" w:eastAsia="Arial" w:hAnsi="Garamond"/>
                <w:bCs/>
                <w:sz w:val="18"/>
                <w:szCs w:val="18"/>
                <w:lang w:val="sq-AL"/>
              </w:rPr>
              <w:t>në 2027.</w:t>
            </w:r>
          </w:p>
        </w:tc>
        <w:tc>
          <w:tcPr>
            <w:tcW w:w="1419" w:type="dxa"/>
            <w:shd w:val="clear" w:color="auto" w:fill="F2F2F2"/>
            <w:vAlign w:val="center"/>
          </w:tcPr>
          <w:p w14:paraId="0773B4D8"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2,400,000</w:t>
            </w:r>
          </w:p>
        </w:tc>
        <w:tc>
          <w:tcPr>
            <w:tcW w:w="1305" w:type="dxa"/>
            <w:shd w:val="clear" w:color="auto" w:fill="F2F2F2"/>
            <w:vAlign w:val="center"/>
          </w:tcPr>
          <w:p w14:paraId="0773B4D9"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77" w:type="dxa"/>
            <w:shd w:val="clear" w:color="auto" w:fill="F2F2F2"/>
            <w:vAlign w:val="center"/>
          </w:tcPr>
          <w:p w14:paraId="0773B4DA"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1,200,000</w:t>
            </w:r>
          </w:p>
        </w:tc>
        <w:tc>
          <w:tcPr>
            <w:tcW w:w="1283" w:type="dxa"/>
            <w:gridSpan w:val="2"/>
            <w:shd w:val="clear" w:color="auto" w:fill="F2F2F2"/>
            <w:vAlign w:val="center"/>
          </w:tcPr>
          <w:p w14:paraId="0773B4DB"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1,200,000</w:t>
            </w:r>
          </w:p>
        </w:tc>
        <w:tc>
          <w:tcPr>
            <w:tcW w:w="1134" w:type="dxa"/>
            <w:shd w:val="clear" w:color="auto" w:fill="E5F7CA"/>
            <w:vAlign w:val="center"/>
          </w:tcPr>
          <w:p w14:paraId="0773B4DC"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60</w:t>
            </w:r>
          </w:p>
        </w:tc>
        <w:tc>
          <w:tcPr>
            <w:tcW w:w="1275" w:type="dxa"/>
            <w:shd w:val="clear" w:color="auto" w:fill="E5F7CA"/>
            <w:vAlign w:val="center"/>
          </w:tcPr>
          <w:p w14:paraId="0773B4DD"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297</w:t>
            </w:r>
          </w:p>
        </w:tc>
      </w:tr>
      <w:tr w:rsidR="005F12DF" w:rsidRPr="0058349C" w14:paraId="0773B4E9" w14:textId="77777777" w:rsidTr="00CF7694">
        <w:trPr>
          <w:gridAfter w:val="1"/>
          <w:wAfter w:w="8" w:type="dxa"/>
          <w:trHeight w:val="167"/>
        </w:trPr>
        <w:tc>
          <w:tcPr>
            <w:tcW w:w="384" w:type="dxa"/>
            <w:shd w:val="clear" w:color="auto" w:fill="F2F2F2"/>
          </w:tcPr>
          <w:p w14:paraId="0773B4DF" w14:textId="77777777" w:rsidR="005F12DF" w:rsidRPr="0058349C" w:rsidRDefault="005F12DF" w:rsidP="005F12DF">
            <w:pPr>
              <w:spacing w:after="0" w:line="240" w:lineRule="auto"/>
              <w:rPr>
                <w:rFonts w:ascii="Garamond" w:eastAsia="Arial" w:hAnsi="Garamond"/>
                <w:b/>
                <w:sz w:val="18"/>
                <w:szCs w:val="18"/>
                <w:lang w:val="sq-AL"/>
              </w:rPr>
            </w:pPr>
          </w:p>
        </w:tc>
        <w:tc>
          <w:tcPr>
            <w:tcW w:w="3234" w:type="dxa"/>
            <w:shd w:val="clear" w:color="auto" w:fill="F2F2F2"/>
          </w:tcPr>
          <w:p w14:paraId="0773B4E0" w14:textId="77777777" w:rsidR="005F12DF" w:rsidRPr="0058349C" w:rsidRDefault="005F12DF" w:rsidP="005F12DF">
            <w:pPr>
              <w:spacing w:after="0" w:line="240" w:lineRule="auto"/>
              <w:rPr>
                <w:rFonts w:ascii="Garamond" w:eastAsia="Arial" w:hAnsi="Garamond" w:cs="Segoe UI"/>
                <w:b/>
                <w:bCs/>
                <w:sz w:val="18"/>
                <w:szCs w:val="18"/>
                <w:lang w:val="sq-AL"/>
              </w:rPr>
            </w:pPr>
            <w:r w:rsidRPr="0058349C">
              <w:rPr>
                <w:rFonts w:ascii="Garamond" w:eastAsia="Arial" w:hAnsi="Garamond" w:cs="Segoe UI"/>
                <w:b/>
                <w:bCs/>
                <w:sz w:val="18"/>
                <w:szCs w:val="18"/>
                <w:lang w:val="sq-AL"/>
              </w:rPr>
              <w:t>Investime për fermat dhe përpunuesit agroushqimor në prodhimin e energjisë së rinovueshme.</w:t>
            </w:r>
          </w:p>
        </w:tc>
        <w:tc>
          <w:tcPr>
            <w:tcW w:w="2859" w:type="dxa"/>
            <w:shd w:val="clear" w:color="auto" w:fill="F2F2F2"/>
          </w:tcPr>
          <w:p w14:paraId="0773B4E2" w14:textId="1EC4450B" w:rsidR="005F12DF" w:rsidRPr="0058349C" w:rsidRDefault="005F12DF" w:rsidP="00930D2C">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përfituesve të grandeve, mbështetje në investime në prodhimin e energjisë së rinovueshme nga IPARD III do t</w:t>
            </w:r>
            <w:r w:rsidRPr="0058349C">
              <w:rPr>
                <w:rFonts w:ascii="Garamond" w:eastAsia="Arial" w:hAnsi="Garamond"/>
                <w:bCs/>
                <w:sz w:val="18"/>
                <w:szCs w:val="18"/>
                <w:lang w:val="sq-AL"/>
              </w:rPr>
              <w:t>ë arrijë në 40 në vitin 2027.</w:t>
            </w:r>
          </w:p>
        </w:tc>
        <w:tc>
          <w:tcPr>
            <w:tcW w:w="1419" w:type="dxa"/>
            <w:shd w:val="clear" w:color="auto" w:fill="F2F2F2"/>
            <w:vAlign w:val="center"/>
          </w:tcPr>
          <w:p w14:paraId="0773B4E3"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(është e përfshirë në buxhetin për M1 dhe M3)</w:t>
            </w:r>
          </w:p>
        </w:tc>
        <w:tc>
          <w:tcPr>
            <w:tcW w:w="1305" w:type="dxa"/>
            <w:shd w:val="clear" w:color="auto" w:fill="F2F2F2"/>
            <w:vAlign w:val="center"/>
          </w:tcPr>
          <w:p w14:paraId="0773B4E4"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77" w:type="dxa"/>
            <w:shd w:val="clear" w:color="auto" w:fill="F2F2F2"/>
            <w:vAlign w:val="center"/>
          </w:tcPr>
          <w:p w14:paraId="0773B4E5"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3" w:type="dxa"/>
            <w:gridSpan w:val="2"/>
            <w:shd w:val="clear" w:color="auto" w:fill="F2F2F2"/>
            <w:vAlign w:val="center"/>
          </w:tcPr>
          <w:p w14:paraId="0773B4E6"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4E7"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16</w:t>
            </w:r>
          </w:p>
        </w:tc>
        <w:tc>
          <w:tcPr>
            <w:tcW w:w="1275" w:type="dxa"/>
            <w:shd w:val="clear" w:color="auto" w:fill="E5F7CA"/>
            <w:vAlign w:val="center"/>
          </w:tcPr>
          <w:p w14:paraId="0773B4E8" w14:textId="77777777" w:rsidR="005F12DF" w:rsidRPr="0058349C" w:rsidRDefault="005F12DF" w:rsidP="005F12DF">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40</w:t>
            </w:r>
          </w:p>
        </w:tc>
      </w:tr>
    </w:tbl>
    <w:p w14:paraId="0773B4EA" w14:textId="77777777" w:rsidR="00830F27" w:rsidRPr="0058349C" w:rsidRDefault="00830F27" w:rsidP="00C54AEA">
      <w:pPr>
        <w:pStyle w:val="TEKSTIIII"/>
        <w:rPr>
          <w:lang w:val="sq-AL"/>
        </w:rPr>
      </w:pPr>
    </w:p>
    <w:tbl>
      <w:tblPr>
        <w:tblpPr w:leftFromText="180" w:rightFromText="180" w:vertAnchor="text" w:tblpXSpec="center" w:tblpY="1"/>
        <w:tblOverlap w:val="never"/>
        <w:tblW w:w="14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
        <w:gridCol w:w="3567"/>
        <w:gridCol w:w="2526"/>
        <w:gridCol w:w="1419"/>
        <w:gridCol w:w="1305"/>
        <w:gridCol w:w="1277"/>
        <w:gridCol w:w="1283"/>
        <w:gridCol w:w="1134"/>
        <w:gridCol w:w="1275"/>
        <w:gridCol w:w="8"/>
      </w:tblGrid>
      <w:tr w:rsidR="004356D0" w:rsidRPr="0058349C" w14:paraId="0773B4ED" w14:textId="77777777" w:rsidTr="00930D2C">
        <w:trPr>
          <w:trHeight w:val="20"/>
        </w:trPr>
        <w:tc>
          <w:tcPr>
            <w:tcW w:w="384" w:type="dxa"/>
            <w:shd w:val="clear" w:color="auto" w:fill="E5F7CA"/>
          </w:tcPr>
          <w:p w14:paraId="0773B4EB" w14:textId="77777777" w:rsidR="004356D0" w:rsidRPr="0058349C" w:rsidRDefault="004356D0" w:rsidP="00CF7694">
            <w:pPr>
              <w:spacing w:after="0" w:line="240" w:lineRule="auto"/>
              <w:rPr>
                <w:rFonts w:ascii="Garamond" w:eastAsia="Arial" w:hAnsi="Garamond"/>
                <w:b/>
                <w:bCs/>
                <w:sz w:val="18"/>
                <w:szCs w:val="18"/>
                <w:lang w:val="sq-AL"/>
              </w:rPr>
            </w:pPr>
          </w:p>
        </w:tc>
        <w:tc>
          <w:tcPr>
            <w:tcW w:w="13794" w:type="dxa"/>
            <w:gridSpan w:val="9"/>
            <w:shd w:val="clear" w:color="auto" w:fill="E5F7CA"/>
            <w:vAlign w:val="center"/>
          </w:tcPr>
          <w:p w14:paraId="0773B4EC" w14:textId="77777777" w:rsidR="004356D0" w:rsidRPr="0058349C" w:rsidRDefault="004356D0" w:rsidP="00CF7694">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Objektivi specifik 5: Nxitja e menaxhimit të qëndrueshëm dhe eficient të burimeve natyrore</w:t>
            </w:r>
          </w:p>
        </w:tc>
      </w:tr>
      <w:tr w:rsidR="004356D0" w:rsidRPr="0058349C" w14:paraId="0773B4F4" w14:textId="77777777" w:rsidTr="00930D2C">
        <w:trPr>
          <w:gridAfter w:val="1"/>
          <w:wAfter w:w="8" w:type="dxa"/>
          <w:trHeight w:val="20"/>
        </w:trPr>
        <w:tc>
          <w:tcPr>
            <w:tcW w:w="384" w:type="dxa"/>
            <w:shd w:val="clear" w:color="auto" w:fill="E5F7CA"/>
          </w:tcPr>
          <w:p w14:paraId="0773B4EE" w14:textId="77777777" w:rsidR="004356D0" w:rsidRPr="0058349C" w:rsidRDefault="004356D0" w:rsidP="00CF7694">
            <w:pPr>
              <w:spacing w:after="0" w:line="240" w:lineRule="auto"/>
              <w:rPr>
                <w:rFonts w:ascii="Garamond" w:eastAsia="Arial" w:hAnsi="Garamond"/>
                <w:b/>
                <w:sz w:val="18"/>
                <w:szCs w:val="18"/>
                <w:lang w:val="sq-AL"/>
              </w:rPr>
            </w:pPr>
          </w:p>
        </w:tc>
        <w:tc>
          <w:tcPr>
            <w:tcW w:w="6093" w:type="dxa"/>
            <w:gridSpan w:val="2"/>
            <w:shd w:val="clear" w:color="auto" w:fill="E5F7CA"/>
            <w:vAlign w:val="center"/>
          </w:tcPr>
          <w:p w14:paraId="0773B4EF" w14:textId="03B29F87" w:rsidR="004356D0" w:rsidRPr="0058349C" w:rsidRDefault="004356D0" w:rsidP="00930D2C">
            <w:pPr>
              <w:spacing w:after="0" w:line="240" w:lineRule="auto"/>
              <w:rPr>
                <w:rFonts w:ascii="Garamond" w:eastAsia="Arial" w:hAnsi="Garamond"/>
                <w:sz w:val="18"/>
                <w:szCs w:val="18"/>
                <w:lang w:val="sq-AL"/>
              </w:rPr>
            </w:pPr>
            <w:r w:rsidRPr="0058349C">
              <w:rPr>
                <w:rFonts w:ascii="Garamond" w:eastAsia="Arial" w:hAnsi="Garamond"/>
                <w:b/>
                <w:bCs/>
                <w:sz w:val="18"/>
                <w:szCs w:val="18"/>
                <w:lang w:val="sq-AL"/>
              </w:rPr>
              <w:t>Treguesi i rezultatit 5.1: Bilanci bruto i lëndëve ushqyese në tokat bujqësore të shfrytëzuara do të përmirësohet</w:t>
            </w:r>
            <w:r w:rsidR="00930D2C">
              <w:rPr>
                <w:rFonts w:ascii="Garamond" w:eastAsia="Arial" w:hAnsi="Garamond"/>
                <w:b/>
                <w:bCs/>
                <w:sz w:val="18"/>
                <w:szCs w:val="18"/>
                <w:lang w:val="sq-AL"/>
              </w:rPr>
              <w:t xml:space="preserve">, </w:t>
            </w:r>
            <w:r w:rsidRPr="0058349C">
              <w:rPr>
                <w:rFonts w:ascii="Garamond" w:eastAsia="Arial" w:hAnsi="Garamond"/>
                <w:b/>
                <w:bCs/>
                <w:sz w:val="18"/>
                <w:szCs w:val="18"/>
                <w:lang w:val="sq-AL"/>
              </w:rPr>
              <w:t>si rrjedhojë e pakësimit të gërryerjes nga ujërat.</w:t>
            </w:r>
          </w:p>
        </w:tc>
        <w:tc>
          <w:tcPr>
            <w:tcW w:w="1419" w:type="dxa"/>
            <w:shd w:val="clear" w:color="auto" w:fill="E5F7CA"/>
            <w:vAlign w:val="center"/>
          </w:tcPr>
          <w:p w14:paraId="0773B4F0"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Nuk ka vlerë bazë disponibël</w:t>
            </w:r>
          </w:p>
        </w:tc>
        <w:tc>
          <w:tcPr>
            <w:tcW w:w="3865" w:type="dxa"/>
            <w:gridSpan w:val="3"/>
            <w:shd w:val="clear" w:color="auto" w:fill="E5F7CA"/>
            <w:vAlign w:val="center"/>
          </w:tcPr>
          <w:p w14:paraId="0773B4F1" w14:textId="77777777" w:rsidR="004356D0" w:rsidRPr="0058349C" w:rsidRDefault="004356D0" w:rsidP="00CF7694">
            <w:pPr>
              <w:spacing w:after="0" w:line="240" w:lineRule="auto"/>
              <w:jc w:val="center"/>
              <w:rPr>
                <w:rFonts w:ascii="Garamond" w:eastAsia="Arial" w:hAnsi="Garamond"/>
                <w:sz w:val="18"/>
                <w:szCs w:val="18"/>
                <w:lang w:val="sq-AL"/>
              </w:rPr>
            </w:pPr>
          </w:p>
        </w:tc>
        <w:tc>
          <w:tcPr>
            <w:tcW w:w="1134" w:type="dxa"/>
            <w:shd w:val="clear" w:color="auto" w:fill="E5F7CA"/>
            <w:vAlign w:val="center"/>
          </w:tcPr>
          <w:p w14:paraId="0773B4F2"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 xml:space="preserve">Nuk ka vlerë bazë disponibël </w:t>
            </w:r>
          </w:p>
        </w:tc>
        <w:tc>
          <w:tcPr>
            <w:tcW w:w="1275" w:type="dxa"/>
            <w:shd w:val="clear" w:color="auto" w:fill="E5F7CA"/>
            <w:vAlign w:val="center"/>
          </w:tcPr>
          <w:p w14:paraId="0773B4F3"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Nuk ka vlerë bazë disponibël</w:t>
            </w:r>
          </w:p>
        </w:tc>
      </w:tr>
      <w:tr w:rsidR="004356D0" w:rsidRPr="0058349C" w14:paraId="0773B4FB" w14:textId="77777777" w:rsidTr="00930D2C">
        <w:trPr>
          <w:gridAfter w:val="1"/>
          <w:wAfter w:w="8" w:type="dxa"/>
          <w:trHeight w:val="20"/>
        </w:trPr>
        <w:tc>
          <w:tcPr>
            <w:tcW w:w="384" w:type="dxa"/>
            <w:shd w:val="clear" w:color="auto" w:fill="E5F7CA"/>
          </w:tcPr>
          <w:p w14:paraId="0773B4F5" w14:textId="77777777" w:rsidR="004356D0" w:rsidRPr="0058349C" w:rsidRDefault="004356D0" w:rsidP="00CF7694">
            <w:pPr>
              <w:spacing w:after="0" w:line="240" w:lineRule="auto"/>
              <w:rPr>
                <w:rFonts w:ascii="Garamond" w:eastAsia="Arial" w:hAnsi="Garamond"/>
                <w:b/>
                <w:sz w:val="18"/>
                <w:szCs w:val="18"/>
                <w:lang w:val="sq-AL"/>
              </w:rPr>
            </w:pPr>
          </w:p>
        </w:tc>
        <w:tc>
          <w:tcPr>
            <w:tcW w:w="6093" w:type="dxa"/>
            <w:gridSpan w:val="2"/>
            <w:shd w:val="clear" w:color="auto" w:fill="E5F7CA"/>
          </w:tcPr>
          <w:p w14:paraId="0773B4F6" w14:textId="257E1B1A" w:rsidR="004356D0" w:rsidRPr="0058349C" w:rsidRDefault="004356D0" w:rsidP="00CF7694">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Treguesi i rezultatit 5.2: Pjesa e tokës bujqësore të shfrytëzueshme nën rrezikun e fortë të erozionit nga uji do të zvogëlohet me 10% deri në vitin 2027 krahasuar me vlerën e treguesit bazë (70%)</w:t>
            </w:r>
            <w:r w:rsidR="00930D2C">
              <w:rPr>
                <w:rFonts w:ascii="Garamond" w:eastAsia="Arial" w:hAnsi="Garamond"/>
                <w:b/>
                <w:bCs/>
                <w:sz w:val="18"/>
                <w:szCs w:val="18"/>
                <w:lang w:val="sq-AL"/>
              </w:rPr>
              <w:t>.</w:t>
            </w:r>
          </w:p>
        </w:tc>
        <w:tc>
          <w:tcPr>
            <w:tcW w:w="1419" w:type="dxa"/>
            <w:shd w:val="clear" w:color="auto" w:fill="E5F7CA"/>
            <w:vAlign w:val="center"/>
          </w:tcPr>
          <w:p w14:paraId="0773B4F7" w14:textId="77777777" w:rsidR="004356D0" w:rsidRPr="0058349C" w:rsidRDefault="004356D0" w:rsidP="00CF7694">
            <w:pPr>
              <w:spacing w:after="0" w:line="240" w:lineRule="auto"/>
              <w:jc w:val="center"/>
              <w:rPr>
                <w:rFonts w:ascii="Garamond" w:eastAsia="Arial" w:hAnsi="Garamond"/>
                <w:b/>
                <w:bCs/>
                <w:sz w:val="18"/>
                <w:szCs w:val="18"/>
                <w:lang w:val="sq-AL"/>
              </w:rPr>
            </w:pPr>
            <w:r w:rsidRPr="0058349C">
              <w:rPr>
                <w:rFonts w:ascii="Garamond" w:eastAsia="Arial" w:hAnsi="Garamond"/>
                <w:sz w:val="18"/>
                <w:szCs w:val="18"/>
                <w:lang w:val="sq-AL"/>
              </w:rPr>
              <w:t>70%</w:t>
            </w:r>
          </w:p>
        </w:tc>
        <w:tc>
          <w:tcPr>
            <w:tcW w:w="3865" w:type="dxa"/>
            <w:gridSpan w:val="3"/>
            <w:shd w:val="clear" w:color="auto" w:fill="E5F7CA"/>
            <w:vAlign w:val="center"/>
          </w:tcPr>
          <w:p w14:paraId="0773B4F8" w14:textId="77777777" w:rsidR="004356D0" w:rsidRPr="0058349C" w:rsidRDefault="004356D0" w:rsidP="00CF7694">
            <w:pPr>
              <w:spacing w:after="0" w:line="240" w:lineRule="auto"/>
              <w:jc w:val="center"/>
              <w:rPr>
                <w:rFonts w:ascii="Garamond" w:eastAsia="Arial" w:hAnsi="Garamond"/>
                <w:sz w:val="18"/>
                <w:szCs w:val="18"/>
                <w:lang w:val="sq-AL"/>
              </w:rPr>
            </w:pPr>
          </w:p>
        </w:tc>
        <w:tc>
          <w:tcPr>
            <w:tcW w:w="1134" w:type="dxa"/>
            <w:shd w:val="clear" w:color="auto" w:fill="E5F7CA"/>
            <w:vAlign w:val="center"/>
          </w:tcPr>
          <w:p w14:paraId="0773B4F9"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65%</w:t>
            </w:r>
          </w:p>
        </w:tc>
        <w:tc>
          <w:tcPr>
            <w:tcW w:w="1275" w:type="dxa"/>
            <w:shd w:val="clear" w:color="auto" w:fill="E5F7CA"/>
            <w:vAlign w:val="center"/>
          </w:tcPr>
          <w:p w14:paraId="0773B4FA"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60%</w:t>
            </w:r>
          </w:p>
        </w:tc>
      </w:tr>
      <w:tr w:rsidR="004356D0" w:rsidRPr="0058349C" w14:paraId="0773B505" w14:textId="77777777" w:rsidTr="00930D2C">
        <w:trPr>
          <w:gridAfter w:val="1"/>
          <w:wAfter w:w="8" w:type="dxa"/>
          <w:trHeight w:val="20"/>
        </w:trPr>
        <w:tc>
          <w:tcPr>
            <w:tcW w:w="384" w:type="dxa"/>
            <w:vMerge w:val="restart"/>
            <w:shd w:val="clear" w:color="auto" w:fill="F2F2F2"/>
          </w:tcPr>
          <w:p w14:paraId="0773B4FC" w14:textId="77777777" w:rsidR="004356D0" w:rsidRPr="0058349C" w:rsidRDefault="004356D0" w:rsidP="00CF7694">
            <w:pPr>
              <w:spacing w:after="0" w:line="240" w:lineRule="auto"/>
              <w:rPr>
                <w:rFonts w:ascii="Garamond" w:eastAsia="Arial" w:hAnsi="Garamond"/>
                <w:b/>
                <w:sz w:val="18"/>
                <w:szCs w:val="18"/>
                <w:lang w:val="sq-AL"/>
              </w:rPr>
            </w:pPr>
          </w:p>
        </w:tc>
        <w:tc>
          <w:tcPr>
            <w:tcW w:w="3567" w:type="dxa"/>
            <w:vMerge w:val="restart"/>
            <w:shd w:val="clear" w:color="auto" w:fill="F2F2F2"/>
            <w:vAlign w:val="center"/>
          </w:tcPr>
          <w:p w14:paraId="0773B4FD" w14:textId="718A832B" w:rsidR="004356D0" w:rsidRPr="0058349C" w:rsidRDefault="004356D0" w:rsidP="00CF7694">
            <w:pPr>
              <w:spacing w:after="0" w:line="240" w:lineRule="auto"/>
              <w:rPr>
                <w:rFonts w:ascii="Garamond" w:eastAsia="Arial" w:hAnsi="Garamond" w:cs="Segoe UI"/>
                <w:sz w:val="18"/>
                <w:szCs w:val="18"/>
                <w:lang w:val="sq-AL"/>
              </w:rPr>
            </w:pPr>
            <w:r w:rsidRPr="0058349C">
              <w:rPr>
                <w:rFonts w:ascii="Garamond" w:eastAsia="Arial" w:hAnsi="Garamond"/>
                <w:b/>
                <w:bCs/>
                <w:sz w:val="18"/>
                <w:szCs w:val="18"/>
                <w:lang w:val="sq-AL"/>
              </w:rPr>
              <w:t xml:space="preserve">Masa </w:t>
            </w:r>
            <w:r w:rsidR="00797859">
              <w:rPr>
                <w:rFonts w:ascii="Garamond" w:eastAsia="Arial" w:hAnsi="Garamond"/>
                <w:b/>
                <w:bCs/>
                <w:sz w:val="18"/>
                <w:szCs w:val="18"/>
                <w:lang w:val="sq-AL"/>
              </w:rPr>
              <w:t>/</w:t>
            </w:r>
            <w:r w:rsidR="00930D2C" w:rsidRPr="0058349C">
              <w:rPr>
                <w:rFonts w:ascii="Garamond" w:eastAsia="Arial" w:hAnsi="Garamond"/>
                <w:b/>
                <w:bCs/>
                <w:sz w:val="18"/>
                <w:szCs w:val="18"/>
                <w:lang w:val="sq-AL"/>
              </w:rPr>
              <w:t xml:space="preserve">veprimi </w:t>
            </w:r>
            <w:r w:rsidR="00930D2C">
              <w:rPr>
                <w:rFonts w:ascii="Garamond" w:eastAsia="Arial" w:hAnsi="Garamond"/>
                <w:b/>
                <w:bCs/>
                <w:sz w:val="18"/>
                <w:szCs w:val="18"/>
                <w:lang w:val="sq-AL"/>
              </w:rPr>
              <w:t>/</w:t>
            </w:r>
            <w:r w:rsidR="00930D2C" w:rsidRPr="0058349C">
              <w:rPr>
                <w:rFonts w:ascii="Garamond" w:eastAsia="Arial" w:hAnsi="Garamond"/>
                <w:b/>
                <w:bCs/>
                <w:sz w:val="18"/>
                <w:szCs w:val="18"/>
                <w:lang w:val="sq-AL"/>
              </w:rPr>
              <w:t>ndërhyrja</w:t>
            </w:r>
          </w:p>
        </w:tc>
        <w:tc>
          <w:tcPr>
            <w:tcW w:w="2526" w:type="dxa"/>
            <w:vMerge w:val="restart"/>
            <w:shd w:val="clear" w:color="auto" w:fill="F2F2F2"/>
            <w:vAlign w:val="center"/>
          </w:tcPr>
          <w:p w14:paraId="0773B4FE" w14:textId="77777777" w:rsidR="004356D0" w:rsidRPr="0058349C" w:rsidRDefault="004356D0" w:rsidP="00CF7694">
            <w:pPr>
              <w:spacing w:after="0" w:line="240" w:lineRule="auto"/>
              <w:rPr>
                <w:rFonts w:ascii="Garamond" w:eastAsia="Arial" w:hAnsi="Garamond"/>
                <w:sz w:val="18"/>
                <w:szCs w:val="18"/>
                <w:lang w:val="sq-AL"/>
              </w:rPr>
            </w:pPr>
            <w:r w:rsidRPr="0058349C">
              <w:rPr>
                <w:rFonts w:ascii="Garamond" w:eastAsia="Arial" w:hAnsi="Garamond"/>
                <w:b/>
                <w:bCs/>
                <w:sz w:val="18"/>
                <w:szCs w:val="18"/>
                <w:lang w:val="sq-AL"/>
              </w:rPr>
              <w:t xml:space="preserve">Treguesi i </w:t>
            </w:r>
            <w:r w:rsidRPr="00930D2C">
              <w:rPr>
                <w:rFonts w:ascii="Garamond" w:eastAsia="Arial" w:hAnsi="Garamond"/>
                <w:b/>
                <w:bCs/>
                <w:i/>
                <w:iCs/>
                <w:sz w:val="18"/>
                <w:szCs w:val="18"/>
                <w:lang w:val="sq-AL"/>
              </w:rPr>
              <w:t>output</w:t>
            </w:r>
            <w:r w:rsidRPr="0058349C">
              <w:rPr>
                <w:rFonts w:ascii="Garamond" w:eastAsia="Arial" w:hAnsi="Garamond"/>
                <w:b/>
                <w:bCs/>
                <w:sz w:val="18"/>
                <w:szCs w:val="18"/>
                <w:lang w:val="sq-AL"/>
              </w:rPr>
              <w:t>-it</w:t>
            </w:r>
          </w:p>
        </w:tc>
        <w:tc>
          <w:tcPr>
            <w:tcW w:w="1419" w:type="dxa"/>
            <w:vMerge w:val="restart"/>
            <w:shd w:val="clear" w:color="auto" w:fill="F2F2F2"/>
            <w:vAlign w:val="center"/>
          </w:tcPr>
          <w:p w14:paraId="0773B4FF"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 xml:space="preserve">Buxheti total 2022 </w:t>
            </w:r>
            <w:r w:rsidRPr="0058349C">
              <w:rPr>
                <w:rFonts w:ascii="Garamond" w:eastAsia="Arial" w:hAnsi="Garamond" w:cs="Arial"/>
                <w:b/>
                <w:bCs/>
                <w:sz w:val="18"/>
                <w:szCs w:val="18"/>
                <w:lang w:val="sq-AL"/>
              </w:rPr>
              <w:t>–</w:t>
            </w:r>
            <w:r w:rsidRPr="0058349C">
              <w:rPr>
                <w:rFonts w:ascii="Garamond" w:eastAsia="Arial" w:hAnsi="Garamond"/>
                <w:b/>
                <w:bCs/>
                <w:sz w:val="18"/>
                <w:szCs w:val="18"/>
                <w:lang w:val="sq-AL"/>
              </w:rPr>
              <w:t xml:space="preserve"> 2024 (Euro)</w:t>
            </w:r>
          </w:p>
        </w:tc>
        <w:tc>
          <w:tcPr>
            <w:tcW w:w="3865" w:type="dxa"/>
            <w:gridSpan w:val="3"/>
            <w:shd w:val="clear" w:color="auto" w:fill="F2F2F2"/>
          </w:tcPr>
          <w:p w14:paraId="0773B500" w14:textId="77777777" w:rsidR="004356D0" w:rsidRPr="0058349C" w:rsidRDefault="004356D0"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Buxheti i alokuar (Euro)</w:t>
            </w:r>
          </w:p>
          <w:p w14:paraId="0773B501" w14:textId="77777777" w:rsidR="004356D0" w:rsidRPr="0058349C" w:rsidRDefault="004356D0"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2022 </w:t>
            </w:r>
            <w:r w:rsidRPr="0058349C">
              <w:rPr>
                <w:rFonts w:ascii="Garamond" w:eastAsia="Arial" w:hAnsi="Garamond" w:cs="Arial"/>
                <w:b/>
                <w:bCs/>
                <w:sz w:val="18"/>
                <w:szCs w:val="18"/>
                <w:lang w:val="sq-AL"/>
              </w:rPr>
              <w:t>–</w:t>
            </w:r>
            <w:r w:rsidRPr="0058349C">
              <w:rPr>
                <w:rFonts w:ascii="Garamond" w:eastAsia="Arial" w:hAnsi="Garamond"/>
                <w:b/>
                <w:bCs/>
                <w:sz w:val="18"/>
                <w:szCs w:val="18"/>
                <w:lang w:val="sq-AL"/>
              </w:rPr>
              <w:t xml:space="preserve"> 2024</w:t>
            </w:r>
          </w:p>
          <w:p w14:paraId="0773B502" w14:textId="6D578CDC" w:rsidR="004356D0" w:rsidRPr="0058349C" w:rsidRDefault="004356D0" w:rsidP="00CF7694">
            <w:pPr>
              <w:spacing w:after="0" w:line="240" w:lineRule="auto"/>
              <w:rPr>
                <w:rFonts w:ascii="Garamond" w:eastAsia="Arial" w:hAnsi="Garamond"/>
                <w:sz w:val="18"/>
                <w:szCs w:val="18"/>
                <w:lang w:val="sq-AL"/>
              </w:rPr>
            </w:pPr>
            <w:r w:rsidRPr="0058349C">
              <w:rPr>
                <w:rFonts w:ascii="Garamond" w:eastAsia="Arial" w:hAnsi="Garamond"/>
                <w:b/>
                <w:bCs/>
                <w:sz w:val="18"/>
                <w:szCs w:val="18"/>
                <w:lang w:val="sq-AL"/>
              </w:rPr>
              <w:t>(N = nevoja,</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nuk mbulohet nga buxheti kombëtar/buxheti IPA III</w:t>
            </w:r>
            <w:r w:rsidR="00C259A4">
              <w:rPr>
                <w:rFonts w:ascii="Garamond" w:eastAsia="Arial" w:hAnsi="Garamond"/>
                <w:b/>
                <w:bCs/>
                <w:sz w:val="18"/>
                <w:szCs w:val="18"/>
                <w:lang w:val="sq-AL"/>
              </w:rPr>
              <w:t>)</w:t>
            </w:r>
          </w:p>
        </w:tc>
        <w:tc>
          <w:tcPr>
            <w:tcW w:w="1134" w:type="dxa"/>
            <w:shd w:val="clear" w:color="auto" w:fill="E5F7CA"/>
            <w:vAlign w:val="center"/>
          </w:tcPr>
          <w:p w14:paraId="0773B503" w14:textId="3DD521EE" w:rsidR="004356D0" w:rsidRPr="0058349C" w:rsidRDefault="004356D0" w:rsidP="00930D2C">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 xml:space="preserve">Objektivi </w:t>
            </w:r>
            <w:r w:rsidR="00930D2C">
              <w:rPr>
                <w:rFonts w:ascii="Garamond" w:eastAsia="Arial" w:hAnsi="Garamond"/>
                <w:b/>
                <w:bCs/>
                <w:sz w:val="18"/>
                <w:szCs w:val="18"/>
                <w:lang w:val="sq-AL"/>
              </w:rPr>
              <w:t>m</w:t>
            </w:r>
            <w:r w:rsidRPr="0058349C">
              <w:rPr>
                <w:rFonts w:ascii="Garamond" w:eastAsia="Arial" w:hAnsi="Garamond"/>
                <w:b/>
                <w:bCs/>
                <w:sz w:val="18"/>
                <w:szCs w:val="18"/>
                <w:lang w:val="sq-AL"/>
              </w:rPr>
              <w:t>ë</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2024</w:t>
            </w:r>
            <w:r w:rsidR="00930D2C">
              <w:rPr>
                <w:rFonts w:ascii="Garamond" w:eastAsia="Arial" w:hAnsi="Garamond"/>
                <w:b/>
                <w:bCs/>
                <w:sz w:val="18"/>
                <w:szCs w:val="18"/>
                <w:lang w:val="sq-AL"/>
              </w:rPr>
              <w:t>-n</w:t>
            </w:r>
          </w:p>
        </w:tc>
        <w:tc>
          <w:tcPr>
            <w:tcW w:w="1275" w:type="dxa"/>
            <w:shd w:val="clear" w:color="auto" w:fill="E5F7CA"/>
            <w:vAlign w:val="center"/>
          </w:tcPr>
          <w:p w14:paraId="0773B504" w14:textId="34836F65" w:rsidR="004356D0" w:rsidRPr="0058349C" w:rsidRDefault="004356D0" w:rsidP="00930D2C">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Objektivi </w:t>
            </w:r>
            <w:r w:rsidR="00930D2C">
              <w:rPr>
                <w:rFonts w:ascii="Garamond" w:eastAsia="Arial" w:hAnsi="Garamond"/>
                <w:b/>
                <w:bCs/>
                <w:sz w:val="18"/>
                <w:szCs w:val="18"/>
                <w:lang w:val="sq-AL"/>
              </w:rPr>
              <w:t>m</w:t>
            </w:r>
            <w:r w:rsidRPr="0058349C">
              <w:rPr>
                <w:rFonts w:ascii="Garamond" w:eastAsia="Arial" w:hAnsi="Garamond"/>
                <w:b/>
                <w:bCs/>
                <w:sz w:val="18"/>
                <w:szCs w:val="18"/>
                <w:lang w:val="sq-AL"/>
              </w:rPr>
              <w:t>ë 2027</w:t>
            </w:r>
            <w:r w:rsidR="00930D2C">
              <w:rPr>
                <w:rFonts w:ascii="Garamond" w:eastAsia="Arial" w:hAnsi="Garamond"/>
                <w:b/>
                <w:bCs/>
                <w:sz w:val="18"/>
                <w:szCs w:val="18"/>
                <w:lang w:val="sq-AL"/>
              </w:rPr>
              <w:t>-n</w:t>
            </w:r>
          </w:p>
        </w:tc>
      </w:tr>
      <w:tr w:rsidR="004356D0" w:rsidRPr="0058349C" w14:paraId="0773B50F" w14:textId="77777777" w:rsidTr="00930D2C">
        <w:trPr>
          <w:gridAfter w:val="1"/>
          <w:wAfter w:w="8" w:type="dxa"/>
          <w:trHeight w:val="20"/>
        </w:trPr>
        <w:tc>
          <w:tcPr>
            <w:tcW w:w="384" w:type="dxa"/>
            <w:vMerge/>
            <w:shd w:val="clear" w:color="auto" w:fill="F2F2F2"/>
          </w:tcPr>
          <w:p w14:paraId="0773B506" w14:textId="77777777" w:rsidR="004356D0" w:rsidRPr="0058349C" w:rsidRDefault="004356D0" w:rsidP="00CF7694">
            <w:pPr>
              <w:spacing w:after="0" w:line="240" w:lineRule="auto"/>
              <w:rPr>
                <w:rFonts w:ascii="Garamond" w:eastAsia="Arial" w:hAnsi="Garamond"/>
                <w:b/>
                <w:sz w:val="18"/>
                <w:szCs w:val="18"/>
                <w:lang w:val="sq-AL"/>
              </w:rPr>
            </w:pPr>
          </w:p>
        </w:tc>
        <w:tc>
          <w:tcPr>
            <w:tcW w:w="3567" w:type="dxa"/>
            <w:vMerge/>
            <w:shd w:val="clear" w:color="auto" w:fill="F2F2F2"/>
          </w:tcPr>
          <w:p w14:paraId="0773B507" w14:textId="77777777" w:rsidR="004356D0" w:rsidRPr="0058349C" w:rsidRDefault="004356D0" w:rsidP="00CF7694">
            <w:pPr>
              <w:spacing w:after="0" w:line="240" w:lineRule="auto"/>
              <w:rPr>
                <w:rFonts w:ascii="Garamond" w:eastAsia="Arial" w:hAnsi="Garamond"/>
                <w:b/>
                <w:bCs/>
                <w:sz w:val="18"/>
                <w:szCs w:val="18"/>
                <w:lang w:val="sq-AL"/>
              </w:rPr>
            </w:pPr>
          </w:p>
        </w:tc>
        <w:tc>
          <w:tcPr>
            <w:tcW w:w="2526" w:type="dxa"/>
            <w:vMerge/>
            <w:shd w:val="clear" w:color="auto" w:fill="F2F2F2"/>
          </w:tcPr>
          <w:p w14:paraId="0773B508" w14:textId="77777777" w:rsidR="004356D0" w:rsidRPr="0058349C" w:rsidRDefault="004356D0" w:rsidP="00CF7694">
            <w:pPr>
              <w:spacing w:after="0" w:line="240" w:lineRule="auto"/>
              <w:rPr>
                <w:rFonts w:ascii="Garamond" w:eastAsia="Arial" w:hAnsi="Garamond"/>
                <w:b/>
                <w:bCs/>
                <w:sz w:val="18"/>
                <w:szCs w:val="18"/>
                <w:lang w:val="sq-AL"/>
              </w:rPr>
            </w:pPr>
          </w:p>
        </w:tc>
        <w:tc>
          <w:tcPr>
            <w:tcW w:w="1419" w:type="dxa"/>
            <w:vMerge/>
            <w:shd w:val="clear" w:color="auto" w:fill="F2F2F2"/>
          </w:tcPr>
          <w:p w14:paraId="0773B509" w14:textId="77777777" w:rsidR="004356D0" w:rsidRPr="0058349C" w:rsidRDefault="004356D0" w:rsidP="00CF7694">
            <w:pPr>
              <w:spacing w:after="0" w:line="240" w:lineRule="auto"/>
              <w:rPr>
                <w:rFonts w:ascii="Garamond" w:eastAsia="Arial" w:hAnsi="Garamond"/>
                <w:sz w:val="18"/>
                <w:szCs w:val="18"/>
                <w:lang w:val="sq-AL"/>
              </w:rPr>
            </w:pPr>
          </w:p>
        </w:tc>
        <w:tc>
          <w:tcPr>
            <w:tcW w:w="1305" w:type="dxa"/>
            <w:shd w:val="clear" w:color="auto" w:fill="F2F2F2"/>
          </w:tcPr>
          <w:p w14:paraId="0773B50A"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2022</w:t>
            </w:r>
          </w:p>
        </w:tc>
        <w:tc>
          <w:tcPr>
            <w:tcW w:w="1277" w:type="dxa"/>
            <w:shd w:val="clear" w:color="auto" w:fill="F2F2F2"/>
          </w:tcPr>
          <w:p w14:paraId="0773B50B"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2023</w:t>
            </w:r>
          </w:p>
        </w:tc>
        <w:tc>
          <w:tcPr>
            <w:tcW w:w="1283" w:type="dxa"/>
            <w:shd w:val="clear" w:color="auto" w:fill="F2F2F2"/>
          </w:tcPr>
          <w:p w14:paraId="0773B50C"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2024</w:t>
            </w:r>
          </w:p>
        </w:tc>
        <w:tc>
          <w:tcPr>
            <w:tcW w:w="1134" w:type="dxa"/>
            <w:shd w:val="clear" w:color="auto" w:fill="E5F7CA"/>
          </w:tcPr>
          <w:p w14:paraId="0773B50D" w14:textId="77777777" w:rsidR="004356D0" w:rsidRPr="0058349C" w:rsidRDefault="004356D0" w:rsidP="00CF7694">
            <w:pPr>
              <w:spacing w:after="0" w:line="240" w:lineRule="auto"/>
              <w:rPr>
                <w:rFonts w:ascii="Garamond" w:eastAsia="Arial" w:hAnsi="Garamond"/>
                <w:sz w:val="18"/>
                <w:szCs w:val="18"/>
                <w:lang w:val="sq-AL"/>
              </w:rPr>
            </w:pPr>
          </w:p>
        </w:tc>
        <w:tc>
          <w:tcPr>
            <w:tcW w:w="1275" w:type="dxa"/>
            <w:shd w:val="clear" w:color="auto" w:fill="E5F7CA"/>
          </w:tcPr>
          <w:p w14:paraId="0773B50E" w14:textId="77777777" w:rsidR="004356D0" w:rsidRPr="0058349C" w:rsidRDefault="004356D0" w:rsidP="00CF7694">
            <w:pPr>
              <w:spacing w:after="0" w:line="240" w:lineRule="auto"/>
              <w:rPr>
                <w:rFonts w:ascii="Garamond" w:eastAsia="Arial" w:hAnsi="Garamond"/>
                <w:sz w:val="18"/>
                <w:szCs w:val="18"/>
                <w:lang w:val="sq-AL"/>
              </w:rPr>
            </w:pPr>
          </w:p>
        </w:tc>
      </w:tr>
      <w:tr w:rsidR="004356D0" w:rsidRPr="0058349C" w14:paraId="0773B519" w14:textId="77777777" w:rsidTr="00930D2C">
        <w:trPr>
          <w:gridAfter w:val="1"/>
          <w:wAfter w:w="8" w:type="dxa"/>
          <w:trHeight w:val="20"/>
        </w:trPr>
        <w:tc>
          <w:tcPr>
            <w:tcW w:w="384" w:type="dxa"/>
            <w:shd w:val="clear" w:color="auto" w:fill="F2F2F2"/>
          </w:tcPr>
          <w:p w14:paraId="0773B510" w14:textId="77777777" w:rsidR="004356D0" w:rsidRPr="0058349C" w:rsidRDefault="004356D0" w:rsidP="00CF7694">
            <w:pPr>
              <w:spacing w:after="0" w:line="240" w:lineRule="auto"/>
              <w:rPr>
                <w:rFonts w:ascii="Garamond" w:eastAsia="Arial" w:hAnsi="Garamond"/>
                <w:b/>
                <w:sz w:val="18"/>
                <w:szCs w:val="18"/>
                <w:lang w:val="sq-AL"/>
              </w:rPr>
            </w:pPr>
          </w:p>
        </w:tc>
        <w:tc>
          <w:tcPr>
            <w:tcW w:w="3567" w:type="dxa"/>
            <w:shd w:val="clear" w:color="auto" w:fill="F2F2F2"/>
          </w:tcPr>
          <w:p w14:paraId="0773B511" w14:textId="7A40AF66" w:rsidR="004356D0" w:rsidRPr="0058349C" w:rsidRDefault="00930D2C" w:rsidP="00CF7694">
            <w:pPr>
              <w:spacing w:after="0" w:line="240" w:lineRule="auto"/>
              <w:rPr>
                <w:rFonts w:ascii="Garamond" w:eastAsia="Arial" w:hAnsi="Garamond" w:cs="Segoe UI"/>
                <w:b/>
                <w:bCs/>
                <w:sz w:val="18"/>
                <w:szCs w:val="18"/>
                <w:lang w:val="sq-AL"/>
              </w:rPr>
            </w:pPr>
            <w:r>
              <w:rPr>
                <w:rFonts w:ascii="Garamond" w:eastAsia="Arial" w:hAnsi="Garamond" w:cs="Segoe UI"/>
                <w:b/>
                <w:bCs/>
                <w:sz w:val="18"/>
                <w:szCs w:val="18"/>
                <w:lang w:val="sq-AL"/>
              </w:rPr>
              <w:t>Zbatimi i kushteve</w:t>
            </w:r>
            <w:r w:rsidR="00797859">
              <w:rPr>
                <w:rFonts w:ascii="Garamond" w:eastAsia="Arial" w:hAnsi="Garamond" w:cs="Segoe UI"/>
                <w:b/>
                <w:bCs/>
                <w:sz w:val="18"/>
                <w:szCs w:val="18"/>
                <w:lang w:val="sq-AL"/>
              </w:rPr>
              <w:t>/</w:t>
            </w:r>
            <w:r w:rsidR="004356D0" w:rsidRPr="0058349C">
              <w:rPr>
                <w:rFonts w:ascii="Garamond" w:eastAsia="Arial" w:hAnsi="Garamond" w:cs="Segoe UI"/>
                <w:b/>
                <w:bCs/>
                <w:sz w:val="18"/>
                <w:szCs w:val="18"/>
                <w:lang w:val="sq-AL"/>
              </w:rPr>
              <w:t>standardeve të thjeshtuara Bujqësore dhe Mjedisore të Mira</w:t>
            </w:r>
            <w:r w:rsidR="00CF7694" w:rsidRPr="0058349C">
              <w:rPr>
                <w:rFonts w:ascii="Garamond" w:eastAsia="Arial" w:hAnsi="Garamond" w:cs="Segoe UI"/>
                <w:b/>
                <w:bCs/>
                <w:sz w:val="18"/>
                <w:szCs w:val="18"/>
                <w:lang w:val="sq-AL"/>
              </w:rPr>
              <w:t xml:space="preserve"> </w:t>
            </w:r>
          </w:p>
        </w:tc>
        <w:tc>
          <w:tcPr>
            <w:tcW w:w="2526" w:type="dxa"/>
            <w:shd w:val="clear" w:color="auto" w:fill="F2F2F2"/>
          </w:tcPr>
          <w:p w14:paraId="0773B512" w14:textId="77777777" w:rsidR="004356D0" w:rsidRPr="0058349C" w:rsidRDefault="004356D0"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fermave p</w:t>
            </w:r>
            <w:r w:rsidRPr="0058349C">
              <w:rPr>
                <w:rFonts w:ascii="Garamond" w:eastAsia="Arial" w:hAnsi="Garamond"/>
                <w:bCs/>
                <w:sz w:val="18"/>
                <w:szCs w:val="18"/>
                <w:lang w:val="sq-AL"/>
              </w:rPr>
              <w:t>ërfituese</w:t>
            </w:r>
            <w:r w:rsidRPr="0058349C">
              <w:rPr>
                <w:rFonts w:ascii="Garamond" w:eastAsia="Arial" w:hAnsi="Garamond"/>
                <w:sz w:val="18"/>
                <w:szCs w:val="18"/>
                <w:lang w:val="sq-AL"/>
              </w:rPr>
              <w:t xml:space="preserve"> që plotësojnë kushtëzimet lidhur me erozionin e tokës dhe cilësinë e ujit do t</w:t>
            </w:r>
            <w:r w:rsidRPr="0058349C">
              <w:rPr>
                <w:rFonts w:ascii="Garamond" w:eastAsia="Arial" w:hAnsi="Garamond"/>
                <w:bCs/>
                <w:sz w:val="18"/>
                <w:szCs w:val="18"/>
                <w:lang w:val="sq-AL"/>
              </w:rPr>
              <w:t>ë rritet në 100 deri në vitin 2027.</w:t>
            </w:r>
          </w:p>
        </w:tc>
        <w:tc>
          <w:tcPr>
            <w:tcW w:w="1419" w:type="dxa"/>
            <w:shd w:val="clear" w:color="auto" w:fill="F2F2F2"/>
            <w:vAlign w:val="center"/>
          </w:tcPr>
          <w:p w14:paraId="0773B513" w14:textId="77777777" w:rsidR="004356D0" w:rsidRPr="0058349C" w:rsidRDefault="004356D0"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Nuk ka vler</w:t>
            </w:r>
            <w:r w:rsidRPr="0058349C">
              <w:rPr>
                <w:rFonts w:ascii="Garamond" w:eastAsia="Arial" w:hAnsi="Garamond"/>
                <w:bCs/>
                <w:sz w:val="18"/>
                <w:szCs w:val="18"/>
                <w:lang w:val="sq-AL"/>
              </w:rPr>
              <w:t>ë të fondit</w:t>
            </w:r>
            <w:r w:rsidRPr="0058349C">
              <w:rPr>
                <w:rFonts w:ascii="Garamond" w:eastAsia="Arial" w:hAnsi="Garamond"/>
                <w:b/>
                <w:bCs/>
                <w:sz w:val="18"/>
                <w:szCs w:val="18"/>
                <w:lang w:val="sq-AL"/>
              </w:rPr>
              <w:t>,</w:t>
            </w:r>
            <w:r w:rsidRPr="0058349C">
              <w:rPr>
                <w:rFonts w:ascii="Garamond" w:eastAsia="Arial" w:hAnsi="Garamond"/>
                <w:sz w:val="18"/>
                <w:szCs w:val="18"/>
                <w:lang w:val="sq-AL"/>
              </w:rPr>
              <w:t xml:space="preserve"> pasi është kusht për pagesat për sipërfaqen.</w:t>
            </w:r>
          </w:p>
        </w:tc>
        <w:tc>
          <w:tcPr>
            <w:tcW w:w="1305" w:type="dxa"/>
            <w:shd w:val="clear" w:color="auto" w:fill="F2F2F2"/>
            <w:vAlign w:val="center"/>
          </w:tcPr>
          <w:p w14:paraId="0773B514"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77" w:type="dxa"/>
            <w:shd w:val="clear" w:color="auto" w:fill="F2F2F2"/>
            <w:vAlign w:val="center"/>
          </w:tcPr>
          <w:p w14:paraId="0773B515"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3" w:type="dxa"/>
            <w:shd w:val="clear" w:color="auto" w:fill="F2F2F2"/>
            <w:vAlign w:val="center"/>
          </w:tcPr>
          <w:p w14:paraId="0773B516"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517" w14:textId="77777777" w:rsidR="004356D0" w:rsidRPr="0058349C" w:rsidRDefault="004356D0" w:rsidP="00CF7694">
            <w:pPr>
              <w:spacing w:after="0" w:line="240" w:lineRule="auto"/>
              <w:jc w:val="center"/>
              <w:rPr>
                <w:rFonts w:ascii="Garamond" w:eastAsia="Arial" w:hAnsi="Garamond"/>
                <w:sz w:val="18"/>
                <w:szCs w:val="18"/>
                <w:lang w:val="sq-AL"/>
              </w:rPr>
            </w:pPr>
          </w:p>
        </w:tc>
        <w:tc>
          <w:tcPr>
            <w:tcW w:w="1275" w:type="dxa"/>
            <w:shd w:val="clear" w:color="auto" w:fill="E5F7CA"/>
            <w:vAlign w:val="center"/>
          </w:tcPr>
          <w:p w14:paraId="0773B518"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4356D0" w:rsidRPr="0058349C" w14:paraId="0773B523" w14:textId="77777777" w:rsidTr="00930D2C">
        <w:trPr>
          <w:gridAfter w:val="1"/>
          <w:wAfter w:w="8" w:type="dxa"/>
          <w:trHeight w:val="20"/>
        </w:trPr>
        <w:tc>
          <w:tcPr>
            <w:tcW w:w="384" w:type="dxa"/>
            <w:shd w:val="clear" w:color="auto" w:fill="F2F2F2"/>
          </w:tcPr>
          <w:p w14:paraId="0773B51A" w14:textId="77777777" w:rsidR="004356D0" w:rsidRPr="0058349C" w:rsidRDefault="004356D0" w:rsidP="00CF7694">
            <w:pPr>
              <w:spacing w:after="0" w:line="240" w:lineRule="auto"/>
              <w:rPr>
                <w:rFonts w:ascii="Garamond" w:eastAsia="Arial" w:hAnsi="Garamond"/>
                <w:b/>
                <w:sz w:val="18"/>
                <w:szCs w:val="18"/>
                <w:lang w:val="sq-AL"/>
              </w:rPr>
            </w:pPr>
          </w:p>
        </w:tc>
        <w:tc>
          <w:tcPr>
            <w:tcW w:w="3567" w:type="dxa"/>
            <w:shd w:val="clear" w:color="auto" w:fill="F2F2F2"/>
          </w:tcPr>
          <w:p w14:paraId="0773B51B" w14:textId="49ACF5DD" w:rsidR="004356D0" w:rsidRPr="0058349C" w:rsidRDefault="004356D0" w:rsidP="00CF7694">
            <w:pPr>
              <w:spacing w:after="0" w:line="240" w:lineRule="auto"/>
              <w:rPr>
                <w:rFonts w:ascii="Garamond" w:eastAsia="Arial" w:hAnsi="Garamond" w:cs="Segoe UI"/>
                <w:b/>
                <w:bCs/>
                <w:sz w:val="18"/>
                <w:szCs w:val="18"/>
                <w:lang w:val="sq-AL"/>
              </w:rPr>
            </w:pPr>
            <w:r w:rsidRPr="0058349C">
              <w:rPr>
                <w:rFonts w:ascii="Garamond" w:eastAsia="Arial" w:hAnsi="Garamond" w:cs="Segoe UI"/>
                <w:b/>
                <w:bCs/>
                <w:sz w:val="18"/>
                <w:szCs w:val="18"/>
                <w:lang w:val="sq-AL"/>
              </w:rPr>
              <w:t>Grandet për investime në asetet fizike të ekonomive bujqësore</w:t>
            </w:r>
            <w:r w:rsidR="00CF7694" w:rsidRPr="0058349C">
              <w:rPr>
                <w:rFonts w:ascii="Garamond" w:eastAsia="Arial" w:hAnsi="Garamond" w:cs="Segoe UI"/>
                <w:b/>
                <w:bCs/>
                <w:sz w:val="18"/>
                <w:szCs w:val="18"/>
                <w:lang w:val="sq-AL"/>
              </w:rPr>
              <w:t xml:space="preserve"> </w:t>
            </w:r>
          </w:p>
        </w:tc>
        <w:tc>
          <w:tcPr>
            <w:tcW w:w="2526" w:type="dxa"/>
            <w:shd w:val="clear" w:color="auto" w:fill="F2F2F2"/>
          </w:tcPr>
          <w:p w14:paraId="0773B51C" w14:textId="2D410F77" w:rsidR="004356D0" w:rsidRPr="0058349C" w:rsidRDefault="004356D0" w:rsidP="00930D2C">
            <w:pPr>
              <w:spacing w:after="0" w:line="240" w:lineRule="auto"/>
              <w:rPr>
                <w:rFonts w:ascii="Garamond" w:eastAsia="Arial" w:hAnsi="Garamond"/>
                <w:sz w:val="18"/>
                <w:szCs w:val="18"/>
                <w:lang w:val="sq-AL"/>
              </w:rPr>
            </w:pPr>
            <w:r w:rsidRPr="0058349C">
              <w:rPr>
                <w:rFonts w:ascii="Garamond" w:eastAsia="Arial" w:hAnsi="Garamond"/>
                <w:sz w:val="18"/>
                <w:szCs w:val="18"/>
                <w:lang w:val="sq-AL"/>
              </w:rPr>
              <w:t xml:space="preserve">Numri i fermave totale që investojnë në përmirësimin e stallave të kafshëve dhe menaxhimin e plehut </w:t>
            </w:r>
            <w:r w:rsidRPr="0058349C">
              <w:rPr>
                <w:rFonts w:ascii="Garamond" w:eastAsia="Arial" w:hAnsi="Garamond"/>
                <w:bCs/>
                <w:sz w:val="18"/>
                <w:szCs w:val="18"/>
                <w:lang w:val="sq-AL"/>
              </w:rPr>
              <w:t>(</w:t>
            </w:r>
            <w:r w:rsidRPr="0058349C">
              <w:rPr>
                <w:rFonts w:ascii="Garamond" w:eastAsia="Arial" w:hAnsi="Garamond"/>
                <w:sz w:val="18"/>
                <w:szCs w:val="18"/>
                <w:lang w:val="sq-AL"/>
              </w:rPr>
              <w:t>IPARD III, Masa 1) do t</w:t>
            </w:r>
            <w:r w:rsidRPr="0058349C">
              <w:rPr>
                <w:rFonts w:ascii="Garamond" w:eastAsia="Arial" w:hAnsi="Garamond"/>
                <w:bCs/>
                <w:sz w:val="18"/>
                <w:szCs w:val="18"/>
                <w:lang w:val="sq-AL"/>
              </w:rPr>
              <w:t>ë arrijë në 300 deri në vitin 2027</w:t>
            </w:r>
            <w:r w:rsidR="00930D2C">
              <w:rPr>
                <w:rFonts w:ascii="Garamond" w:eastAsia="Arial" w:hAnsi="Garamond"/>
                <w:bCs/>
                <w:sz w:val="18"/>
                <w:szCs w:val="18"/>
                <w:lang w:val="sq-AL"/>
              </w:rPr>
              <w:t>.</w:t>
            </w:r>
          </w:p>
        </w:tc>
        <w:tc>
          <w:tcPr>
            <w:tcW w:w="1419" w:type="dxa"/>
            <w:shd w:val="clear" w:color="auto" w:fill="F2F2F2"/>
            <w:vAlign w:val="center"/>
          </w:tcPr>
          <w:p w14:paraId="0773B51D" w14:textId="77777777" w:rsidR="004356D0" w:rsidRPr="0058349C" w:rsidRDefault="004356D0" w:rsidP="00CF7694">
            <w:pPr>
              <w:spacing w:after="0" w:line="240" w:lineRule="auto"/>
              <w:rPr>
                <w:rFonts w:ascii="Garamond" w:eastAsia="Arial" w:hAnsi="Garamond"/>
                <w:sz w:val="18"/>
                <w:szCs w:val="18"/>
                <w:lang w:val="sq-AL"/>
              </w:rPr>
            </w:pPr>
            <w:r w:rsidRPr="0058349C">
              <w:rPr>
                <w:rFonts w:ascii="Garamond" w:hAnsi="Garamond"/>
                <w:sz w:val="18"/>
                <w:szCs w:val="18"/>
                <w:lang w:val="sq-AL"/>
              </w:rPr>
              <w:t xml:space="preserve"> (i përfshirë në buxhetin për M1 dhe M3</w:t>
            </w:r>
            <w:r w:rsidRPr="0058349C">
              <w:rPr>
                <w:rFonts w:ascii="Garamond" w:eastAsia="Arial" w:hAnsi="Garamond"/>
                <w:sz w:val="18"/>
                <w:szCs w:val="18"/>
                <w:lang w:val="sq-AL"/>
              </w:rPr>
              <w:t>)</w:t>
            </w:r>
          </w:p>
        </w:tc>
        <w:tc>
          <w:tcPr>
            <w:tcW w:w="1305" w:type="dxa"/>
            <w:shd w:val="clear" w:color="auto" w:fill="F2F2F2"/>
            <w:vAlign w:val="center"/>
          </w:tcPr>
          <w:p w14:paraId="0773B51E"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hAnsi="Garamond"/>
                <w:sz w:val="18"/>
                <w:szCs w:val="18"/>
                <w:lang w:val="sq-AL"/>
              </w:rPr>
              <w:t>-</w:t>
            </w:r>
          </w:p>
        </w:tc>
        <w:tc>
          <w:tcPr>
            <w:tcW w:w="1277" w:type="dxa"/>
            <w:shd w:val="clear" w:color="auto" w:fill="F2F2F2"/>
            <w:vAlign w:val="center"/>
          </w:tcPr>
          <w:p w14:paraId="0773B51F"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hAnsi="Garamond"/>
                <w:sz w:val="18"/>
                <w:szCs w:val="18"/>
                <w:lang w:val="sq-AL"/>
              </w:rPr>
              <w:t>-</w:t>
            </w:r>
          </w:p>
        </w:tc>
        <w:tc>
          <w:tcPr>
            <w:tcW w:w="1283" w:type="dxa"/>
            <w:shd w:val="clear" w:color="auto" w:fill="F2F2F2"/>
            <w:vAlign w:val="center"/>
          </w:tcPr>
          <w:p w14:paraId="0773B520"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hAnsi="Garamond"/>
                <w:sz w:val="18"/>
                <w:szCs w:val="18"/>
                <w:lang w:val="sq-AL"/>
              </w:rPr>
              <w:t>-</w:t>
            </w:r>
          </w:p>
        </w:tc>
        <w:tc>
          <w:tcPr>
            <w:tcW w:w="1134" w:type="dxa"/>
            <w:shd w:val="clear" w:color="auto" w:fill="E5F7CA"/>
            <w:vAlign w:val="center"/>
          </w:tcPr>
          <w:p w14:paraId="0773B521"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125</w:t>
            </w:r>
          </w:p>
        </w:tc>
        <w:tc>
          <w:tcPr>
            <w:tcW w:w="1275" w:type="dxa"/>
            <w:shd w:val="clear" w:color="auto" w:fill="E5F7CA"/>
            <w:vAlign w:val="center"/>
          </w:tcPr>
          <w:p w14:paraId="0773B522"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300</w:t>
            </w:r>
          </w:p>
        </w:tc>
      </w:tr>
      <w:tr w:rsidR="004356D0" w:rsidRPr="0058349C" w14:paraId="0773B52D" w14:textId="77777777" w:rsidTr="00930D2C">
        <w:trPr>
          <w:gridAfter w:val="1"/>
          <w:wAfter w:w="8" w:type="dxa"/>
          <w:trHeight w:val="20"/>
        </w:trPr>
        <w:tc>
          <w:tcPr>
            <w:tcW w:w="384" w:type="dxa"/>
            <w:vMerge w:val="restart"/>
            <w:shd w:val="clear" w:color="auto" w:fill="F2F2F2"/>
          </w:tcPr>
          <w:p w14:paraId="0773B524" w14:textId="77777777" w:rsidR="004356D0" w:rsidRPr="0058349C" w:rsidRDefault="004356D0" w:rsidP="00CF7694">
            <w:pPr>
              <w:spacing w:after="0" w:line="240" w:lineRule="auto"/>
              <w:rPr>
                <w:rFonts w:ascii="Garamond" w:eastAsia="Arial" w:hAnsi="Garamond"/>
                <w:b/>
                <w:sz w:val="18"/>
                <w:szCs w:val="18"/>
                <w:lang w:val="sq-AL"/>
              </w:rPr>
            </w:pPr>
          </w:p>
        </w:tc>
        <w:tc>
          <w:tcPr>
            <w:tcW w:w="3567" w:type="dxa"/>
            <w:vMerge w:val="restart"/>
            <w:shd w:val="clear" w:color="auto" w:fill="F2F2F2"/>
          </w:tcPr>
          <w:p w14:paraId="0773B525" w14:textId="77777777" w:rsidR="004356D0" w:rsidRPr="0058349C" w:rsidRDefault="004356D0" w:rsidP="00CF7694">
            <w:pPr>
              <w:spacing w:after="0" w:line="240" w:lineRule="auto"/>
              <w:rPr>
                <w:rFonts w:ascii="Garamond" w:eastAsia="Arial" w:hAnsi="Garamond" w:cs="Segoe UI"/>
                <w:b/>
                <w:bCs/>
                <w:sz w:val="18"/>
                <w:szCs w:val="18"/>
                <w:lang w:val="sq-AL"/>
              </w:rPr>
            </w:pPr>
            <w:r w:rsidRPr="0058349C">
              <w:rPr>
                <w:rFonts w:ascii="Garamond" w:eastAsia="Arial" w:hAnsi="Garamond" w:cs="Segoe UI"/>
                <w:b/>
                <w:bCs/>
                <w:sz w:val="18"/>
                <w:szCs w:val="18"/>
                <w:lang w:val="sq-AL"/>
              </w:rPr>
              <w:t>Mb</w:t>
            </w:r>
            <w:r w:rsidRPr="0058349C">
              <w:rPr>
                <w:rFonts w:ascii="Garamond" w:eastAsia="Arial" w:hAnsi="Garamond"/>
                <w:b/>
                <w:sz w:val="18"/>
                <w:szCs w:val="18"/>
                <w:lang w:val="sq-AL"/>
              </w:rPr>
              <w:t>ështetje për b</w:t>
            </w:r>
            <w:r w:rsidRPr="0058349C">
              <w:rPr>
                <w:rFonts w:ascii="Garamond" w:eastAsia="Arial" w:hAnsi="Garamond" w:cs="Segoe UI"/>
                <w:b/>
                <w:bCs/>
                <w:sz w:val="18"/>
                <w:szCs w:val="18"/>
                <w:lang w:val="sq-AL"/>
              </w:rPr>
              <w:t>ujqësinë organike</w:t>
            </w:r>
          </w:p>
        </w:tc>
        <w:tc>
          <w:tcPr>
            <w:tcW w:w="2526" w:type="dxa"/>
            <w:shd w:val="clear" w:color="auto" w:fill="F2F2F2"/>
          </w:tcPr>
          <w:p w14:paraId="0773B526" w14:textId="465AD3DA" w:rsidR="004356D0" w:rsidRPr="0058349C" w:rsidRDefault="004356D0"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përfituesve të mbështetur n</w:t>
            </w:r>
            <w:r w:rsidRPr="0058349C">
              <w:rPr>
                <w:rFonts w:ascii="Garamond" w:eastAsia="Arial" w:hAnsi="Garamond"/>
                <w:bCs/>
                <w:sz w:val="18"/>
                <w:szCs w:val="18"/>
                <w:lang w:val="sq-AL"/>
              </w:rPr>
              <w:t xml:space="preserve">ë programin </w:t>
            </w:r>
            <w:r w:rsidRPr="0058349C">
              <w:rPr>
                <w:rFonts w:ascii="Garamond" w:eastAsia="Arial" w:hAnsi="Garamond"/>
                <w:sz w:val="18"/>
                <w:szCs w:val="18"/>
                <w:lang w:val="sq-AL"/>
              </w:rPr>
              <w:lastRenderedPageBreak/>
              <w:t xml:space="preserve">IPARD III </w:t>
            </w:r>
            <w:r w:rsidR="00930D2C">
              <w:rPr>
                <w:rFonts w:ascii="Garamond" w:eastAsia="Arial" w:hAnsi="Garamond"/>
                <w:sz w:val="18"/>
                <w:szCs w:val="18"/>
                <w:lang w:val="sq-AL"/>
              </w:rPr>
              <w:t>–</w:t>
            </w:r>
            <w:r w:rsidRPr="0058349C">
              <w:rPr>
                <w:rFonts w:ascii="Garamond" w:eastAsia="Arial" w:hAnsi="Garamond"/>
                <w:sz w:val="18"/>
                <w:szCs w:val="18"/>
                <w:lang w:val="sq-AL"/>
              </w:rPr>
              <w:t xml:space="preserve"> Masa 4,</w:t>
            </w:r>
            <w:r w:rsidR="00CF7694" w:rsidRPr="0058349C">
              <w:rPr>
                <w:rFonts w:ascii="Garamond" w:eastAsia="Arial" w:hAnsi="Garamond"/>
                <w:sz w:val="18"/>
                <w:szCs w:val="18"/>
                <w:lang w:val="sq-AL"/>
              </w:rPr>
              <w:t xml:space="preserve"> </w:t>
            </w:r>
            <w:r w:rsidRPr="0058349C">
              <w:rPr>
                <w:rFonts w:ascii="Garamond" w:eastAsia="Arial" w:hAnsi="Garamond"/>
                <w:sz w:val="18"/>
                <w:szCs w:val="18"/>
                <w:lang w:val="sq-AL"/>
              </w:rPr>
              <w:t>me buxhetit orientues - 25% e ndaj totalit</w:t>
            </w:r>
            <w:r w:rsidR="00A20C91">
              <w:rPr>
                <w:rFonts w:ascii="Garamond" w:eastAsia="Arial" w:hAnsi="Garamond"/>
                <w:sz w:val="18"/>
                <w:szCs w:val="18"/>
                <w:lang w:val="sq-AL"/>
              </w:rPr>
              <w:t>,</w:t>
            </w:r>
            <w:r w:rsidRPr="0058349C">
              <w:rPr>
                <w:rFonts w:ascii="Garamond" w:eastAsia="Arial" w:hAnsi="Garamond"/>
                <w:sz w:val="18"/>
                <w:szCs w:val="18"/>
                <w:lang w:val="sq-AL"/>
              </w:rPr>
              <w:t xml:space="preserve"> do t</w:t>
            </w:r>
            <w:r w:rsidRPr="0058349C">
              <w:rPr>
                <w:rFonts w:ascii="Garamond" w:eastAsia="Arial" w:hAnsi="Garamond"/>
                <w:bCs/>
                <w:sz w:val="18"/>
                <w:szCs w:val="18"/>
                <w:lang w:val="sq-AL"/>
              </w:rPr>
              <w:t>ë arrijë në 410 deri në vitin 2027.</w:t>
            </w:r>
          </w:p>
        </w:tc>
        <w:tc>
          <w:tcPr>
            <w:tcW w:w="1419" w:type="dxa"/>
            <w:shd w:val="clear" w:color="auto" w:fill="F2F2F2"/>
            <w:vAlign w:val="center"/>
          </w:tcPr>
          <w:p w14:paraId="0773B527"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lastRenderedPageBreak/>
              <w:t>NB</w:t>
            </w:r>
          </w:p>
        </w:tc>
        <w:tc>
          <w:tcPr>
            <w:tcW w:w="1305" w:type="dxa"/>
            <w:shd w:val="clear" w:color="auto" w:fill="F2F2F2"/>
            <w:vAlign w:val="center"/>
          </w:tcPr>
          <w:p w14:paraId="0773B528"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77" w:type="dxa"/>
            <w:shd w:val="clear" w:color="auto" w:fill="F2F2F2"/>
            <w:vAlign w:val="center"/>
          </w:tcPr>
          <w:p w14:paraId="0773B529"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24,000</w:t>
            </w:r>
          </w:p>
        </w:tc>
        <w:tc>
          <w:tcPr>
            <w:tcW w:w="1283" w:type="dxa"/>
            <w:shd w:val="clear" w:color="auto" w:fill="F2F2F2"/>
            <w:vAlign w:val="center"/>
          </w:tcPr>
          <w:p w14:paraId="0773B52A"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35,420</w:t>
            </w:r>
          </w:p>
        </w:tc>
        <w:tc>
          <w:tcPr>
            <w:tcW w:w="1134" w:type="dxa"/>
            <w:shd w:val="clear" w:color="auto" w:fill="E5F7CA"/>
            <w:vAlign w:val="center"/>
          </w:tcPr>
          <w:p w14:paraId="0773B52B"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410</w:t>
            </w:r>
          </w:p>
        </w:tc>
        <w:tc>
          <w:tcPr>
            <w:tcW w:w="1275" w:type="dxa"/>
            <w:shd w:val="clear" w:color="auto" w:fill="E5F7CA"/>
            <w:vAlign w:val="center"/>
          </w:tcPr>
          <w:p w14:paraId="0773B52C"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410</w:t>
            </w:r>
          </w:p>
        </w:tc>
      </w:tr>
      <w:tr w:rsidR="004356D0" w:rsidRPr="0058349C" w14:paraId="0773B537" w14:textId="77777777" w:rsidTr="00930D2C">
        <w:trPr>
          <w:gridAfter w:val="1"/>
          <w:wAfter w:w="8" w:type="dxa"/>
          <w:trHeight w:val="20"/>
        </w:trPr>
        <w:tc>
          <w:tcPr>
            <w:tcW w:w="384" w:type="dxa"/>
            <w:vMerge/>
            <w:shd w:val="clear" w:color="auto" w:fill="F2F2F2"/>
          </w:tcPr>
          <w:p w14:paraId="0773B52E" w14:textId="77777777" w:rsidR="004356D0" w:rsidRPr="0058349C" w:rsidRDefault="004356D0" w:rsidP="00CF7694">
            <w:pPr>
              <w:spacing w:after="0" w:line="240" w:lineRule="auto"/>
              <w:rPr>
                <w:rFonts w:ascii="Garamond" w:eastAsia="Arial" w:hAnsi="Garamond"/>
                <w:b/>
                <w:sz w:val="18"/>
                <w:szCs w:val="18"/>
                <w:lang w:val="sq-AL"/>
              </w:rPr>
            </w:pPr>
          </w:p>
        </w:tc>
        <w:tc>
          <w:tcPr>
            <w:tcW w:w="3567" w:type="dxa"/>
            <w:vMerge/>
            <w:shd w:val="clear" w:color="auto" w:fill="F2F2F2"/>
          </w:tcPr>
          <w:p w14:paraId="0773B52F" w14:textId="77777777" w:rsidR="004356D0" w:rsidRPr="0058349C" w:rsidRDefault="004356D0" w:rsidP="00CF7694">
            <w:pPr>
              <w:spacing w:after="0" w:line="240" w:lineRule="auto"/>
              <w:rPr>
                <w:rFonts w:ascii="Garamond" w:eastAsia="Arial" w:hAnsi="Garamond" w:cs="Segoe UI"/>
                <w:b/>
                <w:bCs/>
                <w:sz w:val="18"/>
                <w:szCs w:val="18"/>
                <w:lang w:val="sq-AL"/>
              </w:rPr>
            </w:pPr>
          </w:p>
        </w:tc>
        <w:tc>
          <w:tcPr>
            <w:tcW w:w="2526" w:type="dxa"/>
            <w:shd w:val="clear" w:color="auto" w:fill="F2F2F2"/>
          </w:tcPr>
          <w:p w14:paraId="0773B530" w14:textId="77777777" w:rsidR="004356D0" w:rsidRPr="0058349C" w:rsidRDefault="004356D0"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ha nën mbështetje vjetore me Buxhetin kombëtar synohet n</w:t>
            </w:r>
            <w:r w:rsidRPr="0058349C">
              <w:rPr>
                <w:rFonts w:ascii="Garamond" w:eastAsia="Arial" w:hAnsi="Garamond"/>
                <w:bCs/>
                <w:sz w:val="18"/>
                <w:szCs w:val="18"/>
                <w:lang w:val="sq-AL"/>
              </w:rPr>
              <w:t>ë 410</w:t>
            </w:r>
            <w:r w:rsidRPr="0058349C">
              <w:rPr>
                <w:rFonts w:ascii="Garamond" w:eastAsia="Arial" w:hAnsi="Garamond"/>
                <w:sz w:val="18"/>
                <w:szCs w:val="18"/>
                <w:lang w:val="sq-AL"/>
              </w:rPr>
              <w:t>.</w:t>
            </w:r>
          </w:p>
        </w:tc>
        <w:tc>
          <w:tcPr>
            <w:tcW w:w="1419" w:type="dxa"/>
            <w:shd w:val="clear" w:color="auto" w:fill="F2F2F2"/>
            <w:vAlign w:val="center"/>
          </w:tcPr>
          <w:p w14:paraId="0773B531"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NB</w:t>
            </w:r>
          </w:p>
        </w:tc>
        <w:tc>
          <w:tcPr>
            <w:tcW w:w="1305" w:type="dxa"/>
            <w:shd w:val="clear" w:color="auto" w:fill="F2F2F2"/>
            <w:vAlign w:val="center"/>
          </w:tcPr>
          <w:p w14:paraId="0773B532"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NB</w:t>
            </w:r>
          </w:p>
        </w:tc>
        <w:tc>
          <w:tcPr>
            <w:tcW w:w="1277" w:type="dxa"/>
            <w:shd w:val="clear" w:color="auto" w:fill="F2F2F2"/>
            <w:vAlign w:val="center"/>
          </w:tcPr>
          <w:p w14:paraId="0773B533"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NB</w:t>
            </w:r>
          </w:p>
        </w:tc>
        <w:tc>
          <w:tcPr>
            <w:tcW w:w="1283" w:type="dxa"/>
            <w:shd w:val="clear" w:color="auto" w:fill="F2F2F2"/>
            <w:vAlign w:val="center"/>
          </w:tcPr>
          <w:p w14:paraId="0773B534"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134" w:type="dxa"/>
            <w:shd w:val="clear" w:color="auto" w:fill="E5F7CA"/>
            <w:vAlign w:val="center"/>
          </w:tcPr>
          <w:p w14:paraId="0773B535"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410</w:t>
            </w:r>
          </w:p>
        </w:tc>
        <w:tc>
          <w:tcPr>
            <w:tcW w:w="1275" w:type="dxa"/>
            <w:shd w:val="clear" w:color="auto" w:fill="E5F7CA"/>
            <w:vAlign w:val="center"/>
          </w:tcPr>
          <w:p w14:paraId="0773B536"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410</w:t>
            </w:r>
          </w:p>
        </w:tc>
      </w:tr>
      <w:tr w:rsidR="004356D0" w:rsidRPr="0058349C" w14:paraId="0773B542" w14:textId="77777777" w:rsidTr="00930D2C">
        <w:trPr>
          <w:gridAfter w:val="1"/>
          <w:wAfter w:w="8" w:type="dxa"/>
          <w:trHeight w:val="20"/>
        </w:trPr>
        <w:tc>
          <w:tcPr>
            <w:tcW w:w="384" w:type="dxa"/>
            <w:shd w:val="clear" w:color="auto" w:fill="F2F2F2"/>
          </w:tcPr>
          <w:p w14:paraId="0773B538" w14:textId="77777777" w:rsidR="004356D0" w:rsidRPr="0058349C" w:rsidRDefault="004356D0" w:rsidP="00CF7694">
            <w:pPr>
              <w:spacing w:after="0" w:line="240" w:lineRule="auto"/>
              <w:rPr>
                <w:rFonts w:ascii="Garamond" w:eastAsia="Arial" w:hAnsi="Garamond"/>
                <w:b/>
                <w:sz w:val="18"/>
                <w:szCs w:val="18"/>
                <w:lang w:val="sq-AL"/>
              </w:rPr>
            </w:pPr>
          </w:p>
        </w:tc>
        <w:tc>
          <w:tcPr>
            <w:tcW w:w="3567" w:type="dxa"/>
            <w:shd w:val="clear" w:color="auto" w:fill="F2F2F2"/>
          </w:tcPr>
          <w:p w14:paraId="0773B539" w14:textId="0FDAEC74" w:rsidR="004356D0" w:rsidRPr="0058349C" w:rsidRDefault="004356D0" w:rsidP="00CF7694">
            <w:pPr>
              <w:spacing w:after="0" w:line="240" w:lineRule="auto"/>
              <w:rPr>
                <w:rFonts w:ascii="Garamond" w:eastAsia="Arial" w:hAnsi="Garamond" w:cs="Segoe UI"/>
                <w:b/>
                <w:bCs/>
                <w:sz w:val="18"/>
                <w:szCs w:val="18"/>
                <w:lang w:val="sq-AL"/>
              </w:rPr>
            </w:pPr>
            <w:r w:rsidRPr="0058349C">
              <w:rPr>
                <w:rFonts w:ascii="Garamond" w:hAnsi="Garamond"/>
                <w:b/>
                <w:bCs/>
                <w:sz w:val="18"/>
                <w:szCs w:val="18"/>
                <w:lang w:val="sq-AL"/>
              </w:rPr>
              <w:t>Mb</w:t>
            </w:r>
            <w:r w:rsidRPr="0058349C">
              <w:rPr>
                <w:rFonts w:ascii="Garamond" w:eastAsia="Arial" w:hAnsi="Garamond"/>
                <w:b/>
                <w:sz w:val="18"/>
                <w:szCs w:val="18"/>
                <w:lang w:val="sq-AL"/>
              </w:rPr>
              <w:t xml:space="preserve">ështetja e </w:t>
            </w:r>
            <w:r w:rsidR="00930D2C" w:rsidRPr="0058349C">
              <w:rPr>
                <w:rFonts w:ascii="Garamond" w:hAnsi="Garamond"/>
                <w:b/>
                <w:bCs/>
                <w:sz w:val="18"/>
                <w:szCs w:val="18"/>
                <w:lang w:val="sq-AL"/>
              </w:rPr>
              <w:t xml:space="preserve">skemave </w:t>
            </w:r>
            <w:r w:rsidRPr="0058349C">
              <w:rPr>
                <w:rFonts w:ascii="Garamond" w:hAnsi="Garamond"/>
                <w:b/>
                <w:bCs/>
                <w:sz w:val="18"/>
                <w:szCs w:val="18"/>
                <w:lang w:val="sq-AL"/>
              </w:rPr>
              <w:t>ekologjike pilot</w:t>
            </w:r>
          </w:p>
        </w:tc>
        <w:tc>
          <w:tcPr>
            <w:tcW w:w="2526" w:type="dxa"/>
            <w:shd w:val="clear" w:color="auto" w:fill="F2F2F2"/>
          </w:tcPr>
          <w:p w14:paraId="0773B53B" w14:textId="1637EA94" w:rsidR="004356D0" w:rsidRPr="0058349C" w:rsidRDefault="004356D0" w:rsidP="00930D2C">
            <w:pPr>
              <w:spacing w:after="0" w:line="240" w:lineRule="auto"/>
              <w:rPr>
                <w:rFonts w:ascii="Garamond" w:eastAsia="Arial" w:hAnsi="Garamond"/>
                <w:sz w:val="18"/>
                <w:szCs w:val="18"/>
                <w:lang w:val="sq-AL"/>
              </w:rPr>
            </w:pPr>
            <w:r w:rsidRPr="0058349C">
              <w:rPr>
                <w:rFonts w:ascii="Garamond" w:eastAsia="Arial" w:hAnsi="Garamond"/>
                <w:sz w:val="18"/>
                <w:szCs w:val="18"/>
                <w:lang w:val="sq-AL"/>
              </w:rPr>
              <w:t xml:space="preserve">Sipërfaqja në </w:t>
            </w:r>
            <w:r w:rsidR="00930D2C" w:rsidRPr="0058349C">
              <w:rPr>
                <w:rFonts w:ascii="Garamond" w:eastAsia="Arial" w:hAnsi="Garamond"/>
                <w:sz w:val="18"/>
                <w:szCs w:val="18"/>
                <w:lang w:val="sq-AL"/>
              </w:rPr>
              <w:t>h</w:t>
            </w:r>
            <w:r w:rsidRPr="0058349C">
              <w:rPr>
                <w:rFonts w:ascii="Garamond" w:eastAsia="Arial" w:hAnsi="Garamond"/>
                <w:sz w:val="18"/>
                <w:szCs w:val="18"/>
                <w:lang w:val="sq-AL"/>
              </w:rPr>
              <w:t>a nën mbështetje të skemave-eko synohet</w:t>
            </w:r>
            <w:r w:rsidR="00CF7694" w:rsidRPr="0058349C">
              <w:rPr>
                <w:rFonts w:ascii="Garamond" w:eastAsia="Arial" w:hAnsi="Garamond"/>
                <w:sz w:val="18"/>
                <w:szCs w:val="18"/>
                <w:lang w:val="sq-AL"/>
              </w:rPr>
              <w:t xml:space="preserve"> </w:t>
            </w:r>
            <w:r w:rsidRPr="0058349C">
              <w:rPr>
                <w:rFonts w:ascii="Garamond" w:eastAsia="Arial" w:hAnsi="Garamond"/>
                <w:sz w:val="18"/>
                <w:szCs w:val="18"/>
                <w:lang w:val="sq-AL"/>
              </w:rPr>
              <w:t>të arrijë në 100 Ha në vitin 2027.</w:t>
            </w:r>
          </w:p>
        </w:tc>
        <w:tc>
          <w:tcPr>
            <w:tcW w:w="1419" w:type="dxa"/>
            <w:shd w:val="clear" w:color="auto" w:fill="F2F2F2"/>
          </w:tcPr>
          <w:p w14:paraId="0773B53C"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N:20,000</w:t>
            </w:r>
          </w:p>
        </w:tc>
        <w:tc>
          <w:tcPr>
            <w:tcW w:w="1305" w:type="dxa"/>
            <w:shd w:val="clear" w:color="auto" w:fill="F2F2F2"/>
          </w:tcPr>
          <w:p w14:paraId="0773B53D"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77" w:type="dxa"/>
            <w:shd w:val="clear" w:color="auto" w:fill="F2F2F2"/>
          </w:tcPr>
          <w:p w14:paraId="0773B53E"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3" w:type="dxa"/>
            <w:shd w:val="clear" w:color="auto" w:fill="F2F2F2"/>
          </w:tcPr>
          <w:p w14:paraId="0773B53F"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20,000</w:t>
            </w:r>
          </w:p>
        </w:tc>
        <w:tc>
          <w:tcPr>
            <w:tcW w:w="1134" w:type="dxa"/>
            <w:shd w:val="clear" w:color="auto" w:fill="E5F7CA"/>
          </w:tcPr>
          <w:p w14:paraId="0773B540" w14:textId="77777777" w:rsidR="004356D0" w:rsidRPr="0058349C" w:rsidRDefault="004356D0" w:rsidP="00CF7694">
            <w:pPr>
              <w:spacing w:after="0" w:line="240" w:lineRule="auto"/>
              <w:jc w:val="center"/>
              <w:rPr>
                <w:rFonts w:ascii="Garamond" w:eastAsia="Arial" w:hAnsi="Garamond"/>
                <w:sz w:val="18"/>
                <w:szCs w:val="18"/>
                <w:lang w:val="sq-AL"/>
              </w:rPr>
            </w:pPr>
          </w:p>
        </w:tc>
        <w:tc>
          <w:tcPr>
            <w:tcW w:w="1275" w:type="dxa"/>
            <w:shd w:val="clear" w:color="auto" w:fill="E5F7CA"/>
          </w:tcPr>
          <w:p w14:paraId="0773B541" w14:textId="77777777" w:rsidR="004356D0" w:rsidRPr="0058349C" w:rsidRDefault="004356D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bl>
    <w:p w14:paraId="0773B543" w14:textId="77777777" w:rsidR="005F12DF" w:rsidRPr="0058349C" w:rsidRDefault="005F12DF" w:rsidP="00C54AEA">
      <w:pPr>
        <w:pStyle w:val="TEKSTIIII"/>
        <w:rPr>
          <w:lang w:val="sq-AL"/>
        </w:rPr>
      </w:pPr>
    </w:p>
    <w:tbl>
      <w:tblPr>
        <w:tblpPr w:leftFromText="180" w:rightFromText="180" w:vertAnchor="text" w:tblpXSpec="center" w:tblpY="1"/>
        <w:tblOverlap w:val="never"/>
        <w:tblW w:w="14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
        <w:gridCol w:w="3567"/>
        <w:gridCol w:w="2526"/>
        <w:gridCol w:w="1419"/>
        <w:gridCol w:w="1305"/>
        <w:gridCol w:w="1475"/>
        <w:gridCol w:w="1085"/>
        <w:gridCol w:w="1134"/>
        <w:gridCol w:w="1275"/>
        <w:gridCol w:w="8"/>
      </w:tblGrid>
      <w:tr w:rsidR="00FB4E53" w:rsidRPr="0058349C" w14:paraId="0773B546" w14:textId="77777777" w:rsidTr="00930D2C">
        <w:trPr>
          <w:trHeight w:val="20"/>
        </w:trPr>
        <w:tc>
          <w:tcPr>
            <w:tcW w:w="384" w:type="dxa"/>
            <w:shd w:val="clear" w:color="auto" w:fill="E5F7CA"/>
          </w:tcPr>
          <w:p w14:paraId="0773B544" w14:textId="77777777" w:rsidR="00FB4E53" w:rsidRPr="0058349C" w:rsidRDefault="00FB4E53" w:rsidP="00CF7694">
            <w:pPr>
              <w:spacing w:after="0" w:line="240" w:lineRule="auto"/>
              <w:rPr>
                <w:rFonts w:ascii="Garamond" w:eastAsia="Arial" w:hAnsi="Garamond"/>
                <w:b/>
                <w:bCs/>
                <w:sz w:val="18"/>
                <w:szCs w:val="18"/>
                <w:lang w:val="sq-AL"/>
              </w:rPr>
            </w:pPr>
          </w:p>
        </w:tc>
        <w:tc>
          <w:tcPr>
            <w:tcW w:w="13794" w:type="dxa"/>
            <w:gridSpan w:val="9"/>
            <w:shd w:val="clear" w:color="auto" w:fill="E5F7CA"/>
            <w:vAlign w:val="center"/>
          </w:tcPr>
          <w:p w14:paraId="0773B545" w14:textId="1A8A5DDC" w:rsidR="00FB4E53" w:rsidRPr="0058349C" w:rsidRDefault="00FB4E53" w:rsidP="00CF7694">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 xml:space="preserve">Objektivi specifik 6: Mbrojtja e biodiversitetit, rritja e shërbimeve të ekosistemit dhe ruajtja e habitateve dhe </w:t>
            </w:r>
            <w:r w:rsidR="0077681B">
              <w:rPr>
                <w:rFonts w:ascii="Garamond" w:eastAsia="Arial" w:hAnsi="Garamond"/>
                <w:b/>
                <w:bCs/>
                <w:sz w:val="18"/>
                <w:szCs w:val="18"/>
                <w:lang w:val="sq-AL"/>
              </w:rPr>
              <w:t xml:space="preserve">i </w:t>
            </w:r>
            <w:r w:rsidRPr="0058349C">
              <w:rPr>
                <w:rFonts w:ascii="Garamond" w:eastAsia="Arial" w:hAnsi="Garamond"/>
                <w:b/>
                <w:bCs/>
                <w:sz w:val="18"/>
                <w:szCs w:val="18"/>
                <w:lang w:val="sq-AL"/>
              </w:rPr>
              <w:t>peizazheve</w:t>
            </w:r>
          </w:p>
        </w:tc>
      </w:tr>
      <w:tr w:rsidR="00FB4E53" w:rsidRPr="0058349C" w14:paraId="0773B54E" w14:textId="77777777" w:rsidTr="00930D2C">
        <w:trPr>
          <w:gridAfter w:val="1"/>
          <w:wAfter w:w="8" w:type="dxa"/>
          <w:trHeight w:val="20"/>
        </w:trPr>
        <w:tc>
          <w:tcPr>
            <w:tcW w:w="384" w:type="dxa"/>
            <w:shd w:val="clear" w:color="auto" w:fill="E5F7CA"/>
          </w:tcPr>
          <w:p w14:paraId="0773B547" w14:textId="77777777" w:rsidR="00FB4E53" w:rsidRPr="0058349C" w:rsidRDefault="00FB4E53" w:rsidP="00CF7694">
            <w:pPr>
              <w:spacing w:after="0" w:line="240" w:lineRule="auto"/>
              <w:rPr>
                <w:rFonts w:ascii="Garamond" w:eastAsia="Arial" w:hAnsi="Garamond"/>
                <w:b/>
                <w:bCs/>
                <w:sz w:val="18"/>
                <w:szCs w:val="18"/>
                <w:lang w:val="sq-AL"/>
              </w:rPr>
            </w:pPr>
          </w:p>
        </w:tc>
        <w:tc>
          <w:tcPr>
            <w:tcW w:w="6093" w:type="dxa"/>
            <w:gridSpan w:val="2"/>
            <w:shd w:val="clear" w:color="auto" w:fill="E5F7CA"/>
            <w:vAlign w:val="center"/>
          </w:tcPr>
          <w:p w14:paraId="0773B548" w14:textId="08C2F746" w:rsidR="00FB4E53" w:rsidRPr="0058349C" w:rsidRDefault="00FB4E53" w:rsidP="0077681B">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Treguesi i rezultatit 6.1: SBSH sipas skemave agromjedisore për mbrojtjen e kullotave (n</w:t>
            </w:r>
            <w:r w:rsidRPr="0058349C">
              <w:rPr>
                <w:rFonts w:ascii="Garamond" w:eastAsia="Arial" w:hAnsi="Garamond"/>
                <w:sz w:val="18"/>
                <w:szCs w:val="18"/>
                <w:lang w:val="sq-AL"/>
              </w:rPr>
              <w:t xml:space="preserve">ë </w:t>
            </w:r>
            <w:r w:rsidRPr="0058349C">
              <w:rPr>
                <w:rFonts w:ascii="Garamond" w:eastAsia="Arial" w:hAnsi="Garamond"/>
                <w:b/>
                <w:bCs/>
                <w:sz w:val="18"/>
                <w:szCs w:val="18"/>
                <w:lang w:val="sq-AL"/>
              </w:rPr>
              <w:t xml:space="preserve">Ha) do </w:t>
            </w:r>
            <w:r w:rsidRPr="0077681B">
              <w:rPr>
                <w:rFonts w:ascii="Garamond" w:eastAsia="Arial" w:hAnsi="Garamond"/>
                <w:b/>
                <w:bCs/>
                <w:sz w:val="18"/>
                <w:szCs w:val="18"/>
                <w:lang w:val="sq-AL"/>
              </w:rPr>
              <w:t xml:space="preserve">të kapë shifrën e 500 </w:t>
            </w:r>
            <w:r w:rsidR="0077681B" w:rsidRPr="0077681B">
              <w:rPr>
                <w:rFonts w:ascii="Garamond" w:eastAsia="Arial" w:hAnsi="Garamond"/>
                <w:b/>
                <w:bCs/>
                <w:sz w:val="18"/>
                <w:szCs w:val="18"/>
                <w:lang w:val="sq-AL"/>
              </w:rPr>
              <w:t xml:space="preserve">ha </w:t>
            </w:r>
            <w:r w:rsidRPr="0077681B">
              <w:rPr>
                <w:rFonts w:ascii="Garamond" w:eastAsia="Arial" w:hAnsi="Garamond"/>
                <w:b/>
                <w:bCs/>
                <w:sz w:val="18"/>
                <w:szCs w:val="18"/>
                <w:lang w:val="sq-AL"/>
              </w:rPr>
              <w:t>deri në vitin 2024.</w:t>
            </w:r>
          </w:p>
        </w:tc>
        <w:tc>
          <w:tcPr>
            <w:tcW w:w="1419" w:type="dxa"/>
            <w:shd w:val="clear" w:color="auto" w:fill="E5F7CA"/>
            <w:vAlign w:val="center"/>
          </w:tcPr>
          <w:p w14:paraId="0773B549" w14:textId="77777777" w:rsidR="00FB4E53" w:rsidRPr="00930D2C" w:rsidRDefault="00FB4E53" w:rsidP="00CF7694">
            <w:pPr>
              <w:spacing w:after="0" w:line="240" w:lineRule="auto"/>
              <w:jc w:val="center"/>
              <w:rPr>
                <w:rFonts w:ascii="Garamond" w:eastAsia="Arial" w:hAnsi="Garamond"/>
                <w:b/>
                <w:sz w:val="18"/>
                <w:szCs w:val="18"/>
                <w:lang w:val="sq-AL"/>
              </w:rPr>
            </w:pPr>
            <w:r w:rsidRPr="00930D2C">
              <w:rPr>
                <w:rFonts w:ascii="Garamond" w:eastAsia="Arial" w:hAnsi="Garamond"/>
                <w:b/>
                <w:sz w:val="18"/>
                <w:szCs w:val="18"/>
                <w:lang w:val="sq-AL"/>
              </w:rPr>
              <w:t xml:space="preserve">Vlera bazë e treguesit </w:t>
            </w:r>
          </w:p>
          <w:p w14:paraId="0773B54A" w14:textId="77777777" w:rsidR="00FB4E53" w:rsidRPr="0058349C" w:rsidRDefault="00FB4E53" w:rsidP="00CF7694">
            <w:pPr>
              <w:spacing w:after="0" w:line="240" w:lineRule="auto"/>
              <w:jc w:val="center"/>
              <w:rPr>
                <w:rFonts w:ascii="Garamond" w:eastAsia="Arial" w:hAnsi="Garamond"/>
                <w:b/>
                <w:bCs/>
                <w:sz w:val="18"/>
                <w:szCs w:val="18"/>
                <w:lang w:val="sq-AL"/>
              </w:rPr>
            </w:pPr>
            <w:r w:rsidRPr="00930D2C">
              <w:rPr>
                <w:rFonts w:ascii="Garamond" w:eastAsia="Arial" w:hAnsi="Garamond"/>
                <w:b/>
                <w:sz w:val="18"/>
                <w:szCs w:val="18"/>
                <w:lang w:val="sq-AL"/>
              </w:rPr>
              <w:t>0</w:t>
            </w:r>
          </w:p>
        </w:tc>
        <w:tc>
          <w:tcPr>
            <w:tcW w:w="3865" w:type="dxa"/>
            <w:gridSpan w:val="3"/>
            <w:shd w:val="clear" w:color="auto" w:fill="E5F7CA"/>
            <w:vAlign w:val="center"/>
          </w:tcPr>
          <w:p w14:paraId="0773B54B" w14:textId="77777777" w:rsidR="00FB4E53" w:rsidRPr="0058349C" w:rsidRDefault="00FB4E53" w:rsidP="00CF7694">
            <w:pPr>
              <w:spacing w:after="0" w:line="240" w:lineRule="auto"/>
              <w:jc w:val="center"/>
              <w:rPr>
                <w:rFonts w:ascii="Garamond" w:eastAsia="Arial" w:hAnsi="Garamond"/>
                <w:b/>
                <w:bCs/>
                <w:sz w:val="18"/>
                <w:szCs w:val="18"/>
                <w:lang w:val="sq-AL"/>
              </w:rPr>
            </w:pPr>
          </w:p>
        </w:tc>
        <w:tc>
          <w:tcPr>
            <w:tcW w:w="1134" w:type="dxa"/>
            <w:shd w:val="clear" w:color="auto" w:fill="E5F7CA"/>
            <w:vAlign w:val="center"/>
          </w:tcPr>
          <w:p w14:paraId="0773B54C" w14:textId="77777777" w:rsidR="00FB4E53" w:rsidRPr="0058349C" w:rsidRDefault="00FB4E53"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500</w:t>
            </w:r>
          </w:p>
        </w:tc>
        <w:tc>
          <w:tcPr>
            <w:tcW w:w="1275" w:type="dxa"/>
            <w:shd w:val="clear" w:color="auto" w:fill="E5F7CA"/>
            <w:vAlign w:val="center"/>
          </w:tcPr>
          <w:p w14:paraId="0773B54D" w14:textId="77777777" w:rsidR="00FB4E53" w:rsidRPr="0058349C" w:rsidRDefault="00FB4E53"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500</w:t>
            </w:r>
          </w:p>
        </w:tc>
      </w:tr>
      <w:tr w:rsidR="00FB4E53" w:rsidRPr="0077681B" w14:paraId="0773B559" w14:textId="77777777" w:rsidTr="00930D2C">
        <w:trPr>
          <w:gridAfter w:val="1"/>
          <w:wAfter w:w="8" w:type="dxa"/>
          <w:trHeight w:val="20"/>
        </w:trPr>
        <w:tc>
          <w:tcPr>
            <w:tcW w:w="384" w:type="dxa"/>
            <w:vMerge w:val="restart"/>
            <w:shd w:val="clear" w:color="auto" w:fill="F2F2F2"/>
          </w:tcPr>
          <w:p w14:paraId="0773B54F" w14:textId="77777777" w:rsidR="00FB4E53" w:rsidRPr="0058349C" w:rsidRDefault="00FB4E53" w:rsidP="00CF7694">
            <w:pPr>
              <w:spacing w:after="0" w:line="240" w:lineRule="auto"/>
              <w:rPr>
                <w:rFonts w:ascii="Garamond" w:eastAsia="Arial" w:hAnsi="Garamond"/>
                <w:b/>
                <w:sz w:val="18"/>
                <w:szCs w:val="18"/>
                <w:lang w:val="sq-AL"/>
              </w:rPr>
            </w:pPr>
          </w:p>
        </w:tc>
        <w:tc>
          <w:tcPr>
            <w:tcW w:w="3567" w:type="dxa"/>
            <w:vMerge w:val="restart"/>
            <w:shd w:val="clear" w:color="auto" w:fill="F2F2F2"/>
            <w:vAlign w:val="center"/>
          </w:tcPr>
          <w:p w14:paraId="0773B550" w14:textId="62D1F58A" w:rsidR="00FB4E53" w:rsidRPr="0058349C" w:rsidRDefault="00FB4E53"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Vepr</w:t>
            </w:r>
            <w:r w:rsidR="0077681B">
              <w:rPr>
                <w:rFonts w:ascii="Garamond" w:eastAsia="Arial" w:hAnsi="Garamond"/>
                <w:b/>
                <w:bCs/>
                <w:sz w:val="18"/>
                <w:szCs w:val="18"/>
                <w:lang w:val="sq-AL"/>
              </w:rPr>
              <w:t>imi</w:t>
            </w:r>
            <w:r w:rsidR="00797859">
              <w:rPr>
                <w:rFonts w:ascii="Garamond" w:eastAsia="Arial" w:hAnsi="Garamond"/>
                <w:b/>
                <w:bCs/>
                <w:sz w:val="18"/>
                <w:szCs w:val="18"/>
                <w:lang w:val="sq-AL"/>
              </w:rPr>
              <w:t>/</w:t>
            </w:r>
            <w:r w:rsidR="0077681B">
              <w:rPr>
                <w:rFonts w:ascii="Garamond" w:eastAsia="Arial" w:hAnsi="Garamond"/>
                <w:b/>
                <w:bCs/>
                <w:sz w:val="18"/>
                <w:szCs w:val="18"/>
                <w:lang w:val="sq-AL"/>
              </w:rPr>
              <w:t>ndërhyrja</w:t>
            </w:r>
          </w:p>
        </w:tc>
        <w:tc>
          <w:tcPr>
            <w:tcW w:w="2526" w:type="dxa"/>
            <w:vMerge w:val="restart"/>
            <w:shd w:val="clear" w:color="auto" w:fill="F2F2F2"/>
            <w:vAlign w:val="center"/>
          </w:tcPr>
          <w:p w14:paraId="0773B551" w14:textId="627043CC" w:rsidR="00FB4E53" w:rsidRPr="0058349C" w:rsidRDefault="00FB4E53"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 xml:space="preserve">Treguesi i </w:t>
            </w:r>
            <w:r w:rsidRPr="0077681B">
              <w:rPr>
                <w:rFonts w:ascii="Garamond" w:eastAsia="Arial" w:hAnsi="Garamond"/>
                <w:b/>
                <w:bCs/>
                <w:i/>
                <w:iCs/>
                <w:sz w:val="18"/>
                <w:szCs w:val="18"/>
                <w:lang w:val="sq-AL"/>
              </w:rPr>
              <w:t>output</w:t>
            </w:r>
            <w:r w:rsidR="0077681B">
              <w:rPr>
                <w:rFonts w:ascii="Garamond" w:eastAsia="Arial" w:hAnsi="Garamond"/>
                <w:b/>
                <w:bCs/>
                <w:sz w:val="18"/>
                <w:szCs w:val="18"/>
                <w:lang w:val="sq-AL"/>
              </w:rPr>
              <w:t>-it</w:t>
            </w:r>
          </w:p>
        </w:tc>
        <w:tc>
          <w:tcPr>
            <w:tcW w:w="1419" w:type="dxa"/>
            <w:vMerge w:val="restart"/>
            <w:shd w:val="clear" w:color="auto" w:fill="F2F2F2"/>
            <w:vAlign w:val="center"/>
          </w:tcPr>
          <w:p w14:paraId="0773B552" w14:textId="77777777" w:rsidR="00FB4E53" w:rsidRPr="0058349C" w:rsidRDefault="00FB4E53"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Buxheti total</w:t>
            </w:r>
          </w:p>
          <w:p w14:paraId="0773B553" w14:textId="6E8266DD" w:rsidR="00FB4E53" w:rsidRPr="0058349C" w:rsidRDefault="0077681B" w:rsidP="00CF7694">
            <w:pPr>
              <w:spacing w:after="0" w:line="240" w:lineRule="auto"/>
              <w:jc w:val="center"/>
              <w:rPr>
                <w:rFonts w:ascii="Garamond" w:eastAsia="Arial" w:hAnsi="Garamond"/>
                <w:sz w:val="18"/>
                <w:szCs w:val="18"/>
                <w:lang w:val="sq-AL"/>
              </w:rPr>
            </w:pPr>
            <w:r>
              <w:rPr>
                <w:rFonts w:ascii="Garamond" w:eastAsia="Arial" w:hAnsi="Garamond"/>
                <w:b/>
                <w:bCs/>
                <w:sz w:val="18"/>
                <w:szCs w:val="18"/>
                <w:lang w:val="sq-AL"/>
              </w:rPr>
              <w:t>2022</w:t>
            </w:r>
            <w:r w:rsidR="00FB4E53" w:rsidRPr="0058349C">
              <w:rPr>
                <w:rFonts w:ascii="Garamond" w:eastAsia="Arial" w:hAnsi="Garamond" w:cs="Arial"/>
                <w:b/>
                <w:bCs/>
                <w:sz w:val="18"/>
                <w:szCs w:val="18"/>
                <w:lang w:val="sq-AL"/>
              </w:rPr>
              <w:t>–</w:t>
            </w:r>
            <w:r w:rsidR="00FB4E53" w:rsidRPr="0058349C">
              <w:rPr>
                <w:rFonts w:ascii="Garamond" w:eastAsia="Arial" w:hAnsi="Garamond"/>
                <w:b/>
                <w:bCs/>
                <w:sz w:val="18"/>
                <w:szCs w:val="18"/>
                <w:lang w:val="sq-AL"/>
              </w:rPr>
              <w:t>2024 (</w:t>
            </w:r>
            <w:r w:rsidRPr="0058349C">
              <w:rPr>
                <w:rFonts w:ascii="Garamond" w:eastAsia="Arial" w:hAnsi="Garamond"/>
                <w:b/>
                <w:bCs/>
                <w:sz w:val="18"/>
                <w:szCs w:val="18"/>
                <w:lang w:val="sq-AL"/>
              </w:rPr>
              <w:t>euro</w:t>
            </w:r>
            <w:r w:rsidR="00FB4E53" w:rsidRPr="0058349C">
              <w:rPr>
                <w:rFonts w:ascii="Garamond" w:eastAsia="Arial" w:hAnsi="Garamond"/>
                <w:b/>
                <w:bCs/>
                <w:sz w:val="18"/>
                <w:szCs w:val="18"/>
                <w:lang w:val="sq-AL"/>
              </w:rPr>
              <w:t>)</w:t>
            </w:r>
          </w:p>
        </w:tc>
        <w:tc>
          <w:tcPr>
            <w:tcW w:w="3865" w:type="dxa"/>
            <w:gridSpan w:val="3"/>
            <w:shd w:val="clear" w:color="auto" w:fill="F2F2F2"/>
            <w:vAlign w:val="center"/>
          </w:tcPr>
          <w:p w14:paraId="0773B554" w14:textId="3933F7E9" w:rsidR="00FB4E53" w:rsidRPr="0058349C" w:rsidRDefault="00FB4E53"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Buxheti i alokuar (</w:t>
            </w:r>
            <w:r w:rsidR="0077681B" w:rsidRPr="0058349C">
              <w:rPr>
                <w:rFonts w:ascii="Garamond" w:eastAsia="Arial" w:hAnsi="Garamond"/>
                <w:b/>
                <w:bCs/>
                <w:sz w:val="18"/>
                <w:szCs w:val="18"/>
                <w:lang w:val="sq-AL"/>
              </w:rPr>
              <w:t>euro</w:t>
            </w:r>
            <w:r w:rsidRPr="0058349C">
              <w:rPr>
                <w:rFonts w:ascii="Garamond" w:eastAsia="Arial" w:hAnsi="Garamond"/>
                <w:b/>
                <w:bCs/>
                <w:sz w:val="18"/>
                <w:szCs w:val="18"/>
                <w:lang w:val="sq-AL"/>
              </w:rPr>
              <w:t>)</w:t>
            </w:r>
          </w:p>
          <w:p w14:paraId="0773B555" w14:textId="0A671B35" w:rsidR="00FB4E53" w:rsidRPr="0058349C" w:rsidRDefault="0077681B" w:rsidP="00CF7694">
            <w:pPr>
              <w:spacing w:after="0" w:line="240" w:lineRule="auto"/>
              <w:jc w:val="center"/>
              <w:rPr>
                <w:rFonts w:ascii="Garamond" w:eastAsia="Arial" w:hAnsi="Garamond"/>
                <w:b/>
                <w:bCs/>
                <w:sz w:val="18"/>
                <w:szCs w:val="18"/>
                <w:lang w:val="sq-AL"/>
              </w:rPr>
            </w:pPr>
            <w:r>
              <w:rPr>
                <w:rFonts w:ascii="Garamond" w:eastAsia="Arial" w:hAnsi="Garamond"/>
                <w:b/>
                <w:bCs/>
                <w:sz w:val="18"/>
                <w:szCs w:val="18"/>
                <w:lang w:val="sq-AL"/>
              </w:rPr>
              <w:t>2022</w:t>
            </w:r>
            <w:r w:rsidR="00FB4E53" w:rsidRPr="0058349C">
              <w:rPr>
                <w:rFonts w:ascii="Garamond" w:eastAsia="Arial" w:hAnsi="Garamond" w:cs="Arial"/>
                <w:b/>
                <w:bCs/>
                <w:sz w:val="18"/>
                <w:szCs w:val="18"/>
                <w:lang w:val="sq-AL"/>
              </w:rPr>
              <w:t>–</w:t>
            </w:r>
            <w:r w:rsidR="00FB4E53" w:rsidRPr="0058349C">
              <w:rPr>
                <w:rFonts w:ascii="Garamond" w:eastAsia="Arial" w:hAnsi="Garamond"/>
                <w:b/>
                <w:bCs/>
                <w:sz w:val="18"/>
                <w:szCs w:val="18"/>
                <w:lang w:val="sq-AL"/>
              </w:rPr>
              <w:t>2024</w:t>
            </w:r>
          </w:p>
          <w:p w14:paraId="0773B556" w14:textId="3A214A3D" w:rsidR="00FB4E53" w:rsidRPr="0058349C" w:rsidRDefault="00FB4E53"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(N = nevojë,</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 xml:space="preserve">nuk mbulohet nga buxheti kombëtar </w:t>
            </w:r>
            <w:r w:rsidR="00797859">
              <w:rPr>
                <w:rFonts w:ascii="Garamond" w:eastAsia="Arial" w:hAnsi="Garamond"/>
                <w:b/>
                <w:bCs/>
                <w:sz w:val="18"/>
                <w:szCs w:val="18"/>
                <w:lang w:val="sq-AL"/>
              </w:rPr>
              <w:t>/</w:t>
            </w:r>
            <w:r w:rsidRPr="0058349C">
              <w:rPr>
                <w:rFonts w:ascii="Garamond" w:eastAsia="Arial" w:hAnsi="Garamond"/>
                <w:b/>
                <w:bCs/>
                <w:sz w:val="18"/>
                <w:szCs w:val="18"/>
                <w:lang w:val="sq-AL"/>
              </w:rPr>
              <w:t>buxheti IPA III</w:t>
            </w:r>
            <w:r w:rsidR="00C259A4">
              <w:rPr>
                <w:rFonts w:ascii="Garamond" w:eastAsia="Arial" w:hAnsi="Garamond"/>
                <w:b/>
                <w:bCs/>
                <w:sz w:val="18"/>
                <w:szCs w:val="18"/>
                <w:lang w:val="sq-AL"/>
              </w:rPr>
              <w:t>)</w:t>
            </w:r>
          </w:p>
        </w:tc>
        <w:tc>
          <w:tcPr>
            <w:tcW w:w="1134" w:type="dxa"/>
            <w:vMerge w:val="restart"/>
            <w:shd w:val="clear" w:color="auto" w:fill="E5F7CA"/>
            <w:vAlign w:val="center"/>
          </w:tcPr>
          <w:p w14:paraId="0773B557" w14:textId="1735C01F" w:rsidR="00FB4E53" w:rsidRPr="0058349C" w:rsidRDefault="00FB4E53"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 xml:space="preserve">Objektivi </w:t>
            </w:r>
            <w:r w:rsidRPr="0077681B">
              <w:rPr>
                <w:rFonts w:ascii="Garamond" w:eastAsia="Arial" w:hAnsi="Garamond"/>
                <w:b/>
                <w:bCs/>
                <w:sz w:val="18"/>
                <w:szCs w:val="18"/>
                <w:lang w:val="sq-AL"/>
              </w:rPr>
              <w:t>për vitin</w:t>
            </w:r>
            <w:r w:rsidR="00CF7694" w:rsidRPr="0077681B">
              <w:rPr>
                <w:rFonts w:ascii="Garamond" w:eastAsia="Arial" w:hAnsi="Garamond"/>
                <w:b/>
                <w:bCs/>
                <w:sz w:val="18"/>
                <w:szCs w:val="18"/>
                <w:lang w:val="sq-AL"/>
              </w:rPr>
              <w:t xml:space="preserve"> </w:t>
            </w:r>
            <w:r w:rsidRPr="0077681B">
              <w:rPr>
                <w:rFonts w:ascii="Garamond" w:eastAsia="Arial" w:hAnsi="Garamond"/>
                <w:b/>
                <w:bCs/>
                <w:sz w:val="18"/>
                <w:szCs w:val="18"/>
                <w:lang w:val="sq-AL"/>
              </w:rPr>
              <w:t>2024</w:t>
            </w:r>
          </w:p>
        </w:tc>
        <w:tc>
          <w:tcPr>
            <w:tcW w:w="1275" w:type="dxa"/>
            <w:vMerge w:val="restart"/>
            <w:shd w:val="clear" w:color="auto" w:fill="E5F7CA"/>
            <w:vAlign w:val="center"/>
          </w:tcPr>
          <w:p w14:paraId="0773B558" w14:textId="04182C60" w:rsidR="00FB4E53" w:rsidRPr="0077681B" w:rsidRDefault="00FB4E53" w:rsidP="00CF7694">
            <w:pPr>
              <w:spacing w:after="0" w:line="240" w:lineRule="auto"/>
              <w:jc w:val="center"/>
              <w:rPr>
                <w:rFonts w:ascii="Garamond" w:eastAsia="Arial" w:hAnsi="Garamond"/>
                <w:b/>
                <w:bCs/>
                <w:sz w:val="18"/>
                <w:szCs w:val="18"/>
                <w:lang w:val="sq-AL"/>
              </w:rPr>
            </w:pPr>
            <w:r w:rsidRPr="0077681B">
              <w:rPr>
                <w:rFonts w:ascii="Garamond" w:eastAsia="Arial" w:hAnsi="Garamond"/>
                <w:b/>
                <w:bCs/>
                <w:sz w:val="18"/>
                <w:szCs w:val="18"/>
                <w:lang w:val="sq-AL"/>
              </w:rPr>
              <w:t>Objektivi për vitin</w:t>
            </w:r>
            <w:r w:rsidR="00CF7694" w:rsidRPr="0077681B">
              <w:rPr>
                <w:rFonts w:ascii="Garamond" w:eastAsia="Arial" w:hAnsi="Garamond"/>
                <w:b/>
                <w:bCs/>
                <w:sz w:val="18"/>
                <w:szCs w:val="18"/>
                <w:lang w:val="sq-AL"/>
              </w:rPr>
              <w:t xml:space="preserve"> </w:t>
            </w:r>
            <w:r w:rsidRPr="0077681B">
              <w:rPr>
                <w:rFonts w:ascii="Garamond" w:eastAsia="Arial" w:hAnsi="Garamond"/>
                <w:b/>
                <w:bCs/>
                <w:sz w:val="18"/>
                <w:szCs w:val="18"/>
                <w:lang w:val="sq-AL"/>
              </w:rPr>
              <w:t>2027</w:t>
            </w:r>
          </w:p>
        </w:tc>
      </w:tr>
      <w:tr w:rsidR="00FB4E53" w:rsidRPr="0058349C" w14:paraId="0773B563" w14:textId="77777777" w:rsidTr="00930D2C">
        <w:trPr>
          <w:gridAfter w:val="1"/>
          <w:wAfter w:w="8" w:type="dxa"/>
          <w:trHeight w:val="20"/>
        </w:trPr>
        <w:tc>
          <w:tcPr>
            <w:tcW w:w="384" w:type="dxa"/>
            <w:vMerge/>
            <w:shd w:val="clear" w:color="auto" w:fill="F2F2F2"/>
          </w:tcPr>
          <w:p w14:paraId="0773B55A" w14:textId="77777777" w:rsidR="00FB4E53" w:rsidRPr="0058349C" w:rsidRDefault="00FB4E53" w:rsidP="00CF7694">
            <w:pPr>
              <w:spacing w:after="0" w:line="240" w:lineRule="auto"/>
              <w:rPr>
                <w:rFonts w:ascii="Garamond" w:eastAsia="Arial" w:hAnsi="Garamond"/>
                <w:b/>
                <w:sz w:val="18"/>
                <w:szCs w:val="18"/>
                <w:lang w:val="sq-AL"/>
              </w:rPr>
            </w:pPr>
          </w:p>
        </w:tc>
        <w:tc>
          <w:tcPr>
            <w:tcW w:w="3567" w:type="dxa"/>
            <w:vMerge/>
            <w:shd w:val="clear" w:color="auto" w:fill="F2F2F2"/>
          </w:tcPr>
          <w:p w14:paraId="0773B55B" w14:textId="77777777" w:rsidR="00FB4E53" w:rsidRPr="0058349C" w:rsidRDefault="00FB4E53" w:rsidP="00CF7694">
            <w:pPr>
              <w:spacing w:after="0" w:line="240" w:lineRule="auto"/>
              <w:jc w:val="center"/>
              <w:rPr>
                <w:rFonts w:ascii="Garamond" w:eastAsia="Arial" w:hAnsi="Garamond"/>
                <w:b/>
                <w:bCs/>
                <w:sz w:val="18"/>
                <w:szCs w:val="18"/>
                <w:lang w:val="sq-AL"/>
              </w:rPr>
            </w:pPr>
          </w:p>
        </w:tc>
        <w:tc>
          <w:tcPr>
            <w:tcW w:w="2526" w:type="dxa"/>
            <w:vMerge/>
            <w:shd w:val="clear" w:color="auto" w:fill="F2F2F2"/>
          </w:tcPr>
          <w:p w14:paraId="0773B55C" w14:textId="77777777" w:rsidR="00FB4E53" w:rsidRPr="0058349C" w:rsidRDefault="00FB4E53" w:rsidP="00CF7694">
            <w:pPr>
              <w:spacing w:after="0" w:line="240" w:lineRule="auto"/>
              <w:jc w:val="center"/>
              <w:rPr>
                <w:rFonts w:ascii="Garamond" w:eastAsia="Arial" w:hAnsi="Garamond"/>
                <w:b/>
                <w:bCs/>
                <w:sz w:val="18"/>
                <w:szCs w:val="18"/>
                <w:lang w:val="sq-AL"/>
              </w:rPr>
            </w:pPr>
          </w:p>
        </w:tc>
        <w:tc>
          <w:tcPr>
            <w:tcW w:w="1419" w:type="dxa"/>
            <w:vMerge/>
            <w:shd w:val="clear" w:color="auto" w:fill="F2F2F2"/>
          </w:tcPr>
          <w:p w14:paraId="0773B55D" w14:textId="77777777" w:rsidR="00FB4E53" w:rsidRPr="0058349C" w:rsidRDefault="00FB4E53" w:rsidP="00CF7694">
            <w:pPr>
              <w:spacing w:after="0" w:line="240" w:lineRule="auto"/>
              <w:rPr>
                <w:rFonts w:ascii="Garamond" w:eastAsia="Arial" w:hAnsi="Garamond"/>
                <w:sz w:val="18"/>
                <w:szCs w:val="18"/>
                <w:lang w:val="sq-AL"/>
              </w:rPr>
            </w:pPr>
          </w:p>
        </w:tc>
        <w:tc>
          <w:tcPr>
            <w:tcW w:w="1305" w:type="dxa"/>
            <w:shd w:val="clear" w:color="auto" w:fill="F2F2F2"/>
          </w:tcPr>
          <w:p w14:paraId="0773B55E" w14:textId="77777777" w:rsidR="00FB4E53" w:rsidRPr="0058349C" w:rsidRDefault="00FB4E53"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2022</w:t>
            </w:r>
          </w:p>
        </w:tc>
        <w:tc>
          <w:tcPr>
            <w:tcW w:w="1475" w:type="dxa"/>
            <w:shd w:val="clear" w:color="auto" w:fill="F2F2F2"/>
          </w:tcPr>
          <w:p w14:paraId="0773B55F" w14:textId="77777777" w:rsidR="00FB4E53" w:rsidRPr="0058349C" w:rsidRDefault="00FB4E53"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2023</w:t>
            </w:r>
          </w:p>
        </w:tc>
        <w:tc>
          <w:tcPr>
            <w:tcW w:w="1085" w:type="dxa"/>
            <w:shd w:val="clear" w:color="auto" w:fill="F2F2F2"/>
          </w:tcPr>
          <w:p w14:paraId="0773B560" w14:textId="77777777" w:rsidR="00FB4E53" w:rsidRPr="0058349C" w:rsidRDefault="00FB4E53"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2024</w:t>
            </w:r>
          </w:p>
        </w:tc>
        <w:tc>
          <w:tcPr>
            <w:tcW w:w="1134" w:type="dxa"/>
            <w:vMerge/>
            <w:shd w:val="clear" w:color="auto" w:fill="E5F7CA"/>
          </w:tcPr>
          <w:p w14:paraId="0773B561" w14:textId="77777777" w:rsidR="00FB4E53" w:rsidRPr="0058349C" w:rsidRDefault="00FB4E53" w:rsidP="00CF7694">
            <w:pPr>
              <w:spacing w:after="0" w:line="240" w:lineRule="auto"/>
              <w:rPr>
                <w:rFonts w:ascii="Garamond" w:eastAsia="Arial" w:hAnsi="Garamond"/>
                <w:sz w:val="18"/>
                <w:szCs w:val="18"/>
                <w:lang w:val="sq-AL"/>
              </w:rPr>
            </w:pPr>
          </w:p>
        </w:tc>
        <w:tc>
          <w:tcPr>
            <w:tcW w:w="1275" w:type="dxa"/>
            <w:vMerge/>
            <w:shd w:val="clear" w:color="auto" w:fill="E5F7CA"/>
          </w:tcPr>
          <w:p w14:paraId="0773B562" w14:textId="77777777" w:rsidR="00FB4E53" w:rsidRPr="0058349C" w:rsidRDefault="00FB4E53" w:rsidP="00CF7694">
            <w:pPr>
              <w:spacing w:after="0" w:line="240" w:lineRule="auto"/>
              <w:rPr>
                <w:rFonts w:ascii="Garamond" w:eastAsia="Arial" w:hAnsi="Garamond"/>
                <w:sz w:val="18"/>
                <w:szCs w:val="18"/>
                <w:lang w:val="sq-AL"/>
              </w:rPr>
            </w:pPr>
          </w:p>
        </w:tc>
      </w:tr>
      <w:tr w:rsidR="00FB4E53" w:rsidRPr="0058349C" w14:paraId="0773B56F" w14:textId="77777777" w:rsidTr="00930D2C">
        <w:trPr>
          <w:gridAfter w:val="1"/>
          <w:wAfter w:w="8" w:type="dxa"/>
          <w:trHeight w:val="20"/>
        </w:trPr>
        <w:tc>
          <w:tcPr>
            <w:tcW w:w="384" w:type="dxa"/>
            <w:vMerge w:val="restart"/>
            <w:shd w:val="clear" w:color="auto" w:fill="F2F2F2"/>
          </w:tcPr>
          <w:p w14:paraId="0773B564" w14:textId="77777777" w:rsidR="00FB4E53" w:rsidRPr="0058349C" w:rsidRDefault="00FB4E53" w:rsidP="00CF7694">
            <w:pPr>
              <w:spacing w:after="0" w:line="240" w:lineRule="auto"/>
              <w:rPr>
                <w:rFonts w:ascii="Garamond" w:eastAsia="Arial" w:hAnsi="Garamond"/>
                <w:b/>
                <w:sz w:val="18"/>
                <w:szCs w:val="18"/>
                <w:lang w:val="sq-AL"/>
              </w:rPr>
            </w:pPr>
          </w:p>
        </w:tc>
        <w:tc>
          <w:tcPr>
            <w:tcW w:w="3567" w:type="dxa"/>
            <w:vMerge w:val="restart"/>
            <w:shd w:val="clear" w:color="auto" w:fill="F2F2F2"/>
          </w:tcPr>
          <w:p w14:paraId="0773B565" w14:textId="54248A21" w:rsidR="00FB4E53" w:rsidRPr="0058349C" w:rsidRDefault="00FB4E53" w:rsidP="00CF7694">
            <w:pPr>
              <w:spacing w:after="0" w:line="240" w:lineRule="auto"/>
              <w:rPr>
                <w:rFonts w:ascii="Garamond" w:eastAsia="Arial" w:hAnsi="Garamond"/>
                <w:sz w:val="18"/>
                <w:szCs w:val="18"/>
                <w:lang w:val="sq-AL"/>
              </w:rPr>
            </w:pPr>
            <w:r w:rsidRPr="0058349C">
              <w:rPr>
                <w:rFonts w:ascii="Garamond" w:eastAsia="Arial" w:hAnsi="Garamond" w:cs="Segoe UI"/>
                <w:sz w:val="18"/>
                <w:szCs w:val="18"/>
                <w:lang w:val="sq-AL"/>
              </w:rPr>
              <w:t>Menaxh</w:t>
            </w:r>
            <w:r w:rsidR="0077681B">
              <w:rPr>
                <w:rFonts w:ascii="Garamond" w:eastAsia="Arial" w:hAnsi="Garamond" w:cs="Segoe UI"/>
                <w:sz w:val="18"/>
                <w:szCs w:val="18"/>
                <w:lang w:val="sq-AL"/>
              </w:rPr>
              <w:t>imi</w:t>
            </w:r>
            <w:r w:rsidR="00797859">
              <w:rPr>
                <w:rFonts w:ascii="Garamond" w:eastAsia="Arial" w:hAnsi="Garamond" w:cs="Segoe UI"/>
                <w:sz w:val="18"/>
                <w:szCs w:val="18"/>
                <w:lang w:val="sq-AL"/>
              </w:rPr>
              <w:t>/</w:t>
            </w:r>
            <w:r w:rsidRPr="0058349C">
              <w:rPr>
                <w:rFonts w:ascii="Garamond" w:eastAsia="Arial" w:hAnsi="Garamond" w:cs="Segoe UI"/>
                <w:sz w:val="18"/>
                <w:szCs w:val="18"/>
                <w:lang w:val="sq-AL"/>
              </w:rPr>
              <w:t>shfryt</w:t>
            </w:r>
            <w:r w:rsidRPr="0058349C">
              <w:rPr>
                <w:rFonts w:ascii="Garamond" w:eastAsia="Arial" w:hAnsi="Garamond"/>
                <w:sz w:val="18"/>
                <w:szCs w:val="18"/>
                <w:lang w:val="sq-AL"/>
              </w:rPr>
              <w:t>ëzimi</w:t>
            </w:r>
            <w:r w:rsidRPr="0058349C">
              <w:rPr>
                <w:rFonts w:ascii="Garamond" w:eastAsia="Arial" w:hAnsi="Garamond" w:cs="Segoe UI"/>
                <w:sz w:val="18"/>
                <w:szCs w:val="18"/>
                <w:lang w:val="sq-AL"/>
              </w:rPr>
              <w:t xml:space="preserve"> ekstensiv i kullotave</w:t>
            </w:r>
          </w:p>
          <w:p w14:paraId="0773B566" w14:textId="77777777" w:rsidR="00FB4E53" w:rsidRPr="0058349C" w:rsidRDefault="00FB4E53" w:rsidP="00CF7694">
            <w:pPr>
              <w:spacing w:after="0" w:line="240" w:lineRule="auto"/>
              <w:rPr>
                <w:rFonts w:ascii="Garamond" w:eastAsia="Arial" w:hAnsi="Garamond"/>
                <w:sz w:val="18"/>
                <w:szCs w:val="18"/>
                <w:lang w:val="sq-AL"/>
              </w:rPr>
            </w:pPr>
          </w:p>
        </w:tc>
        <w:tc>
          <w:tcPr>
            <w:tcW w:w="2526" w:type="dxa"/>
            <w:shd w:val="clear" w:color="auto" w:fill="F2F2F2"/>
          </w:tcPr>
          <w:p w14:paraId="0773B567" w14:textId="15467077" w:rsidR="00FB4E53" w:rsidRPr="0058349C" w:rsidRDefault="00FB4E53"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vjetor i fermerëve që plotësojnë angazhimet</w:t>
            </w:r>
            <w:r w:rsidR="00CF7694" w:rsidRPr="0058349C">
              <w:rPr>
                <w:rFonts w:ascii="Garamond" w:eastAsia="Arial" w:hAnsi="Garamond"/>
                <w:sz w:val="18"/>
                <w:szCs w:val="18"/>
                <w:lang w:val="sq-AL"/>
              </w:rPr>
              <w:t xml:space="preserve"> </w:t>
            </w:r>
            <w:r w:rsidR="0077681B">
              <w:rPr>
                <w:rFonts w:ascii="Garamond" w:eastAsia="Arial" w:hAnsi="Garamond"/>
                <w:sz w:val="18"/>
                <w:szCs w:val="18"/>
                <w:lang w:val="sq-AL"/>
              </w:rPr>
              <w:t>agro</w:t>
            </w:r>
            <w:r w:rsidRPr="0058349C">
              <w:rPr>
                <w:rFonts w:ascii="Garamond" w:eastAsia="Arial" w:hAnsi="Garamond"/>
                <w:sz w:val="18"/>
                <w:szCs w:val="18"/>
                <w:lang w:val="sq-AL"/>
              </w:rPr>
              <w:t>mjedisore do të arrijë në 50 në vitin 2024.</w:t>
            </w:r>
          </w:p>
          <w:p w14:paraId="0773B568" w14:textId="77777777" w:rsidR="00FB4E53" w:rsidRPr="0058349C" w:rsidRDefault="00FB4E53" w:rsidP="00CF7694">
            <w:pPr>
              <w:spacing w:after="0" w:line="240" w:lineRule="auto"/>
              <w:rPr>
                <w:rFonts w:ascii="Garamond" w:eastAsia="Arial" w:hAnsi="Garamond"/>
                <w:sz w:val="18"/>
                <w:szCs w:val="18"/>
                <w:lang w:val="sq-AL"/>
              </w:rPr>
            </w:pPr>
          </w:p>
        </w:tc>
        <w:tc>
          <w:tcPr>
            <w:tcW w:w="1419" w:type="dxa"/>
            <w:vMerge w:val="restart"/>
            <w:shd w:val="clear" w:color="auto" w:fill="F2F2F2"/>
            <w:vAlign w:val="center"/>
          </w:tcPr>
          <w:p w14:paraId="0773B569" w14:textId="77777777" w:rsidR="00FB4E53" w:rsidRPr="0058349C" w:rsidRDefault="00FB4E53"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N:150,000</w:t>
            </w:r>
          </w:p>
        </w:tc>
        <w:tc>
          <w:tcPr>
            <w:tcW w:w="1305" w:type="dxa"/>
            <w:vMerge w:val="restart"/>
            <w:shd w:val="clear" w:color="auto" w:fill="F2F2F2"/>
            <w:vAlign w:val="center"/>
          </w:tcPr>
          <w:p w14:paraId="0773B56A" w14:textId="77777777" w:rsidR="00FB4E53" w:rsidRPr="0058349C" w:rsidRDefault="00FB4E53"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475" w:type="dxa"/>
            <w:vMerge w:val="restart"/>
            <w:shd w:val="clear" w:color="auto" w:fill="F2F2F2"/>
            <w:vAlign w:val="center"/>
          </w:tcPr>
          <w:p w14:paraId="0773B56B" w14:textId="77777777" w:rsidR="00FB4E53" w:rsidRPr="0058349C" w:rsidRDefault="00FB4E53"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N:75,000</w:t>
            </w:r>
          </w:p>
        </w:tc>
        <w:tc>
          <w:tcPr>
            <w:tcW w:w="1085" w:type="dxa"/>
            <w:vMerge w:val="restart"/>
            <w:shd w:val="clear" w:color="auto" w:fill="F2F2F2"/>
            <w:vAlign w:val="center"/>
          </w:tcPr>
          <w:p w14:paraId="0773B56C" w14:textId="77777777" w:rsidR="00FB4E53" w:rsidRPr="0058349C" w:rsidRDefault="00FB4E53"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N:75,000</w:t>
            </w:r>
          </w:p>
        </w:tc>
        <w:tc>
          <w:tcPr>
            <w:tcW w:w="1134" w:type="dxa"/>
            <w:shd w:val="clear" w:color="auto" w:fill="E5F7CA"/>
            <w:vAlign w:val="center"/>
          </w:tcPr>
          <w:p w14:paraId="0773B56D" w14:textId="77777777" w:rsidR="00FB4E53" w:rsidRPr="0058349C" w:rsidRDefault="00FB4E53"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w:t>
            </w:r>
          </w:p>
        </w:tc>
        <w:tc>
          <w:tcPr>
            <w:tcW w:w="1275" w:type="dxa"/>
            <w:shd w:val="clear" w:color="auto" w:fill="E5F7CA"/>
            <w:vAlign w:val="center"/>
          </w:tcPr>
          <w:p w14:paraId="0773B56E" w14:textId="77777777" w:rsidR="00FB4E53" w:rsidRPr="0058349C" w:rsidRDefault="00FB4E53"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w:t>
            </w:r>
          </w:p>
        </w:tc>
      </w:tr>
      <w:tr w:rsidR="00FB4E53" w:rsidRPr="0058349C" w14:paraId="0773B57A" w14:textId="77777777" w:rsidTr="0077681B">
        <w:trPr>
          <w:gridAfter w:val="1"/>
          <w:wAfter w:w="8" w:type="dxa"/>
          <w:trHeight w:val="20"/>
        </w:trPr>
        <w:tc>
          <w:tcPr>
            <w:tcW w:w="384" w:type="dxa"/>
            <w:vMerge/>
            <w:shd w:val="clear" w:color="auto" w:fill="auto"/>
          </w:tcPr>
          <w:p w14:paraId="0773B570" w14:textId="77777777" w:rsidR="00FB4E53" w:rsidRPr="0058349C" w:rsidRDefault="00FB4E53" w:rsidP="00CF7694">
            <w:pPr>
              <w:spacing w:after="0" w:line="240" w:lineRule="auto"/>
              <w:rPr>
                <w:rFonts w:ascii="Garamond" w:eastAsia="Arial" w:hAnsi="Garamond"/>
                <w:b/>
                <w:sz w:val="18"/>
                <w:szCs w:val="18"/>
                <w:lang w:val="sq-AL"/>
              </w:rPr>
            </w:pPr>
          </w:p>
        </w:tc>
        <w:tc>
          <w:tcPr>
            <w:tcW w:w="3567" w:type="dxa"/>
            <w:vMerge/>
            <w:shd w:val="clear" w:color="auto" w:fill="auto"/>
          </w:tcPr>
          <w:p w14:paraId="0773B571" w14:textId="77777777" w:rsidR="00FB4E53" w:rsidRPr="0058349C" w:rsidRDefault="00FB4E53" w:rsidP="00CF7694">
            <w:pPr>
              <w:spacing w:after="0" w:line="240" w:lineRule="auto"/>
              <w:rPr>
                <w:rFonts w:ascii="Garamond" w:eastAsia="Arial" w:hAnsi="Garamond" w:cs="Segoe UI"/>
                <w:sz w:val="18"/>
                <w:szCs w:val="18"/>
                <w:lang w:val="sq-AL"/>
              </w:rPr>
            </w:pPr>
          </w:p>
        </w:tc>
        <w:tc>
          <w:tcPr>
            <w:tcW w:w="2526" w:type="dxa"/>
            <w:shd w:val="clear" w:color="auto" w:fill="F2F2F2" w:themeFill="background1" w:themeFillShade="F2"/>
          </w:tcPr>
          <w:p w14:paraId="0773B572" w14:textId="73A9D1EC" w:rsidR="00FB4E53" w:rsidRPr="0058349C" w:rsidRDefault="00FB4E53"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 xml:space="preserve">Sipërfaqja vjetore në </w:t>
            </w:r>
            <w:r w:rsidR="0077681B" w:rsidRPr="0058349C">
              <w:rPr>
                <w:rFonts w:ascii="Garamond" w:eastAsia="Arial" w:hAnsi="Garamond"/>
                <w:sz w:val="18"/>
                <w:szCs w:val="18"/>
                <w:lang w:val="sq-AL"/>
              </w:rPr>
              <w:t xml:space="preserve">ha </w:t>
            </w:r>
            <w:r w:rsidRPr="0058349C">
              <w:rPr>
                <w:rFonts w:ascii="Garamond" w:eastAsia="Arial" w:hAnsi="Garamond"/>
                <w:sz w:val="18"/>
                <w:szCs w:val="18"/>
                <w:lang w:val="sq-AL"/>
              </w:rPr>
              <w:t>e kullotave që plotësojnë angazhimet</w:t>
            </w:r>
            <w:r w:rsidR="00CF7694" w:rsidRPr="0058349C">
              <w:rPr>
                <w:rFonts w:ascii="Garamond" w:eastAsia="Arial" w:hAnsi="Garamond"/>
                <w:sz w:val="18"/>
                <w:szCs w:val="18"/>
                <w:lang w:val="sq-AL"/>
              </w:rPr>
              <w:t xml:space="preserve"> </w:t>
            </w:r>
            <w:r w:rsidR="0077681B">
              <w:rPr>
                <w:rFonts w:ascii="Garamond" w:eastAsia="Arial" w:hAnsi="Garamond"/>
                <w:sz w:val="18"/>
                <w:szCs w:val="18"/>
                <w:lang w:val="sq-AL"/>
              </w:rPr>
              <w:t>agro</w:t>
            </w:r>
            <w:r w:rsidRPr="0058349C">
              <w:rPr>
                <w:rFonts w:ascii="Garamond" w:eastAsia="Arial" w:hAnsi="Garamond"/>
                <w:sz w:val="18"/>
                <w:szCs w:val="18"/>
                <w:lang w:val="sq-AL"/>
              </w:rPr>
              <w:t>mjedisore do të kapë shifrën</w:t>
            </w:r>
            <w:r w:rsidR="00CF7694" w:rsidRPr="0058349C">
              <w:rPr>
                <w:rFonts w:ascii="Garamond" w:eastAsia="Arial" w:hAnsi="Garamond"/>
                <w:sz w:val="18"/>
                <w:szCs w:val="18"/>
                <w:lang w:val="sq-AL"/>
              </w:rPr>
              <w:t xml:space="preserve"> </w:t>
            </w:r>
            <w:r w:rsidRPr="0058349C">
              <w:rPr>
                <w:rFonts w:ascii="Garamond" w:eastAsia="Arial" w:hAnsi="Garamond"/>
                <w:sz w:val="18"/>
                <w:szCs w:val="18"/>
                <w:lang w:val="sq-AL"/>
              </w:rPr>
              <w:t xml:space="preserve">500 </w:t>
            </w:r>
            <w:r w:rsidR="00713135" w:rsidRPr="0058349C">
              <w:rPr>
                <w:rFonts w:ascii="Garamond" w:eastAsia="Arial" w:hAnsi="Garamond"/>
                <w:sz w:val="18"/>
                <w:szCs w:val="18"/>
                <w:lang w:val="sq-AL"/>
              </w:rPr>
              <w:t xml:space="preserve">ha </w:t>
            </w:r>
            <w:r w:rsidRPr="0058349C">
              <w:rPr>
                <w:rFonts w:ascii="Garamond" w:eastAsia="Arial" w:hAnsi="Garamond"/>
                <w:sz w:val="18"/>
                <w:szCs w:val="18"/>
                <w:lang w:val="sq-AL"/>
              </w:rPr>
              <w:t xml:space="preserve">në vitin 2024. </w:t>
            </w:r>
          </w:p>
          <w:p w14:paraId="0773B573" w14:textId="77777777" w:rsidR="00FB4E53" w:rsidRPr="0058349C" w:rsidRDefault="00FB4E53" w:rsidP="00CF7694">
            <w:pPr>
              <w:spacing w:after="0" w:line="240" w:lineRule="auto"/>
              <w:rPr>
                <w:rFonts w:ascii="Garamond" w:eastAsia="Arial" w:hAnsi="Garamond"/>
                <w:sz w:val="18"/>
                <w:szCs w:val="18"/>
                <w:lang w:val="sq-AL"/>
              </w:rPr>
            </w:pPr>
          </w:p>
        </w:tc>
        <w:tc>
          <w:tcPr>
            <w:tcW w:w="1419" w:type="dxa"/>
            <w:vMerge/>
            <w:shd w:val="clear" w:color="auto" w:fill="auto"/>
          </w:tcPr>
          <w:p w14:paraId="0773B574" w14:textId="77777777" w:rsidR="00FB4E53" w:rsidRPr="0058349C" w:rsidRDefault="00FB4E53" w:rsidP="00CF7694">
            <w:pPr>
              <w:spacing w:after="0" w:line="240" w:lineRule="auto"/>
              <w:rPr>
                <w:rFonts w:ascii="Garamond" w:eastAsia="Arial" w:hAnsi="Garamond"/>
                <w:sz w:val="18"/>
                <w:szCs w:val="18"/>
                <w:lang w:val="sq-AL"/>
              </w:rPr>
            </w:pPr>
          </w:p>
        </w:tc>
        <w:tc>
          <w:tcPr>
            <w:tcW w:w="1305" w:type="dxa"/>
            <w:vMerge/>
            <w:shd w:val="clear" w:color="auto" w:fill="auto"/>
            <w:vAlign w:val="center"/>
          </w:tcPr>
          <w:p w14:paraId="0773B575" w14:textId="77777777" w:rsidR="00FB4E53" w:rsidRPr="0058349C" w:rsidRDefault="00FB4E53" w:rsidP="00CF7694">
            <w:pPr>
              <w:spacing w:after="0" w:line="240" w:lineRule="auto"/>
              <w:jc w:val="center"/>
              <w:rPr>
                <w:rFonts w:ascii="Garamond" w:eastAsia="Arial" w:hAnsi="Garamond"/>
                <w:sz w:val="18"/>
                <w:szCs w:val="18"/>
                <w:lang w:val="sq-AL"/>
              </w:rPr>
            </w:pPr>
          </w:p>
        </w:tc>
        <w:tc>
          <w:tcPr>
            <w:tcW w:w="1475" w:type="dxa"/>
            <w:vMerge/>
            <w:shd w:val="clear" w:color="auto" w:fill="auto"/>
            <w:vAlign w:val="center"/>
          </w:tcPr>
          <w:p w14:paraId="0773B576" w14:textId="77777777" w:rsidR="00FB4E53" w:rsidRPr="0058349C" w:rsidRDefault="00FB4E53" w:rsidP="00CF7694">
            <w:pPr>
              <w:spacing w:after="0" w:line="240" w:lineRule="auto"/>
              <w:jc w:val="center"/>
              <w:rPr>
                <w:rFonts w:ascii="Garamond" w:eastAsia="Arial" w:hAnsi="Garamond"/>
                <w:sz w:val="18"/>
                <w:szCs w:val="18"/>
                <w:lang w:val="sq-AL"/>
              </w:rPr>
            </w:pPr>
          </w:p>
        </w:tc>
        <w:tc>
          <w:tcPr>
            <w:tcW w:w="1085" w:type="dxa"/>
            <w:vMerge/>
            <w:shd w:val="clear" w:color="auto" w:fill="auto"/>
            <w:vAlign w:val="center"/>
          </w:tcPr>
          <w:p w14:paraId="0773B577" w14:textId="77777777" w:rsidR="00FB4E53" w:rsidRPr="0058349C" w:rsidRDefault="00FB4E53" w:rsidP="00CF7694">
            <w:pPr>
              <w:spacing w:after="0" w:line="240" w:lineRule="auto"/>
              <w:jc w:val="center"/>
              <w:rPr>
                <w:rFonts w:ascii="Garamond" w:eastAsia="Arial" w:hAnsi="Garamond"/>
                <w:sz w:val="18"/>
                <w:szCs w:val="18"/>
                <w:lang w:val="sq-AL"/>
              </w:rPr>
            </w:pPr>
          </w:p>
        </w:tc>
        <w:tc>
          <w:tcPr>
            <w:tcW w:w="1134" w:type="dxa"/>
            <w:shd w:val="clear" w:color="auto" w:fill="E5F7CA"/>
            <w:vAlign w:val="center"/>
          </w:tcPr>
          <w:p w14:paraId="0773B578" w14:textId="77777777" w:rsidR="00FB4E53" w:rsidRPr="0058349C" w:rsidRDefault="00FB4E53"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500</w:t>
            </w:r>
          </w:p>
        </w:tc>
        <w:tc>
          <w:tcPr>
            <w:tcW w:w="1275" w:type="dxa"/>
            <w:shd w:val="clear" w:color="auto" w:fill="E5F7CA"/>
            <w:vAlign w:val="center"/>
          </w:tcPr>
          <w:p w14:paraId="0773B579" w14:textId="77777777" w:rsidR="00FB4E53" w:rsidRPr="0058349C" w:rsidRDefault="00FB4E53"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500</w:t>
            </w:r>
          </w:p>
        </w:tc>
      </w:tr>
    </w:tbl>
    <w:p w14:paraId="0773B57D" w14:textId="77777777" w:rsidR="00FB4E53" w:rsidRPr="0058349C" w:rsidRDefault="00FB4E53" w:rsidP="00C54AEA">
      <w:pPr>
        <w:pStyle w:val="TEKSTIIII"/>
        <w:rPr>
          <w:lang w:val="sq-AL"/>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
        <w:gridCol w:w="7869"/>
        <w:gridCol w:w="1871"/>
        <w:gridCol w:w="239"/>
        <w:gridCol w:w="1999"/>
        <w:gridCol w:w="2002"/>
      </w:tblGrid>
      <w:tr w:rsidR="003B5F32" w:rsidRPr="0058349C" w14:paraId="0773B584" w14:textId="77777777" w:rsidTr="00713135">
        <w:trPr>
          <w:trHeight w:val="20"/>
        </w:trPr>
        <w:tc>
          <w:tcPr>
            <w:tcW w:w="2851" w:type="pct"/>
            <w:gridSpan w:val="2"/>
            <w:shd w:val="clear" w:color="auto" w:fill="E5F7CA"/>
            <w:vAlign w:val="center"/>
          </w:tcPr>
          <w:p w14:paraId="0773B57E" w14:textId="49607D48" w:rsidR="00FB4E53" w:rsidRPr="0058349C" w:rsidRDefault="00713135" w:rsidP="00CF7694">
            <w:pPr>
              <w:shd w:val="clear" w:color="auto" w:fill="E5F7CA"/>
              <w:spacing w:after="0" w:line="240" w:lineRule="auto"/>
              <w:jc w:val="center"/>
              <w:rPr>
                <w:rFonts w:ascii="Garamond" w:eastAsia="Arial" w:hAnsi="Garamond"/>
                <w:b/>
                <w:bCs/>
                <w:sz w:val="18"/>
                <w:szCs w:val="18"/>
                <w:lang w:val="sq-AL"/>
              </w:rPr>
            </w:pPr>
            <w:r>
              <w:rPr>
                <w:rFonts w:ascii="Garamond" w:eastAsia="Arial" w:hAnsi="Garamond"/>
                <w:b/>
                <w:bCs/>
                <w:sz w:val="18"/>
                <w:szCs w:val="18"/>
                <w:lang w:val="sq-AL"/>
              </w:rPr>
              <w:t>OBJEKTIVI</w:t>
            </w:r>
            <w:r w:rsidR="00797859">
              <w:rPr>
                <w:rFonts w:ascii="Garamond" w:eastAsia="Arial" w:hAnsi="Garamond"/>
                <w:b/>
                <w:bCs/>
                <w:sz w:val="18"/>
                <w:szCs w:val="18"/>
                <w:lang w:val="sq-AL"/>
              </w:rPr>
              <w:t>/</w:t>
            </w:r>
            <w:r w:rsidR="00FB4E53" w:rsidRPr="0058349C">
              <w:rPr>
                <w:rFonts w:ascii="Garamond" w:eastAsia="Arial" w:hAnsi="Garamond"/>
                <w:b/>
                <w:bCs/>
                <w:sz w:val="18"/>
                <w:szCs w:val="18"/>
                <w:lang w:val="sq-AL"/>
              </w:rPr>
              <w:t xml:space="preserve">TREGUESI </w:t>
            </w:r>
          </w:p>
        </w:tc>
        <w:tc>
          <w:tcPr>
            <w:tcW w:w="658" w:type="pct"/>
            <w:shd w:val="clear" w:color="auto" w:fill="E5F7CA"/>
            <w:vAlign w:val="center"/>
          </w:tcPr>
          <w:p w14:paraId="0773B57F" w14:textId="77777777" w:rsidR="00FB4E53" w:rsidRPr="0058349C" w:rsidRDefault="00FB4E53" w:rsidP="00CF7694">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Vlera bazë e treguesit </w:t>
            </w:r>
          </w:p>
          <w:p w14:paraId="0773B580" w14:textId="77777777" w:rsidR="00FB4E53" w:rsidRPr="0058349C" w:rsidRDefault="00FB4E53" w:rsidP="00CF7694">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2019 </w:t>
            </w:r>
          </w:p>
        </w:tc>
        <w:tc>
          <w:tcPr>
            <w:tcW w:w="84" w:type="pct"/>
            <w:shd w:val="clear" w:color="auto" w:fill="E5F7CA"/>
            <w:vAlign w:val="center"/>
          </w:tcPr>
          <w:p w14:paraId="0773B581" w14:textId="77777777" w:rsidR="00FB4E53" w:rsidRPr="0058349C" w:rsidRDefault="00FB4E53" w:rsidP="00CF7694">
            <w:pPr>
              <w:shd w:val="clear" w:color="auto" w:fill="E5F7CA"/>
              <w:spacing w:after="0" w:line="240" w:lineRule="auto"/>
              <w:jc w:val="center"/>
              <w:rPr>
                <w:rFonts w:ascii="Garamond" w:eastAsia="Arial" w:hAnsi="Garamond"/>
                <w:b/>
                <w:bCs/>
                <w:sz w:val="18"/>
                <w:szCs w:val="18"/>
                <w:lang w:val="sq-AL"/>
              </w:rPr>
            </w:pPr>
          </w:p>
        </w:tc>
        <w:tc>
          <w:tcPr>
            <w:tcW w:w="703" w:type="pct"/>
            <w:shd w:val="clear" w:color="auto" w:fill="E5F7CA"/>
            <w:vAlign w:val="center"/>
          </w:tcPr>
          <w:p w14:paraId="0773B582" w14:textId="5AF30DC3" w:rsidR="00FB4E53" w:rsidRPr="0058349C" w:rsidRDefault="00FB4E53" w:rsidP="00CF7694">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Objektivi p</w:t>
            </w:r>
            <w:r w:rsidRPr="0058349C">
              <w:rPr>
                <w:rFonts w:ascii="Garamond" w:eastAsia="Arial" w:hAnsi="Garamond"/>
                <w:b/>
                <w:sz w:val="18"/>
                <w:szCs w:val="18"/>
                <w:lang w:val="sq-AL"/>
              </w:rPr>
              <w:t>ër vitin</w:t>
            </w:r>
            <w:r w:rsidR="00CF7694" w:rsidRPr="0058349C">
              <w:rPr>
                <w:rFonts w:ascii="Garamond" w:eastAsia="Arial" w:hAnsi="Garamond"/>
                <w:b/>
                <w:sz w:val="18"/>
                <w:szCs w:val="18"/>
                <w:lang w:val="sq-AL"/>
              </w:rPr>
              <w:t xml:space="preserve"> </w:t>
            </w:r>
            <w:r w:rsidRPr="0058349C">
              <w:rPr>
                <w:rFonts w:ascii="Garamond" w:eastAsia="Arial" w:hAnsi="Garamond"/>
                <w:b/>
                <w:bCs/>
                <w:sz w:val="18"/>
                <w:szCs w:val="18"/>
                <w:lang w:val="sq-AL"/>
              </w:rPr>
              <w:t>2024</w:t>
            </w:r>
          </w:p>
        </w:tc>
        <w:tc>
          <w:tcPr>
            <w:tcW w:w="703" w:type="pct"/>
            <w:shd w:val="clear" w:color="auto" w:fill="E5F7CA"/>
            <w:vAlign w:val="center"/>
          </w:tcPr>
          <w:p w14:paraId="0773B583" w14:textId="77777777" w:rsidR="00FB4E53" w:rsidRPr="0058349C" w:rsidRDefault="00FB4E53" w:rsidP="00CF7694">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Objektivi për vitin 2027</w:t>
            </w:r>
          </w:p>
        </w:tc>
      </w:tr>
      <w:tr w:rsidR="00FB4E53" w:rsidRPr="0058349C" w14:paraId="0773B586" w14:textId="77777777" w:rsidTr="00713135">
        <w:trPr>
          <w:trHeight w:val="20"/>
        </w:trPr>
        <w:tc>
          <w:tcPr>
            <w:tcW w:w="5000" w:type="pct"/>
            <w:gridSpan w:val="6"/>
            <w:shd w:val="clear" w:color="auto" w:fill="E5F7CA"/>
            <w:vAlign w:val="center"/>
          </w:tcPr>
          <w:p w14:paraId="0773B585" w14:textId="1645A623" w:rsidR="00FB4E53" w:rsidRPr="0058349C" w:rsidRDefault="00FB4E53" w:rsidP="00713135">
            <w:pPr>
              <w:spacing w:after="0" w:line="240" w:lineRule="auto"/>
              <w:rPr>
                <w:rStyle w:val="normaltextrun"/>
                <w:rFonts w:ascii="Garamond" w:eastAsia="Arial" w:hAnsi="Garamond"/>
                <w:b/>
                <w:bCs/>
                <w:sz w:val="18"/>
                <w:szCs w:val="18"/>
                <w:lang w:val="sq-AL"/>
              </w:rPr>
            </w:pPr>
            <w:r w:rsidRPr="0058349C">
              <w:rPr>
                <w:rStyle w:val="normaltextrun"/>
                <w:rFonts w:ascii="Garamond" w:eastAsia="Arial" w:hAnsi="Garamond"/>
                <w:b/>
                <w:bCs/>
                <w:sz w:val="18"/>
                <w:szCs w:val="18"/>
                <w:lang w:val="sq-AL"/>
              </w:rPr>
              <w:t xml:space="preserve">Objektivi i </w:t>
            </w:r>
            <w:r w:rsidR="00713135" w:rsidRPr="0058349C">
              <w:rPr>
                <w:rStyle w:val="normaltextrun"/>
                <w:rFonts w:ascii="Garamond" w:eastAsia="Arial" w:hAnsi="Garamond"/>
                <w:b/>
                <w:bCs/>
                <w:sz w:val="18"/>
                <w:szCs w:val="18"/>
                <w:lang w:val="sq-AL"/>
              </w:rPr>
              <w:t xml:space="preserve">përgjithshëm </w:t>
            </w:r>
            <w:r w:rsidRPr="0058349C">
              <w:rPr>
                <w:rStyle w:val="normaltextrun"/>
                <w:rFonts w:ascii="Garamond" w:eastAsia="Arial" w:hAnsi="Garamond"/>
                <w:b/>
                <w:bCs/>
                <w:sz w:val="18"/>
                <w:szCs w:val="18"/>
                <w:lang w:val="sq-AL"/>
              </w:rPr>
              <w:t>3</w:t>
            </w:r>
            <w:r w:rsidR="00713135">
              <w:rPr>
                <w:rStyle w:val="normaltextrun"/>
                <w:rFonts w:ascii="Garamond" w:eastAsia="Arial" w:hAnsi="Garamond"/>
                <w:b/>
                <w:bCs/>
                <w:sz w:val="18"/>
                <w:szCs w:val="18"/>
                <w:lang w:val="sq-AL"/>
              </w:rPr>
              <w:t xml:space="preserve">: </w:t>
            </w:r>
            <w:r w:rsidRPr="0058349C">
              <w:rPr>
                <w:rStyle w:val="normaltextrun"/>
                <w:rFonts w:ascii="Garamond" w:eastAsia="Arial" w:hAnsi="Garamond"/>
                <w:b/>
                <w:bCs/>
                <w:sz w:val="18"/>
                <w:szCs w:val="18"/>
                <w:lang w:val="sq-AL"/>
              </w:rPr>
              <w:t xml:space="preserve"> Forcimi i strukturës sociale-ekonomike të zonave rurale</w:t>
            </w:r>
            <w:r w:rsidR="00CF7694" w:rsidRPr="0058349C">
              <w:rPr>
                <w:rStyle w:val="normaltextrun"/>
                <w:rFonts w:ascii="Garamond" w:eastAsia="Arial" w:hAnsi="Garamond"/>
                <w:b/>
                <w:bCs/>
                <w:sz w:val="18"/>
                <w:szCs w:val="18"/>
                <w:lang w:val="sq-AL"/>
              </w:rPr>
              <w:t xml:space="preserve"> </w:t>
            </w:r>
          </w:p>
        </w:tc>
      </w:tr>
      <w:tr w:rsidR="003B5F32" w:rsidRPr="0058349C" w14:paraId="0773B58D" w14:textId="77777777" w:rsidTr="00713135">
        <w:trPr>
          <w:trHeight w:val="20"/>
        </w:trPr>
        <w:tc>
          <w:tcPr>
            <w:tcW w:w="84" w:type="pct"/>
            <w:shd w:val="clear" w:color="auto" w:fill="E5F7CA"/>
          </w:tcPr>
          <w:p w14:paraId="0773B587" w14:textId="77777777" w:rsidR="00FB4E53" w:rsidRPr="0058349C" w:rsidRDefault="00FB4E53" w:rsidP="00CF7694">
            <w:pPr>
              <w:spacing w:after="0" w:line="240" w:lineRule="auto"/>
              <w:rPr>
                <w:rFonts w:ascii="Garamond" w:eastAsia="Arial" w:hAnsi="Garamond"/>
                <w:b/>
                <w:sz w:val="18"/>
                <w:szCs w:val="18"/>
                <w:lang w:val="sq-AL"/>
              </w:rPr>
            </w:pPr>
          </w:p>
        </w:tc>
        <w:tc>
          <w:tcPr>
            <w:tcW w:w="2767" w:type="pct"/>
            <w:shd w:val="clear" w:color="auto" w:fill="E5F7CA"/>
            <w:vAlign w:val="center"/>
          </w:tcPr>
          <w:p w14:paraId="0773B588" w14:textId="67EEDE82" w:rsidR="00FB4E53" w:rsidRPr="0058349C" w:rsidRDefault="00FB4E53" w:rsidP="00CF7694">
            <w:pPr>
              <w:spacing w:after="0" w:line="240" w:lineRule="auto"/>
              <w:rPr>
                <w:rFonts w:ascii="Garamond" w:eastAsia="Arial" w:hAnsi="Garamond"/>
                <w:b/>
                <w:bCs/>
                <w:i/>
                <w:sz w:val="18"/>
                <w:szCs w:val="18"/>
                <w:lang w:val="sq-AL"/>
              </w:rPr>
            </w:pPr>
            <w:r w:rsidRPr="0058349C">
              <w:rPr>
                <w:rFonts w:ascii="Garamond" w:eastAsia="Arial" w:hAnsi="Garamond"/>
                <w:b/>
                <w:bCs/>
                <w:i/>
                <w:sz w:val="18"/>
                <w:szCs w:val="18"/>
                <w:lang w:val="sq-AL"/>
              </w:rPr>
              <w:t xml:space="preserve">Treguesi i </w:t>
            </w:r>
            <w:r w:rsidR="00713135" w:rsidRPr="0058349C">
              <w:rPr>
                <w:rFonts w:ascii="Garamond" w:eastAsia="Arial" w:hAnsi="Garamond"/>
                <w:b/>
                <w:bCs/>
                <w:i/>
                <w:sz w:val="18"/>
                <w:szCs w:val="18"/>
                <w:lang w:val="sq-AL"/>
              </w:rPr>
              <w:t xml:space="preserve">impaktit </w:t>
            </w:r>
            <w:r w:rsidRPr="0058349C">
              <w:rPr>
                <w:rFonts w:ascii="Garamond" w:eastAsia="Arial" w:hAnsi="Garamond"/>
                <w:b/>
                <w:bCs/>
                <w:i/>
                <w:sz w:val="18"/>
                <w:szCs w:val="18"/>
                <w:lang w:val="sq-AL"/>
              </w:rPr>
              <w:t xml:space="preserve">3.1: Shkalla e punësimit rural do </w:t>
            </w:r>
            <w:r w:rsidRPr="00713135">
              <w:rPr>
                <w:rFonts w:ascii="Garamond" w:eastAsia="Arial" w:hAnsi="Garamond"/>
                <w:b/>
                <w:bCs/>
                <w:i/>
                <w:sz w:val="18"/>
                <w:szCs w:val="18"/>
                <w:lang w:val="sq-AL"/>
              </w:rPr>
              <w:t>të rritet me 2% deri në vitin 2024 dhe me 5% deri në vitin 2027.</w:t>
            </w:r>
          </w:p>
        </w:tc>
        <w:tc>
          <w:tcPr>
            <w:tcW w:w="658" w:type="pct"/>
            <w:shd w:val="clear" w:color="auto" w:fill="E5F7CA"/>
          </w:tcPr>
          <w:p w14:paraId="0773B589" w14:textId="77777777" w:rsidR="00FB4E53" w:rsidRPr="0058349C" w:rsidRDefault="00FB4E53"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 xml:space="preserve">Nuk ka tregues bazë </w:t>
            </w:r>
          </w:p>
        </w:tc>
        <w:tc>
          <w:tcPr>
            <w:tcW w:w="84" w:type="pct"/>
            <w:shd w:val="clear" w:color="auto" w:fill="E5F7CA"/>
          </w:tcPr>
          <w:p w14:paraId="0773B58A" w14:textId="77777777" w:rsidR="00FB4E53" w:rsidRPr="0058349C" w:rsidRDefault="00FB4E53" w:rsidP="00CF7694">
            <w:pPr>
              <w:spacing w:after="0" w:line="240" w:lineRule="auto"/>
              <w:rPr>
                <w:rFonts w:ascii="Garamond" w:eastAsia="Arial" w:hAnsi="Garamond"/>
                <w:sz w:val="18"/>
                <w:szCs w:val="18"/>
                <w:lang w:val="sq-AL"/>
              </w:rPr>
            </w:pPr>
          </w:p>
        </w:tc>
        <w:tc>
          <w:tcPr>
            <w:tcW w:w="703" w:type="pct"/>
            <w:shd w:val="clear" w:color="auto" w:fill="E5F7CA"/>
            <w:vAlign w:val="center"/>
          </w:tcPr>
          <w:p w14:paraId="0773B58B" w14:textId="77777777" w:rsidR="00FB4E53" w:rsidRPr="0058349C" w:rsidRDefault="00FB4E53"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+ 2%</w:t>
            </w:r>
          </w:p>
        </w:tc>
        <w:tc>
          <w:tcPr>
            <w:tcW w:w="703" w:type="pct"/>
            <w:shd w:val="clear" w:color="auto" w:fill="E5F7CA"/>
            <w:vAlign w:val="center"/>
          </w:tcPr>
          <w:p w14:paraId="0773B58C" w14:textId="77777777" w:rsidR="00FB4E53" w:rsidRPr="0058349C" w:rsidRDefault="00FB4E53"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+ 5%</w:t>
            </w:r>
          </w:p>
        </w:tc>
      </w:tr>
    </w:tbl>
    <w:p w14:paraId="0773B58E" w14:textId="77777777" w:rsidR="00FB4E53" w:rsidRPr="0058349C" w:rsidRDefault="00FB4E53" w:rsidP="00C54AEA">
      <w:pPr>
        <w:pStyle w:val="TEKSTIIII"/>
        <w:rPr>
          <w:lang w:val="sq-AL"/>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
        <w:gridCol w:w="2747"/>
        <w:gridCol w:w="4101"/>
        <w:gridCol w:w="1112"/>
        <w:gridCol w:w="1214"/>
        <w:gridCol w:w="1214"/>
        <w:gridCol w:w="1217"/>
        <w:gridCol w:w="1220"/>
        <w:gridCol w:w="1138"/>
      </w:tblGrid>
      <w:tr w:rsidR="003B5F32" w:rsidRPr="0058349C" w14:paraId="0773B591" w14:textId="77777777" w:rsidTr="00713135">
        <w:trPr>
          <w:trHeight w:val="20"/>
        </w:trPr>
        <w:tc>
          <w:tcPr>
            <w:tcW w:w="90" w:type="pct"/>
            <w:shd w:val="clear" w:color="auto" w:fill="E5F7CA"/>
          </w:tcPr>
          <w:p w14:paraId="0773B58F" w14:textId="77777777" w:rsidR="00E8581B" w:rsidRPr="0058349C" w:rsidRDefault="00E8581B" w:rsidP="00CF7694">
            <w:pPr>
              <w:spacing w:after="0" w:line="240" w:lineRule="auto"/>
              <w:rPr>
                <w:rFonts w:ascii="Garamond" w:eastAsia="Arial" w:hAnsi="Garamond"/>
                <w:b/>
                <w:bCs/>
                <w:sz w:val="18"/>
                <w:szCs w:val="18"/>
                <w:lang w:val="sq-AL"/>
              </w:rPr>
            </w:pPr>
          </w:p>
        </w:tc>
        <w:tc>
          <w:tcPr>
            <w:tcW w:w="4910" w:type="pct"/>
            <w:gridSpan w:val="8"/>
            <w:shd w:val="clear" w:color="auto" w:fill="E5F7CA"/>
            <w:vAlign w:val="center"/>
          </w:tcPr>
          <w:p w14:paraId="0773B590" w14:textId="45E2945D" w:rsidR="00E8581B" w:rsidRPr="0058349C" w:rsidRDefault="00E8581B" w:rsidP="00CF7694">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Objektivi specifik 7: Rritja e punësimit rural dhe zhvillimi i biznesit</w:t>
            </w:r>
            <w:r w:rsidR="00CF7694" w:rsidRPr="0058349C">
              <w:rPr>
                <w:rFonts w:ascii="Garamond" w:eastAsia="Arial" w:hAnsi="Garamond"/>
                <w:b/>
                <w:bCs/>
                <w:sz w:val="18"/>
                <w:szCs w:val="18"/>
                <w:lang w:val="sq-AL"/>
              </w:rPr>
              <w:t xml:space="preserve"> </w:t>
            </w:r>
          </w:p>
        </w:tc>
      </w:tr>
      <w:tr w:rsidR="003B5F32" w:rsidRPr="0058349C" w14:paraId="0773B598" w14:textId="77777777" w:rsidTr="00713135">
        <w:trPr>
          <w:trHeight w:val="20"/>
        </w:trPr>
        <w:tc>
          <w:tcPr>
            <w:tcW w:w="90" w:type="pct"/>
            <w:shd w:val="clear" w:color="auto" w:fill="E5F7CA"/>
          </w:tcPr>
          <w:p w14:paraId="0773B592" w14:textId="77777777" w:rsidR="00E8581B" w:rsidRPr="0058349C" w:rsidRDefault="00E8581B" w:rsidP="00CF7694">
            <w:pPr>
              <w:spacing w:after="0" w:line="240" w:lineRule="auto"/>
              <w:rPr>
                <w:rFonts w:ascii="Garamond" w:eastAsia="Arial" w:hAnsi="Garamond"/>
                <w:b/>
                <w:sz w:val="18"/>
                <w:szCs w:val="18"/>
                <w:lang w:val="sq-AL"/>
              </w:rPr>
            </w:pPr>
          </w:p>
        </w:tc>
        <w:tc>
          <w:tcPr>
            <w:tcW w:w="2408" w:type="pct"/>
            <w:gridSpan w:val="2"/>
            <w:shd w:val="clear" w:color="auto" w:fill="E5F7CA"/>
            <w:vAlign w:val="center"/>
          </w:tcPr>
          <w:p w14:paraId="0773B593" w14:textId="77777777" w:rsidR="00E8581B" w:rsidRPr="0058349C" w:rsidRDefault="00E8581B" w:rsidP="00CF7694">
            <w:pPr>
              <w:spacing w:after="0" w:line="240" w:lineRule="auto"/>
              <w:rPr>
                <w:rFonts w:ascii="Garamond" w:eastAsia="Arial" w:hAnsi="Garamond"/>
                <w:sz w:val="18"/>
                <w:szCs w:val="18"/>
                <w:lang w:val="sq-AL"/>
              </w:rPr>
            </w:pPr>
            <w:r w:rsidRPr="0058349C">
              <w:rPr>
                <w:rFonts w:ascii="Garamond" w:eastAsia="Arial" w:hAnsi="Garamond"/>
                <w:b/>
                <w:bCs/>
                <w:sz w:val="18"/>
                <w:szCs w:val="18"/>
                <w:lang w:val="sq-AL"/>
              </w:rPr>
              <w:t>Treguesi i rezultatit 7.1: Numri i sipërmarrjeve në zonat rurale në sektorin jobujqësor do të rritet me 500 deri në vitin 2027.</w:t>
            </w:r>
          </w:p>
        </w:tc>
        <w:tc>
          <w:tcPr>
            <w:tcW w:w="391" w:type="pct"/>
            <w:shd w:val="clear" w:color="auto" w:fill="E5F7CA"/>
          </w:tcPr>
          <w:p w14:paraId="0773B594"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 xml:space="preserve">Nuk ka tregues bazë </w:t>
            </w:r>
          </w:p>
        </w:tc>
        <w:tc>
          <w:tcPr>
            <w:tcW w:w="1282" w:type="pct"/>
            <w:gridSpan w:val="3"/>
            <w:shd w:val="clear" w:color="auto" w:fill="E5F7CA"/>
          </w:tcPr>
          <w:p w14:paraId="0773B595" w14:textId="77777777" w:rsidR="00E8581B" w:rsidRPr="0058349C" w:rsidRDefault="00E8581B" w:rsidP="00CF7694">
            <w:pPr>
              <w:spacing w:after="0" w:line="240" w:lineRule="auto"/>
              <w:jc w:val="center"/>
              <w:rPr>
                <w:rFonts w:ascii="Garamond" w:eastAsia="Arial" w:hAnsi="Garamond"/>
                <w:b/>
                <w:bCs/>
                <w:sz w:val="18"/>
                <w:szCs w:val="18"/>
                <w:lang w:val="sq-AL"/>
              </w:rPr>
            </w:pPr>
          </w:p>
        </w:tc>
        <w:tc>
          <w:tcPr>
            <w:tcW w:w="429" w:type="pct"/>
            <w:shd w:val="clear" w:color="auto" w:fill="E5F7CA"/>
            <w:vAlign w:val="center"/>
          </w:tcPr>
          <w:p w14:paraId="0773B596" w14:textId="77777777" w:rsidR="00E8581B" w:rsidRPr="0058349C" w:rsidRDefault="00E8581B"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200</w:t>
            </w:r>
          </w:p>
        </w:tc>
        <w:tc>
          <w:tcPr>
            <w:tcW w:w="400" w:type="pct"/>
            <w:shd w:val="clear" w:color="auto" w:fill="E5F7CA"/>
            <w:vAlign w:val="center"/>
          </w:tcPr>
          <w:p w14:paraId="0773B597" w14:textId="77777777" w:rsidR="00E8581B" w:rsidRPr="0058349C" w:rsidRDefault="00E8581B"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500</w:t>
            </w:r>
          </w:p>
        </w:tc>
      </w:tr>
      <w:tr w:rsidR="003B5F32" w:rsidRPr="0058349C" w14:paraId="0773B5A4" w14:textId="77777777" w:rsidTr="00713135">
        <w:trPr>
          <w:trHeight w:val="20"/>
        </w:trPr>
        <w:tc>
          <w:tcPr>
            <w:tcW w:w="90" w:type="pct"/>
            <w:vMerge w:val="restart"/>
            <w:shd w:val="clear" w:color="auto" w:fill="F2F2F2"/>
          </w:tcPr>
          <w:p w14:paraId="0773B599" w14:textId="77777777" w:rsidR="00E8581B" w:rsidRPr="0058349C" w:rsidRDefault="00E8581B" w:rsidP="00CF7694">
            <w:pPr>
              <w:spacing w:after="0" w:line="240" w:lineRule="auto"/>
              <w:rPr>
                <w:rFonts w:ascii="Garamond" w:eastAsia="Arial" w:hAnsi="Garamond"/>
                <w:b/>
                <w:sz w:val="18"/>
                <w:szCs w:val="18"/>
                <w:lang w:val="sq-AL"/>
              </w:rPr>
            </w:pPr>
          </w:p>
        </w:tc>
        <w:tc>
          <w:tcPr>
            <w:tcW w:w="966" w:type="pct"/>
            <w:shd w:val="clear" w:color="auto" w:fill="F2F2F2"/>
            <w:vAlign w:val="center"/>
          </w:tcPr>
          <w:p w14:paraId="0773B59A" w14:textId="40930174" w:rsidR="00E8581B" w:rsidRPr="0058349C" w:rsidRDefault="00713135" w:rsidP="00CF7694">
            <w:pPr>
              <w:spacing w:after="0" w:line="240" w:lineRule="auto"/>
              <w:jc w:val="center"/>
              <w:rPr>
                <w:rFonts w:ascii="Garamond" w:eastAsia="Arial" w:hAnsi="Garamond"/>
                <w:b/>
                <w:bCs/>
                <w:sz w:val="18"/>
                <w:szCs w:val="18"/>
                <w:lang w:val="sq-AL"/>
              </w:rPr>
            </w:pPr>
            <w:r>
              <w:rPr>
                <w:rFonts w:ascii="Garamond" w:eastAsia="Arial" w:hAnsi="Garamond"/>
                <w:b/>
                <w:bCs/>
                <w:sz w:val="18"/>
                <w:szCs w:val="18"/>
                <w:lang w:val="sq-AL"/>
              </w:rPr>
              <w:t>Veprimi</w:t>
            </w:r>
            <w:r w:rsidR="00797859">
              <w:rPr>
                <w:rFonts w:ascii="Garamond" w:eastAsia="Arial" w:hAnsi="Garamond"/>
                <w:b/>
                <w:bCs/>
                <w:sz w:val="18"/>
                <w:szCs w:val="18"/>
                <w:lang w:val="sq-AL"/>
              </w:rPr>
              <w:t>/</w:t>
            </w:r>
            <w:r w:rsidRPr="0058349C">
              <w:rPr>
                <w:rFonts w:ascii="Garamond" w:eastAsia="Arial" w:hAnsi="Garamond"/>
                <w:b/>
                <w:bCs/>
                <w:sz w:val="18"/>
                <w:szCs w:val="18"/>
                <w:lang w:val="sq-AL"/>
              </w:rPr>
              <w:t>ndërhyrja</w:t>
            </w:r>
          </w:p>
        </w:tc>
        <w:tc>
          <w:tcPr>
            <w:tcW w:w="1442" w:type="pct"/>
            <w:shd w:val="clear" w:color="auto" w:fill="F2F2F2"/>
            <w:vAlign w:val="center"/>
          </w:tcPr>
          <w:p w14:paraId="0773B59B" w14:textId="77777777" w:rsidR="00E8581B" w:rsidRPr="0058349C" w:rsidRDefault="00E8581B"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Treguesi i </w:t>
            </w:r>
            <w:r w:rsidRPr="00713135">
              <w:rPr>
                <w:rFonts w:ascii="Garamond" w:eastAsia="Arial" w:hAnsi="Garamond"/>
                <w:b/>
                <w:bCs/>
                <w:i/>
                <w:iCs/>
                <w:sz w:val="18"/>
                <w:szCs w:val="18"/>
                <w:lang w:val="sq-AL"/>
              </w:rPr>
              <w:t>output</w:t>
            </w:r>
            <w:r w:rsidRPr="0058349C">
              <w:rPr>
                <w:rFonts w:ascii="Garamond" w:eastAsia="Arial" w:hAnsi="Garamond"/>
                <w:b/>
                <w:bCs/>
                <w:sz w:val="18"/>
                <w:szCs w:val="18"/>
                <w:lang w:val="sq-AL"/>
              </w:rPr>
              <w:t>-it</w:t>
            </w:r>
          </w:p>
        </w:tc>
        <w:tc>
          <w:tcPr>
            <w:tcW w:w="391" w:type="pct"/>
            <w:shd w:val="clear" w:color="auto" w:fill="F2F2F2"/>
            <w:vAlign w:val="center"/>
          </w:tcPr>
          <w:p w14:paraId="0773B59C" w14:textId="77777777" w:rsidR="00E8581B" w:rsidRPr="0058349C" w:rsidRDefault="00E8581B"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Buxheti total</w:t>
            </w:r>
          </w:p>
          <w:p w14:paraId="0773B59D" w14:textId="35ED6C46" w:rsidR="00E8581B" w:rsidRPr="0058349C" w:rsidRDefault="00713135" w:rsidP="00CF7694">
            <w:pPr>
              <w:spacing w:after="0" w:line="240" w:lineRule="auto"/>
              <w:jc w:val="center"/>
              <w:rPr>
                <w:rFonts w:ascii="Garamond" w:eastAsia="Arial" w:hAnsi="Garamond"/>
                <w:sz w:val="18"/>
                <w:szCs w:val="18"/>
                <w:lang w:val="sq-AL"/>
              </w:rPr>
            </w:pPr>
            <w:r>
              <w:rPr>
                <w:rFonts w:ascii="Garamond" w:eastAsia="Arial" w:hAnsi="Garamond"/>
                <w:b/>
                <w:bCs/>
                <w:sz w:val="18"/>
                <w:szCs w:val="18"/>
                <w:lang w:val="sq-AL"/>
              </w:rPr>
              <w:t>2022</w:t>
            </w:r>
            <w:r w:rsidR="00E8581B" w:rsidRPr="0058349C">
              <w:rPr>
                <w:rFonts w:ascii="Garamond" w:eastAsia="Arial" w:hAnsi="Garamond" w:cs="Arial"/>
                <w:b/>
                <w:bCs/>
                <w:sz w:val="18"/>
                <w:szCs w:val="18"/>
                <w:lang w:val="sq-AL"/>
              </w:rPr>
              <w:t>–</w:t>
            </w:r>
            <w:r w:rsidR="00E8581B" w:rsidRPr="0058349C">
              <w:rPr>
                <w:rFonts w:ascii="Garamond" w:eastAsia="Arial" w:hAnsi="Garamond"/>
                <w:b/>
                <w:bCs/>
                <w:sz w:val="18"/>
                <w:szCs w:val="18"/>
                <w:lang w:val="sq-AL"/>
              </w:rPr>
              <w:t>2024 (EUR)</w:t>
            </w:r>
          </w:p>
        </w:tc>
        <w:tc>
          <w:tcPr>
            <w:tcW w:w="1282" w:type="pct"/>
            <w:gridSpan w:val="3"/>
            <w:shd w:val="clear" w:color="auto" w:fill="F2F2F2"/>
            <w:vAlign w:val="center"/>
          </w:tcPr>
          <w:p w14:paraId="0773B59E" w14:textId="2062915F" w:rsidR="00E8581B" w:rsidRPr="0058349C" w:rsidRDefault="00E8581B"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Buxheti i alokuar</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(EUR)</w:t>
            </w:r>
          </w:p>
          <w:p w14:paraId="0773B59F" w14:textId="50537084" w:rsidR="00E8581B" w:rsidRPr="0058349C" w:rsidRDefault="00713135" w:rsidP="00CF7694">
            <w:pPr>
              <w:spacing w:after="0" w:line="240" w:lineRule="auto"/>
              <w:jc w:val="center"/>
              <w:rPr>
                <w:rFonts w:ascii="Garamond" w:eastAsia="Arial" w:hAnsi="Garamond"/>
                <w:b/>
                <w:bCs/>
                <w:sz w:val="18"/>
                <w:szCs w:val="18"/>
                <w:lang w:val="sq-AL"/>
              </w:rPr>
            </w:pPr>
            <w:r>
              <w:rPr>
                <w:rFonts w:ascii="Garamond" w:eastAsia="Arial" w:hAnsi="Garamond"/>
                <w:b/>
                <w:bCs/>
                <w:sz w:val="18"/>
                <w:szCs w:val="18"/>
                <w:lang w:val="sq-AL"/>
              </w:rPr>
              <w:t>2022</w:t>
            </w:r>
            <w:r w:rsidR="00E8581B" w:rsidRPr="0058349C">
              <w:rPr>
                <w:rFonts w:ascii="Garamond" w:eastAsia="Arial" w:hAnsi="Garamond" w:cs="Arial"/>
                <w:b/>
                <w:bCs/>
                <w:sz w:val="18"/>
                <w:szCs w:val="18"/>
                <w:lang w:val="sq-AL"/>
              </w:rPr>
              <w:t>–</w:t>
            </w:r>
            <w:r w:rsidR="00E8581B" w:rsidRPr="0058349C">
              <w:rPr>
                <w:rFonts w:ascii="Garamond" w:eastAsia="Arial" w:hAnsi="Garamond"/>
                <w:b/>
                <w:bCs/>
                <w:sz w:val="18"/>
                <w:szCs w:val="18"/>
                <w:lang w:val="sq-AL"/>
              </w:rPr>
              <w:t>2024</w:t>
            </w:r>
          </w:p>
          <w:p w14:paraId="0773B5A0" w14:textId="242CCA0B"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(N = nevoja,</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 xml:space="preserve">nuk mbulohet nga buxheti kombëtar </w:t>
            </w:r>
            <w:r w:rsidR="00797859">
              <w:rPr>
                <w:rFonts w:ascii="Garamond" w:eastAsia="Arial" w:hAnsi="Garamond"/>
                <w:b/>
                <w:bCs/>
                <w:sz w:val="18"/>
                <w:szCs w:val="18"/>
                <w:lang w:val="sq-AL"/>
              </w:rPr>
              <w:t>/</w:t>
            </w:r>
            <w:r w:rsidRPr="0058349C">
              <w:rPr>
                <w:rFonts w:ascii="Garamond" w:eastAsia="Arial" w:hAnsi="Garamond"/>
                <w:b/>
                <w:bCs/>
                <w:sz w:val="18"/>
                <w:szCs w:val="18"/>
                <w:lang w:val="sq-AL"/>
              </w:rPr>
              <w:t xml:space="preserve">buxheti IPA III </w:t>
            </w:r>
            <w:r w:rsidR="00797859">
              <w:rPr>
                <w:rFonts w:ascii="Garamond" w:eastAsia="Arial" w:hAnsi="Garamond"/>
                <w:b/>
                <w:bCs/>
                <w:sz w:val="18"/>
                <w:szCs w:val="18"/>
                <w:lang w:val="sq-AL"/>
              </w:rPr>
              <w:t>/</w:t>
            </w:r>
            <w:r w:rsidRPr="0058349C">
              <w:rPr>
                <w:rFonts w:ascii="Garamond" w:eastAsia="Arial" w:hAnsi="Garamond"/>
                <w:b/>
                <w:bCs/>
                <w:sz w:val="18"/>
                <w:szCs w:val="18"/>
                <w:lang w:val="sq-AL"/>
              </w:rPr>
              <w:t>Donatorët</w:t>
            </w:r>
            <w:r w:rsidR="00C259A4">
              <w:rPr>
                <w:rFonts w:ascii="Garamond" w:eastAsia="Arial" w:hAnsi="Garamond"/>
                <w:b/>
                <w:bCs/>
                <w:sz w:val="18"/>
                <w:szCs w:val="18"/>
                <w:lang w:val="sq-AL"/>
              </w:rPr>
              <w:t>)</w:t>
            </w:r>
          </w:p>
        </w:tc>
        <w:tc>
          <w:tcPr>
            <w:tcW w:w="429" w:type="pct"/>
            <w:shd w:val="clear" w:color="auto" w:fill="E5F7CA"/>
            <w:vAlign w:val="center"/>
          </w:tcPr>
          <w:p w14:paraId="0773B5A1" w14:textId="59E58E08"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Objektivi për vitin</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2024</w:t>
            </w:r>
          </w:p>
        </w:tc>
        <w:tc>
          <w:tcPr>
            <w:tcW w:w="400" w:type="pct"/>
            <w:vMerge w:val="restart"/>
            <w:shd w:val="clear" w:color="auto" w:fill="E5F7CA"/>
            <w:vAlign w:val="center"/>
          </w:tcPr>
          <w:p w14:paraId="0773B5A2" w14:textId="77777777" w:rsidR="00E8581B" w:rsidRPr="0058349C" w:rsidRDefault="00E8581B"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Objektivi për vitin</w:t>
            </w:r>
          </w:p>
          <w:p w14:paraId="0773B5A3" w14:textId="77777777" w:rsidR="00E8581B" w:rsidRPr="0058349C" w:rsidRDefault="00E8581B"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2027</w:t>
            </w:r>
          </w:p>
        </w:tc>
      </w:tr>
      <w:tr w:rsidR="003B5F32" w:rsidRPr="0058349C" w14:paraId="0773B5AE" w14:textId="77777777" w:rsidTr="00713135">
        <w:trPr>
          <w:trHeight w:val="20"/>
        </w:trPr>
        <w:tc>
          <w:tcPr>
            <w:tcW w:w="90" w:type="pct"/>
            <w:vMerge/>
            <w:shd w:val="clear" w:color="auto" w:fill="F2F2F2"/>
          </w:tcPr>
          <w:p w14:paraId="0773B5A5" w14:textId="77777777" w:rsidR="00E8581B" w:rsidRPr="0058349C" w:rsidRDefault="00E8581B" w:rsidP="00CF7694">
            <w:pPr>
              <w:spacing w:after="0" w:line="240" w:lineRule="auto"/>
              <w:rPr>
                <w:rFonts w:ascii="Garamond" w:eastAsia="Arial" w:hAnsi="Garamond"/>
                <w:b/>
                <w:sz w:val="18"/>
                <w:szCs w:val="18"/>
                <w:lang w:val="sq-AL"/>
              </w:rPr>
            </w:pPr>
          </w:p>
        </w:tc>
        <w:tc>
          <w:tcPr>
            <w:tcW w:w="966" w:type="pct"/>
            <w:shd w:val="clear" w:color="auto" w:fill="F2F2F2"/>
          </w:tcPr>
          <w:p w14:paraId="0773B5A6" w14:textId="77777777" w:rsidR="00E8581B" w:rsidRPr="0058349C" w:rsidRDefault="00E8581B" w:rsidP="00CF7694">
            <w:pPr>
              <w:spacing w:after="0" w:line="240" w:lineRule="auto"/>
              <w:jc w:val="center"/>
              <w:rPr>
                <w:rFonts w:ascii="Garamond" w:eastAsia="Arial" w:hAnsi="Garamond"/>
                <w:sz w:val="18"/>
                <w:szCs w:val="18"/>
                <w:lang w:val="sq-AL"/>
              </w:rPr>
            </w:pPr>
          </w:p>
        </w:tc>
        <w:tc>
          <w:tcPr>
            <w:tcW w:w="1442" w:type="pct"/>
            <w:shd w:val="clear" w:color="auto" w:fill="F2F2F2"/>
          </w:tcPr>
          <w:p w14:paraId="0773B5A7" w14:textId="77777777" w:rsidR="00E8581B" w:rsidRPr="0058349C" w:rsidRDefault="00E8581B" w:rsidP="00CF7694">
            <w:pPr>
              <w:spacing w:after="0" w:line="240" w:lineRule="auto"/>
              <w:jc w:val="center"/>
              <w:rPr>
                <w:rFonts w:ascii="Garamond" w:eastAsia="Arial" w:hAnsi="Garamond"/>
                <w:sz w:val="18"/>
                <w:szCs w:val="18"/>
                <w:lang w:val="sq-AL"/>
              </w:rPr>
            </w:pPr>
          </w:p>
        </w:tc>
        <w:tc>
          <w:tcPr>
            <w:tcW w:w="391" w:type="pct"/>
            <w:shd w:val="clear" w:color="auto" w:fill="F2F2F2"/>
          </w:tcPr>
          <w:p w14:paraId="0773B5A8" w14:textId="77777777" w:rsidR="00E8581B" w:rsidRPr="0058349C" w:rsidRDefault="00E8581B" w:rsidP="00CF7694">
            <w:pPr>
              <w:spacing w:after="0" w:line="240" w:lineRule="auto"/>
              <w:rPr>
                <w:rFonts w:ascii="Garamond" w:eastAsia="Arial" w:hAnsi="Garamond"/>
                <w:sz w:val="18"/>
                <w:szCs w:val="18"/>
                <w:lang w:val="sq-AL"/>
              </w:rPr>
            </w:pPr>
          </w:p>
        </w:tc>
        <w:tc>
          <w:tcPr>
            <w:tcW w:w="427" w:type="pct"/>
            <w:shd w:val="clear" w:color="auto" w:fill="F2F2F2"/>
          </w:tcPr>
          <w:p w14:paraId="0773B5A9"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2022</w:t>
            </w:r>
          </w:p>
        </w:tc>
        <w:tc>
          <w:tcPr>
            <w:tcW w:w="427" w:type="pct"/>
            <w:shd w:val="clear" w:color="auto" w:fill="F2F2F2"/>
          </w:tcPr>
          <w:p w14:paraId="0773B5AA"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2023</w:t>
            </w:r>
          </w:p>
        </w:tc>
        <w:tc>
          <w:tcPr>
            <w:tcW w:w="427" w:type="pct"/>
            <w:shd w:val="clear" w:color="auto" w:fill="F2F2F2"/>
          </w:tcPr>
          <w:p w14:paraId="0773B5AB"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2024</w:t>
            </w:r>
          </w:p>
        </w:tc>
        <w:tc>
          <w:tcPr>
            <w:tcW w:w="429" w:type="pct"/>
            <w:shd w:val="clear" w:color="auto" w:fill="E5F7CA"/>
          </w:tcPr>
          <w:p w14:paraId="0773B5AC" w14:textId="77777777" w:rsidR="00E8581B" w:rsidRPr="0058349C" w:rsidRDefault="00E8581B" w:rsidP="00CF7694">
            <w:pPr>
              <w:spacing w:after="0" w:line="240" w:lineRule="auto"/>
              <w:rPr>
                <w:rFonts w:ascii="Garamond" w:eastAsia="Arial" w:hAnsi="Garamond"/>
                <w:sz w:val="18"/>
                <w:szCs w:val="18"/>
                <w:lang w:val="sq-AL"/>
              </w:rPr>
            </w:pPr>
          </w:p>
        </w:tc>
        <w:tc>
          <w:tcPr>
            <w:tcW w:w="400" w:type="pct"/>
            <w:vMerge/>
            <w:shd w:val="clear" w:color="auto" w:fill="E5F7CA"/>
          </w:tcPr>
          <w:p w14:paraId="0773B5AD" w14:textId="77777777" w:rsidR="00E8581B" w:rsidRPr="0058349C" w:rsidRDefault="00E8581B" w:rsidP="00CF7694">
            <w:pPr>
              <w:spacing w:after="0" w:line="240" w:lineRule="auto"/>
              <w:rPr>
                <w:rFonts w:ascii="Garamond" w:eastAsia="Arial" w:hAnsi="Garamond"/>
                <w:sz w:val="18"/>
                <w:szCs w:val="18"/>
                <w:lang w:val="sq-AL"/>
              </w:rPr>
            </w:pPr>
          </w:p>
        </w:tc>
      </w:tr>
      <w:tr w:rsidR="003B5F32" w:rsidRPr="0058349C" w14:paraId="0773B5B8" w14:textId="77777777" w:rsidTr="00713135">
        <w:trPr>
          <w:trHeight w:val="20"/>
        </w:trPr>
        <w:tc>
          <w:tcPr>
            <w:tcW w:w="90" w:type="pct"/>
            <w:vMerge w:val="restart"/>
            <w:shd w:val="clear" w:color="auto" w:fill="F2F2F2"/>
          </w:tcPr>
          <w:p w14:paraId="0773B5AF" w14:textId="77777777" w:rsidR="00E8581B" w:rsidRPr="0058349C" w:rsidRDefault="00E8581B" w:rsidP="00CF7694">
            <w:pPr>
              <w:spacing w:after="0" w:line="240" w:lineRule="auto"/>
              <w:rPr>
                <w:rFonts w:ascii="Garamond" w:eastAsia="Arial" w:hAnsi="Garamond"/>
                <w:b/>
                <w:sz w:val="18"/>
                <w:szCs w:val="18"/>
                <w:lang w:val="sq-AL"/>
              </w:rPr>
            </w:pPr>
          </w:p>
        </w:tc>
        <w:tc>
          <w:tcPr>
            <w:tcW w:w="966" w:type="pct"/>
            <w:shd w:val="clear" w:color="auto" w:fill="F2F2F2"/>
          </w:tcPr>
          <w:p w14:paraId="0773B5B0" w14:textId="5686A9DD" w:rsidR="00E8581B" w:rsidRPr="0058349C" w:rsidRDefault="00E8581B" w:rsidP="00CF7694">
            <w:pPr>
              <w:spacing w:after="0" w:line="240" w:lineRule="auto"/>
              <w:rPr>
                <w:rFonts w:ascii="Garamond" w:eastAsia="Arial" w:hAnsi="Garamond" w:cs="Segoe UI"/>
                <w:b/>
                <w:bCs/>
                <w:sz w:val="18"/>
                <w:szCs w:val="18"/>
                <w:lang w:val="sq-AL"/>
              </w:rPr>
            </w:pPr>
            <w:r w:rsidRPr="0058349C">
              <w:rPr>
                <w:rFonts w:ascii="Garamond" w:eastAsia="Arial" w:hAnsi="Garamond" w:cs="Segoe UI"/>
                <w:b/>
                <w:bCs/>
                <w:sz w:val="18"/>
                <w:szCs w:val="18"/>
                <w:lang w:val="sq-AL"/>
              </w:rPr>
              <w:t>Grand për diversifikimin në turizmin rural</w:t>
            </w:r>
            <w:r w:rsidR="00CF7694" w:rsidRPr="0058349C">
              <w:rPr>
                <w:rFonts w:ascii="Garamond" w:eastAsia="Arial" w:hAnsi="Garamond" w:cs="Segoe UI"/>
                <w:b/>
                <w:bCs/>
                <w:sz w:val="18"/>
                <w:szCs w:val="18"/>
                <w:lang w:val="sq-AL"/>
              </w:rPr>
              <w:t xml:space="preserve"> </w:t>
            </w:r>
            <w:r w:rsidRPr="0058349C">
              <w:rPr>
                <w:rFonts w:ascii="Garamond" w:eastAsia="Arial" w:hAnsi="Garamond" w:cs="Segoe UI"/>
                <w:b/>
                <w:bCs/>
                <w:sz w:val="18"/>
                <w:szCs w:val="18"/>
                <w:lang w:val="sq-AL"/>
              </w:rPr>
              <w:t>dhe agroturizmin</w:t>
            </w:r>
          </w:p>
        </w:tc>
        <w:tc>
          <w:tcPr>
            <w:tcW w:w="1442" w:type="pct"/>
            <w:shd w:val="clear" w:color="auto" w:fill="F2F2F2"/>
          </w:tcPr>
          <w:p w14:paraId="0773B5B1" w14:textId="77777777" w:rsidR="00E8581B" w:rsidRPr="0058349C" w:rsidRDefault="00E8581B"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Investime në turizmin rural dhe agroturizmin do t</w:t>
            </w:r>
            <w:r w:rsidRPr="0058349C">
              <w:rPr>
                <w:rFonts w:ascii="Garamond" w:eastAsia="Arial" w:hAnsi="Garamond"/>
                <w:bCs/>
                <w:sz w:val="18"/>
                <w:szCs w:val="18"/>
                <w:lang w:val="sq-AL"/>
              </w:rPr>
              <w:t>ë arrijë 100 në vitin 2024 dhe në 200 në vitin 2027</w:t>
            </w:r>
            <w:r w:rsidRPr="0058349C">
              <w:rPr>
                <w:rFonts w:ascii="Garamond" w:eastAsia="Arial" w:hAnsi="Garamond" w:cs="Segoe UI"/>
                <w:sz w:val="18"/>
                <w:szCs w:val="18"/>
                <w:lang w:val="sq-AL"/>
              </w:rPr>
              <w:t xml:space="preserve"> (orientues).</w:t>
            </w:r>
          </w:p>
        </w:tc>
        <w:tc>
          <w:tcPr>
            <w:tcW w:w="391" w:type="pct"/>
            <w:shd w:val="clear" w:color="auto" w:fill="F2F2F2"/>
            <w:vAlign w:val="center"/>
          </w:tcPr>
          <w:p w14:paraId="0773B5B2"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NB</w:t>
            </w:r>
          </w:p>
        </w:tc>
        <w:tc>
          <w:tcPr>
            <w:tcW w:w="427" w:type="pct"/>
            <w:shd w:val="clear" w:color="auto" w:fill="F2F2F2"/>
            <w:vAlign w:val="center"/>
          </w:tcPr>
          <w:p w14:paraId="0773B5B3"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NB</w:t>
            </w:r>
          </w:p>
        </w:tc>
        <w:tc>
          <w:tcPr>
            <w:tcW w:w="427" w:type="pct"/>
            <w:shd w:val="clear" w:color="auto" w:fill="F2F2F2"/>
            <w:vAlign w:val="center"/>
          </w:tcPr>
          <w:p w14:paraId="0773B5B4"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NB</w:t>
            </w:r>
          </w:p>
        </w:tc>
        <w:tc>
          <w:tcPr>
            <w:tcW w:w="427" w:type="pct"/>
            <w:shd w:val="clear" w:color="auto" w:fill="F2F2F2"/>
            <w:vAlign w:val="center"/>
          </w:tcPr>
          <w:p w14:paraId="0773B5B5"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NB</w:t>
            </w:r>
          </w:p>
        </w:tc>
        <w:tc>
          <w:tcPr>
            <w:tcW w:w="429" w:type="pct"/>
            <w:shd w:val="clear" w:color="auto" w:fill="E5F7CA"/>
            <w:vAlign w:val="center"/>
          </w:tcPr>
          <w:p w14:paraId="0773B5B6"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c>
          <w:tcPr>
            <w:tcW w:w="400" w:type="pct"/>
            <w:shd w:val="clear" w:color="auto" w:fill="E5F7CA"/>
            <w:vAlign w:val="center"/>
          </w:tcPr>
          <w:p w14:paraId="0773B5B7"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200</w:t>
            </w:r>
          </w:p>
        </w:tc>
      </w:tr>
      <w:tr w:rsidR="003B5F32" w:rsidRPr="0058349C" w14:paraId="0773B5C2" w14:textId="77777777" w:rsidTr="00713135">
        <w:trPr>
          <w:trHeight w:val="20"/>
        </w:trPr>
        <w:tc>
          <w:tcPr>
            <w:tcW w:w="90" w:type="pct"/>
            <w:vMerge/>
            <w:shd w:val="clear" w:color="auto" w:fill="F2F2F2"/>
          </w:tcPr>
          <w:p w14:paraId="0773B5B9" w14:textId="77777777" w:rsidR="00E8581B" w:rsidRPr="0058349C" w:rsidRDefault="00E8581B" w:rsidP="00CF7694">
            <w:pPr>
              <w:spacing w:after="0" w:line="240" w:lineRule="auto"/>
              <w:rPr>
                <w:rFonts w:ascii="Garamond" w:eastAsia="Arial" w:hAnsi="Garamond"/>
                <w:b/>
                <w:sz w:val="18"/>
                <w:szCs w:val="18"/>
                <w:lang w:val="sq-AL"/>
              </w:rPr>
            </w:pPr>
          </w:p>
        </w:tc>
        <w:tc>
          <w:tcPr>
            <w:tcW w:w="966" w:type="pct"/>
            <w:shd w:val="clear" w:color="auto" w:fill="F2F2F2"/>
          </w:tcPr>
          <w:p w14:paraId="0773B5BA" w14:textId="77777777" w:rsidR="00E8581B" w:rsidRPr="0058349C" w:rsidRDefault="00E8581B" w:rsidP="00CF7694">
            <w:pPr>
              <w:spacing w:after="0" w:line="240" w:lineRule="auto"/>
              <w:rPr>
                <w:rFonts w:ascii="Garamond" w:eastAsia="Arial" w:hAnsi="Garamond" w:cs="Segoe UI"/>
                <w:b/>
                <w:bCs/>
                <w:sz w:val="18"/>
                <w:szCs w:val="18"/>
                <w:lang w:val="sq-AL"/>
              </w:rPr>
            </w:pPr>
          </w:p>
        </w:tc>
        <w:tc>
          <w:tcPr>
            <w:tcW w:w="1442" w:type="pct"/>
            <w:shd w:val="clear" w:color="auto" w:fill="F2F2F2"/>
          </w:tcPr>
          <w:p w14:paraId="0773B5BB" w14:textId="6E5463B0" w:rsidR="00E8581B" w:rsidRPr="0058349C" w:rsidRDefault="00E8581B"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 xml:space="preserve">Numri i objekteve të mbështetura të turizmit rural </w:t>
            </w:r>
            <w:r w:rsidRPr="0058349C">
              <w:rPr>
                <w:rFonts w:ascii="Garamond" w:eastAsia="Arial" w:hAnsi="Garamond"/>
                <w:bCs/>
                <w:sz w:val="18"/>
                <w:szCs w:val="18"/>
                <w:lang w:val="sq-AL"/>
              </w:rPr>
              <w:t xml:space="preserve">nga </w:t>
            </w:r>
            <w:r w:rsidRPr="0058349C">
              <w:rPr>
                <w:rFonts w:ascii="Garamond" w:eastAsia="Arial" w:hAnsi="Garamond" w:cs="Segoe UI"/>
                <w:sz w:val="18"/>
                <w:szCs w:val="18"/>
                <w:lang w:val="sq-AL"/>
              </w:rPr>
              <w:t xml:space="preserve">IPARD III </w:t>
            </w:r>
            <w:r w:rsidR="00713135">
              <w:rPr>
                <w:rFonts w:ascii="Garamond" w:eastAsia="Arial" w:hAnsi="Garamond" w:cs="Segoe UI"/>
                <w:sz w:val="18"/>
                <w:szCs w:val="18"/>
                <w:lang w:val="sq-AL"/>
              </w:rPr>
              <w:t>–</w:t>
            </w:r>
            <w:r w:rsidRPr="0058349C">
              <w:rPr>
                <w:rFonts w:ascii="Garamond" w:eastAsia="Arial" w:hAnsi="Garamond" w:cs="Segoe UI"/>
                <w:sz w:val="18"/>
                <w:szCs w:val="18"/>
                <w:lang w:val="sq-AL"/>
              </w:rPr>
              <w:t xml:space="preserve"> M</w:t>
            </w:r>
            <w:r w:rsidR="00713135">
              <w:rPr>
                <w:rFonts w:ascii="Garamond" w:eastAsia="Arial" w:hAnsi="Garamond" w:cs="Segoe UI"/>
                <w:sz w:val="18"/>
                <w:szCs w:val="18"/>
                <w:lang w:val="sq-AL"/>
              </w:rPr>
              <w:t>asa 7</w:t>
            </w:r>
            <w:r w:rsidRPr="0058349C">
              <w:rPr>
                <w:rFonts w:ascii="Garamond" w:eastAsia="Arial" w:hAnsi="Garamond" w:cs="Segoe UI"/>
                <w:sz w:val="18"/>
                <w:szCs w:val="18"/>
                <w:lang w:val="sq-AL"/>
              </w:rPr>
              <w:t xml:space="preserve"> do t</w:t>
            </w:r>
            <w:r w:rsidRPr="0058349C">
              <w:rPr>
                <w:rFonts w:ascii="Garamond" w:eastAsia="Arial" w:hAnsi="Garamond"/>
                <w:bCs/>
                <w:sz w:val="18"/>
                <w:szCs w:val="18"/>
                <w:lang w:val="sq-AL"/>
              </w:rPr>
              <w:t>ë rritet me 30 deri në vitin 2024 dhe me 60 deri në vitin 2027 (</w:t>
            </w:r>
            <w:r w:rsidR="00713135" w:rsidRPr="0058349C">
              <w:rPr>
                <w:rFonts w:ascii="Garamond" w:eastAsia="Arial" w:hAnsi="Garamond"/>
                <w:bCs/>
                <w:sz w:val="18"/>
                <w:szCs w:val="18"/>
                <w:lang w:val="sq-AL"/>
              </w:rPr>
              <w:t xml:space="preserve">buxheti </w:t>
            </w:r>
            <w:r w:rsidRPr="0058349C">
              <w:rPr>
                <w:rFonts w:ascii="Garamond" w:eastAsia="Arial" w:hAnsi="Garamond"/>
                <w:bCs/>
                <w:sz w:val="18"/>
                <w:szCs w:val="18"/>
                <w:lang w:val="sq-AL"/>
              </w:rPr>
              <w:t>orientues</w:t>
            </w:r>
            <w:r w:rsidRPr="0058349C">
              <w:rPr>
                <w:rFonts w:ascii="Garamond" w:eastAsia="Arial" w:hAnsi="Garamond" w:cs="Segoe UI"/>
                <w:sz w:val="18"/>
                <w:szCs w:val="18"/>
                <w:lang w:val="sq-AL"/>
              </w:rPr>
              <w:t xml:space="preserve"> </w:t>
            </w:r>
            <w:r w:rsidR="00713135">
              <w:rPr>
                <w:rFonts w:ascii="Garamond" w:eastAsia="Arial" w:hAnsi="Garamond" w:cs="Segoe UI"/>
                <w:sz w:val="18"/>
                <w:szCs w:val="18"/>
                <w:lang w:val="sq-AL"/>
              </w:rPr>
              <w:t>–</w:t>
            </w:r>
            <w:r w:rsidRPr="0058349C">
              <w:rPr>
                <w:rFonts w:ascii="Garamond" w:eastAsia="Arial" w:hAnsi="Garamond" w:cs="Segoe UI"/>
                <w:sz w:val="18"/>
                <w:szCs w:val="18"/>
                <w:lang w:val="sq-AL"/>
              </w:rPr>
              <w:t xml:space="preserve"> 20% e buxhetit total të masës</w:t>
            </w:r>
            <w:r w:rsidRPr="0058349C">
              <w:rPr>
                <w:rFonts w:ascii="Garamond" w:hAnsi="Garamond"/>
                <w:sz w:val="18"/>
                <w:szCs w:val="18"/>
                <w:lang w:val="sq-AL"/>
              </w:rPr>
              <w:t>).</w:t>
            </w:r>
          </w:p>
        </w:tc>
        <w:tc>
          <w:tcPr>
            <w:tcW w:w="391" w:type="pct"/>
            <w:shd w:val="clear" w:color="auto" w:fill="F2F2F2"/>
            <w:vAlign w:val="center"/>
          </w:tcPr>
          <w:p w14:paraId="0773B5BC"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2,234,941</w:t>
            </w:r>
          </w:p>
        </w:tc>
        <w:tc>
          <w:tcPr>
            <w:tcW w:w="427" w:type="pct"/>
            <w:shd w:val="clear" w:color="auto" w:fill="F2F2F2"/>
            <w:vAlign w:val="center"/>
          </w:tcPr>
          <w:p w14:paraId="0773B5BD"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562,667</w:t>
            </w:r>
          </w:p>
        </w:tc>
        <w:tc>
          <w:tcPr>
            <w:tcW w:w="427" w:type="pct"/>
            <w:shd w:val="clear" w:color="auto" w:fill="F2F2F2"/>
            <w:vAlign w:val="center"/>
          </w:tcPr>
          <w:p w14:paraId="0773B5BE"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647,638</w:t>
            </w:r>
          </w:p>
        </w:tc>
        <w:tc>
          <w:tcPr>
            <w:tcW w:w="427" w:type="pct"/>
            <w:shd w:val="clear" w:color="auto" w:fill="F2F2F2"/>
            <w:vAlign w:val="center"/>
          </w:tcPr>
          <w:p w14:paraId="0773B5BF"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1,024,636</w:t>
            </w:r>
          </w:p>
        </w:tc>
        <w:tc>
          <w:tcPr>
            <w:tcW w:w="429" w:type="pct"/>
            <w:shd w:val="clear" w:color="auto" w:fill="E5F7CA"/>
            <w:vAlign w:val="center"/>
          </w:tcPr>
          <w:p w14:paraId="0773B5C0"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30</w:t>
            </w:r>
          </w:p>
        </w:tc>
        <w:tc>
          <w:tcPr>
            <w:tcW w:w="400" w:type="pct"/>
            <w:shd w:val="clear" w:color="auto" w:fill="E5F7CA"/>
            <w:vAlign w:val="center"/>
          </w:tcPr>
          <w:p w14:paraId="0773B5C1"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60</w:t>
            </w:r>
          </w:p>
        </w:tc>
      </w:tr>
      <w:tr w:rsidR="003B5F32" w:rsidRPr="0058349C" w14:paraId="0773B5CC" w14:textId="77777777" w:rsidTr="00713135">
        <w:trPr>
          <w:trHeight w:val="20"/>
        </w:trPr>
        <w:tc>
          <w:tcPr>
            <w:tcW w:w="90" w:type="pct"/>
            <w:shd w:val="clear" w:color="auto" w:fill="F2F2F2"/>
          </w:tcPr>
          <w:p w14:paraId="0773B5C3" w14:textId="77777777" w:rsidR="00E8581B" w:rsidRPr="0058349C" w:rsidRDefault="00E8581B" w:rsidP="00CF7694">
            <w:pPr>
              <w:spacing w:after="0" w:line="240" w:lineRule="auto"/>
              <w:rPr>
                <w:rFonts w:ascii="Garamond" w:eastAsia="Arial" w:hAnsi="Garamond"/>
                <w:b/>
                <w:sz w:val="18"/>
                <w:szCs w:val="18"/>
                <w:lang w:val="sq-AL"/>
              </w:rPr>
            </w:pPr>
          </w:p>
        </w:tc>
        <w:tc>
          <w:tcPr>
            <w:tcW w:w="966" w:type="pct"/>
            <w:shd w:val="clear" w:color="auto" w:fill="F2F2F2"/>
          </w:tcPr>
          <w:p w14:paraId="0773B5C4" w14:textId="42951790" w:rsidR="00E8581B" w:rsidRPr="0058349C" w:rsidRDefault="00E8581B" w:rsidP="00CF7694">
            <w:pPr>
              <w:spacing w:after="0" w:line="240" w:lineRule="auto"/>
              <w:rPr>
                <w:rFonts w:ascii="Garamond" w:eastAsia="Arial" w:hAnsi="Garamond" w:cs="Segoe UI"/>
                <w:b/>
                <w:bCs/>
                <w:sz w:val="18"/>
                <w:szCs w:val="18"/>
                <w:lang w:val="sq-AL"/>
              </w:rPr>
            </w:pPr>
            <w:r w:rsidRPr="0058349C">
              <w:rPr>
                <w:rFonts w:ascii="Garamond" w:hAnsi="Garamond"/>
                <w:b/>
                <w:bCs/>
                <w:sz w:val="18"/>
                <w:szCs w:val="18"/>
                <w:lang w:val="sq-AL"/>
              </w:rPr>
              <w:t xml:space="preserve">Grandet për bizneset rurale dhe bizneset fillestare </w:t>
            </w:r>
            <w:r w:rsidRPr="00713135">
              <w:rPr>
                <w:rFonts w:ascii="Garamond" w:hAnsi="Garamond"/>
                <w:b/>
                <w:bCs/>
                <w:i/>
                <w:iCs/>
                <w:sz w:val="18"/>
                <w:szCs w:val="18"/>
                <w:lang w:val="sq-AL"/>
              </w:rPr>
              <w:t>(start-up)</w:t>
            </w:r>
            <w:r w:rsidRPr="0058349C">
              <w:rPr>
                <w:rFonts w:ascii="Garamond" w:hAnsi="Garamond"/>
                <w:b/>
                <w:bCs/>
                <w:sz w:val="18"/>
                <w:szCs w:val="18"/>
                <w:lang w:val="sq-AL"/>
              </w:rPr>
              <w:t xml:space="preserve"> (përveç objekteve të turizmit rural</w:t>
            </w:r>
            <w:r w:rsidR="00C259A4">
              <w:rPr>
                <w:rFonts w:ascii="Garamond" w:hAnsi="Garamond"/>
                <w:b/>
                <w:bCs/>
                <w:sz w:val="18"/>
                <w:szCs w:val="18"/>
                <w:lang w:val="sq-AL"/>
              </w:rPr>
              <w:t>)</w:t>
            </w:r>
          </w:p>
        </w:tc>
        <w:tc>
          <w:tcPr>
            <w:tcW w:w="1442" w:type="pct"/>
            <w:shd w:val="clear" w:color="auto" w:fill="F2F2F2"/>
          </w:tcPr>
          <w:p w14:paraId="0773B5C5" w14:textId="5357E481" w:rsidR="00E8581B" w:rsidRPr="0058349C" w:rsidRDefault="00E8581B"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 xml:space="preserve">Numri i bizneseve rurale dhe </w:t>
            </w:r>
            <w:r w:rsidRPr="00713135">
              <w:rPr>
                <w:rFonts w:ascii="Garamond" w:eastAsia="Arial" w:hAnsi="Garamond" w:cs="Segoe UI"/>
                <w:i/>
                <w:iCs/>
                <w:sz w:val="18"/>
                <w:szCs w:val="18"/>
                <w:lang w:val="sq-AL"/>
              </w:rPr>
              <w:t>start-up</w:t>
            </w:r>
            <w:r w:rsidRPr="0058349C">
              <w:rPr>
                <w:rFonts w:ascii="Garamond" w:eastAsia="Arial" w:hAnsi="Garamond" w:cs="Segoe UI"/>
                <w:sz w:val="18"/>
                <w:szCs w:val="18"/>
                <w:lang w:val="sq-AL"/>
              </w:rPr>
              <w:t>-ve t</w:t>
            </w:r>
            <w:r w:rsidRPr="0058349C">
              <w:rPr>
                <w:rFonts w:ascii="Garamond" w:eastAsia="Arial" w:hAnsi="Garamond"/>
                <w:bCs/>
                <w:sz w:val="18"/>
                <w:szCs w:val="18"/>
                <w:lang w:val="sq-AL"/>
              </w:rPr>
              <w:t>ë</w:t>
            </w:r>
            <w:r w:rsidR="00CF7694" w:rsidRPr="0058349C">
              <w:rPr>
                <w:rFonts w:ascii="Garamond" w:eastAsia="Arial" w:hAnsi="Garamond" w:cs="Segoe UI"/>
                <w:sz w:val="18"/>
                <w:szCs w:val="18"/>
                <w:lang w:val="sq-AL"/>
              </w:rPr>
              <w:t xml:space="preserve"> </w:t>
            </w:r>
            <w:r w:rsidRPr="0058349C">
              <w:rPr>
                <w:rFonts w:ascii="Garamond" w:eastAsia="Arial" w:hAnsi="Garamond" w:cs="Segoe UI"/>
                <w:sz w:val="18"/>
                <w:szCs w:val="18"/>
                <w:lang w:val="sq-AL"/>
              </w:rPr>
              <w:t>mb</w:t>
            </w:r>
            <w:r w:rsidRPr="0058349C">
              <w:rPr>
                <w:rFonts w:ascii="Garamond" w:eastAsia="Arial" w:hAnsi="Garamond"/>
                <w:bCs/>
                <w:sz w:val="18"/>
                <w:szCs w:val="18"/>
                <w:lang w:val="sq-AL"/>
              </w:rPr>
              <w:t>ë</w:t>
            </w:r>
            <w:r w:rsidRPr="0058349C">
              <w:rPr>
                <w:rFonts w:ascii="Garamond" w:eastAsia="Arial" w:hAnsi="Garamond" w:cs="Segoe UI"/>
                <w:sz w:val="18"/>
                <w:szCs w:val="18"/>
                <w:lang w:val="sq-AL"/>
              </w:rPr>
              <w:t xml:space="preserve">shtetur nga IPARD III </w:t>
            </w:r>
            <w:r w:rsidR="00713135">
              <w:rPr>
                <w:rFonts w:ascii="Garamond" w:eastAsia="Arial" w:hAnsi="Garamond" w:cs="Segoe UI"/>
                <w:sz w:val="18"/>
                <w:szCs w:val="18"/>
                <w:lang w:val="sq-AL"/>
              </w:rPr>
              <w:t>–</w:t>
            </w:r>
            <w:r w:rsidRPr="0058349C">
              <w:rPr>
                <w:rFonts w:ascii="Garamond" w:eastAsia="Arial" w:hAnsi="Garamond" w:cs="Segoe UI"/>
                <w:sz w:val="18"/>
                <w:szCs w:val="18"/>
                <w:lang w:val="sq-AL"/>
              </w:rPr>
              <w:t xml:space="preserve"> M</w:t>
            </w:r>
            <w:r w:rsidR="00713135">
              <w:rPr>
                <w:rFonts w:ascii="Garamond" w:eastAsia="Arial" w:hAnsi="Garamond" w:cs="Segoe UI"/>
                <w:sz w:val="18"/>
                <w:szCs w:val="18"/>
                <w:lang w:val="sq-AL"/>
              </w:rPr>
              <w:t>asat 7</w:t>
            </w:r>
            <w:r w:rsidRPr="0058349C">
              <w:rPr>
                <w:rFonts w:ascii="Garamond" w:eastAsia="Arial" w:hAnsi="Garamond" w:cs="Segoe UI"/>
                <w:sz w:val="18"/>
                <w:szCs w:val="18"/>
                <w:lang w:val="sq-AL"/>
              </w:rPr>
              <w:t xml:space="preserve"> do t</w:t>
            </w:r>
            <w:r w:rsidRPr="0058349C">
              <w:rPr>
                <w:rFonts w:ascii="Garamond" w:eastAsia="Arial" w:hAnsi="Garamond"/>
                <w:bCs/>
                <w:sz w:val="18"/>
                <w:szCs w:val="18"/>
                <w:lang w:val="sq-AL"/>
              </w:rPr>
              <w:t>ë rritet në 30 deri në vitin 2024 dhe në 60 deri në vitin 2027 (buxheti orientuese</w:t>
            </w:r>
            <w:r w:rsidRPr="0058349C">
              <w:rPr>
                <w:rFonts w:ascii="Garamond" w:eastAsia="Arial" w:hAnsi="Garamond" w:cs="Segoe UI"/>
                <w:sz w:val="18"/>
                <w:szCs w:val="18"/>
                <w:lang w:val="sq-AL"/>
              </w:rPr>
              <w:t xml:space="preserve"> – deri n</w:t>
            </w:r>
            <w:r w:rsidRPr="0058349C">
              <w:rPr>
                <w:rFonts w:ascii="Garamond" w:eastAsia="Arial" w:hAnsi="Garamond"/>
                <w:bCs/>
                <w:sz w:val="18"/>
                <w:szCs w:val="18"/>
                <w:lang w:val="sq-AL"/>
              </w:rPr>
              <w:t>ë</w:t>
            </w:r>
            <w:r w:rsidR="00CF7694" w:rsidRPr="0058349C">
              <w:rPr>
                <w:rFonts w:ascii="Garamond" w:eastAsia="Arial" w:hAnsi="Garamond"/>
                <w:bCs/>
                <w:sz w:val="18"/>
                <w:szCs w:val="18"/>
                <w:lang w:val="sq-AL"/>
              </w:rPr>
              <w:t xml:space="preserve"> </w:t>
            </w:r>
            <w:r w:rsidRPr="0058349C">
              <w:rPr>
                <w:rFonts w:ascii="Garamond" w:eastAsia="Arial" w:hAnsi="Garamond" w:cs="Segoe UI"/>
                <w:sz w:val="18"/>
                <w:szCs w:val="18"/>
                <w:lang w:val="sq-AL"/>
              </w:rPr>
              <w:t xml:space="preserve">60% e buxhetit të masës </w:t>
            </w:r>
            <w:r w:rsidRPr="0058349C">
              <w:rPr>
                <w:rFonts w:ascii="Garamond" w:hAnsi="Garamond" w:cs="Segoe UI"/>
                <w:sz w:val="18"/>
                <w:szCs w:val="18"/>
                <w:lang w:val="sq-AL"/>
              </w:rPr>
              <w:t>7</w:t>
            </w:r>
            <w:r w:rsidRPr="0058349C">
              <w:rPr>
                <w:rFonts w:ascii="Garamond" w:hAnsi="Garamond"/>
                <w:sz w:val="18"/>
                <w:szCs w:val="18"/>
                <w:lang w:val="sq-AL"/>
              </w:rPr>
              <w:t>).</w:t>
            </w:r>
          </w:p>
        </w:tc>
        <w:tc>
          <w:tcPr>
            <w:tcW w:w="391" w:type="pct"/>
            <w:shd w:val="clear" w:color="auto" w:fill="F2F2F2"/>
            <w:vAlign w:val="center"/>
          </w:tcPr>
          <w:p w14:paraId="0773B5C6"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6,704,823</w:t>
            </w:r>
          </w:p>
        </w:tc>
        <w:tc>
          <w:tcPr>
            <w:tcW w:w="427" w:type="pct"/>
            <w:shd w:val="clear" w:color="auto" w:fill="F2F2F2"/>
            <w:vAlign w:val="center"/>
          </w:tcPr>
          <w:p w14:paraId="0773B5C7"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1,688,001</w:t>
            </w:r>
          </w:p>
        </w:tc>
        <w:tc>
          <w:tcPr>
            <w:tcW w:w="427" w:type="pct"/>
            <w:shd w:val="clear" w:color="auto" w:fill="F2F2F2"/>
            <w:vAlign w:val="center"/>
          </w:tcPr>
          <w:p w14:paraId="0773B5C8"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1,942,914</w:t>
            </w:r>
          </w:p>
        </w:tc>
        <w:tc>
          <w:tcPr>
            <w:tcW w:w="427" w:type="pct"/>
            <w:shd w:val="clear" w:color="auto" w:fill="F2F2F2"/>
            <w:vAlign w:val="center"/>
          </w:tcPr>
          <w:p w14:paraId="0773B5C9"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3,073,908</w:t>
            </w:r>
          </w:p>
        </w:tc>
        <w:tc>
          <w:tcPr>
            <w:tcW w:w="429" w:type="pct"/>
            <w:shd w:val="clear" w:color="auto" w:fill="E5F7CA"/>
            <w:vAlign w:val="center"/>
          </w:tcPr>
          <w:p w14:paraId="0773B5CA"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30</w:t>
            </w:r>
          </w:p>
        </w:tc>
        <w:tc>
          <w:tcPr>
            <w:tcW w:w="400" w:type="pct"/>
            <w:shd w:val="clear" w:color="auto" w:fill="E5F7CA"/>
            <w:vAlign w:val="center"/>
          </w:tcPr>
          <w:p w14:paraId="0773B5CB"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60</w:t>
            </w:r>
          </w:p>
        </w:tc>
      </w:tr>
      <w:tr w:rsidR="003B5F32" w:rsidRPr="0058349C" w14:paraId="0773B5D6" w14:textId="77777777" w:rsidTr="00713135">
        <w:trPr>
          <w:trHeight w:val="20"/>
        </w:trPr>
        <w:tc>
          <w:tcPr>
            <w:tcW w:w="90" w:type="pct"/>
            <w:shd w:val="clear" w:color="auto" w:fill="F2F2F2"/>
          </w:tcPr>
          <w:p w14:paraId="0773B5CD" w14:textId="77777777" w:rsidR="00E8581B" w:rsidRPr="0058349C" w:rsidRDefault="00E8581B" w:rsidP="00CF7694">
            <w:pPr>
              <w:spacing w:after="0" w:line="240" w:lineRule="auto"/>
              <w:rPr>
                <w:rFonts w:ascii="Garamond" w:eastAsia="Arial" w:hAnsi="Garamond"/>
                <w:b/>
                <w:sz w:val="18"/>
                <w:szCs w:val="18"/>
                <w:lang w:val="sq-AL"/>
              </w:rPr>
            </w:pPr>
          </w:p>
        </w:tc>
        <w:tc>
          <w:tcPr>
            <w:tcW w:w="966" w:type="pct"/>
            <w:shd w:val="clear" w:color="auto" w:fill="F2F2F2"/>
          </w:tcPr>
          <w:p w14:paraId="0773B5CE" w14:textId="77777777" w:rsidR="00E8581B" w:rsidRPr="0058349C" w:rsidRDefault="00E8581B" w:rsidP="00CF7694">
            <w:pPr>
              <w:spacing w:after="0" w:line="240" w:lineRule="auto"/>
              <w:rPr>
                <w:rFonts w:ascii="Garamond" w:hAnsi="Garamond"/>
                <w:b/>
                <w:bCs/>
                <w:sz w:val="18"/>
                <w:szCs w:val="18"/>
                <w:lang w:val="sq-AL"/>
              </w:rPr>
            </w:pPr>
            <w:r w:rsidRPr="0058349C">
              <w:rPr>
                <w:rFonts w:ascii="Garamond" w:eastAsia="Arial" w:hAnsi="Garamond" w:cs="Segoe UI"/>
                <w:b/>
                <w:bCs/>
                <w:sz w:val="18"/>
                <w:szCs w:val="18"/>
                <w:lang w:val="sq-AL"/>
              </w:rPr>
              <w:t>Grande dhe hua për infrastrukturën publike rurale</w:t>
            </w:r>
          </w:p>
        </w:tc>
        <w:tc>
          <w:tcPr>
            <w:tcW w:w="1442" w:type="pct"/>
            <w:shd w:val="clear" w:color="auto" w:fill="F2F2F2"/>
          </w:tcPr>
          <w:p w14:paraId="0773B5CF" w14:textId="6EC7ADDD" w:rsidR="00E8581B" w:rsidRPr="0058349C" w:rsidRDefault="00E8581B"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Numri i projekteve p</w:t>
            </w:r>
            <w:r w:rsidRPr="0058349C">
              <w:rPr>
                <w:rFonts w:ascii="Garamond" w:eastAsia="Arial" w:hAnsi="Garamond"/>
                <w:bCs/>
                <w:sz w:val="18"/>
                <w:szCs w:val="18"/>
                <w:lang w:val="sq-AL"/>
              </w:rPr>
              <w:t xml:space="preserve">ër </w:t>
            </w:r>
            <w:r w:rsidRPr="0058349C">
              <w:rPr>
                <w:rFonts w:ascii="Garamond" w:eastAsia="Arial" w:hAnsi="Garamond" w:cs="Segoe UI"/>
                <w:sz w:val="18"/>
                <w:szCs w:val="18"/>
                <w:lang w:val="sq-AL"/>
              </w:rPr>
              <w:t>infrastrukturën rurale të mbështetura nga IPARD III – Masa 6 do t</w:t>
            </w:r>
            <w:r w:rsidRPr="0058349C">
              <w:rPr>
                <w:rFonts w:ascii="Garamond" w:eastAsia="Arial" w:hAnsi="Garamond"/>
                <w:bCs/>
                <w:sz w:val="18"/>
                <w:szCs w:val="18"/>
                <w:lang w:val="sq-AL"/>
              </w:rPr>
              <w:t>ë arrijë në 12 deri në vitin 2024 dhe në 90</w:t>
            </w:r>
            <w:r w:rsidR="00CF7694" w:rsidRPr="0058349C">
              <w:rPr>
                <w:rFonts w:ascii="Garamond" w:eastAsia="Arial" w:hAnsi="Garamond"/>
                <w:bCs/>
                <w:sz w:val="18"/>
                <w:szCs w:val="18"/>
                <w:lang w:val="sq-AL"/>
              </w:rPr>
              <w:t xml:space="preserve"> </w:t>
            </w:r>
            <w:r w:rsidRPr="0058349C">
              <w:rPr>
                <w:rFonts w:ascii="Garamond" w:eastAsia="Arial" w:hAnsi="Garamond"/>
                <w:bCs/>
                <w:sz w:val="18"/>
                <w:szCs w:val="18"/>
                <w:lang w:val="sq-AL"/>
              </w:rPr>
              <w:t>deri në vitin 2027.</w:t>
            </w:r>
          </w:p>
        </w:tc>
        <w:tc>
          <w:tcPr>
            <w:tcW w:w="391" w:type="pct"/>
            <w:shd w:val="clear" w:color="auto" w:fill="F2F2F2"/>
            <w:vAlign w:val="center"/>
          </w:tcPr>
          <w:p w14:paraId="0773B5D0"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2,666,667</w:t>
            </w:r>
          </w:p>
        </w:tc>
        <w:tc>
          <w:tcPr>
            <w:tcW w:w="427" w:type="pct"/>
            <w:shd w:val="clear" w:color="auto" w:fill="F2F2F2"/>
            <w:vAlign w:val="center"/>
          </w:tcPr>
          <w:p w14:paraId="0773B5D1"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427" w:type="pct"/>
            <w:shd w:val="clear" w:color="auto" w:fill="F2F2F2"/>
            <w:vAlign w:val="center"/>
          </w:tcPr>
          <w:p w14:paraId="0773B5D2"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427" w:type="pct"/>
            <w:shd w:val="clear" w:color="auto" w:fill="F2F2F2"/>
            <w:vAlign w:val="center"/>
          </w:tcPr>
          <w:p w14:paraId="0773B5D3"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2,666,667</w:t>
            </w:r>
          </w:p>
        </w:tc>
        <w:tc>
          <w:tcPr>
            <w:tcW w:w="429" w:type="pct"/>
            <w:shd w:val="clear" w:color="auto" w:fill="E5F7CA"/>
            <w:vAlign w:val="center"/>
          </w:tcPr>
          <w:p w14:paraId="0773B5D4"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12</w:t>
            </w:r>
          </w:p>
        </w:tc>
        <w:tc>
          <w:tcPr>
            <w:tcW w:w="400" w:type="pct"/>
            <w:shd w:val="clear" w:color="auto" w:fill="E5F7CA"/>
            <w:vAlign w:val="center"/>
          </w:tcPr>
          <w:p w14:paraId="0773B5D5" w14:textId="77777777" w:rsidR="00E8581B" w:rsidRPr="0058349C" w:rsidRDefault="00E8581B"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90</w:t>
            </w:r>
          </w:p>
        </w:tc>
      </w:tr>
    </w:tbl>
    <w:p w14:paraId="0773B5DA" w14:textId="77777777" w:rsidR="007D3758" w:rsidRPr="0058349C" w:rsidRDefault="007D3758" w:rsidP="00C54AEA">
      <w:pPr>
        <w:pStyle w:val="TEKSTIIII"/>
        <w:rPr>
          <w:lang w:val="sq-AL"/>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2"/>
        <w:gridCol w:w="2451"/>
        <w:gridCol w:w="2016"/>
        <w:gridCol w:w="1411"/>
        <w:gridCol w:w="1209"/>
        <w:gridCol w:w="1209"/>
        <w:gridCol w:w="1183"/>
        <w:gridCol w:w="1157"/>
        <w:gridCol w:w="1081"/>
      </w:tblGrid>
      <w:tr w:rsidR="007D3758" w:rsidRPr="0058349C" w14:paraId="0773B5DC" w14:textId="77777777" w:rsidTr="002858DC">
        <w:trPr>
          <w:trHeight w:val="20"/>
        </w:trPr>
        <w:tc>
          <w:tcPr>
            <w:tcW w:w="5000" w:type="pct"/>
            <w:gridSpan w:val="9"/>
            <w:shd w:val="clear" w:color="auto" w:fill="E5F7CA"/>
            <w:vAlign w:val="center"/>
          </w:tcPr>
          <w:p w14:paraId="0773B5DB" w14:textId="77777777" w:rsidR="007D3758" w:rsidRPr="0058349C" w:rsidRDefault="007D3758" w:rsidP="00CF7694">
            <w:pPr>
              <w:spacing w:after="0" w:line="240" w:lineRule="auto"/>
              <w:rPr>
                <w:rFonts w:ascii="Garamond" w:eastAsia="Arial" w:hAnsi="Garamond"/>
                <w:b/>
                <w:bCs/>
                <w:sz w:val="18"/>
                <w:szCs w:val="18"/>
                <w:lang w:val="sq-AL"/>
              </w:rPr>
            </w:pPr>
            <w:r w:rsidRPr="0058349C">
              <w:rPr>
                <w:rFonts w:ascii="Garamond" w:hAnsi="Garamond"/>
                <w:b/>
                <w:sz w:val="18"/>
                <w:szCs w:val="18"/>
                <w:lang w:val="sq-AL"/>
              </w:rPr>
              <w:br w:type="page"/>
            </w:r>
            <w:r w:rsidRPr="0058349C">
              <w:rPr>
                <w:rFonts w:ascii="Garamond" w:eastAsia="Arial" w:hAnsi="Garamond"/>
                <w:b/>
                <w:bCs/>
                <w:sz w:val="18"/>
                <w:szCs w:val="18"/>
                <w:lang w:val="sq-AL"/>
              </w:rPr>
              <w:t>Objektivi specifik 8: Fuqizimi i procesit të formimit të kapitalit social për iniciativat e zhvillimit lokal gjithëpërfshirës</w:t>
            </w:r>
          </w:p>
        </w:tc>
      </w:tr>
      <w:tr w:rsidR="007D3758" w:rsidRPr="0058349C" w14:paraId="0773B5E2" w14:textId="77777777" w:rsidTr="002858DC">
        <w:trPr>
          <w:trHeight w:val="20"/>
        </w:trPr>
        <w:tc>
          <w:tcPr>
            <w:tcW w:w="2451" w:type="pct"/>
            <w:gridSpan w:val="3"/>
            <w:shd w:val="clear" w:color="auto" w:fill="E5F7CA"/>
          </w:tcPr>
          <w:p w14:paraId="0773B5DD" w14:textId="40317076" w:rsidR="007D3758" w:rsidRPr="0058349C" w:rsidRDefault="007D3758" w:rsidP="00CF7694">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 xml:space="preserve">Treguesi i rezultatit 8.1: </w:t>
            </w:r>
            <w:r w:rsidRPr="0058349C">
              <w:rPr>
                <w:rFonts w:ascii="Garamond" w:eastAsia="Arial" w:hAnsi="Garamond"/>
                <w:bCs/>
                <w:sz w:val="18"/>
                <w:szCs w:val="18"/>
                <w:lang w:val="sq-AL"/>
              </w:rPr>
              <w:t>Përqindja e popullsisë rurale që përfiton nga iniciativat e reja të zhvillimit rural dhe investimet në infrastrukturën rurale (</w:t>
            </w:r>
            <w:r w:rsidR="00C525CB" w:rsidRPr="0058349C">
              <w:rPr>
                <w:rFonts w:ascii="Garamond" w:eastAsia="Arial" w:hAnsi="Garamond"/>
                <w:bCs/>
                <w:sz w:val="18"/>
                <w:szCs w:val="18"/>
                <w:lang w:val="sq-AL"/>
              </w:rPr>
              <w:t xml:space="preserve">programi </w:t>
            </w:r>
            <w:r w:rsidRPr="0058349C">
              <w:rPr>
                <w:rFonts w:ascii="Garamond" w:eastAsia="Arial" w:hAnsi="Garamond"/>
                <w:bCs/>
                <w:sz w:val="18"/>
                <w:szCs w:val="18"/>
                <w:lang w:val="sq-AL"/>
              </w:rPr>
              <w:t>IPARD III)</w:t>
            </w:r>
            <w:r w:rsidR="00CF7694" w:rsidRPr="0058349C">
              <w:rPr>
                <w:rFonts w:ascii="Garamond" w:eastAsia="Arial" w:hAnsi="Garamond"/>
                <w:bCs/>
                <w:sz w:val="18"/>
                <w:szCs w:val="18"/>
                <w:lang w:val="sq-AL"/>
              </w:rPr>
              <w:t xml:space="preserve"> </w:t>
            </w:r>
            <w:r w:rsidRPr="0058349C">
              <w:rPr>
                <w:rFonts w:ascii="Garamond" w:eastAsia="Arial" w:hAnsi="Garamond"/>
                <w:bCs/>
                <w:sz w:val="18"/>
                <w:szCs w:val="18"/>
                <w:lang w:val="sq-AL"/>
              </w:rPr>
              <w:t xml:space="preserve">do të rritet në 60% </w:t>
            </w:r>
            <w:r w:rsidRPr="009A2EF6">
              <w:rPr>
                <w:rFonts w:ascii="Garamond" w:eastAsia="Arial" w:hAnsi="Garamond"/>
                <w:bCs/>
                <w:sz w:val="18"/>
                <w:szCs w:val="18"/>
                <w:lang w:val="sq-AL"/>
              </w:rPr>
              <w:t>deri n do të rritet në 60% vitin 2024 dhe n do të rritet në 60% 70%</w:t>
            </w:r>
            <w:r w:rsidRPr="0058349C">
              <w:rPr>
                <w:rFonts w:ascii="Garamond" w:eastAsia="Arial" w:hAnsi="Garamond"/>
                <w:bCs/>
                <w:sz w:val="18"/>
                <w:szCs w:val="18"/>
                <w:lang w:val="sq-AL"/>
              </w:rPr>
              <w:t xml:space="preserve"> deri n do të rritet në 60% vitin 2027.</w:t>
            </w:r>
          </w:p>
        </w:tc>
        <w:tc>
          <w:tcPr>
            <w:tcW w:w="496" w:type="pct"/>
            <w:shd w:val="clear" w:color="auto" w:fill="E5F7CA"/>
            <w:vAlign w:val="center"/>
          </w:tcPr>
          <w:p w14:paraId="0773B5DE" w14:textId="77777777" w:rsidR="007D3758" w:rsidRPr="0058349C" w:rsidRDefault="007D3758" w:rsidP="00CF7694">
            <w:pPr>
              <w:spacing w:after="0" w:line="240" w:lineRule="auto"/>
              <w:jc w:val="center"/>
              <w:rPr>
                <w:rFonts w:ascii="Garamond" w:eastAsia="Arial" w:hAnsi="Garamond"/>
                <w:bCs/>
                <w:sz w:val="18"/>
                <w:szCs w:val="18"/>
                <w:lang w:val="sq-AL"/>
              </w:rPr>
            </w:pPr>
            <w:r w:rsidRPr="0058349C">
              <w:rPr>
                <w:rFonts w:ascii="Garamond" w:eastAsia="Arial" w:hAnsi="Garamond"/>
                <w:bCs/>
                <w:sz w:val="18"/>
                <w:szCs w:val="18"/>
                <w:lang w:val="sq-AL"/>
              </w:rPr>
              <w:t>Nuk ka tregues bazë pasi është masë e re</w:t>
            </w:r>
          </w:p>
        </w:tc>
        <w:tc>
          <w:tcPr>
            <w:tcW w:w="1266" w:type="pct"/>
            <w:gridSpan w:val="3"/>
            <w:shd w:val="clear" w:color="auto" w:fill="E5F7CA"/>
            <w:vAlign w:val="center"/>
          </w:tcPr>
          <w:p w14:paraId="0773B5DF" w14:textId="77777777" w:rsidR="007D3758" w:rsidRPr="0058349C" w:rsidRDefault="007D3758" w:rsidP="00CF7694">
            <w:pPr>
              <w:spacing w:after="0" w:line="240" w:lineRule="auto"/>
              <w:jc w:val="center"/>
              <w:rPr>
                <w:rFonts w:ascii="Garamond" w:eastAsia="Arial" w:hAnsi="Garamond"/>
                <w:b/>
                <w:bCs/>
                <w:sz w:val="18"/>
                <w:szCs w:val="18"/>
                <w:lang w:val="sq-AL"/>
              </w:rPr>
            </w:pPr>
          </w:p>
        </w:tc>
        <w:tc>
          <w:tcPr>
            <w:tcW w:w="407" w:type="pct"/>
            <w:shd w:val="clear" w:color="auto" w:fill="E5F7CA"/>
            <w:vAlign w:val="center"/>
          </w:tcPr>
          <w:p w14:paraId="0773B5E0" w14:textId="77777777" w:rsidR="007D3758" w:rsidRPr="0058349C" w:rsidRDefault="007D3758"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60%</w:t>
            </w:r>
          </w:p>
        </w:tc>
        <w:tc>
          <w:tcPr>
            <w:tcW w:w="380" w:type="pct"/>
            <w:shd w:val="clear" w:color="auto" w:fill="E5F7CA"/>
            <w:vAlign w:val="center"/>
          </w:tcPr>
          <w:p w14:paraId="0773B5E1" w14:textId="77777777" w:rsidR="007D3758" w:rsidRPr="0058349C" w:rsidRDefault="007D3758"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70%</w:t>
            </w:r>
          </w:p>
        </w:tc>
      </w:tr>
      <w:tr w:rsidR="007D3758" w:rsidRPr="0058349C" w14:paraId="0773B5EE" w14:textId="77777777" w:rsidTr="00C525CB">
        <w:trPr>
          <w:trHeight w:val="20"/>
        </w:trPr>
        <w:tc>
          <w:tcPr>
            <w:tcW w:w="880" w:type="pct"/>
            <w:vMerge w:val="restart"/>
            <w:shd w:val="clear" w:color="auto" w:fill="F2F2F2"/>
            <w:vAlign w:val="center"/>
          </w:tcPr>
          <w:p w14:paraId="0773B5E3" w14:textId="77777777" w:rsidR="007D3758" w:rsidRPr="0058349C" w:rsidRDefault="007D3758" w:rsidP="00CF7694">
            <w:pPr>
              <w:spacing w:after="0" w:line="240" w:lineRule="auto"/>
              <w:jc w:val="center"/>
              <w:rPr>
                <w:rFonts w:ascii="Garamond" w:eastAsia="Arial" w:hAnsi="Garamond"/>
                <w:b/>
                <w:sz w:val="18"/>
                <w:szCs w:val="18"/>
                <w:lang w:val="sq-AL"/>
              </w:rPr>
            </w:pPr>
          </w:p>
        </w:tc>
        <w:tc>
          <w:tcPr>
            <w:tcW w:w="862" w:type="pct"/>
            <w:vMerge w:val="restart"/>
            <w:shd w:val="clear" w:color="auto" w:fill="F2F2F2"/>
            <w:vAlign w:val="center"/>
          </w:tcPr>
          <w:p w14:paraId="0773B5E4" w14:textId="4F5519E7" w:rsidR="007D3758" w:rsidRPr="0058349C" w:rsidRDefault="007D3758"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Veprimi </w:t>
            </w:r>
            <w:r w:rsidR="00797859">
              <w:rPr>
                <w:rFonts w:ascii="Garamond" w:eastAsia="Arial" w:hAnsi="Garamond"/>
                <w:b/>
                <w:bCs/>
                <w:sz w:val="18"/>
                <w:szCs w:val="18"/>
                <w:lang w:val="sq-AL"/>
              </w:rPr>
              <w:t>/</w:t>
            </w:r>
            <w:r w:rsidR="00C525CB" w:rsidRPr="0058349C">
              <w:rPr>
                <w:rFonts w:ascii="Garamond" w:eastAsia="Arial" w:hAnsi="Garamond"/>
                <w:b/>
                <w:bCs/>
                <w:sz w:val="18"/>
                <w:szCs w:val="18"/>
                <w:lang w:val="sq-AL"/>
              </w:rPr>
              <w:t>ndërhyrja</w:t>
            </w:r>
          </w:p>
        </w:tc>
        <w:tc>
          <w:tcPr>
            <w:tcW w:w="709" w:type="pct"/>
            <w:vMerge w:val="restart"/>
            <w:shd w:val="clear" w:color="auto" w:fill="F2F2F2"/>
            <w:vAlign w:val="center"/>
          </w:tcPr>
          <w:p w14:paraId="0773B5E5" w14:textId="77777777" w:rsidR="007D3758" w:rsidRPr="0058349C" w:rsidRDefault="007D3758"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Treguesi i </w:t>
            </w:r>
            <w:r w:rsidRPr="002858DC">
              <w:rPr>
                <w:rFonts w:ascii="Garamond" w:eastAsia="Arial" w:hAnsi="Garamond"/>
                <w:b/>
                <w:bCs/>
                <w:i/>
                <w:iCs/>
                <w:sz w:val="18"/>
                <w:szCs w:val="18"/>
                <w:lang w:val="sq-AL"/>
              </w:rPr>
              <w:t>output</w:t>
            </w:r>
            <w:r w:rsidRPr="0058349C">
              <w:rPr>
                <w:rFonts w:ascii="Garamond" w:eastAsia="Arial" w:hAnsi="Garamond"/>
                <w:b/>
                <w:bCs/>
                <w:sz w:val="18"/>
                <w:szCs w:val="18"/>
                <w:lang w:val="sq-AL"/>
              </w:rPr>
              <w:t>-it</w:t>
            </w:r>
          </w:p>
        </w:tc>
        <w:tc>
          <w:tcPr>
            <w:tcW w:w="496" w:type="pct"/>
            <w:vMerge w:val="restart"/>
            <w:shd w:val="clear" w:color="auto" w:fill="F2F2F2"/>
            <w:vAlign w:val="center"/>
          </w:tcPr>
          <w:p w14:paraId="0773B5E6" w14:textId="77777777" w:rsidR="007D3758" w:rsidRPr="0058349C" w:rsidRDefault="007D3758"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Buxheti total</w:t>
            </w:r>
          </w:p>
          <w:p w14:paraId="0773B5E7" w14:textId="74EAD5B3" w:rsidR="007D3758" w:rsidRPr="0058349C" w:rsidRDefault="00C525CB" w:rsidP="00CF7694">
            <w:pPr>
              <w:spacing w:after="0" w:line="240" w:lineRule="auto"/>
              <w:jc w:val="center"/>
              <w:rPr>
                <w:rFonts w:ascii="Garamond" w:eastAsia="Arial" w:hAnsi="Garamond"/>
                <w:sz w:val="18"/>
                <w:szCs w:val="18"/>
                <w:lang w:val="sq-AL"/>
              </w:rPr>
            </w:pPr>
            <w:r>
              <w:rPr>
                <w:rFonts w:ascii="Garamond" w:eastAsia="Arial" w:hAnsi="Garamond"/>
                <w:b/>
                <w:bCs/>
                <w:sz w:val="18"/>
                <w:szCs w:val="18"/>
                <w:lang w:val="sq-AL"/>
              </w:rPr>
              <w:t>2022</w:t>
            </w:r>
            <w:r w:rsidR="007D3758" w:rsidRPr="0058349C">
              <w:rPr>
                <w:rFonts w:ascii="Garamond" w:eastAsia="Arial" w:hAnsi="Garamond" w:cs="Arial"/>
                <w:b/>
                <w:bCs/>
                <w:sz w:val="18"/>
                <w:szCs w:val="18"/>
                <w:lang w:val="sq-AL"/>
              </w:rPr>
              <w:t>–</w:t>
            </w:r>
            <w:r w:rsidR="007D3758" w:rsidRPr="0058349C">
              <w:rPr>
                <w:rFonts w:ascii="Garamond" w:eastAsia="Arial" w:hAnsi="Garamond"/>
                <w:b/>
                <w:bCs/>
                <w:sz w:val="18"/>
                <w:szCs w:val="18"/>
                <w:lang w:val="sq-AL"/>
              </w:rPr>
              <w:t>2024 (EUR)</w:t>
            </w:r>
          </w:p>
        </w:tc>
        <w:tc>
          <w:tcPr>
            <w:tcW w:w="1266" w:type="pct"/>
            <w:gridSpan w:val="3"/>
            <w:shd w:val="clear" w:color="auto" w:fill="F2F2F2"/>
            <w:vAlign w:val="center"/>
          </w:tcPr>
          <w:p w14:paraId="0773B5E8" w14:textId="486A6F79" w:rsidR="007D3758" w:rsidRPr="0058349C" w:rsidRDefault="007D3758"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Buxheti i alokuar</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(EUR)</w:t>
            </w:r>
          </w:p>
          <w:p w14:paraId="0773B5E9" w14:textId="386D25AE" w:rsidR="007D3758" w:rsidRPr="0058349C" w:rsidRDefault="00C525CB" w:rsidP="00CF7694">
            <w:pPr>
              <w:spacing w:after="0" w:line="240" w:lineRule="auto"/>
              <w:jc w:val="center"/>
              <w:rPr>
                <w:rFonts w:ascii="Garamond" w:eastAsia="Arial" w:hAnsi="Garamond"/>
                <w:b/>
                <w:bCs/>
                <w:sz w:val="18"/>
                <w:szCs w:val="18"/>
                <w:lang w:val="sq-AL"/>
              </w:rPr>
            </w:pPr>
            <w:r>
              <w:rPr>
                <w:rFonts w:ascii="Garamond" w:eastAsia="Arial" w:hAnsi="Garamond"/>
                <w:b/>
                <w:bCs/>
                <w:sz w:val="18"/>
                <w:szCs w:val="18"/>
                <w:lang w:val="sq-AL"/>
              </w:rPr>
              <w:t>2022</w:t>
            </w:r>
            <w:r w:rsidR="007D3758" w:rsidRPr="0058349C">
              <w:rPr>
                <w:rFonts w:ascii="Garamond" w:eastAsia="Arial" w:hAnsi="Garamond" w:cs="Arial"/>
                <w:b/>
                <w:bCs/>
                <w:sz w:val="18"/>
                <w:szCs w:val="18"/>
                <w:lang w:val="sq-AL"/>
              </w:rPr>
              <w:t>–</w:t>
            </w:r>
            <w:r w:rsidR="007D3758" w:rsidRPr="0058349C">
              <w:rPr>
                <w:rFonts w:ascii="Garamond" w:eastAsia="Arial" w:hAnsi="Garamond"/>
                <w:b/>
                <w:bCs/>
                <w:sz w:val="18"/>
                <w:szCs w:val="18"/>
                <w:lang w:val="sq-AL"/>
              </w:rPr>
              <w:t>2024</w:t>
            </w:r>
          </w:p>
          <w:p w14:paraId="0773B5EA" w14:textId="1631C07D"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(N = nevojitet,</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nuk mbulohet nga buxheti kombëtar/buxheti IPA III</w:t>
            </w:r>
            <w:r w:rsidR="00C259A4">
              <w:rPr>
                <w:rFonts w:ascii="Garamond" w:eastAsia="Arial" w:hAnsi="Garamond"/>
                <w:b/>
                <w:bCs/>
                <w:sz w:val="18"/>
                <w:szCs w:val="18"/>
                <w:lang w:val="sq-AL"/>
              </w:rPr>
              <w:t>)</w:t>
            </w:r>
          </w:p>
        </w:tc>
        <w:tc>
          <w:tcPr>
            <w:tcW w:w="407" w:type="pct"/>
            <w:vMerge w:val="restart"/>
            <w:shd w:val="clear" w:color="auto" w:fill="E5F7CA"/>
            <w:vAlign w:val="center"/>
          </w:tcPr>
          <w:p w14:paraId="0773B5EB" w14:textId="4E35C529"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Objektivi për vitin</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2024</w:t>
            </w:r>
          </w:p>
        </w:tc>
        <w:tc>
          <w:tcPr>
            <w:tcW w:w="380" w:type="pct"/>
            <w:vMerge w:val="restart"/>
            <w:shd w:val="clear" w:color="auto" w:fill="E5F7CA"/>
            <w:vAlign w:val="center"/>
          </w:tcPr>
          <w:p w14:paraId="0773B5EC" w14:textId="77777777" w:rsidR="007D3758" w:rsidRPr="0058349C" w:rsidRDefault="007D3758"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Objektivi për vitin</w:t>
            </w:r>
          </w:p>
          <w:p w14:paraId="0773B5ED" w14:textId="77777777" w:rsidR="007D3758" w:rsidRPr="0058349C" w:rsidRDefault="007D3758"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 2027</w:t>
            </w:r>
          </w:p>
        </w:tc>
      </w:tr>
      <w:tr w:rsidR="007D3758" w:rsidRPr="0058349C" w14:paraId="0773B5F8" w14:textId="77777777" w:rsidTr="00C525CB">
        <w:trPr>
          <w:trHeight w:val="20"/>
        </w:trPr>
        <w:tc>
          <w:tcPr>
            <w:tcW w:w="880" w:type="pct"/>
            <w:vMerge/>
            <w:shd w:val="clear" w:color="auto" w:fill="F2F2F2"/>
            <w:vAlign w:val="center"/>
          </w:tcPr>
          <w:p w14:paraId="0773B5EF" w14:textId="77777777" w:rsidR="007D3758" w:rsidRPr="0058349C" w:rsidRDefault="007D3758" w:rsidP="00CF7694">
            <w:pPr>
              <w:spacing w:after="0" w:line="240" w:lineRule="auto"/>
              <w:jc w:val="center"/>
              <w:rPr>
                <w:rFonts w:ascii="Garamond" w:eastAsia="Arial" w:hAnsi="Garamond"/>
                <w:b/>
                <w:sz w:val="18"/>
                <w:szCs w:val="18"/>
                <w:lang w:val="sq-AL"/>
              </w:rPr>
            </w:pPr>
          </w:p>
        </w:tc>
        <w:tc>
          <w:tcPr>
            <w:tcW w:w="862" w:type="pct"/>
            <w:vMerge/>
            <w:shd w:val="clear" w:color="auto" w:fill="F2F2F2"/>
            <w:vAlign w:val="center"/>
          </w:tcPr>
          <w:p w14:paraId="0773B5F0" w14:textId="77777777" w:rsidR="007D3758" w:rsidRPr="0058349C" w:rsidRDefault="007D3758" w:rsidP="00CF7694">
            <w:pPr>
              <w:spacing w:after="0" w:line="240" w:lineRule="auto"/>
              <w:jc w:val="center"/>
              <w:rPr>
                <w:rFonts w:ascii="Garamond" w:eastAsia="Arial" w:hAnsi="Garamond"/>
                <w:b/>
                <w:bCs/>
                <w:sz w:val="18"/>
                <w:szCs w:val="18"/>
                <w:lang w:val="sq-AL"/>
              </w:rPr>
            </w:pPr>
          </w:p>
        </w:tc>
        <w:tc>
          <w:tcPr>
            <w:tcW w:w="709" w:type="pct"/>
            <w:vMerge/>
            <w:shd w:val="clear" w:color="auto" w:fill="F2F2F2"/>
            <w:vAlign w:val="center"/>
          </w:tcPr>
          <w:p w14:paraId="0773B5F1" w14:textId="77777777" w:rsidR="007D3758" w:rsidRPr="0058349C" w:rsidRDefault="007D3758" w:rsidP="00CF7694">
            <w:pPr>
              <w:spacing w:after="0" w:line="240" w:lineRule="auto"/>
              <w:jc w:val="center"/>
              <w:rPr>
                <w:rFonts w:ascii="Garamond" w:eastAsia="Arial" w:hAnsi="Garamond"/>
                <w:b/>
                <w:bCs/>
                <w:sz w:val="18"/>
                <w:szCs w:val="18"/>
                <w:lang w:val="sq-AL"/>
              </w:rPr>
            </w:pPr>
          </w:p>
        </w:tc>
        <w:tc>
          <w:tcPr>
            <w:tcW w:w="496" w:type="pct"/>
            <w:vMerge/>
            <w:shd w:val="clear" w:color="auto" w:fill="F2F2F2"/>
            <w:vAlign w:val="center"/>
          </w:tcPr>
          <w:p w14:paraId="0773B5F2" w14:textId="77777777" w:rsidR="007D3758" w:rsidRPr="0058349C" w:rsidRDefault="007D3758" w:rsidP="00CF7694">
            <w:pPr>
              <w:spacing w:after="0" w:line="240" w:lineRule="auto"/>
              <w:jc w:val="center"/>
              <w:rPr>
                <w:rFonts w:ascii="Garamond" w:eastAsia="Arial" w:hAnsi="Garamond"/>
                <w:sz w:val="18"/>
                <w:szCs w:val="18"/>
                <w:lang w:val="sq-AL"/>
              </w:rPr>
            </w:pPr>
          </w:p>
        </w:tc>
        <w:tc>
          <w:tcPr>
            <w:tcW w:w="425" w:type="pct"/>
            <w:shd w:val="clear" w:color="auto" w:fill="F2F2F2"/>
            <w:vAlign w:val="center"/>
          </w:tcPr>
          <w:p w14:paraId="0773B5F3"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2022</w:t>
            </w:r>
          </w:p>
        </w:tc>
        <w:tc>
          <w:tcPr>
            <w:tcW w:w="425" w:type="pct"/>
            <w:shd w:val="clear" w:color="auto" w:fill="F2F2F2"/>
            <w:vAlign w:val="center"/>
          </w:tcPr>
          <w:p w14:paraId="0773B5F4"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2023</w:t>
            </w:r>
          </w:p>
        </w:tc>
        <w:tc>
          <w:tcPr>
            <w:tcW w:w="416" w:type="pct"/>
            <w:shd w:val="clear" w:color="auto" w:fill="F2F2F2"/>
            <w:vAlign w:val="center"/>
          </w:tcPr>
          <w:p w14:paraId="0773B5F5"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2024</w:t>
            </w:r>
          </w:p>
        </w:tc>
        <w:tc>
          <w:tcPr>
            <w:tcW w:w="407" w:type="pct"/>
            <w:vMerge/>
            <w:shd w:val="clear" w:color="auto" w:fill="E5F7CA"/>
            <w:vAlign w:val="center"/>
          </w:tcPr>
          <w:p w14:paraId="0773B5F6" w14:textId="77777777" w:rsidR="007D3758" w:rsidRPr="0058349C" w:rsidRDefault="007D3758" w:rsidP="00CF7694">
            <w:pPr>
              <w:spacing w:after="0" w:line="240" w:lineRule="auto"/>
              <w:jc w:val="center"/>
              <w:rPr>
                <w:rFonts w:ascii="Garamond" w:eastAsia="Arial" w:hAnsi="Garamond"/>
                <w:sz w:val="18"/>
                <w:szCs w:val="18"/>
                <w:lang w:val="sq-AL"/>
              </w:rPr>
            </w:pPr>
          </w:p>
        </w:tc>
        <w:tc>
          <w:tcPr>
            <w:tcW w:w="380" w:type="pct"/>
            <w:vMerge/>
            <w:shd w:val="clear" w:color="auto" w:fill="E5F7CA"/>
            <w:vAlign w:val="center"/>
          </w:tcPr>
          <w:p w14:paraId="0773B5F7" w14:textId="77777777" w:rsidR="007D3758" w:rsidRPr="0058349C" w:rsidRDefault="007D3758" w:rsidP="00CF7694">
            <w:pPr>
              <w:spacing w:after="0" w:line="240" w:lineRule="auto"/>
              <w:jc w:val="center"/>
              <w:rPr>
                <w:rFonts w:ascii="Garamond" w:eastAsia="Arial" w:hAnsi="Garamond"/>
                <w:sz w:val="18"/>
                <w:szCs w:val="18"/>
                <w:lang w:val="sq-AL"/>
              </w:rPr>
            </w:pPr>
          </w:p>
        </w:tc>
      </w:tr>
      <w:tr w:rsidR="007D3758" w:rsidRPr="0058349C" w14:paraId="0773B602" w14:textId="77777777" w:rsidTr="00C525CB">
        <w:trPr>
          <w:trHeight w:val="20"/>
        </w:trPr>
        <w:tc>
          <w:tcPr>
            <w:tcW w:w="880" w:type="pct"/>
            <w:shd w:val="clear" w:color="auto" w:fill="F2F2F2"/>
          </w:tcPr>
          <w:p w14:paraId="0773B5F9" w14:textId="77777777" w:rsidR="007D3758" w:rsidRPr="0058349C" w:rsidRDefault="007D3758" w:rsidP="00CF7694">
            <w:pPr>
              <w:spacing w:after="0" w:line="240" w:lineRule="auto"/>
              <w:rPr>
                <w:rFonts w:ascii="Garamond" w:eastAsia="Arial" w:hAnsi="Garamond"/>
                <w:b/>
                <w:sz w:val="18"/>
                <w:szCs w:val="18"/>
                <w:lang w:val="sq-AL"/>
              </w:rPr>
            </w:pPr>
          </w:p>
        </w:tc>
        <w:tc>
          <w:tcPr>
            <w:tcW w:w="862" w:type="pct"/>
            <w:shd w:val="clear" w:color="auto" w:fill="F2F2F2"/>
          </w:tcPr>
          <w:p w14:paraId="0773B5FA" w14:textId="77777777" w:rsidR="007D3758" w:rsidRPr="0058349C" w:rsidRDefault="007D3758" w:rsidP="00CF7694">
            <w:pPr>
              <w:spacing w:after="0" w:line="240" w:lineRule="auto"/>
              <w:rPr>
                <w:rFonts w:ascii="Garamond" w:eastAsia="Arial" w:hAnsi="Garamond" w:cs="Segoe UI"/>
                <w:b/>
                <w:bCs/>
                <w:sz w:val="18"/>
                <w:szCs w:val="18"/>
                <w:lang w:val="sq-AL"/>
              </w:rPr>
            </w:pPr>
            <w:r w:rsidRPr="0058349C">
              <w:rPr>
                <w:rFonts w:ascii="Garamond" w:hAnsi="Garamond"/>
                <w:b/>
                <w:bCs/>
                <w:sz w:val="18"/>
                <w:szCs w:val="18"/>
                <w:lang w:val="sq-AL"/>
              </w:rPr>
              <w:t>Ngritja e Rrjetit Kombëtar Rural</w:t>
            </w:r>
          </w:p>
        </w:tc>
        <w:tc>
          <w:tcPr>
            <w:tcW w:w="709" w:type="pct"/>
            <w:shd w:val="clear" w:color="auto" w:fill="F2F2F2"/>
          </w:tcPr>
          <w:p w14:paraId="0773B5FB" w14:textId="04DE6A78" w:rsidR="007D3758" w:rsidRPr="0058349C" w:rsidRDefault="007D3758" w:rsidP="00C525CB">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 xml:space="preserve">Rrjeti Kombëtar Rural (IPARD III </w:t>
            </w:r>
            <w:r w:rsidR="00C525CB">
              <w:rPr>
                <w:rFonts w:ascii="Garamond" w:eastAsia="Arial" w:hAnsi="Garamond" w:cs="Segoe UI"/>
                <w:sz w:val="18"/>
                <w:szCs w:val="18"/>
                <w:lang w:val="sq-AL"/>
              </w:rPr>
              <w:t>–</w:t>
            </w:r>
            <w:r w:rsidR="00CF7694" w:rsidRPr="0058349C">
              <w:rPr>
                <w:rFonts w:ascii="Garamond" w:eastAsia="Arial" w:hAnsi="Garamond" w:cs="Segoe UI"/>
                <w:sz w:val="18"/>
                <w:szCs w:val="18"/>
                <w:lang w:val="sq-AL"/>
              </w:rPr>
              <w:t xml:space="preserve"> </w:t>
            </w:r>
            <w:r w:rsidRPr="0058349C">
              <w:rPr>
                <w:rFonts w:ascii="Garamond" w:eastAsia="Arial" w:hAnsi="Garamond" w:cs="Segoe UI"/>
                <w:sz w:val="18"/>
                <w:szCs w:val="18"/>
                <w:lang w:val="sq-AL"/>
              </w:rPr>
              <w:t>masa 9 - TA)</w:t>
            </w:r>
            <w:r w:rsidR="00C525CB">
              <w:rPr>
                <w:rFonts w:ascii="Garamond" w:eastAsia="Arial" w:hAnsi="Garamond" w:cs="Segoe UI"/>
                <w:sz w:val="18"/>
                <w:szCs w:val="18"/>
                <w:lang w:val="sq-AL"/>
              </w:rPr>
              <w:t>,</w:t>
            </w:r>
            <w:r w:rsidRPr="0058349C">
              <w:rPr>
                <w:rFonts w:ascii="Garamond" w:eastAsia="Arial" w:hAnsi="Garamond" w:cs="Segoe UI"/>
                <w:sz w:val="18"/>
                <w:szCs w:val="18"/>
                <w:lang w:val="sq-AL"/>
              </w:rPr>
              <w:t xml:space="preserve"> do t</w:t>
            </w:r>
            <w:r w:rsidRPr="0058349C">
              <w:rPr>
                <w:rFonts w:ascii="Garamond" w:eastAsia="Arial" w:hAnsi="Garamond"/>
                <w:bCs/>
                <w:sz w:val="18"/>
                <w:szCs w:val="18"/>
                <w:lang w:val="sq-AL"/>
              </w:rPr>
              <w:t>ë jetë i krijuar</w:t>
            </w:r>
            <w:r w:rsidR="00CF7694" w:rsidRPr="0058349C">
              <w:rPr>
                <w:rFonts w:ascii="Garamond" w:eastAsia="Arial" w:hAnsi="Garamond"/>
                <w:bCs/>
                <w:sz w:val="18"/>
                <w:szCs w:val="18"/>
                <w:lang w:val="sq-AL"/>
              </w:rPr>
              <w:t xml:space="preserve"> </w:t>
            </w:r>
            <w:r w:rsidRPr="0058349C">
              <w:rPr>
                <w:rFonts w:ascii="Garamond" w:eastAsia="Arial" w:hAnsi="Garamond"/>
                <w:bCs/>
                <w:sz w:val="18"/>
                <w:szCs w:val="18"/>
                <w:lang w:val="sq-AL"/>
              </w:rPr>
              <w:t xml:space="preserve">dhe funksional </w:t>
            </w:r>
          </w:p>
        </w:tc>
        <w:tc>
          <w:tcPr>
            <w:tcW w:w="496" w:type="pct"/>
            <w:shd w:val="clear" w:color="auto" w:fill="F2F2F2"/>
            <w:vAlign w:val="center"/>
          </w:tcPr>
          <w:p w14:paraId="0773B5FC"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1,000,000</w:t>
            </w:r>
          </w:p>
        </w:tc>
        <w:tc>
          <w:tcPr>
            <w:tcW w:w="425" w:type="pct"/>
            <w:shd w:val="clear" w:color="auto" w:fill="F2F2F2"/>
            <w:vAlign w:val="center"/>
          </w:tcPr>
          <w:p w14:paraId="0773B5FD"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250,000</w:t>
            </w:r>
          </w:p>
        </w:tc>
        <w:tc>
          <w:tcPr>
            <w:tcW w:w="425" w:type="pct"/>
            <w:shd w:val="clear" w:color="auto" w:fill="F2F2F2"/>
            <w:vAlign w:val="center"/>
          </w:tcPr>
          <w:p w14:paraId="0773B5FE"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250,000</w:t>
            </w:r>
          </w:p>
        </w:tc>
        <w:tc>
          <w:tcPr>
            <w:tcW w:w="416" w:type="pct"/>
            <w:shd w:val="clear" w:color="auto" w:fill="F2F2F2"/>
            <w:vAlign w:val="center"/>
          </w:tcPr>
          <w:p w14:paraId="0773B5FF"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500,000</w:t>
            </w:r>
          </w:p>
        </w:tc>
        <w:tc>
          <w:tcPr>
            <w:tcW w:w="407" w:type="pct"/>
            <w:shd w:val="clear" w:color="auto" w:fill="E5F7CA"/>
            <w:vAlign w:val="center"/>
          </w:tcPr>
          <w:p w14:paraId="0773B600"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w:t>
            </w:r>
          </w:p>
        </w:tc>
        <w:tc>
          <w:tcPr>
            <w:tcW w:w="380" w:type="pct"/>
            <w:shd w:val="clear" w:color="auto" w:fill="E5F7CA"/>
            <w:vAlign w:val="center"/>
          </w:tcPr>
          <w:p w14:paraId="0773B601"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w:t>
            </w:r>
          </w:p>
        </w:tc>
      </w:tr>
      <w:tr w:rsidR="007D3758" w:rsidRPr="0058349C" w14:paraId="0773B60C" w14:textId="77777777" w:rsidTr="00C525CB">
        <w:trPr>
          <w:trHeight w:val="20"/>
        </w:trPr>
        <w:tc>
          <w:tcPr>
            <w:tcW w:w="880" w:type="pct"/>
            <w:shd w:val="clear" w:color="auto" w:fill="F2F2F2"/>
          </w:tcPr>
          <w:p w14:paraId="0773B603" w14:textId="77777777" w:rsidR="007D3758" w:rsidRPr="0058349C" w:rsidRDefault="007D3758" w:rsidP="00CF7694">
            <w:pPr>
              <w:spacing w:after="0" w:line="240" w:lineRule="auto"/>
              <w:rPr>
                <w:rFonts w:ascii="Garamond" w:eastAsia="Arial" w:hAnsi="Garamond"/>
                <w:b/>
                <w:sz w:val="18"/>
                <w:szCs w:val="18"/>
                <w:lang w:val="sq-AL"/>
              </w:rPr>
            </w:pPr>
          </w:p>
        </w:tc>
        <w:tc>
          <w:tcPr>
            <w:tcW w:w="862" w:type="pct"/>
            <w:shd w:val="clear" w:color="auto" w:fill="F2F2F2"/>
          </w:tcPr>
          <w:p w14:paraId="0773B604" w14:textId="77777777" w:rsidR="007D3758" w:rsidRPr="0058349C" w:rsidRDefault="007D3758" w:rsidP="00CF7694">
            <w:pPr>
              <w:spacing w:after="0" w:line="240" w:lineRule="auto"/>
              <w:rPr>
                <w:rFonts w:ascii="Garamond" w:eastAsia="Arial" w:hAnsi="Garamond" w:cs="Segoe UI"/>
                <w:b/>
                <w:bCs/>
                <w:sz w:val="18"/>
                <w:szCs w:val="18"/>
                <w:lang w:val="sq-AL"/>
              </w:rPr>
            </w:pPr>
            <w:r w:rsidRPr="0058349C">
              <w:rPr>
                <w:rFonts w:ascii="Garamond" w:eastAsia="Arial" w:hAnsi="Garamond" w:cs="Segoe UI"/>
                <w:b/>
                <w:bCs/>
                <w:sz w:val="18"/>
                <w:szCs w:val="18"/>
                <w:lang w:val="sq-AL"/>
              </w:rPr>
              <w:t>Konsolidimi i rrjetit kom</w:t>
            </w:r>
            <w:r w:rsidRPr="0058349C">
              <w:rPr>
                <w:rFonts w:ascii="Garamond" w:eastAsia="Arial" w:hAnsi="Garamond" w:cs="Segoe UI"/>
                <w:bCs/>
                <w:sz w:val="18"/>
                <w:szCs w:val="18"/>
                <w:lang w:val="sq-AL"/>
              </w:rPr>
              <w:t>b</w:t>
            </w:r>
            <w:r w:rsidRPr="0058349C">
              <w:rPr>
                <w:rFonts w:ascii="Garamond" w:eastAsia="Arial" w:hAnsi="Garamond" w:cs="Segoe UI"/>
                <w:b/>
                <w:bCs/>
                <w:sz w:val="18"/>
                <w:szCs w:val="18"/>
                <w:lang w:val="sq-AL"/>
              </w:rPr>
              <w:t>ëtar rural</w:t>
            </w:r>
          </w:p>
        </w:tc>
        <w:tc>
          <w:tcPr>
            <w:tcW w:w="709" w:type="pct"/>
            <w:shd w:val="clear" w:color="auto" w:fill="F2F2F2"/>
          </w:tcPr>
          <w:p w14:paraId="0773B605" w14:textId="0245A574" w:rsidR="007D3758" w:rsidRPr="0058349C" w:rsidRDefault="007D3758"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Numri i aktiviteteve të rrjetit rural komb</w:t>
            </w:r>
            <w:r w:rsidRPr="0058349C">
              <w:rPr>
                <w:rFonts w:ascii="Garamond" w:eastAsia="Arial" w:hAnsi="Garamond"/>
                <w:bCs/>
                <w:sz w:val="18"/>
                <w:szCs w:val="18"/>
                <w:lang w:val="sq-AL"/>
              </w:rPr>
              <w:t>ëtar</w:t>
            </w:r>
            <w:r w:rsidRPr="0058349C">
              <w:rPr>
                <w:rFonts w:ascii="Garamond" w:eastAsia="Arial" w:hAnsi="Garamond" w:cs="Segoe UI"/>
                <w:sz w:val="18"/>
                <w:szCs w:val="18"/>
                <w:lang w:val="sq-AL"/>
              </w:rPr>
              <w:t xml:space="preserve"> të mbështetur</w:t>
            </w:r>
            <w:r w:rsidRPr="0058349C">
              <w:rPr>
                <w:rFonts w:ascii="Garamond" w:eastAsia="Arial" w:hAnsi="Garamond"/>
                <w:bCs/>
                <w:sz w:val="18"/>
                <w:szCs w:val="18"/>
                <w:lang w:val="sq-AL"/>
              </w:rPr>
              <w:t>a nga</w:t>
            </w:r>
            <w:r w:rsidRPr="0058349C">
              <w:rPr>
                <w:rFonts w:ascii="Garamond" w:eastAsia="Arial" w:hAnsi="Garamond" w:cs="Segoe UI"/>
                <w:sz w:val="18"/>
                <w:szCs w:val="18"/>
                <w:lang w:val="sq-AL"/>
              </w:rPr>
              <w:t xml:space="preserve"> (IPARD III – masa 9 e AT) do t</w:t>
            </w:r>
            <w:r w:rsidRPr="0058349C">
              <w:rPr>
                <w:rFonts w:ascii="Garamond" w:eastAsia="Arial" w:hAnsi="Garamond"/>
                <w:bCs/>
                <w:sz w:val="18"/>
                <w:szCs w:val="18"/>
                <w:lang w:val="sq-AL"/>
              </w:rPr>
              <w:t xml:space="preserve">ë arrijë në 10 në vitin 2024 dhe në 20 </w:t>
            </w:r>
            <w:r w:rsidR="00C525CB" w:rsidRPr="0058349C">
              <w:rPr>
                <w:rFonts w:ascii="Garamond" w:eastAsia="Arial" w:hAnsi="Garamond"/>
                <w:bCs/>
                <w:sz w:val="18"/>
                <w:szCs w:val="18"/>
                <w:lang w:val="sq-AL"/>
              </w:rPr>
              <w:t xml:space="preserve">në </w:t>
            </w:r>
            <w:r w:rsidRPr="0058349C">
              <w:rPr>
                <w:rFonts w:ascii="Garamond" w:eastAsia="Arial" w:hAnsi="Garamond"/>
                <w:bCs/>
                <w:sz w:val="18"/>
                <w:szCs w:val="18"/>
                <w:lang w:val="sq-AL"/>
              </w:rPr>
              <w:t>vitin 2027.</w:t>
            </w:r>
          </w:p>
        </w:tc>
        <w:tc>
          <w:tcPr>
            <w:tcW w:w="496" w:type="pct"/>
            <w:shd w:val="clear" w:color="auto" w:fill="F2F2F2"/>
            <w:vAlign w:val="center"/>
          </w:tcPr>
          <w:p w14:paraId="0773B606"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210,000</w:t>
            </w:r>
          </w:p>
        </w:tc>
        <w:tc>
          <w:tcPr>
            <w:tcW w:w="425" w:type="pct"/>
            <w:shd w:val="clear" w:color="auto" w:fill="F2F2F2"/>
            <w:vAlign w:val="center"/>
          </w:tcPr>
          <w:p w14:paraId="0773B607"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70,000</w:t>
            </w:r>
          </w:p>
        </w:tc>
        <w:tc>
          <w:tcPr>
            <w:tcW w:w="425" w:type="pct"/>
            <w:shd w:val="clear" w:color="auto" w:fill="F2F2F2"/>
            <w:vAlign w:val="center"/>
          </w:tcPr>
          <w:p w14:paraId="0773B608"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70,000</w:t>
            </w:r>
          </w:p>
        </w:tc>
        <w:tc>
          <w:tcPr>
            <w:tcW w:w="416" w:type="pct"/>
            <w:shd w:val="clear" w:color="auto" w:fill="F2F2F2"/>
            <w:vAlign w:val="center"/>
          </w:tcPr>
          <w:p w14:paraId="0773B609"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70,000</w:t>
            </w:r>
          </w:p>
        </w:tc>
        <w:tc>
          <w:tcPr>
            <w:tcW w:w="407" w:type="pct"/>
            <w:shd w:val="clear" w:color="auto" w:fill="E5F7CA"/>
            <w:vAlign w:val="center"/>
          </w:tcPr>
          <w:p w14:paraId="0773B60A"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w:t>
            </w:r>
          </w:p>
        </w:tc>
        <w:tc>
          <w:tcPr>
            <w:tcW w:w="380" w:type="pct"/>
            <w:shd w:val="clear" w:color="auto" w:fill="E5F7CA"/>
            <w:vAlign w:val="center"/>
          </w:tcPr>
          <w:p w14:paraId="0773B60B"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20</w:t>
            </w:r>
          </w:p>
        </w:tc>
      </w:tr>
      <w:tr w:rsidR="007D3758" w:rsidRPr="0058349C" w14:paraId="0773B616" w14:textId="77777777" w:rsidTr="00C525CB">
        <w:trPr>
          <w:trHeight w:val="20"/>
        </w:trPr>
        <w:tc>
          <w:tcPr>
            <w:tcW w:w="880" w:type="pct"/>
            <w:shd w:val="clear" w:color="auto" w:fill="F2F2F2"/>
          </w:tcPr>
          <w:p w14:paraId="0773B60D" w14:textId="77777777" w:rsidR="007D3758" w:rsidRPr="0058349C" w:rsidRDefault="007D3758" w:rsidP="00CF7694">
            <w:pPr>
              <w:spacing w:after="0" w:line="240" w:lineRule="auto"/>
              <w:rPr>
                <w:rFonts w:ascii="Garamond" w:eastAsia="Arial" w:hAnsi="Garamond"/>
                <w:b/>
                <w:sz w:val="18"/>
                <w:szCs w:val="18"/>
                <w:lang w:val="sq-AL"/>
              </w:rPr>
            </w:pPr>
          </w:p>
        </w:tc>
        <w:tc>
          <w:tcPr>
            <w:tcW w:w="862" w:type="pct"/>
            <w:shd w:val="clear" w:color="auto" w:fill="F2F2F2"/>
          </w:tcPr>
          <w:p w14:paraId="0773B60E" w14:textId="1A31AEC7" w:rsidR="007D3758" w:rsidRPr="0058349C" w:rsidRDefault="007D3758" w:rsidP="00CF7694">
            <w:pPr>
              <w:spacing w:after="0" w:line="240" w:lineRule="auto"/>
              <w:rPr>
                <w:rFonts w:ascii="Garamond" w:hAnsi="Garamond"/>
                <w:b/>
                <w:bCs/>
                <w:sz w:val="18"/>
                <w:szCs w:val="18"/>
                <w:lang w:val="sq-AL"/>
              </w:rPr>
            </w:pPr>
            <w:r w:rsidRPr="0058349C">
              <w:rPr>
                <w:rFonts w:ascii="Garamond" w:eastAsia="Arial" w:hAnsi="Garamond" w:cs="Segoe UI"/>
                <w:b/>
                <w:bCs/>
                <w:sz w:val="18"/>
                <w:szCs w:val="18"/>
                <w:lang w:val="sq-AL"/>
              </w:rPr>
              <w:t>Grandet për iniciativat e zhvillimit lokal rural</w:t>
            </w:r>
            <w:r w:rsidR="00CF7694" w:rsidRPr="0058349C">
              <w:rPr>
                <w:rFonts w:ascii="Garamond" w:eastAsia="Arial" w:hAnsi="Garamond" w:cs="Segoe UI"/>
                <w:b/>
                <w:bCs/>
                <w:sz w:val="18"/>
                <w:szCs w:val="18"/>
                <w:lang w:val="sq-AL"/>
              </w:rPr>
              <w:t xml:space="preserve"> </w:t>
            </w:r>
          </w:p>
        </w:tc>
        <w:tc>
          <w:tcPr>
            <w:tcW w:w="709" w:type="pct"/>
            <w:shd w:val="clear" w:color="auto" w:fill="F2F2F2"/>
          </w:tcPr>
          <w:p w14:paraId="0773B60F" w14:textId="7F0AB818" w:rsidR="007D3758" w:rsidRPr="0058349C" w:rsidRDefault="007D3758"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Numri i GVV-ve të mbështetura p</w:t>
            </w:r>
            <w:r w:rsidRPr="0058349C">
              <w:rPr>
                <w:rFonts w:ascii="Garamond" w:eastAsia="Arial" w:hAnsi="Garamond"/>
                <w:bCs/>
                <w:sz w:val="18"/>
                <w:szCs w:val="18"/>
                <w:lang w:val="sq-AL"/>
              </w:rPr>
              <w:t xml:space="preserve">ër t’u </w:t>
            </w:r>
            <w:r w:rsidRPr="0058349C">
              <w:rPr>
                <w:rFonts w:ascii="Garamond" w:eastAsia="Arial" w:hAnsi="Garamond"/>
                <w:bCs/>
                <w:sz w:val="18"/>
                <w:szCs w:val="18"/>
                <w:lang w:val="sq-AL"/>
              </w:rPr>
              <w:lastRenderedPageBreak/>
              <w:t>formuar, konsoliduar dhe të filluar aktivitetin në kuadër të</w:t>
            </w:r>
            <w:r w:rsidR="00CF7694" w:rsidRPr="0058349C">
              <w:rPr>
                <w:rFonts w:ascii="Garamond" w:eastAsia="Arial" w:hAnsi="Garamond"/>
                <w:bCs/>
                <w:sz w:val="18"/>
                <w:szCs w:val="18"/>
                <w:lang w:val="sq-AL"/>
              </w:rPr>
              <w:t xml:space="preserve"> </w:t>
            </w:r>
            <w:r w:rsidRPr="0058349C">
              <w:rPr>
                <w:rFonts w:ascii="Garamond" w:eastAsia="Arial" w:hAnsi="Garamond" w:cs="Segoe UI"/>
                <w:sz w:val="18"/>
                <w:szCs w:val="18"/>
                <w:lang w:val="sq-AL"/>
              </w:rPr>
              <w:t>IPARD III – Masa 5 do t</w:t>
            </w:r>
            <w:r w:rsidRPr="0058349C">
              <w:rPr>
                <w:rFonts w:ascii="Garamond" w:eastAsia="Arial" w:hAnsi="Garamond"/>
                <w:bCs/>
                <w:sz w:val="18"/>
                <w:szCs w:val="18"/>
                <w:lang w:val="sq-AL"/>
              </w:rPr>
              <w:t>ë arrijë në 10 deri në vitin 2024.</w:t>
            </w:r>
            <w:r w:rsidRPr="0058349C">
              <w:rPr>
                <w:rFonts w:ascii="Garamond" w:eastAsia="Arial" w:hAnsi="Garamond" w:cs="Segoe UI"/>
                <w:sz w:val="18"/>
                <w:szCs w:val="18"/>
                <w:lang w:val="sq-AL"/>
              </w:rPr>
              <w:t xml:space="preserve"> </w:t>
            </w:r>
          </w:p>
        </w:tc>
        <w:tc>
          <w:tcPr>
            <w:tcW w:w="496" w:type="pct"/>
            <w:shd w:val="clear" w:color="auto" w:fill="F2F2F2"/>
            <w:vAlign w:val="center"/>
          </w:tcPr>
          <w:p w14:paraId="0773B610"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lastRenderedPageBreak/>
              <w:t>0</w:t>
            </w:r>
          </w:p>
        </w:tc>
        <w:tc>
          <w:tcPr>
            <w:tcW w:w="425" w:type="pct"/>
            <w:shd w:val="clear" w:color="auto" w:fill="F2F2F2"/>
            <w:vAlign w:val="center"/>
          </w:tcPr>
          <w:p w14:paraId="0773B611"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720,000</w:t>
            </w:r>
          </w:p>
        </w:tc>
        <w:tc>
          <w:tcPr>
            <w:tcW w:w="425" w:type="pct"/>
            <w:shd w:val="clear" w:color="auto" w:fill="F2F2F2"/>
            <w:vAlign w:val="center"/>
          </w:tcPr>
          <w:p w14:paraId="0773B612"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720,000</w:t>
            </w:r>
          </w:p>
        </w:tc>
        <w:tc>
          <w:tcPr>
            <w:tcW w:w="416" w:type="pct"/>
            <w:shd w:val="clear" w:color="auto" w:fill="F2F2F2"/>
            <w:vAlign w:val="center"/>
          </w:tcPr>
          <w:p w14:paraId="0773B613"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720,000</w:t>
            </w:r>
          </w:p>
        </w:tc>
        <w:tc>
          <w:tcPr>
            <w:tcW w:w="407" w:type="pct"/>
            <w:shd w:val="clear" w:color="auto" w:fill="E5F7CA"/>
            <w:vAlign w:val="center"/>
          </w:tcPr>
          <w:p w14:paraId="0773B614"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w:t>
            </w:r>
          </w:p>
        </w:tc>
        <w:tc>
          <w:tcPr>
            <w:tcW w:w="380" w:type="pct"/>
            <w:shd w:val="clear" w:color="auto" w:fill="E5F7CA"/>
            <w:vAlign w:val="center"/>
          </w:tcPr>
          <w:p w14:paraId="0773B615" w14:textId="77777777" w:rsidR="007D3758" w:rsidRPr="0058349C" w:rsidRDefault="007D3758"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w:t>
            </w:r>
          </w:p>
        </w:tc>
      </w:tr>
    </w:tbl>
    <w:p w14:paraId="0773B625" w14:textId="77777777" w:rsidR="006011B7" w:rsidRPr="0058349C" w:rsidRDefault="006011B7" w:rsidP="00C54AEA">
      <w:pPr>
        <w:pStyle w:val="TEKSTIIII"/>
        <w:rPr>
          <w:lang w:val="sq-AL"/>
        </w:rPr>
      </w:pPr>
    </w:p>
    <w:tbl>
      <w:tblPr>
        <w:tblpPr w:leftFromText="180" w:rightFromText="180" w:vertAnchor="text" w:tblpXSpec="center" w:tblpY="1"/>
        <w:tblOverlap w:val="neve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
        <w:gridCol w:w="6093"/>
        <w:gridCol w:w="1419"/>
        <w:gridCol w:w="3865"/>
        <w:gridCol w:w="1134"/>
        <w:gridCol w:w="141"/>
        <w:gridCol w:w="1134"/>
      </w:tblGrid>
      <w:tr w:rsidR="006011B7" w:rsidRPr="0058349C" w14:paraId="0773B62C" w14:textId="77777777" w:rsidTr="00C525CB">
        <w:trPr>
          <w:trHeight w:val="20"/>
        </w:trPr>
        <w:tc>
          <w:tcPr>
            <w:tcW w:w="6477" w:type="dxa"/>
            <w:gridSpan w:val="2"/>
            <w:shd w:val="clear" w:color="auto" w:fill="E5F7CA"/>
            <w:vAlign w:val="center"/>
          </w:tcPr>
          <w:p w14:paraId="0773B626" w14:textId="478FA9D2" w:rsidR="006011B7" w:rsidRPr="0058349C" w:rsidRDefault="00C525CB" w:rsidP="00CF7694">
            <w:pPr>
              <w:shd w:val="clear" w:color="auto" w:fill="E5F7CA"/>
              <w:spacing w:after="0" w:line="240" w:lineRule="auto"/>
              <w:jc w:val="center"/>
              <w:rPr>
                <w:rFonts w:ascii="Garamond" w:eastAsia="Arial" w:hAnsi="Garamond"/>
                <w:b/>
                <w:bCs/>
                <w:sz w:val="18"/>
                <w:szCs w:val="18"/>
                <w:lang w:val="sq-AL"/>
              </w:rPr>
            </w:pPr>
            <w:r>
              <w:rPr>
                <w:rFonts w:ascii="Garamond" w:eastAsia="Arial" w:hAnsi="Garamond"/>
                <w:b/>
                <w:bCs/>
                <w:sz w:val="18"/>
                <w:szCs w:val="18"/>
                <w:lang w:val="sq-AL"/>
              </w:rPr>
              <w:t>OBJEKTIVI</w:t>
            </w:r>
            <w:r w:rsidR="00797859">
              <w:rPr>
                <w:rFonts w:ascii="Garamond" w:eastAsia="Arial" w:hAnsi="Garamond"/>
                <w:b/>
                <w:bCs/>
                <w:sz w:val="18"/>
                <w:szCs w:val="18"/>
                <w:lang w:val="sq-AL"/>
              </w:rPr>
              <w:t>/</w:t>
            </w:r>
            <w:r w:rsidR="006011B7" w:rsidRPr="0058349C">
              <w:rPr>
                <w:rFonts w:ascii="Garamond" w:eastAsia="Arial" w:hAnsi="Garamond"/>
                <w:b/>
                <w:bCs/>
                <w:sz w:val="18"/>
                <w:szCs w:val="18"/>
                <w:lang w:val="sq-AL"/>
              </w:rPr>
              <w:t>TREGUESI</w:t>
            </w:r>
          </w:p>
        </w:tc>
        <w:tc>
          <w:tcPr>
            <w:tcW w:w="1419" w:type="dxa"/>
            <w:shd w:val="clear" w:color="auto" w:fill="E5F7CA"/>
            <w:vAlign w:val="center"/>
          </w:tcPr>
          <w:p w14:paraId="0773B627" w14:textId="77777777" w:rsidR="006011B7" w:rsidRPr="0058349C" w:rsidRDefault="006011B7" w:rsidP="00CF7694">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Vlera e treguesit bazë </w:t>
            </w:r>
          </w:p>
          <w:p w14:paraId="0773B628" w14:textId="77777777" w:rsidR="006011B7" w:rsidRPr="0058349C" w:rsidRDefault="006011B7" w:rsidP="00CF7694">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2020 </w:t>
            </w:r>
          </w:p>
        </w:tc>
        <w:tc>
          <w:tcPr>
            <w:tcW w:w="3865" w:type="dxa"/>
            <w:shd w:val="clear" w:color="auto" w:fill="E5F7CA"/>
            <w:vAlign w:val="center"/>
          </w:tcPr>
          <w:p w14:paraId="0773B629" w14:textId="77777777" w:rsidR="006011B7" w:rsidRPr="0058349C" w:rsidRDefault="006011B7" w:rsidP="00CF7694">
            <w:pPr>
              <w:shd w:val="clear" w:color="auto" w:fill="E5F7CA"/>
              <w:spacing w:after="0" w:line="240" w:lineRule="auto"/>
              <w:jc w:val="center"/>
              <w:rPr>
                <w:rFonts w:ascii="Garamond" w:eastAsia="Arial" w:hAnsi="Garamond"/>
                <w:b/>
                <w:bCs/>
                <w:sz w:val="18"/>
                <w:szCs w:val="18"/>
                <w:lang w:val="sq-AL"/>
              </w:rPr>
            </w:pPr>
          </w:p>
        </w:tc>
        <w:tc>
          <w:tcPr>
            <w:tcW w:w="1275" w:type="dxa"/>
            <w:gridSpan w:val="2"/>
            <w:shd w:val="clear" w:color="auto" w:fill="E5F7CA"/>
            <w:vAlign w:val="center"/>
          </w:tcPr>
          <w:p w14:paraId="0773B62A" w14:textId="77777777" w:rsidR="006011B7" w:rsidRPr="0058349C" w:rsidRDefault="006011B7" w:rsidP="00CF7694">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Objektivi për vitin 2024</w:t>
            </w:r>
          </w:p>
        </w:tc>
        <w:tc>
          <w:tcPr>
            <w:tcW w:w="1134" w:type="dxa"/>
            <w:shd w:val="clear" w:color="auto" w:fill="E5F7CA"/>
            <w:vAlign w:val="center"/>
          </w:tcPr>
          <w:p w14:paraId="0773B62B" w14:textId="77777777" w:rsidR="006011B7" w:rsidRPr="0058349C" w:rsidRDefault="006011B7" w:rsidP="00CF7694">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Objektivi për vitin 2027</w:t>
            </w:r>
          </w:p>
        </w:tc>
      </w:tr>
      <w:tr w:rsidR="006011B7" w:rsidRPr="0058349C" w14:paraId="0773B631" w14:textId="77777777" w:rsidTr="00C525CB">
        <w:trPr>
          <w:trHeight w:val="20"/>
        </w:trPr>
        <w:tc>
          <w:tcPr>
            <w:tcW w:w="384" w:type="dxa"/>
            <w:shd w:val="clear" w:color="auto" w:fill="E5F7CA"/>
          </w:tcPr>
          <w:p w14:paraId="0773B62D" w14:textId="77777777" w:rsidR="006011B7" w:rsidRPr="0058349C" w:rsidRDefault="006011B7" w:rsidP="00CF7694">
            <w:pPr>
              <w:spacing w:after="0" w:line="240" w:lineRule="auto"/>
              <w:rPr>
                <w:rStyle w:val="normaltextrun"/>
                <w:rFonts w:ascii="Garamond" w:eastAsia="Arial" w:hAnsi="Garamond"/>
                <w:b/>
                <w:bCs/>
                <w:sz w:val="18"/>
                <w:szCs w:val="18"/>
                <w:lang w:val="sq-AL"/>
              </w:rPr>
            </w:pPr>
          </w:p>
        </w:tc>
        <w:tc>
          <w:tcPr>
            <w:tcW w:w="13786" w:type="dxa"/>
            <w:gridSpan w:val="6"/>
            <w:shd w:val="clear" w:color="auto" w:fill="E5F7CA"/>
          </w:tcPr>
          <w:p w14:paraId="0773B630" w14:textId="6D72C60A" w:rsidR="006011B7" w:rsidRPr="0058349C" w:rsidRDefault="006011B7" w:rsidP="00C525CB">
            <w:pPr>
              <w:spacing w:after="0" w:line="240" w:lineRule="auto"/>
              <w:rPr>
                <w:rStyle w:val="normaltextrun"/>
                <w:rFonts w:ascii="Garamond" w:eastAsia="Arial" w:hAnsi="Garamond"/>
                <w:b/>
                <w:bCs/>
                <w:sz w:val="18"/>
                <w:szCs w:val="18"/>
                <w:lang w:val="sq-AL"/>
              </w:rPr>
            </w:pPr>
            <w:r w:rsidRPr="0058349C">
              <w:rPr>
                <w:rStyle w:val="normaltextrun"/>
                <w:rFonts w:ascii="Garamond" w:eastAsia="Arial" w:hAnsi="Garamond"/>
                <w:b/>
                <w:bCs/>
                <w:sz w:val="18"/>
                <w:szCs w:val="18"/>
                <w:lang w:val="sq-AL"/>
              </w:rPr>
              <w:t>Objektivi i përgjithshëm 4: Nxitja e zhvillimit të qëndrueshëm detar dhe të ujërave të brendshme</w:t>
            </w:r>
          </w:p>
        </w:tc>
      </w:tr>
      <w:tr w:rsidR="006011B7" w:rsidRPr="0058349C" w14:paraId="0773B638" w14:textId="77777777" w:rsidTr="00C525CB">
        <w:trPr>
          <w:trHeight w:val="20"/>
        </w:trPr>
        <w:tc>
          <w:tcPr>
            <w:tcW w:w="384" w:type="dxa"/>
            <w:shd w:val="clear" w:color="auto" w:fill="E5F7CA"/>
          </w:tcPr>
          <w:p w14:paraId="0773B632" w14:textId="77777777" w:rsidR="006011B7" w:rsidRPr="0058349C" w:rsidRDefault="006011B7" w:rsidP="00CF7694">
            <w:pPr>
              <w:spacing w:after="0" w:line="240" w:lineRule="auto"/>
              <w:rPr>
                <w:rFonts w:ascii="Garamond" w:eastAsia="Arial" w:hAnsi="Garamond"/>
                <w:b/>
                <w:sz w:val="18"/>
                <w:szCs w:val="18"/>
                <w:lang w:val="sq-AL"/>
              </w:rPr>
            </w:pPr>
          </w:p>
        </w:tc>
        <w:tc>
          <w:tcPr>
            <w:tcW w:w="6093" w:type="dxa"/>
            <w:shd w:val="clear" w:color="auto" w:fill="E5F7CA"/>
          </w:tcPr>
          <w:p w14:paraId="0773B633" w14:textId="59456C93" w:rsidR="006011B7" w:rsidRPr="0058349C" w:rsidRDefault="006011B7" w:rsidP="00CF7694">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 xml:space="preserve">Treguesi i ndikimit 4.1: </w:t>
            </w:r>
            <w:r w:rsidRPr="0058349C">
              <w:rPr>
                <w:rFonts w:ascii="Garamond" w:eastAsia="Arial" w:hAnsi="Garamond"/>
                <w:bCs/>
                <w:sz w:val="18"/>
                <w:szCs w:val="18"/>
                <w:lang w:val="sq-AL"/>
              </w:rPr>
              <w:t>Rritja e eksportit të produkteve të</w:t>
            </w:r>
            <w:r w:rsidR="00CF7694" w:rsidRPr="0058349C">
              <w:rPr>
                <w:rFonts w:ascii="Garamond" w:eastAsia="Arial" w:hAnsi="Garamond"/>
                <w:bCs/>
                <w:sz w:val="18"/>
                <w:szCs w:val="18"/>
                <w:lang w:val="sq-AL"/>
              </w:rPr>
              <w:t xml:space="preserve"> </w:t>
            </w:r>
            <w:r w:rsidRPr="0058349C">
              <w:rPr>
                <w:rFonts w:ascii="Garamond" w:eastAsia="Arial" w:hAnsi="Garamond"/>
                <w:bCs/>
                <w:sz w:val="18"/>
                <w:szCs w:val="18"/>
                <w:lang w:val="sq-AL"/>
              </w:rPr>
              <w:t>përpunuara të peshkimit do të jetë me 10% deri në vitin 2024 dhe me 20% deri në vitin 2027</w:t>
            </w:r>
            <w:r w:rsidRPr="0058349C">
              <w:rPr>
                <w:rFonts w:ascii="Garamond" w:eastAsia="Arial" w:hAnsi="Garamond"/>
                <w:b/>
                <w:bCs/>
                <w:sz w:val="18"/>
                <w:szCs w:val="18"/>
                <w:lang w:val="sq-AL"/>
              </w:rPr>
              <w:t>.</w:t>
            </w:r>
          </w:p>
        </w:tc>
        <w:tc>
          <w:tcPr>
            <w:tcW w:w="1419" w:type="dxa"/>
            <w:shd w:val="clear" w:color="auto" w:fill="E5F7CA"/>
            <w:vAlign w:val="center"/>
          </w:tcPr>
          <w:p w14:paraId="0773B634" w14:textId="77777777" w:rsidR="006011B7" w:rsidRPr="0058349C" w:rsidRDefault="006011B7" w:rsidP="00CF7694">
            <w:pPr>
              <w:spacing w:after="0" w:line="240" w:lineRule="auto"/>
              <w:jc w:val="center"/>
              <w:rPr>
                <w:rFonts w:ascii="Garamond" w:eastAsia="Arial" w:hAnsi="Garamond"/>
                <w:bCs/>
                <w:sz w:val="18"/>
                <w:szCs w:val="18"/>
                <w:lang w:val="sq-AL"/>
              </w:rPr>
            </w:pPr>
            <w:r w:rsidRPr="0058349C">
              <w:rPr>
                <w:rFonts w:ascii="Garamond" w:eastAsia="Arial" w:hAnsi="Garamond"/>
                <w:sz w:val="18"/>
                <w:szCs w:val="18"/>
                <w:lang w:val="sq-AL"/>
              </w:rPr>
              <w:t>16,340 Ton</w:t>
            </w:r>
          </w:p>
        </w:tc>
        <w:tc>
          <w:tcPr>
            <w:tcW w:w="3865" w:type="dxa"/>
            <w:shd w:val="clear" w:color="auto" w:fill="E5F7CA"/>
            <w:vAlign w:val="center"/>
          </w:tcPr>
          <w:p w14:paraId="0773B635" w14:textId="77777777" w:rsidR="006011B7" w:rsidRPr="0058349C" w:rsidRDefault="006011B7" w:rsidP="00CF7694">
            <w:pPr>
              <w:spacing w:after="0" w:line="240" w:lineRule="auto"/>
              <w:jc w:val="center"/>
              <w:rPr>
                <w:rFonts w:ascii="Garamond" w:eastAsia="Arial" w:hAnsi="Garamond"/>
                <w:b/>
                <w:bCs/>
                <w:sz w:val="18"/>
                <w:szCs w:val="18"/>
                <w:lang w:val="sq-AL"/>
              </w:rPr>
            </w:pPr>
          </w:p>
        </w:tc>
        <w:tc>
          <w:tcPr>
            <w:tcW w:w="1134" w:type="dxa"/>
            <w:shd w:val="clear" w:color="auto" w:fill="E5F7CA"/>
            <w:vAlign w:val="center"/>
          </w:tcPr>
          <w:p w14:paraId="0773B636" w14:textId="77777777" w:rsidR="006011B7" w:rsidRPr="0058349C" w:rsidRDefault="006011B7"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+10%</w:t>
            </w:r>
          </w:p>
        </w:tc>
        <w:tc>
          <w:tcPr>
            <w:tcW w:w="1275" w:type="dxa"/>
            <w:gridSpan w:val="2"/>
            <w:shd w:val="clear" w:color="auto" w:fill="E5F7CA"/>
            <w:vAlign w:val="center"/>
          </w:tcPr>
          <w:p w14:paraId="0773B637" w14:textId="77777777" w:rsidR="006011B7" w:rsidRPr="0058349C" w:rsidRDefault="006011B7"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+20%</w:t>
            </w:r>
          </w:p>
        </w:tc>
      </w:tr>
    </w:tbl>
    <w:p w14:paraId="0773B639" w14:textId="77777777" w:rsidR="007D3758" w:rsidRPr="0058349C" w:rsidRDefault="007D3758" w:rsidP="00C54AEA">
      <w:pPr>
        <w:pStyle w:val="TEKSTIIII"/>
        <w:rPr>
          <w:lang w:val="sq-AL"/>
        </w:rPr>
      </w:pPr>
    </w:p>
    <w:tbl>
      <w:tblPr>
        <w:tblpPr w:leftFromText="180" w:rightFromText="180" w:vertAnchor="text" w:tblpXSpec="center" w:tblpY="1"/>
        <w:tblOverlap w:val="neve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
        <w:gridCol w:w="3567"/>
        <w:gridCol w:w="2526"/>
        <w:gridCol w:w="1419"/>
        <w:gridCol w:w="1288"/>
        <w:gridCol w:w="1288"/>
        <w:gridCol w:w="1289"/>
        <w:gridCol w:w="1134"/>
        <w:gridCol w:w="1275"/>
      </w:tblGrid>
      <w:tr w:rsidR="001D1A30" w:rsidRPr="0058349C" w14:paraId="0773B63C" w14:textId="77777777" w:rsidTr="00C525CB">
        <w:trPr>
          <w:trHeight w:val="20"/>
        </w:trPr>
        <w:tc>
          <w:tcPr>
            <w:tcW w:w="384" w:type="dxa"/>
            <w:shd w:val="clear" w:color="auto" w:fill="E5F7CA"/>
          </w:tcPr>
          <w:p w14:paraId="0773B63A" w14:textId="77777777" w:rsidR="001D1A30" w:rsidRPr="0058349C" w:rsidRDefault="001D1A30" w:rsidP="00CF7694">
            <w:pPr>
              <w:spacing w:after="0" w:line="240" w:lineRule="auto"/>
              <w:rPr>
                <w:rFonts w:ascii="Garamond" w:eastAsia="Arial" w:hAnsi="Garamond"/>
                <w:b/>
                <w:bCs/>
                <w:sz w:val="18"/>
                <w:szCs w:val="18"/>
                <w:lang w:val="sq-AL"/>
              </w:rPr>
            </w:pPr>
          </w:p>
        </w:tc>
        <w:tc>
          <w:tcPr>
            <w:tcW w:w="13786" w:type="dxa"/>
            <w:gridSpan w:val="8"/>
            <w:shd w:val="clear" w:color="auto" w:fill="E5F7CA"/>
            <w:vAlign w:val="center"/>
          </w:tcPr>
          <w:p w14:paraId="0773B63B" w14:textId="77777777" w:rsidR="001D1A30" w:rsidRPr="0058349C" w:rsidRDefault="001D1A30" w:rsidP="00CF7694">
            <w:pPr>
              <w:spacing w:after="0" w:line="240" w:lineRule="auto"/>
              <w:rPr>
                <w:rFonts w:ascii="Garamond" w:eastAsia="Arial" w:hAnsi="Garamond"/>
                <w:b/>
                <w:bCs/>
                <w:sz w:val="18"/>
                <w:szCs w:val="18"/>
                <w:lang w:val="sq-AL"/>
              </w:rPr>
            </w:pPr>
            <w:bookmarkStart w:id="98" w:name="_Hlk85287589"/>
            <w:r w:rsidRPr="0058349C">
              <w:rPr>
                <w:rFonts w:ascii="Garamond" w:eastAsia="Arial" w:hAnsi="Garamond"/>
                <w:b/>
                <w:bCs/>
                <w:sz w:val="18"/>
                <w:szCs w:val="18"/>
                <w:lang w:val="sq-AL"/>
              </w:rPr>
              <w:t>Objektivi specifik 09: Forcimi i akuakulturës, tregjeve konkurruese dhe të qëndrueshme, si dhe një komunitet i begatë bregdetar</w:t>
            </w:r>
          </w:p>
        </w:tc>
      </w:tr>
      <w:tr w:rsidR="001D1A30" w:rsidRPr="0058349C" w14:paraId="0773B643" w14:textId="77777777" w:rsidTr="00C525CB">
        <w:trPr>
          <w:trHeight w:val="20"/>
        </w:trPr>
        <w:tc>
          <w:tcPr>
            <w:tcW w:w="384" w:type="dxa"/>
            <w:shd w:val="clear" w:color="auto" w:fill="E5F7CA"/>
          </w:tcPr>
          <w:p w14:paraId="0773B63D" w14:textId="77777777" w:rsidR="001D1A30" w:rsidRPr="0058349C" w:rsidRDefault="001D1A30" w:rsidP="00CF7694">
            <w:pPr>
              <w:spacing w:after="0" w:line="240" w:lineRule="auto"/>
              <w:rPr>
                <w:rFonts w:ascii="Garamond" w:eastAsia="Arial" w:hAnsi="Garamond"/>
                <w:b/>
                <w:sz w:val="18"/>
                <w:szCs w:val="18"/>
                <w:lang w:val="sq-AL"/>
              </w:rPr>
            </w:pPr>
          </w:p>
        </w:tc>
        <w:tc>
          <w:tcPr>
            <w:tcW w:w="6093" w:type="dxa"/>
            <w:gridSpan w:val="2"/>
            <w:shd w:val="clear" w:color="auto" w:fill="E5F7CA"/>
            <w:vAlign w:val="center"/>
          </w:tcPr>
          <w:p w14:paraId="0773B63E" w14:textId="576326FB" w:rsidR="001D1A30" w:rsidRPr="0058349C" w:rsidRDefault="001D1A30" w:rsidP="00CF7694">
            <w:pPr>
              <w:spacing w:after="0" w:line="240" w:lineRule="auto"/>
              <w:rPr>
                <w:rFonts w:ascii="Garamond" w:eastAsia="Arial" w:hAnsi="Garamond"/>
                <w:sz w:val="18"/>
                <w:szCs w:val="18"/>
                <w:lang w:val="sq-AL"/>
              </w:rPr>
            </w:pPr>
            <w:r w:rsidRPr="0058349C">
              <w:rPr>
                <w:rFonts w:ascii="Garamond" w:eastAsia="Arial" w:hAnsi="Garamond"/>
                <w:b/>
                <w:bCs/>
                <w:sz w:val="18"/>
                <w:szCs w:val="18"/>
                <w:lang w:val="sq-AL"/>
              </w:rPr>
              <w:t xml:space="preserve">Treguesi i rezultatit 9.1: </w:t>
            </w:r>
            <w:r w:rsidRPr="0058349C">
              <w:rPr>
                <w:rFonts w:ascii="Garamond" w:eastAsia="Arial" w:hAnsi="Garamond"/>
                <w:bCs/>
                <w:sz w:val="18"/>
                <w:szCs w:val="18"/>
                <w:lang w:val="sq-AL"/>
              </w:rPr>
              <w:t>Niveli i përdorimit të kapacitetit ekzistues të përpunimit të peshkut</w:t>
            </w:r>
            <w:r w:rsidR="00CF7694" w:rsidRPr="0058349C">
              <w:rPr>
                <w:rFonts w:ascii="Garamond" w:eastAsia="Arial" w:hAnsi="Garamond"/>
                <w:bCs/>
                <w:sz w:val="18"/>
                <w:szCs w:val="18"/>
                <w:lang w:val="sq-AL"/>
              </w:rPr>
              <w:t xml:space="preserve"> </w:t>
            </w:r>
            <w:r w:rsidRPr="0058349C">
              <w:rPr>
                <w:rFonts w:ascii="Garamond" w:eastAsia="Arial" w:hAnsi="Garamond"/>
                <w:bCs/>
                <w:sz w:val="18"/>
                <w:szCs w:val="18"/>
                <w:lang w:val="sq-AL"/>
              </w:rPr>
              <w:t>do të arrijë n</w:t>
            </w:r>
            <w:r w:rsidRPr="0058349C">
              <w:rPr>
                <w:rStyle w:val="normaltextrun"/>
                <w:rFonts w:ascii="Garamond" w:eastAsia="Arial" w:hAnsi="Garamond"/>
                <w:bCs/>
                <w:sz w:val="18"/>
                <w:szCs w:val="18"/>
                <w:lang w:val="sq-AL"/>
              </w:rPr>
              <w:t>ë</w:t>
            </w:r>
            <w:r w:rsidRPr="0058349C">
              <w:rPr>
                <w:rFonts w:ascii="Garamond" w:eastAsia="Arial" w:hAnsi="Garamond"/>
                <w:bCs/>
                <w:sz w:val="18"/>
                <w:szCs w:val="18"/>
                <w:lang w:val="sq-AL"/>
              </w:rPr>
              <w:t xml:space="preserve"> 90% në vitin 2024 dhe 100% në vitin 2027.</w:t>
            </w:r>
          </w:p>
        </w:tc>
        <w:tc>
          <w:tcPr>
            <w:tcW w:w="1419" w:type="dxa"/>
            <w:shd w:val="clear" w:color="auto" w:fill="E5F7CA"/>
            <w:vAlign w:val="center"/>
          </w:tcPr>
          <w:p w14:paraId="0773B63F" w14:textId="77777777" w:rsidR="001D1A30" w:rsidRPr="0058349C" w:rsidRDefault="001D1A30" w:rsidP="00CF7694">
            <w:pPr>
              <w:spacing w:after="0" w:line="240" w:lineRule="auto"/>
              <w:jc w:val="center"/>
              <w:rPr>
                <w:rFonts w:ascii="Garamond" w:eastAsia="Arial" w:hAnsi="Garamond"/>
                <w:bCs/>
                <w:sz w:val="18"/>
                <w:szCs w:val="18"/>
                <w:lang w:val="sq-AL"/>
              </w:rPr>
            </w:pPr>
            <w:r w:rsidRPr="0058349C">
              <w:rPr>
                <w:rFonts w:ascii="Garamond" w:eastAsia="Arial" w:hAnsi="Garamond"/>
                <w:sz w:val="18"/>
                <w:szCs w:val="18"/>
                <w:lang w:val="sq-AL"/>
              </w:rPr>
              <w:t>39%</w:t>
            </w:r>
          </w:p>
        </w:tc>
        <w:tc>
          <w:tcPr>
            <w:tcW w:w="3865" w:type="dxa"/>
            <w:gridSpan w:val="3"/>
            <w:shd w:val="clear" w:color="auto" w:fill="E5F7CA"/>
            <w:vAlign w:val="center"/>
          </w:tcPr>
          <w:p w14:paraId="0773B640" w14:textId="77777777" w:rsidR="001D1A30" w:rsidRPr="0058349C" w:rsidRDefault="001D1A30" w:rsidP="00CF7694">
            <w:pPr>
              <w:spacing w:after="0" w:line="240" w:lineRule="auto"/>
              <w:jc w:val="center"/>
              <w:rPr>
                <w:rFonts w:ascii="Garamond" w:eastAsia="Arial" w:hAnsi="Garamond"/>
                <w:b/>
                <w:bCs/>
                <w:sz w:val="18"/>
                <w:szCs w:val="18"/>
                <w:lang w:val="sq-AL"/>
              </w:rPr>
            </w:pPr>
          </w:p>
        </w:tc>
        <w:tc>
          <w:tcPr>
            <w:tcW w:w="1134" w:type="dxa"/>
            <w:shd w:val="clear" w:color="auto" w:fill="E5F7CA"/>
            <w:vAlign w:val="center"/>
          </w:tcPr>
          <w:p w14:paraId="0773B641" w14:textId="77777777" w:rsidR="001D1A30" w:rsidRPr="0058349C" w:rsidRDefault="001D1A30"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90%</w:t>
            </w:r>
          </w:p>
        </w:tc>
        <w:tc>
          <w:tcPr>
            <w:tcW w:w="1275" w:type="dxa"/>
            <w:shd w:val="clear" w:color="auto" w:fill="E5F7CA"/>
            <w:vAlign w:val="center"/>
          </w:tcPr>
          <w:p w14:paraId="0773B642" w14:textId="77777777" w:rsidR="001D1A30" w:rsidRPr="0058349C" w:rsidRDefault="001D1A30"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100%</w:t>
            </w:r>
          </w:p>
        </w:tc>
      </w:tr>
      <w:tr w:rsidR="001D1A30" w:rsidRPr="0058349C" w14:paraId="0773B64E" w14:textId="77777777" w:rsidTr="00C525CB">
        <w:trPr>
          <w:trHeight w:val="20"/>
        </w:trPr>
        <w:tc>
          <w:tcPr>
            <w:tcW w:w="384" w:type="dxa"/>
            <w:vMerge w:val="restart"/>
            <w:shd w:val="clear" w:color="auto" w:fill="F2F2F2"/>
            <w:vAlign w:val="center"/>
          </w:tcPr>
          <w:p w14:paraId="0773B644" w14:textId="77777777" w:rsidR="001D1A30" w:rsidRPr="0058349C" w:rsidRDefault="001D1A30" w:rsidP="00CF7694">
            <w:pPr>
              <w:spacing w:after="0" w:line="240" w:lineRule="auto"/>
              <w:jc w:val="center"/>
              <w:rPr>
                <w:rFonts w:ascii="Garamond" w:eastAsia="Arial" w:hAnsi="Garamond"/>
                <w:b/>
                <w:sz w:val="18"/>
                <w:szCs w:val="18"/>
                <w:lang w:val="sq-AL"/>
              </w:rPr>
            </w:pPr>
          </w:p>
        </w:tc>
        <w:tc>
          <w:tcPr>
            <w:tcW w:w="3567" w:type="dxa"/>
            <w:vMerge w:val="restart"/>
            <w:shd w:val="clear" w:color="auto" w:fill="F2F2F2"/>
            <w:vAlign w:val="center"/>
          </w:tcPr>
          <w:p w14:paraId="0773B645" w14:textId="4AD5B078" w:rsidR="001D1A30" w:rsidRPr="0058349C" w:rsidRDefault="001D1A30"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Veprimi </w:t>
            </w:r>
            <w:r w:rsidR="00797859">
              <w:rPr>
                <w:rFonts w:ascii="Garamond" w:eastAsia="Arial" w:hAnsi="Garamond"/>
                <w:b/>
                <w:bCs/>
                <w:sz w:val="18"/>
                <w:szCs w:val="18"/>
                <w:lang w:val="sq-AL"/>
              </w:rPr>
              <w:t>/</w:t>
            </w:r>
            <w:r w:rsidR="00C525CB" w:rsidRPr="0058349C">
              <w:rPr>
                <w:rFonts w:ascii="Garamond" w:eastAsia="Arial" w:hAnsi="Garamond"/>
                <w:b/>
                <w:bCs/>
                <w:sz w:val="18"/>
                <w:szCs w:val="18"/>
                <w:lang w:val="sq-AL"/>
              </w:rPr>
              <w:t>ndërhyrja</w:t>
            </w:r>
          </w:p>
        </w:tc>
        <w:tc>
          <w:tcPr>
            <w:tcW w:w="2526" w:type="dxa"/>
            <w:vMerge w:val="restart"/>
            <w:shd w:val="clear" w:color="auto" w:fill="F2F2F2"/>
            <w:vAlign w:val="center"/>
          </w:tcPr>
          <w:p w14:paraId="0773B646" w14:textId="77777777" w:rsidR="001D1A30" w:rsidRPr="0058349C" w:rsidRDefault="001D1A30"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Treguesi i </w:t>
            </w:r>
            <w:r w:rsidRPr="00C525CB">
              <w:rPr>
                <w:rFonts w:ascii="Garamond" w:eastAsia="Arial" w:hAnsi="Garamond"/>
                <w:b/>
                <w:bCs/>
                <w:i/>
                <w:iCs/>
                <w:sz w:val="18"/>
                <w:szCs w:val="18"/>
                <w:lang w:val="sq-AL"/>
              </w:rPr>
              <w:t>output</w:t>
            </w:r>
            <w:r w:rsidRPr="0058349C">
              <w:rPr>
                <w:rFonts w:ascii="Garamond" w:eastAsia="Arial" w:hAnsi="Garamond"/>
                <w:b/>
                <w:bCs/>
                <w:sz w:val="18"/>
                <w:szCs w:val="18"/>
                <w:lang w:val="sq-AL"/>
              </w:rPr>
              <w:t>-it</w:t>
            </w:r>
          </w:p>
        </w:tc>
        <w:tc>
          <w:tcPr>
            <w:tcW w:w="1419" w:type="dxa"/>
            <w:vMerge w:val="restart"/>
            <w:shd w:val="clear" w:color="auto" w:fill="F2F2F2"/>
            <w:vAlign w:val="center"/>
          </w:tcPr>
          <w:p w14:paraId="0773B647" w14:textId="77777777" w:rsidR="001D1A30" w:rsidRPr="0058349C" w:rsidRDefault="001D1A30"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Buxheti total</w:t>
            </w:r>
          </w:p>
          <w:p w14:paraId="0773B648" w14:textId="0E06DDA4" w:rsidR="001D1A30" w:rsidRPr="0058349C" w:rsidRDefault="00C525CB" w:rsidP="00CF7694">
            <w:pPr>
              <w:spacing w:after="0" w:line="240" w:lineRule="auto"/>
              <w:jc w:val="center"/>
              <w:rPr>
                <w:rFonts w:ascii="Garamond" w:eastAsia="Arial" w:hAnsi="Garamond"/>
                <w:sz w:val="18"/>
                <w:szCs w:val="18"/>
                <w:lang w:val="sq-AL"/>
              </w:rPr>
            </w:pPr>
            <w:r>
              <w:rPr>
                <w:rFonts w:ascii="Garamond" w:eastAsia="Arial" w:hAnsi="Garamond"/>
                <w:b/>
                <w:bCs/>
                <w:sz w:val="18"/>
                <w:szCs w:val="18"/>
                <w:lang w:val="sq-AL"/>
              </w:rPr>
              <w:t>2022</w:t>
            </w:r>
            <w:r w:rsidR="001D1A30" w:rsidRPr="0058349C">
              <w:rPr>
                <w:rFonts w:ascii="Garamond" w:eastAsia="Arial" w:hAnsi="Garamond" w:cs="Arial"/>
                <w:b/>
                <w:bCs/>
                <w:sz w:val="18"/>
                <w:szCs w:val="18"/>
                <w:lang w:val="sq-AL"/>
              </w:rPr>
              <w:t>–</w:t>
            </w:r>
            <w:r w:rsidR="001D1A30" w:rsidRPr="0058349C">
              <w:rPr>
                <w:rFonts w:ascii="Garamond" w:eastAsia="Arial" w:hAnsi="Garamond"/>
                <w:b/>
                <w:bCs/>
                <w:sz w:val="18"/>
                <w:szCs w:val="18"/>
                <w:lang w:val="sq-AL"/>
              </w:rPr>
              <w:t>2024 (EUR)</w:t>
            </w:r>
          </w:p>
        </w:tc>
        <w:tc>
          <w:tcPr>
            <w:tcW w:w="3865" w:type="dxa"/>
            <w:gridSpan w:val="3"/>
            <w:shd w:val="clear" w:color="auto" w:fill="F2F2F2"/>
            <w:vAlign w:val="center"/>
          </w:tcPr>
          <w:p w14:paraId="0773B649" w14:textId="11DB5463" w:rsidR="001D1A30" w:rsidRPr="0058349C" w:rsidRDefault="001D1A30"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Buxheti i alokuar</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(EUR)</w:t>
            </w:r>
          </w:p>
          <w:p w14:paraId="0773B64A" w14:textId="25379D4A" w:rsidR="001D1A30" w:rsidRPr="0058349C" w:rsidRDefault="00C525CB" w:rsidP="00CF7694">
            <w:pPr>
              <w:spacing w:after="0" w:line="240" w:lineRule="auto"/>
              <w:jc w:val="center"/>
              <w:rPr>
                <w:rFonts w:ascii="Garamond" w:eastAsia="Arial" w:hAnsi="Garamond"/>
                <w:b/>
                <w:bCs/>
                <w:sz w:val="18"/>
                <w:szCs w:val="18"/>
                <w:lang w:val="sq-AL"/>
              </w:rPr>
            </w:pPr>
            <w:r>
              <w:rPr>
                <w:rFonts w:ascii="Garamond" w:eastAsia="Arial" w:hAnsi="Garamond"/>
                <w:b/>
                <w:bCs/>
                <w:sz w:val="18"/>
                <w:szCs w:val="18"/>
                <w:lang w:val="sq-AL"/>
              </w:rPr>
              <w:t>2022</w:t>
            </w:r>
            <w:r w:rsidR="001D1A30" w:rsidRPr="0058349C">
              <w:rPr>
                <w:rFonts w:ascii="Garamond" w:eastAsia="Arial" w:hAnsi="Garamond" w:cs="Arial"/>
                <w:b/>
                <w:bCs/>
                <w:sz w:val="18"/>
                <w:szCs w:val="18"/>
                <w:lang w:val="sq-AL"/>
              </w:rPr>
              <w:t>–</w:t>
            </w:r>
            <w:r w:rsidR="001D1A30" w:rsidRPr="0058349C">
              <w:rPr>
                <w:rFonts w:ascii="Garamond" w:eastAsia="Arial" w:hAnsi="Garamond"/>
                <w:b/>
                <w:bCs/>
                <w:sz w:val="18"/>
                <w:szCs w:val="18"/>
                <w:lang w:val="sq-AL"/>
              </w:rPr>
              <w:t>2024</w:t>
            </w:r>
          </w:p>
          <w:p w14:paraId="0773B64B" w14:textId="081F47BE"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(N = nevojitet,</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nuk mbulohet nga buxheti kombëtar/buxheti IPA III</w:t>
            </w:r>
            <w:r w:rsidR="00C259A4">
              <w:rPr>
                <w:rFonts w:ascii="Garamond" w:eastAsia="Arial" w:hAnsi="Garamond"/>
                <w:b/>
                <w:bCs/>
                <w:sz w:val="18"/>
                <w:szCs w:val="18"/>
                <w:lang w:val="sq-AL"/>
              </w:rPr>
              <w:t>)</w:t>
            </w:r>
          </w:p>
        </w:tc>
        <w:tc>
          <w:tcPr>
            <w:tcW w:w="1134" w:type="dxa"/>
            <w:vMerge w:val="restart"/>
            <w:shd w:val="clear" w:color="auto" w:fill="E5F7CA"/>
            <w:vAlign w:val="center"/>
          </w:tcPr>
          <w:p w14:paraId="0773B64C"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Objektivi 2024</w:t>
            </w:r>
          </w:p>
        </w:tc>
        <w:tc>
          <w:tcPr>
            <w:tcW w:w="1275" w:type="dxa"/>
            <w:vMerge w:val="restart"/>
            <w:shd w:val="clear" w:color="auto" w:fill="E5F7CA"/>
            <w:vAlign w:val="center"/>
          </w:tcPr>
          <w:p w14:paraId="0773B64D" w14:textId="77777777" w:rsidR="001D1A30" w:rsidRPr="0058349C" w:rsidRDefault="001D1A30"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Objektivi 2027</w:t>
            </w:r>
          </w:p>
        </w:tc>
      </w:tr>
      <w:tr w:rsidR="001D1A30" w:rsidRPr="0058349C" w14:paraId="0773B658" w14:textId="77777777" w:rsidTr="00C525CB">
        <w:trPr>
          <w:trHeight w:val="20"/>
        </w:trPr>
        <w:tc>
          <w:tcPr>
            <w:tcW w:w="384" w:type="dxa"/>
            <w:vMerge/>
            <w:shd w:val="clear" w:color="auto" w:fill="F2F2F2"/>
            <w:vAlign w:val="center"/>
          </w:tcPr>
          <w:p w14:paraId="0773B64F" w14:textId="77777777" w:rsidR="001D1A30" w:rsidRPr="0058349C" w:rsidRDefault="001D1A30" w:rsidP="00CF7694">
            <w:pPr>
              <w:spacing w:after="0" w:line="240" w:lineRule="auto"/>
              <w:jc w:val="center"/>
              <w:rPr>
                <w:rFonts w:ascii="Garamond" w:eastAsia="Arial" w:hAnsi="Garamond"/>
                <w:b/>
                <w:sz w:val="18"/>
                <w:szCs w:val="18"/>
                <w:lang w:val="sq-AL"/>
              </w:rPr>
            </w:pPr>
          </w:p>
        </w:tc>
        <w:tc>
          <w:tcPr>
            <w:tcW w:w="3567" w:type="dxa"/>
            <w:vMerge/>
            <w:shd w:val="clear" w:color="auto" w:fill="F2F2F2"/>
            <w:vAlign w:val="center"/>
          </w:tcPr>
          <w:p w14:paraId="0773B650" w14:textId="77777777" w:rsidR="001D1A30" w:rsidRPr="0058349C" w:rsidRDefault="001D1A30" w:rsidP="00CF7694">
            <w:pPr>
              <w:spacing w:after="0" w:line="240" w:lineRule="auto"/>
              <w:jc w:val="center"/>
              <w:rPr>
                <w:rFonts w:ascii="Garamond" w:eastAsia="Arial" w:hAnsi="Garamond"/>
                <w:b/>
                <w:bCs/>
                <w:sz w:val="18"/>
                <w:szCs w:val="18"/>
                <w:lang w:val="sq-AL"/>
              </w:rPr>
            </w:pPr>
          </w:p>
        </w:tc>
        <w:tc>
          <w:tcPr>
            <w:tcW w:w="2526" w:type="dxa"/>
            <w:vMerge/>
            <w:shd w:val="clear" w:color="auto" w:fill="F2F2F2"/>
            <w:vAlign w:val="center"/>
          </w:tcPr>
          <w:p w14:paraId="0773B651" w14:textId="77777777" w:rsidR="001D1A30" w:rsidRPr="0058349C" w:rsidRDefault="001D1A30" w:rsidP="00CF7694">
            <w:pPr>
              <w:spacing w:after="0" w:line="240" w:lineRule="auto"/>
              <w:jc w:val="center"/>
              <w:rPr>
                <w:rFonts w:ascii="Garamond" w:eastAsia="Arial" w:hAnsi="Garamond"/>
                <w:b/>
                <w:bCs/>
                <w:sz w:val="18"/>
                <w:szCs w:val="18"/>
                <w:lang w:val="sq-AL"/>
              </w:rPr>
            </w:pPr>
          </w:p>
        </w:tc>
        <w:tc>
          <w:tcPr>
            <w:tcW w:w="1419" w:type="dxa"/>
            <w:vMerge/>
            <w:shd w:val="clear" w:color="auto" w:fill="F2F2F2"/>
            <w:vAlign w:val="center"/>
          </w:tcPr>
          <w:p w14:paraId="0773B652" w14:textId="77777777" w:rsidR="001D1A30" w:rsidRPr="0058349C" w:rsidRDefault="001D1A30"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653"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2022</w:t>
            </w:r>
          </w:p>
        </w:tc>
        <w:tc>
          <w:tcPr>
            <w:tcW w:w="1288" w:type="dxa"/>
            <w:shd w:val="clear" w:color="auto" w:fill="F2F2F2"/>
            <w:vAlign w:val="center"/>
          </w:tcPr>
          <w:p w14:paraId="0773B654"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2023</w:t>
            </w:r>
          </w:p>
        </w:tc>
        <w:tc>
          <w:tcPr>
            <w:tcW w:w="1289" w:type="dxa"/>
            <w:shd w:val="clear" w:color="auto" w:fill="F2F2F2"/>
            <w:vAlign w:val="center"/>
          </w:tcPr>
          <w:p w14:paraId="0773B655"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2024</w:t>
            </w:r>
          </w:p>
        </w:tc>
        <w:tc>
          <w:tcPr>
            <w:tcW w:w="1134" w:type="dxa"/>
            <w:vMerge/>
            <w:shd w:val="clear" w:color="auto" w:fill="E5F7CA"/>
            <w:vAlign w:val="center"/>
          </w:tcPr>
          <w:p w14:paraId="0773B656" w14:textId="77777777" w:rsidR="001D1A30" w:rsidRPr="0058349C" w:rsidRDefault="001D1A30" w:rsidP="00CF7694">
            <w:pPr>
              <w:spacing w:after="0" w:line="240" w:lineRule="auto"/>
              <w:jc w:val="center"/>
              <w:rPr>
                <w:rFonts w:ascii="Garamond" w:eastAsia="Arial" w:hAnsi="Garamond"/>
                <w:sz w:val="18"/>
                <w:szCs w:val="18"/>
                <w:lang w:val="sq-AL"/>
              </w:rPr>
            </w:pPr>
          </w:p>
        </w:tc>
        <w:tc>
          <w:tcPr>
            <w:tcW w:w="1275" w:type="dxa"/>
            <w:vMerge/>
            <w:shd w:val="clear" w:color="auto" w:fill="E5F7CA"/>
            <w:vAlign w:val="center"/>
          </w:tcPr>
          <w:p w14:paraId="0773B657" w14:textId="77777777" w:rsidR="001D1A30" w:rsidRPr="0058349C" w:rsidRDefault="001D1A30" w:rsidP="00CF7694">
            <w:pPr>
              <w:spacing w:after="0" w:line="240" w:lineRule="auto"/>
              <w:jc w:val="center"/>
              <w:rPr>
                <w:rFonts w:ascii="Garamond" w:eastAsia="Arial" w:hAnsi="Garamond"/>
                <w:sz w:val="18"/>
                <w:szCs w:val="18"/>
                <w:lang w:val="sq-AL"/>
              </w:rPr>
            </w:pPr>
          </w:p>
        </w:tc>
      </w:tr>
      <w:bookmarkEnd w:id="98"/>
      <w:tr w:rsidR="001D1A30" w:rsidRPr="0058349C" w14:paraId="0773B662" w14:textId="77777777" w:rsidTr="00C525CB">
        <w:trPr>
          <w:trHeight w:val="20"/>
        </w:trPr>
        <w:tc>
          <w:tcPr>
            <w:tcW w:w="384" w:type="dxa"/>
            <w:shd w:val="clear" w:color="auto" w:fill="F2F2F2"/>
          </w:tcPr>
          <w:p w14:paraId="0773B659" w14:textId="77777777" w:rsidR="001D1A30" w:rsidRPr="0058349C" w:rsidRDefault="001D1A30" w:rsidP="00CF7694">
            <w:pPr>
              <w:spacing w:after="0" w:line="240" w:lineRule="auto"/>
              <w:rPr>
                <w:rFonts w:ascii="Garamond" w:eastAsia="Arial" w:hAnsi="Garamond"/>
                <w:b/>
                <w:sz w:val="18"/>
                <w:szCs w:val="18"/>
                <w:lang w:val="sq-AL"/>
              </w:rPr>
            </w:pPr>
          </w:p>
        </w:tc>
        <w:tc>
          <w:tcPr>
            <w:tcW w:w="3567" w:type="dxa"/>
            <w:shd w:val="clear" w:color="auto" w:fill="F2F2F2"/>
          </w:tcPr>
          <w:p w14:paraId="0773B65A" w14:textId="77777777" w:rsidR="001D1A30" w:rsidRPr="0058349C" w:rsidRDefault="001D1A30" w:rsidP="00CF7694">
            <w:pPr>
              <w:spacing w:after="0" w:line="240" w:lineRule="auto"/>
              <w:rPr>
                <w:rFonts w:ascii="Garamond" w:eastAsia="Arial" w:hAnsi="Garamond"/>
                <w:b/>
                <w:bCs/>
                <w:sz w:val="18"/>
                <w:szCs w:val="18"/>
                <w:lang w:val="sq-AL"/>
              </w:rPr>
            </w:pPr>
            <w:r w:rsidRPr="0058349C">
              <w:rPr>
                <w:rFonts w:ascii="Garamond" w:eastAsia="Arial Narrow" w:hAnsi="Garamond" w:cs="Arial Narrow"/>
                <w:b/>
                <w:bCs/>
                <w:sz w:val="18"/>
                <w:szCs w:val="18"/>
                <w:lang w:val="sq-AL"/>
              </w:rPr>
              <w:t>Grandet për rinovimin e flotës së peshkimit, pa rritur sforcot e peshkimit</w:t>
            </w:r>
          </w:p>
        </w:tc>
        <w:tc>
          <w:tcPr>
            <w:tcW w:w="2526" w:type="dxa"/>
            <w:shd w:val="clear" w:color="auto" w:fill="F2F2F2"/>
          </w:tcPr>
          <w:p w14:paraId="0773B65B" w14:textId="77777777" w:rsidR="001D1A30" w:rsidRPr="0058349C" w:rsidRDefault="001D1A30" w:rsidP="00CF7694">
            <w:pPr>
              <w:spacing w:after="0" w:line="240" w:lineRule="auto"/>
              <w:rPr>
                <w:rFonts w:ascii="Garamond" w:hAnsi="Garamond"/>
                <w:sz w:val="18"/>
                <w:szCs w:val="18"/>
                <w:lang w:val="sq-AL"/>
              </w:rPr>
            </w:pPr>
            <w:r w:rsidRPr="0058349C">
              <w:rPr>
                <w:rFonts w:ascii="Garamond" w:hAnsi="Garamond"/>
                <w:sz w:val="18"/>
                <w:szCs w:val="18"/>
                <w:lang w:val="sq-AL"/>
              </w:rPr>
              <w:t>Numri i anijeve të rinovuara të peshkimit do të arrijë shifrën 45 në vitin 2024 dhe 100 deri në vitin 2027.</w:t>
            </w:r>
          </w:p>
        </w:tc>
        <w:tc>
          <w:tcPr>
            <w:tcW w:w="1419" w:type="dxa"/>
            <w:shd w:val="clear" w:color="auto" w:fill="F2F2F2"/>
            <w:vAlign w:val="center"/>
          </w:tcPr>
          <w:p w14:paraId="0773B65C"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450,000</w:t>
            </w:r>
          </w:p>
        </w:tc>
        <w:tc>
          <w:tcPr>
            <w:tcW w:w="1288" w:type="dxa"/>
            <w:shd w:val="clear" w:color="auto" w:fill="F2F2F2"/>
            <w:vAlign w:val="center"/>
          </w:tcPr>
          <w:p w14:paraId="0773B65D"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250,000</w:t>
            </w:r>
          </w:p>
        </w:tc>
        <w:tc>
          <w:tcPr>
            <w:tcW w:w="1288" w:type="dxa"/>
            <w:shd w:val="clear" w:color="auto" w:fill="F2F2F2"/>
            <w:vAlign w:val="center"/>
          </w:tcPr>
          <w:p w14:paraId="0773B65E"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200,000</w:t>
            </w:r>
          </w:p>
        </w:tc>
        <w:tc>
          <w:tcPr>
            <w:tcW w:w="1289" w:type="dxa"/>
            <w:shd w:val="clear" w:color="auto" w:fill="F2F2F2"/>
            <w:vAlign w:val="center"/>
          </w:tcPr>
          <w:p w14:paraId="0773B65F"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134" w:type="dxa"/>
            <w:shd w:val="clear" w:color="auto" w:fill="E5F7CA"/>
            <w:vAlign w:val="center"/>
          </w:tcPr>
          <w:p w14:paraId="0773B660"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45</w:t>
            </w:r>
          </w:p>
        </w:tc>
        <w:tc>
          <w:tcPr>
            <w:tcW w:w="1275" w:type="dxa"/>
            <w:shd w:val="clear" w:color="auto" w:fill="E5F7CA"/>
            <w:vAlign w:val="center"/>
          </w:tcPr>
          <w:p w14:paraId="0773B661"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1D1A30" w:rsidRPr="0058349C" w14:paraId="0773B66D" w14:textId="77777777" w:rsidTr="00C525CB">
        <w:trPr>
          <w:trHeight w:val="20"/>
        </w:trPr>
        <w:tc>
          <w:tcPr>
            <w:tcW w:w="384" w:type="dxa"/>
            <w:shd w:val="clear" w:color="auto" w:fill="F2F2F2"/>
          </w:tcPr>
          <w:p w14:paraId="0773B663" w14:textId="77777777" w:rsidR="001D1A30" w:rsidRPr="0058349C" w:rsidRDefault="001D1A30" w:rsidP="00CF7694">
            <w:pPr>
              <w:spacing w:after="0" w:line="240" w:lineRule="auto"/>
              <w:rPr>
                <w:rFonts w:ascii="Garamond" w:eastAsia="Arial" w:hAnsi="Garamond"/>
                <w:b/>
                <w:sz w:val="18"/>
                <w:szCs w:val="18"/>
                <w:lang w:val="sq-AL"/>
              </w:rPr>
            </w:pPr>
          </w:p>
        </w:tc>
        <w:tc>
          <w:tcPr>
            <w:tcW w:w="3567" w:type="dxa"/>
            <w:shd w:val="clear" w:color="auto" w:fill="F2F2F2"/>
          </w:tcPr>
          <w:p w14:paraId="0773B664" w14:textId="77777777" w:rsidR="001D1A30" w:rsidRPr="0058349C" w:rsidRDefault="001D1A30" w:rsidP="00CF7694">
            <w:pPr>
              <w:spacing w:after="0" w:line="240" w:lineRule="auto"/>
              <w:rPr>
                <w:rFonts w:ascii="Garamond" w:eastAsia="Arial" w:hAnsi="Garamond"/>
                <w:b/>
                <w:bCs/>
                <w:sz w:val="18"/>
                <w:szCs w:val="18"/>
                <w:lang w:val="sq-AL"/>
              </w:rPr>
            </w:pPr>
            <w:r w:rsidRPr="0058349C">
              <w:rPr>
                <w:rFonts w:ascii="Garamond" w:eastAsia="Arial Narrow" w:hAnsi="Garamond" w:cs="Arial Narrow"/>
                <w:b/>
                <w:bCs/>
                <w:sz w:val="18"/>
                <w:szCs w:val="18"/>
                <w:lang w:val="sq-AL"/>
              </w:rPr>
              <w:t>Investime për përmirësimin e kapacitetit p</w:t>
            </w:r>
            <w:r w:rsidRPr="0058349C">
              <w:rPr>
                <w:rFonts w:ascii="Garamond" w:hAnsi="Garamond"/>
                <w:sz w:val="18"/>
                <w:szCs w:val="18"/>
                <w:lang w:val="sq-AL"/>
              </w:rPr>
              <w:t xml:space="preserve">ër </w:t>
            </w:r>
            <w:r w:rsidRPr="0058349C">
              <w:rPr>
                <w:rFonts w:ascii="Garamond" w:eastAsia="Arial Narrow" w:hAnsi="Garamond" w:cs="Arial Narrow"/>
                <w:b/>
                <w:bCs/>
                <w:sz w:val="18"/>
                <w:szCs w:val="18"/>
                <w:lang w:val="sq-AL"/>
              </w:rPr>
              <w:t>ankorim të anijeve të peshkimit</w:t>
            </w:r>
          </w:p>
        </w:tc>
        <w:tc>
          <w:tcPr>
            <w:tcW w:w="2526" w:type="dxa"/>
            <w:shd w:val="clear" w:color="auto" w:fill="F2F2F2"/>
          </w:tcPr>
          <w:p w14:paraId="0773B665" w14:textId="77777777" w:rsidR="001D1A30" w:rsidRPr="0058349C" w:rsidRDefault="001D1A30" w:rsidP="00CF7694">
            <w:pPr>
              <w:spacing w:after="0" w:line="240" w:lineRule="auto"/>
              <w:rPr>
                <w:rFonts w:ascii="Garamond" w:hAnsi="Garamond"/>
                <w:sz w:val="18"/>
                <w:szCs w:val="18"/>
                <w:lang w:val="sq-AL"/>
              </w:rPr>
            </w:pPr>
            <w:r w:rsidRPr="0058349C">
              <w:rPr>
                <w:rFonts w:ascii="Garamond" w:hAnsi="Garamond"/>
                <w:sz w:val="18"/>
                <w:szCs w:val="18"/>
                <w:lang w:val="sq-AL"/>
              </w:rPr>
              <w:t>Numri i porteve të peshkimit me infrastrukturë të përmirësuar do të arrijë në 4 deri në vitin 2027.</w:t>
            </w:r>
          </w:p>
        </w:tc>
        <w:tc>
          <w:tcPr>
            <w:tcW w:w="1419" w:type="dxa"/>
            <w:shd w:val="clear" w:color="auto" w:fill="F2F2F2"/>
            <w:vAlign w:val="center"/>
          </w:tcPr>
          <w:p w14:paraId="0773B666" w14:textId="77777777" w:rsidR="001D1A30" w:rsidRPr="0058349C" w:rsidRDefault="001D1A30" w:rsidP="00CF7694">
            <w:pPr>
              <w:spacing w:after="0" w:line="240" w:lineRule="auto"/>
              <w:rPr>
                <w:rFonts w:ascii="Garamond" w:eastAsia="Arial" w:hAnsi="Garamond"/>
                <w:sz w:val="18"/>
                <w:szCs w:val="18"/>
                <w:lang w:val="sq-AL"/>
              </w:rPr>
            </w:pPr>
          </w:p>
          <w:p w14:paraId="0773B667" w14:textId="77777777" w:rsidR="001D1A30" w:rsidRPr="0058349C" w:rsidRDefault="001D1A30"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Buxheti duke filluar nga viti 2025</w:t>
            </w:r>
          </w:p>
        </w:tc>
        <w:tc>
          <w:tcPr>
            <w:tcW w:w="1288" w:type="dxa"/>
            <w:shd w:val="clear" w:color="auto" w:fill="F2F2F2"/>
            <w:vAlign w:val="center"/>
          </w:tcPr>
          <w:p w14:paraId="0773B668"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669"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9" w:type="dxa"/>
            <w:shd w:val="clear" w:color="auto" w:fill="F2F2F2"/>
            <w:vAlign w:val="center"/>
          </w:tcPr>
          <w:p w14:paraId="0773B66A"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134" w:type="dxa"/>
            <w:shd w:val="clear" w:color="auto" w:fill="E5F7CA"/>
            <w:vAlign w:val="center"/>
          </w:tcPr>
          <w:p w14:paraId="0773B66B"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75" w:type="dxa"/>
            <w:shd w:val="clear" w:color="auto" w:fill="E5F7CA"/>
            <w:vAlign w:val="center"/>
          </w:tcPr>
          <w:p w14:paraId="0773B66C"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w:t>
            </w:r>
          </w:p>
        </w:tc>
      </w:tr>
      <w:tr w:rsidR="001D1A30" w:rsidRPr="0058349C" w14:paraId="0773B677" w14:textId="77777777" w:rsidTr="00C525CB">
        <w:trPr>
          <w:trHeight w:val="20"/>
        </w:trPr>
        <w:tc>
          <w:tcPr>
            <w:tcW w:w="384" w:type="dxa"/>
            <w:shd w:val="clear" w:color="auto" w:fill="F2F2F2"/>
          </w:tcPr>
          <w:p w14:paraId="0773B66E" w14:textId="77777777" w:rsidR="001D1A30" w:rsidRPr="0058349C" w:rsidRDefault="001D1A30" w:rsidP="00CF7694">
            <w:pPr>
              <w:spacing w:after="0" w:line="240" w:lineRule="auto"/>
              <w:rPr>
                <w:rFonts w:ascii="Garamond" w:eastAsia="Arial" w:hAnsi="Garamond"/>
                <w:b/>
                <w:sz w:val="18"/>
                <w:szCs w:val="18"/>
                <w:lang w:val="sq-AL"/>
              </w:rPr>
            </w:pPr>
          </w:p>
        </w:tc>
        <w:tc>
          <w:tcPr>
            <w:tcW w:w="3567" w:type="dxa"/>
            <w:shd w:val="clear" w:color="auto" w:fill="F2F2F2"/>
          </w:tcPr>
          <w:p w14:paraId="0773B66F" w14:textId="5C8B8D46" w:rsidR="001D1A30" w:rsidRPr="0058349C" w:rsidRDefault="001D1A30" w:rsidP="00CF7694">
            <w:pPr>
              <w:spacing w:after="0" w:line="240" w:lineRule="auto"/>
              <w:rPr>
                <w:rFonts w:ascii="Garamond" w:eastAsia="Arial Narrow" w:hAnsi="Garamond" w:cs="Arial Narrow"/>
                <w:b/>
                <w:bCs/>
                <w:sz w:val="18"/>
                <w:szCs w:val="18"/>
                <w:lang w:val="sq-AL"/>
              </w:rPr>
            </w:pPr>
            <w:r w:rsidRPr="0058349C">
              <w:rPr>
                <w:rFonts w:ascii="Garamond" w:eastAsia="Arial Narrow" w:hAnsi="Garamond" w:cs="Arial Narrow"/>
                <w:b/>
                <w:bCs/>
                <w:sz w:val="18"/>
                <w:szCs w:val="18"/>
                <w:lang w:val="sq-AL"/>
              </w:rPr>
              <w:t>Vazhdimi i programit të tregjeve me shumicë</w:t>
            </w:r>
            <w:r w:rsidR="00CF7694" w:rsidRPr="0058349C">
              <w:rPr>
                <w:rFonts w:ascii="Garamond" w:eastAsia="Arial Narrow" w:hAnsi="Garamond" w:cs="Arial Narrow"/>
                <w:b/>
                <w:bCs/>
                <w:sz w:val="18"/>
                <w:szCs w:val="18"/>
                <w:lang w:val="sq-AL"/>
              </w:rPr>
              <w:t xml:space="preserve"> </w:t>
            </w:r>
            <w:r w:rsidRPr="0058349C">
              <w:rPr>
                <w:rFonts w:ascii="Garamond" w:eastAsia="Arial Narrow" w:hAnsi="Garamond" w:cs="Arial Narrow"/>
                <w:b/>
                <w:bCs/>
                <w:sz w:val="18"/>
                <w:szCs w:val="18"/>
                <w:lang w:val="sq-AL"/>
              </w:rPr>
              <w:t>të peshkut për rritur formalizimin e sektorit.</w:t>
            </w:r>
          </w:p>
        </w:tc>
        <w:tc>
          <w:tcPr>
            <w:tcW w:w="2526" w:type="dxa"/>
            <w:shd w:val="clear" w:color="auto" w:fill="F2F2F2"/>
          </w:tcPr>
          <w:p w14:paraId="0773B670" w14:textId="77777777" w:rsidR="001D1A30" w:rsidRPr="0058349C" w:rsidRDefault="001D1A30" w:rsidP="00CF7694">
            <w:pPr>
              <w:spacing w:after="0" w:line="240" w:lineRule="auto"/>
              <w:rPr>
                <w:rFonts w:ascii="Garamond" w:hAnsi="Garamond"/>
                <w:sz w:val="18"/>
                <w:szCs w:val="18"/>
                <w:lang w:val="sq-AL"/>
              </w:rPr>
            </w:pPr>
            <w:r w:rsidRPr="0058349C">
              <w:rPr>
                <w:rFonts w:ascii="Garamond" w:hAnsi="Garamond"/>
                <w:sz w:val="18"/>
                <w:szCs w:val="18"/>
                <w:lang w:val="sq-AL"/>
              </w:rPr>
              <w:t>Numri i tregjeve të ndërtuara me shumicë të peshkut do të arrijë në 3 deri në vitin 2024.</w:t>
            </w:r>
          </w:p>
        </w:tc>
        <w:tc>
          <w:tcPr>
            <w:tcW w:w="1419" w:type="dxa"/>
            <w:shd w:val="clear" w:color="auto" w:fill="F2F2F2"/>
            <w:vAlign w:val="center"/>
          </w:tcPr>
          <w:p w14:paraId="0773B671"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NB</w:t>
            </w:r>
          </w:p>
        </w:tc>
        <w:tc>
          <w:tcPr>
            <w:tcW w:w="1288" w:type="dxa"/>
            <w:shd w:val="clear" w:color="auto" w:fill="F2F2F2"/>
            <w:vAlign w:val="center"/>
          </w:tcPr>
          <w:p w14:paraId="0773B672"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NB</w:t>
            </w:r>
          </w:p>
        </w:tc>
        <w:tc>
          <w:tcPr>
            <w:tcW w:w="1288" w:type="dxa"/>
            <w:shd w:val="clear" w:color="auto" w:fill="F2F2F2"/>
            <w:vAlign w:val="center"/>
          </w:tcPr>
          <w:p w14:paraId="0773B673"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NB</w:t>
            </w:r>
          </w:p>
        </w:tc>
        <w:tc>
          <w:tcPr>
            <w:tcW w:w="1289" w:type="dxa"/>
            <w:shd w:val="clear" w:color="auto" w:fill="F2F2F2"/>
            <w:vAlign w:val="center"/>
          </w:tcPr>
          <w:p w14:paraId="0773B674"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NB</w:t>
            </w:r>
          </w:p>
        </w:tc>
        <w:tc>
          <w:tcPr>
            <w:tcW w:w="1134" w:type="dxa"/>
            <w:shd w:val="clear" w:color="auto" w:fill="E5F7CA"/>
            <w:vAlign w:val="center"/>
          </w:tcPr>
          <w:p w14:paraId="0773B675"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w:t>
            </w:r>
          </w:p>
        </w:tc>
        <w:tc>
          <w:tcPr>
            <w:tcW w:w="1275" w:type="dxa"/>
            <w:shd w:val="clear" w:color="auto" w:fill="E5F7CA"/>
            <w:vAlign w:val="center"/>
          </w:tcPr>
          <w:p w14:paraId="0773B676"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w:t>
            </w:r>
          </w:p>
        </w:tc>
      </w:tr>
      <w:tr w:rsidR="001D1A30" w:rsidRPr="0058349C" w14:paraId="0773B681" w14:textId="77777777" w:rsidTr="00C525CB">
        <w:trPr>
          <w:trHeight w:val="20"/>
        </w:trPr>
        <w:tc>
          <w:tcPr>
            <w:tcW w:w="384" w:type="dxa"/>
            <w:vMerge w:val="restart"/>
            <w:shd w:val="clear" w:color="auto" w:fill="F2F2F2"/>
          </w:tcPr>
          <w:p w14:paraId="0773B678" w14:textId="77777777" w:rsidR="001D1A30" w:rsidRPr="0058349C" w:rsidRDefault="001D1A30" w:rsidP="00CF7694">
            <w:pPr>
              <w:spacing w:after="0" w:line="240" w:lineRule="auto"/>
              <w:rPr>
                <w:rFonts w:ascii="Garamond" w:eastAsia="Arial" w:hAnsi="Garamond"/>
                <w:b/>
                <w:sz w:val="18"/>
                <w:szCs w:val="18"/>
                <w:lang w:val="sq-AL"/>
              </w:rPr>
            </w:pPr>
          </w:p>
        </w:tc>
        <w:tc>
          <w:tcPr>
            <w:tcW w:w="3567" w:type="dxa"/>
            <w:shd w:val="clear" w:color="auto" w:fill="F2F2F2"/>
          </w:tcPr>
          <w:p w14:paraId="0773B679" w14:textId="77777777" w:rsidR="001D1A30" w:rsidRPr="0058349C" w:rsidRDefault="001D1A30" w:rsidP="00CF7694">
            <w:pPr>
              <w:spacing w:after="0" w:line="240" w:lineRule="auto"/>
              <w:rPr>
                <w:rFonts w:ascii="Garamond" w:eastAsia="Arial Narrow" w:hAnsi="Garamond" w:cs="Arial Narrow"/>
                <w:b/>
                <w:bCs/>
                <w:sz w:val="18"/>
                <w:szCs w:val="18"/>
                <w:lang w:val="sq-AL"/>
              </w:rPr>
            </w:pPr>
            <w:r w:rsidRPr="0058349C">
              <w:rPr>
                <w:rFonts w:ascii="Garamond" w:eastAsia="Arial Narrow" w:hAnsi="Garamond" w:cs="Arial Narrow"/>
                <w:b/>
                <w:bCs/>
                <w:sz w:val="18"/>
                <w:szCs w:val="18"/>
                <w:lang w:val="sq-AL"/>
              </w:rPr>
              <w:t>Programi mbështetës për peshkimin në shkallë të vogël dhe formalizimi i sektorit</w:t>
            </w:r>
          </w:p>
        </w:tc>
        <w:tc>
          <w:tcPr>
            <w:tcW w:w="2526" w:type="dxa"/>
            <w:shd w:val="clear" w:color="auto" w:fill="F2F2F2"/>
          </w:tcPr>
          <w:p w14:paraId="0773B67A" w14:textId="77777777" w:rsidR="001D1A30" w:rsidRPr="0058349C" w:rsidRDefault="001D1A30" w:rsidP="00CF7694">
            <w:pPr>
              <w:spacing w:after="0" w:line="240" w:lineRule="auto"/>
              <w:rPr>
                <w:rFonts w:ascii="Garamond" w:hAnsi="Garamond"/>
                <w:sz w:val="18"/>
                <w:szCs w:val="18"/>
                <w:lang w:val="sq-AL"/>
              </w:rPr>
            </w:pPr>
            <w:r w:rsidRPr="0058349C">
              <w:rPr>
                <w:rFonts w:ascii="Garamond" w:hAnsi="Garamond"/>
                <w:sz w:val="18"/>
                <w:szCs w:val="18"/>
                <w:lang w:val="sq-AL"/>
              </w:rPr>
              <w:t>Numri i varkave të peshkimit që hyjnë në skemën e karburantit do të arrijë në 700 deri në vitin 2027.</w:t>
            </w:r>
          </w:p>
        </w:tc>
        <w:tc>
          <w:tcPr>
            <w:tcW w:w="1419" w:type="dxa"/>
            <w:shd w:val="clear" w:color="auto" w:fill="F2F2F2"/>
            <w:vAlign w:val="center"/>
          </w:tcPr>
          <w:p w14:paraId="0773B67B" w14:textId="77777777" w:rsidR="001D1A30" w:rsidRPr="0058349C" w:rsidRDefault="001D1A30"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Buxheti duke filluar nga viti 2025</w:t>
            </w:r>
          </w:p>
        </w:tc>
        <w:tc>
          <w:tcPr>
            <w:tcW w:w="1288" w:type="dxa"/>
            <w:shd w:val="clear" w:color="auto" w:fill="F2F2F2"/>
            <w:vAlign w:val="center"/>
          </w:tcPr>
          <w:p w14:paraId="0773B67C"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67D"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9" w:type="dxa"/>
            <w:shd w:val="clear" w:color="auto" w:fill="F2F2F2"/>
            <w:vAlign w:val="center"/>
          </w:tcPr>
          <w:p w14:paraId="0773B67E"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134" w:type="dxa"/>
            <w:shd w:val="clear" w:color="auto" w:fill="E5F7CA"/>
            <w:vAlign w:val="center"/>
          </w:tcPr>
          <w:p w14:paraId="0773B67F"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75" w:type="dxa"/>
            <w:shd w:val="clear" w:color="auto" w:fill="E5F7CA"/>
            <w:vAlign w:val="center"/>
          </w:tcPr>
          <w:p w14:paraId="0773B680"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700</w:t>
            </w:r>
          </w:p>
        </w:tc>
      </w:tr>
      <w:tr w:rsidR="001D1A30" w:rsidRPr="0058349C" w14:paraId="0773B68B" w14:textId="77777777" w:rsidTr="00C525CB">
        <w:trPr>
          <w:trHeight w:val="20"/>
        </w:trPr>
        <w:tc>
          <w:tcPr>
            <w:tcW w:w="384" w:type="dxa"/>
            <w:vMerge/>
            <w:shd w:val="clear" w:color="auto" w:fill="F2F2F2"/>
          </w:tcPr>
          <w:p w14:paraId="0773B682" w14:textId="77777777" w:rsidR="001D1A30" w:rsidRPr="0058349C" w:rsidRDefault="001D1A30" w:rsidP="00CF7694">
            <w:pPr>
              <w:spacing w:after="0" w:line="240" w:lineRule="auto"/>
              <w:rPr>
                <w:rFonts w:ascii="Garamond" w:eastAsia="Arial" w:hAnsi="Garamond"/>
                <w:b/>
                <w:sz w:val="18"/>
                <w:szCs w:val="18"/>
                <w:lang w:val="sq-AL"/>
              </w:rPr>
            </w:pPr>
          </w:p>
        </w:tc>
        <w:tc>
          <w:tcPr>
            <w:tcW w:w="3567" w:type="dxa"/>
            <w:shd w:val="clear" w:color="auto" w:fill="F2F2F2"/>
          </w:tcPr>
          <w:p w14:paraId="0773B683" w14:textId="77777777" w:rsidR="001D1A30" w:rsidRPr="0058349C" w:rsidRDefault="001D1A30" w:rsidP="00CF7694">
            <w:pPr>
              <w:spacing w:after="0" w:line="240" w:lineRule="auto"/>
              <w:rPr>
                <w:rFonts w:ascii="Garamond" w:eastAsia="Arial Narrow" w:hAnsi="Garamond" w:cs="Arial Narrow"/>
                <w:b/>
                <w:bCs/>
                <w:sz w:val="18"/>
                <w:szCs w:val="18"/>
                <w:lang w:val="sq-AL"/>
              </w:rPr>
            </w:pPr>
            <w:r w:rsidRPr="0058349C">
              <w:rPr>
                <w:rFonts w:ascii="Garamond" w:eastAsia="Arial Narrow" w:hAnsi="Garamond" w:cs="Arial Narrow"/>
                <w:b/>
                <w:bCs/>
                <w:sz w:val="18"/>
                <w:szCs w:val="18"/>
                <w:lang w:val="sq-AL"/>
              </w:rPr>
              <w:t>Programi mbështetës për peshkimin në shkallë të vogël dhe formalizimi i sektorit dhe ndërtimi i vendeve të zbarkimit për peshkimin në shkallë të vogël</w:t>
            </w:r>
          </w:p>
        </w:tc>
        <w:tc>
          <w:tcPr>
            <w:tcW w:w="2526" w:type="dxa"/>
            <w:shd w:val="clear" w:color="auto" w:fill="F2F2F2"/>
          </w:tcPr>
          <w:p w14:paraId="0773B684" w14:textId="77777777" w:rsidR="001D1A30" w:rsidRPr="0058349C" w:rsidRDefault="001D1A30" w:rsidP="00CF7694">
            <w:pPr>
              <w:spacing w:after="0" w:line="240" w:lineRule="auto"/>
              <w:rPr>
                <w:rFonts w:ascii="Garamond" w:hAnsi="Garamond"/>
                <w:sz w:val="18"/>
                <w:szCs w:val="18"/>
                <w:lang w:val="sq-AL"/>
              </w:rPr>
            </w:pPr>
            <w:r w:rsidRPr="0058349C">
              <w:rPr>
                <w:rFonts w:ascii="Garamond" w:hAnsi="Garamond"/>
                <w:sz w:val="18"/>
                <w:szCs w:val="18"/>
                <w:lang w:val="sq-AL"/>
              </w:rPr>
              <w:t>Numri i vendeve të ndërtuara të zbarkimit për peshkim në shkallë të vogël do të arrijë në 3 deri në vitin 2027.</w:t>
            </w:r>
          </w:p>
        </w:tc>
        <w:tc>
          <w:tcPr>
            <w:tcW w:w="1419" w:type="dxa"/>
            <w:shd w:val="clear" w:color="auto" w:fill="F2F2F2"/>
            <w:vAlign w:val="center"/>
          </w:tcPr>
          <w:p w14:paraId="0773B685" w14:textId="77777777" w:rsidR="001D1A30" w:rsidRPr="0058349C" w:rsidRDefault="001D1A30"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Buxheti duke filluar nga viti 2025</w:t>
            </w:r>
          </w:p>
        </w:tc>
        <w:tc>
          <w:tcPr>
            <w:tcW w:w="1288" w:type="dxa"/>
            <w:shd w:val="clear" w:color="auto" w:fill="F2F2F2"/>
            <w:vAlign w:val="center"/>
          </w:tcPr>
          <w:p w14:paraId="0773B686"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687"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9" w:type="dxa"/>
            <w:shd w:val="clear" w:color="auto" w:fill="F2F2F2"/>
            <w:vAlign w:val="center"/>
          </w:tcPr>
          <w:p w14:paraId="0773B688"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134" w:type="dxa"/>
            <w:shd w:val="clear" w:color="auto" w:fill="E5F7CA"/>
            <w:vAlign w:val="center"/>
          </w:tcPr>
          <w:p w14:paraId="0773B689"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75" w:type="dxa"/>
            <w:shd w:val="clear" w:color="auto" w:fill="E5F7CA"/>
            <w:vAlign w:val="center"/>
          </w:tcPr>
          <w:p w14:paraId="0773B68A"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w:t>
            </w:r>
          </w:p>
        </w:tc>
      </w:tr>
      <w:tr w:rsidR="001D1A30" w:rsidRPr="0058349C" w14:paraId="0773B695" w14:textId="77777777" w:rsidTr="00C525CB">
        <w:trPr>
          <w:trHeight w:val="20"/>
        </w:trPr>
        <w:tc>
          <w:tcPr>
            <w:tcW w:w="384" w:type="dxa"/>
            <w:shd w:val="clear" w:color="auto" w:fill="F2F2F2"/>
          </w:tcPr>
          <w:p w14:paraId="0773B68C" w14:textId="77777777" w:rsidR="001D1A30" w:rsidRPr="0058349C" w:rsidRDefault="001D1A30" w:rsidP="00CF7694">
            <w:pPr>
              <w:spacing w:after="0" w:line="240" w:lineRule="auto"/>
              <w:rPr>
                <w:rFonts w:ascii="Garamond" w:eastAsia="Arial" w:hAnsi="Garamond"/>
                <w:b/>
                <w:sz w:val="18"/>
                <w:szCs w:val="18"/>
                <w:lang w:val="sq-AL"/>
              </w:rPr>
            </w:pPr>
          </w:p>
        </w:tc>
        <w:tc>
          <w:tcPr>
            <w:tcW w:w="3567" w:type="dxa"/>
            <w:shd w:val="clear" w:color="auto" w:fill="F2F2F2"/>
          </w:tcPr>
          <w:p w14:paraId="0773B68D" w14:textId="77777777" w:rsidR="001D1A30" w:rsidRPr="0058349C" w:rsidRDefault="001D1A30" w:rsidP="00CF7694">
            <w:pPr>
              <w:spacing w:after="0" w:line="240" w:lineRule="auto"/>
              <w:rPr>
                <w:rFonts w:ascii="Garamond" w:eastAsia="Arial" w:hAnsi="Garamond"/>
                <w:b/>
                <w:bCs/>
                <w:sz w:val="18"/>
                <w:szCs w:val="18"/>
                <w:lang w:val="sq-AL"/>
              </w:rPr>
            </w:pPr>
            <w:r w:rsidRPr="0058349C">
              <w:rPr>
                <w:rFonts w:ascii="Garamond" w:eastAsia="Arial Narrow" w:hAnsi="Garamond" w:cs="Arial Narrow"/>
                <w:b/>
                <w:bCs/>
                <w:sz w:val="18"/>
                <w:szCs w:val="18"/>
                <w:lang w:val="sq-AL"/>
              </w:rPr>
              <w:t xml:space="preserve">Rritja e kuotave të eksportit për speciet që </w:t>
            </w:r>
            <w:r w:rsidRPr="0058349C">
              <w:rPr>
                <w:rFonts w:ascii="Garamond" w:eastAsia="Arial Narrow" w:hAnsi="Garamond" w:cs="Arial Narrow"/>
                <w:b/>
                <w:bCs/>
                <w:sz w:val="18"/>
                <w:szCs w:val="18"/>
                <w:lang w:val="sq-AL"/>
              </w:rPr>
              <w:lastRenderedPageBreak/>
              <w:t>aktualisht janë të kufizuara për import në BE</w:t>
            </w:r>
          </w:p>
        </w:tc>
        <w:tc>
          <w:tcPr>
            <w:tcW w:w="2526" w:type="dxa"/>
            <w:shd w:val="clear" w:color="auto" w:fill="F2F2F2"/>
            <w:vAlign w:val="center"/>
          </w:tcPr>
          <w:p w14:paraId="0773B68E" w14:textId="1F270DC7" w:rsidR="001D1A30" w:rsidRPr="0058349C" w:rsidRDefault="009F203D" w:rsidP="00CF7694">
            <w:pPr>
              <w:spacing w:after="0" w:line="240" w:lineRule="auto"/>
              <w:rPr>
                <w:rFonts w:ascii="Garamond" w:eastAsia="Arial" w:hAnsi="Garamond"/>
                <w:sz w:val="18"/>
                <w:szCs w:val="18"/>
                <w:lang w:val="sq-AL"/>
              </w:rPr>
            </w:pPr>
            <w:r>
              <w:rPr>
                <w:rFonts w:ascii="Garamond" w:eastAsia="Arial" w:hAnsi="Garamond"/>
                <w:sz w:val="18"/>
                <w:szCs w:val="18"/>
                <w:lang w:val="sq-AL"/>
              </w:rPr>
              <w:lastRenderedPageBreak/>
              <w:t>Numri i kuotave të negociuara</w:t>
            </w:r>
            <w:r w:rsidR="001D1A30" w:rsidRPr="0058349C">
              <w:rPr>
                <w:rFonts w:ascii="Garamond" w:hAnsi="Garamond"/>
                <w:sz w:val="18"/>
                <w:szCs w:val="18"/>
                <w:lang w:val="sq-AL"/>
              </w:rPr>
              <w:t>.</w:t>
            </w:r>
          </w:p>
        </w:tc>
        <w:tc>
          <w:tcPr>
            <w:tcW w:w="1419" w:type="dxa"/>
            <w:shd w:val="clear" w:color="auto" w:fill="F2F2F2"/>
            <w:vAlign w:val="center"/>
          </w:tcPr>
          <w:p w14:paraId="0773B68F"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690"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691"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9" w:type="dxa"/>
            <w:shd w:val="clear" w:color="auto" w:fill="F2F2F2"/>
            <w:vAlign w:val="center"/>
          </w:tcPr>
          <w:p w14:paraId="0773B692"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134" w:type="dxa"/>
            <w:shd w:val="clear" w:color="auto" w:fill="E5F7CA"/>
            <w:vAlign w:val="center"/>
          </w:tcPr>
          <w:p w14:paraId="0773B693"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w:t>
            </w:r>
          </w:p>
        </w:tc>
        <w:tc>
          <w:tcPr>
            <w:tcW w:w="1275" w:type="dxa"/>
            <w:shd w:val="clear" w:color="auto" w:fill="E5F7CA"/>
            <w:vAlign w:val="center"/>
          </w:tcPr>
          <w:p w14:paraId="0773B694"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w:t>
            </w:r>
          </w:p>
        </w:tc>
      </w:tr>
      <w:tr w:rsidR="001D1A30" w:rsidRPr="0058349C" w14:paraId="0773B69F" w14:textId="77777777" w:rsidTr="00C525CB">
        <w:trPr>
          <w:trHeight w:val="20"/>
        </w:trPr>
        <w:tc>
          <w:tcPr>
            <w:tcW w:w="384" w:type="dxa"/>
            <w:shd w:val="clear" w:color="auto" w:fill="F2F2F2"/>
          </w:tcPr>
          <w:p w14:paraId="0773B696" w14:textId="77777777" w:rsidR="001D1A30" w:rsidRPr="0058349C" w:rsidRDefault="001D1A30" w:rsidP="00CF7694">
            <w:pPr>
              <w:spacing w:after="0" w:line="240" w:lineRule="auto"/>
              <w:rPr>
                <w:rFonts w:ascii="Garamond" w:eastAsia="Arial" w:hAnsi="Garamond"/>
                <w:b/>
                <w:sz w:val="18"/>
                <w:szCs w:val="18"/>
                <w:lang w:val="sq-AL"/>
              </w:rPr>
            </w:pPr>
          </w:p>
        </w:tc>
        <w:tc>
          <w:tcPr>
            <w:tcW w:w="3567" w:type="dxa"/>
            <w:shd w:val="clear" w:color="auto" w:fill="F2F2F2"/>
          </w:tcPr>
          <w:p w14:paraId="0773B697" w14:textId="6199E93C" w:rsidR="001D1A30" w:rsidRPr="0058349C" w:rsidRDefault="001D1A30" w:rsidP="00C525CB">
            <w:pPr>
              <w:spacing w:after="0" w:line="240" w:lineRule="auto"/>
              <w:rPr>
                <w:rFonts w:ascii="Garamond" w:eastAsia="Arial" w:hAnsi="Garamond"/>
                <w:b/>
                <w:bCs/>
                <w:sz w:val="18"/>
                <w:szCs w:val="18"/>
                <w:lang w:val="sq-AL"/>
              </w:rPr>
            </w:pPr>
            <w:r w:rsidRPr="0058349C">
              <w:rPr>
                <w:rFonts w:ascii="Garamond" w:eastAsia="Arial Narrow" w:hAnsi="Garamond" w:cs="Arial Narrow"/>
                <w:b/>
                <w:bCs/>
                <w:sz w:val="18"/>
                <w:szCs w:val="18"/>
                <w:lang w:val="sq-AL"/>
              </w:rPr>
              <w:t>Llojet e reja që i nënshtrohen përpunimit (p.sh., molusqet).</w:t>
            </w:r>
          </w:p>
        </w:tc>
        <w:tc>
          <w:tcPr>
            <w:tcW w:w="2526" w:type="dxa"/>
            <w:shd w:val="clear" w:color="auto" w:fill="F2F2F2"/>
          </w:tcPr>
          <w:p w14:paraId="0773B698" w14:textId="77777777" w:rsidR="001D1A30" w:rsidRPr="0058349C" w:rsidRDefault="001D1A30"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specieve të reja që jan</w:t>
            </w:r>
            <w:r w:rsidRPr="0058349C">
              <w:rPr>
                <w:rFonts w:ascii="Garamond" w:hAnsi="Garamond"/>
                <w:sz w:val="18"/>
                <w:szCs w:val="18"/>
                <w:lang w:val="sq-AL"/>
              </w:rPr>
              <w:t>ë objekt për</w:t>
            </w:r>
            <w:r w:rsidRPr="0058349C">
              <w:rPr>
                <w:rFonts w:ascii="Garamond" w:eastAsia="Arial" w:hAnsi="Garamond"/>
                <w:sz w:val="18"/>
                <w:szCs w:val="18"/>
                <w:lang w:val="sq-AL"/>
              </w:rPr>
              <w:t xml:space="preserve"> përpunim do t</w:t>
            </w:r>
            <w:r w:rsidRPr="0058349C">
              <w:rPr>
                <w:rFonts w:ascii="Garamond" w:hAnsi="Garamond"/>
                <w:sz w:val="18"/>
                <w:szCs w:val="18"/>
                <w:lang w:val="sq-AL"/>
              </w:rPr>
              <w:t>ë shtohet me 10 specie deri në vitin 2024.</w:t>
            </w:r>
          </w:p>
        </w:tc>
        <w:tc>
          <w:tcPr>
            <w:tcW w:w="1419" w:type="dxa"/>
            <w:shd w:val="clear" w:color="auto" w:fill="F2F2F2"/>
            <w:vAlign w:val="center"/>
          </w:tcPr>
          <w:p w14:paraId="0773B699"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69A"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69B"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9" w:type="dxa"/>
            <w:shd w:val="clear" w:color="auto" w:fill="F2F2F2"/>
            <w:vAlign w:val="center"/>
          </w:tcPr>
          <w:p w14:paraId="0773B69C"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134" w:type="dxa"/>
            <w:shd w:val="clear" w:color="auto" w:fill="auto"/>
            <w:vAlign w:val="center"/>
          </w:tcPr>
          <w:p w14:paraId="0773B69D"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w:t>
            </w:r>
          </w:p>
        </w:tc>
        <w:tc>
          <w:tcPr>
            <w:tcW w:w="1275" w:type="dxa"/>
            <w:shd w:val="clear" w:color="auto" w:fill="auto"/>
            <w:vAlign w:val="center"/>
          </w:tcPr>
          <w:p w14:paraId="0773B69E" w14:textId="77777777" w:rsidR="001D1A30" w:rsidRPr="0058349C" w:rsidRDefault="001D1A30"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w:t>
            </w:r>
          </w:p>
        </w:tc>
      </w:tr>
    </w:tbl>
    <w:p w14:paraId="0773B6A0" w14:textId="77777777" w:rsidR="001D1A30" w:rsidRPr="0058349C" w:rsidRDefault="001D1A30" w:rsidP="00C54AEA">
      <w:pPr>
        <w:pStyle w:val="TEKSTIIII"/>
        <w:rPr>
          <w:lang w:val="sq-AL"/>
        </w:rPr>
      </w:pPr>
    </w:p>
    <w:tbl>
      <w:tblPr>
        <w:tblpPr w:leftFromText="180" w:rightFromText="180" w:vertAnchor="text" w:tblpXSpec="center" w:tblpY="1"/>
        <w:tblOverlap w:val="neve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
        <w:gridCol w:w="3567"/>
        <w:gridCol w:w="2526"/>
        <w:gridCol w:w="1419"/>
        <w:gridCol w:w="1305"/>
        <w:gridCol w:w="1277"/>
        <w:gridCol w:w="1283"/>
        <w:gridCol w:w="1134"/>
        <w:gridCol w:w="1275"/>
      </w:tblGrid>
      <w:tr w:rsidR="00A84CAF" w:rsidRPr="0058349C" w14:paraId="0773B6A3" w14:textId="77777777" w:rsidTr="00C525CB">
        <w:trPr>
          <w:trHeight w:val="20"/>
        </w:trPr>
        <w:tc>
          <w:tcPr>
            <w:tcW w:w="384" w:type="dxa"/>
            <w:shd w:val="clear" w:color="auto" w:fill="E5F7CA"/>
          </w:tcPr>
          <w:p w14:paraId="0773B6A1" w14:textId="77777777" w:rsidR="00A84CAF" w:rsidRPr="0058349C" w:rsidRDefault="00A84CAF" w:rsidP="00CF7694">
            <w:pPr>
              <w:spacing w:after="0" w:line="240" w:lineRule="auto"/>
              <w:rPr>
                <w:rFonts w:ascii="Garamond" w:eastAsia="Arial" w:hAnsi="Garamond"/>
                <w:b/>
                <w:sz w:val="18"/>
                <w:szCs w:val="18"/>
                <w:lang w:val="sq-AL"/>
              </w:rPr>
            </w:pPr>
          </w:p>
        </w:tc>
        <w:tc>
          <w:tcPr>
            <w:tcW w:w="13786" w:type="dxa"/>
            <w:gridSpan w:val="8"/>
            <w:shd w:val="clear" w:color="auto" w:fill="E5F7CA"/>
            <w:vAlign w:val="center"/>
          </w:tcPr>
          <w:p w14:paraId="0773B6A2" w14:textId="77777777" w:rsidR="00A84CAF" w:rsidRPr="0058349C" w:rsidRDefault="00A84CAF" w:rsidP="00CF7694">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Objektivi specifik 10: Nxitja e peshkimit të qëndrueshëm dhe ruajtja e burimeve biologjike detare</w:t>
            </w:r>
          </w:p>
        </w:tc>
      </w:tr>
      <w:tr w:rsidR="00A84CAF" w:rsidRPr="0058349C" w14:paraId="0773B6AA" w14:textId="77777777" w:rsidTr="00C525CB">
        <w:trPr>
          <w:trHeight w:val="20"/>
        </w:trPr>
        <w:tc>
          <w:tcPr>
            <w:tcW w:w="384" w:type="dxa"/>
            <w:shd w:val="clear" w:color="auto" w:fill="E5F7CA"/>
          </w:tcPr>
          <w:p w14:paraId="0773B6A4" w14:textId="77777777" w:rsidR="00A84CAF" w:rsidRPr="0058349C" w:rsidRDefault="00A84CAF" w:rsidP="00CF7694">
            <w:pPr>
              <w:spacing w:after="0" w:line="240" w:lineRule="auto"/>
              <w:rPr>
                <w:rFonts w:ascii="Garamond" w:eastAsia="Arial" w:hAnsi="Garamond"/>
                <w:b/>
                <w:sz w:val="18"/>
                <w:szCs w:val="18"/>
                <w:lang w:val="sq-AL"/>
              </w:rPr>
            </w:pPr>
          </w:p>
        </w:tc>
        <w:tc>
          <w:tcPr>
            <w:tcW w:w="6093" w:type="dxa"/>
            <w:gridSpan w:val="2"/>
            <w:shd w:val="clear" w:color="auto" w:fill="E5F7CA"/>
          </w:tcPr>
          <w:p w14:paraId="0773B6A5" w14:textId="68959C54" w:rsidR="00A84CAF" w:rsidRPr="0058349C" w:rsidRDefault="00A84CAF" w:rsidP="00CF7694">
            <w:pPr>
              <w:spacing w:after="0" w:line="240" w:lineRule="auto"/>
              <w:rPr>
                <w:rFonts w:ascii="Garamond" w:eastAsia="Arial" w:hAnsi="Garamond"/>
                <w:sz w:val="18"/>
                <w:szCs w:val="18"/>
                <w:lang w:val="sq-AL"/>
              </w:rPr>
            </w:pPr>
            <w:r w:rsidRPr="0058349C">
              <w:rPr>
                <w:rFonts w:ascii="Garamond" w:eastAsia="Arial" w:hAnsi="Garamond"/>
                <w:b/>
                <w:bCs/>
                <w:sz w:val="18"/>
                <w:szCs w:val="18"/>
                <w:lang w:val="sq-AL"/>
              </w:rPr>
              <w:t xml:space="preserve">Treguesi i rezultatit 10.1: </w:t>
            </w:r>
            <w:r w:rsidRPr="0058349C">
              <w:rPr>
                <w:rFonts w:ascii="Garamond" w:eastAsia="Arial" w:hAnsi="Garamond"/>
                <w:bCs/>
                <w:sz w:val="18"/>
                <w:szCs w:val="18"/>
                <w:lang w:val="sq-AL"/>
              </w:rPr>
              <w:t>Monitorimi p</w:t>
            </w:r>
            <w:r w:rsidRPr="0058349C">
              <w:rPr>
                <w:rStyle w:val="normaltextrun"/>
                <w:rFonts w:ascii="Garamond" w:eastAsia="Arial" w:hAnsi="Garamond"/>
                <w:bCs/>
                <w:sz w:val="18"/>
                <w:szCs w:val="18"/>
                <w:lang w:val="sq-AL"/>
              </w:rPr>
              <w:t>ër mirëm</w:t>
            </w:r>
            <w:r w:rsidR="00C525CB">
              <w:rPr>
                <w:rStyle w:val="normaltextrun"/>
                <w:rFonts w:ascii="Garamond" w:eastAsia="Arial" w:hAnsi="Garamond"/>
                <w:bCs/>
                <w:sz w:val="18"/>
                <w:szCs w:val="18"/>
                <w:lang w:val="sq-AL"/>
              </w:rPr>
              <w:t>e</w:t>
            </w:r>
            <w:r w:rsidRPr="0058349C">
              <w:rPr>
                <w:rStyle w:val="normaltextrun"/>
                <w:rFonts w:ascii="Garamond" w:eastAsia="Arial" w:hAnsi="Garamond"/>
                <w:bCs/>
                <w:sz w:val="18"/>
                <w:szCs w:val="18"/>
                <w:lang w:val="sq-AL"/>
              </w:rPr>
              <w:t>naxhimin e</w:t>
            </w:r>
            <w:r w:rsidRPr="0058349C">
              <w:rPr>
                <w:rFonts w:ascii="Garamond" w:eastAsia="Arial" w:hAnsi="Garamond"/>
                <w:bCs/>
                <w:sz w:val="18"/>
                <w:szCs w:val="18"/>
                <w:lang w:val="sq-AL"/>
              </w:rPr>
              <w:t xml:space="preserve"> rezerv</w:t>
            </w:r>
            <w:r w:rsidRPr="0058349C">
              <w:rPr>
                <w:rStyle w:val="normaltextrun"/>
                <w:rFonts w:ascii="Garamond" w:eastAsia="Arial" w:hAnsi="Garamond"/>
                <w:bCs/>
                <w:sz w:val="18"/>
                <w:szCs w:val="18"/>
                <w:lang w:val="sq-AL"/>
              </w:rPr>
              <w:t>ës</w:t>
            </w:r>
            <w:r w:rsidR="00CF7694" w:rsidRPr="0058349C">
              <w:rPr>
                <w:rFonts w:ascii="Garamond" w:hAnsi="Garamond"/>
                <w:sz w:val="18"/>
                <w:lang w:val="sq-AL"/>
              </w:rPr>
              <w:t xml:space="preserve"> </w:t>
            </w:r>
            <w:r w:rsidRPr="0058349C">
              <w:rPr>
                <w:rFonts w:ascii="Garamond" w:eastAsia="Arial" w:hAnsi="Garamond"/>
                <w:bCs/>
                <w:sz w:val="18"/>
                <w:szCs w:val="18"/>
                <w:lang w:val="sq-AL"/>
              </w:rPr>
              <w:t>peshkore t</w:t>
            </w:r>
            <w:r w:rsidRPr="0058349C">
              <w:rPr>
                <w:rFonts w:ascii="Garamond" w:hAnsi="Garamond"/>
                <w:sz w:val="18"/>
                <w:szCs w:val="18"/>
                <w:lang w:val="sq-AL"/>
              </w:rPr>
              <w:t>ë</w:t>
            </w:r>
            <w:r w:rsidRPr="0058349C">
              <w:rPr>
                <w:rFonts w:ascii="Garamond" w:eastAsia="Arial" w:hAnsi="Garamond"/>
                <w:bCs/>
                <w:sz w:val="18"/>
                <w:szCs w:val="18"/>
                <w:lang w:val="sq-AL"/>
              </w:rPr>
              <w:t xml:space="preserve"> faunës së peshkut detar me interes tregtar në krahasim me nivelet ekzistuese do t</w:t>
            </w:r>
            <w:r w:rsidRPr="0058349C">
              <w:rPr>
                <w:rFonts w:ascii="Garamond" w:hAnsi="Garamond"/>
                <w:sz w:val="18"/>
                <w:szCs w:val="18"/>
                <w:lang w:val="sq-AL"/>
              </w:rPr>
              <w:t>ë arrij</w:t>
            </w:r>
            <w:r w:rsidRPr="0058349C">
              <w:rPr>
                <w:rStyle w:val="normaltextrun"/>
                <w:rFonts w:ascii="Garamond" w:eastAsia="Arial" w:hAnsi="Garamond"/>
                <w:bCs/>
                <w:sz w:val="18"/>
                <w:szCs w:val="18"/>
                <w:lang w:val="sq-AL"/>
              </w:rPr>
              <w:t>ë në masën</w:t>
            </w:r>
            <w:r w:rsidRPr="0058349C">
              <w:rPr>
                <w:rFonts w:ascii="Garamond" w:hAnsi="Garamond"/>
                <w:sz w:val="18"/>
                <w:szCs w:val="18"/>
                <w:lang w:val="sq-AL"/>
              </w:rPr>
              <w:t xml:space="preserve"> 100% deri në vitin 2024.</w:t>
            </w:r>
          </w:p>
        </w:tc>
        <w:tc>
          <w:tcPr>
            <w:tcW w:w="1419" w:type="dxa"/>
            <w:shd w:val="clear" w:color="auto" w:fill="E5F7CA"/>
            <w:vAlign w:val="center"/>
          </w:tcPr>
          <w:p w14:paraId="0773B6A6"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N/A</w:t>
            </w:r>
          </w:p>
        </w:tc>
        <w:tc>
          <w:tcPr>
            <w:tcW w:w="3865" w:type="dxa"/>
            <w:gridSpan w:val="3"/>
            <w:shd w:val="clear" w:color="auto" w:fill="E5F7CA"/>
            <w:vAlign w:val="center"/>
          </w:tcPr>
          <w:p w14:paraId="0773B6A7" w14:textId="77777777" w:rsidR="00A84CAF" w:rsidRPr="0058349C" w:rsidRDefault="00A84CAF" w:rsidP="00CF7694">
            <w:pPr>
              <w:spacing w:after="0" w:line="240" w:lineRule="auto"/>
              <w:jc w:val="center"/>
              <w:rPr>
                <w:rFonts w:ascii="Garamond" w:eastAsia="Arial" w:hAnsi="Garamond"/>
                <w:sz w:val="18"/>
                <w:szCs w:val="18"/>
                <w:lang w:val="sq-AL"/>
              </w:rPr>
            </w:pPr>
          </w:p>
        </w:tc>
        <w:tc>
          <w:tcPr>
            <w:tcW w:w="1134" w:type="dxa"/>
            <w:shd w:val="clear" w:color="auto" w:fill="E5F7CA"/>
            <w:vAlign w:val="center"/>
          </w:tcPr>
          <w:p w14:paraId="0773B6A8"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c>
          <w:tcPr>
            <w:tcW w:w="1275" w:type="dxa"/>
            <w:shd w:val="clear" w:color="auto" w:fill="E5F7CA"/>
            <w:vAlign w:val="center"/>
          </w:tcPr>
          <w:p w14:paraId="0773B6A9"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A84CAF" w:rsidRPr="0058349C" w14:paraId="0773B6B4" w14:textId="77777777" w:rsidTr="00C525CB">
        <w:trPr>
          <w:trHeight w:val="20"/>
        </w:trPr>
        <w:tc>
          <w:tcPr>
            <w:tcW w:w="384" w:type="dxa"/>
            <w:vMerge w:val="restart"/>
            <w:shd w:val="clear" w:color="auto" w:fill="F2F2F2"/>
            <w:vAlign w:val="center"/>
          </w:tcPr>
          <w:p w14:paraId="0773B6AB" w14:textId="77777777" w:rsidR="00A84CAF" w:rsidRPr="0058349C" w:rsidRDefault="00A84CAF" w:rsidP="00CF7694">
            <w:pPr>
              <w:spacing w:after="0" w:line="240" w:lineRule="auto"/>
              <w:jc w:val="center"/>
              <w:rPr>
                <w:rFonts w:ascii="Garamond" w:eastAsia="Arial" w:hAnsi="Garamond"/>
                <w:b/>
                <w:sz w:val="18"/>
                <w:szCs w:val="18"/>
                <w:lang w:val="sq-AL"/>
              </w:rPr>
            </w:pPr>
          </w:p>
        </w:tc>
        <w:tc>
          <w:tcPr>
            <w:tcW w:w="3567" w:type="dxa"/>
            <w:vMerge w:val="restart"/>
            <w:shd w:val="clear" w:color="auto" w:fill="F2F2F2"/>
            <w:vAlign w:val="center"/>
          </w:tcPr>
          <w:p w14:paraId="0773B6AC" w14:textId="769D8BF2" w:rsidR="00A84CAF" w:rsidRPr="0058349C" w:rsidRDefault="00A84CAF" w:rsidP="00CF7694">
            <w:pPr>
              <w:spacing w:after="0" w:line="240" w:lineRule="auto"/>
              <w:jc w:val="center"/>
              <w:rPr>
                <w:rFonts w:ascii="Garamond" w:eastAsia="Arial Narrow" w:hAnsi="Garamond" w:cs="Arial Narrow"/>
                <w:b/>
                <w:bCs/>
                <w:sz w:val="18"/>
                <w:szCs w:val="18"/>
                <w:lang w:val="sq-AL"/>
              </w:rPr>
            </w:pPr>
            <w:r w:rsidRPr="0058349C">
              <w:rPr>
                <w:rFonts w:ascii="Garamond" w:eastAsia="Arial" w:hAnsi="Garamond"/>
                <w:b/>
                <w:bCs/>
                <w:sz w:val="18"/>
                <w:szCs w:val="18"/>
                <w:lang w:val="sq-AL"/>
              </w:rPr>
              <w:t xml:space="preserve">Veprimi </w:t>
            </w:r>
            <w:r w:rsidR="00797859">
              <w:rPr>
                <w:rFonts w:ascii="Garamond" w:eastAsia="Arial" w:hAnsi="Garamond"/>
                <w:b/>
                <w:bCs/>
                <w:sz w:val="18"/>
                <w:szCs w:val="18"/>
                <w:lang w:val="sq-AL"/>
              </w:rPr>
              <w:t>/</w:t>
            </w:r>
            <w:r w:rsidR="00665273" w:rsidRPr="0058349C">
              <w:rPr>
                <w:rFonts w:ascii="Garamond" w:eastAsia="Arial" w:hAnsi="Garamond"/>
                <w:b/>
                <w:bCs/>
                <w:sz w:val="18"/>
                <w:szCs w:val="18"/>
                <w:lang w:val="sq-AL"/>
              </w:rPr>
              <w:t>ndërhyrja</w:t>
            </w:r>
          </w:p>
        </w:tc>
        <w:tc>
          <w:tcPr>
            <w:tcW w:w="2526" w:type="dxa"/>
            <w:vMerge w:val="restart"/>
            <w:shd w:val="clear" w:color="auto" w:fill="F2F2F2"/>
            <w:vAlign w:val="center"/>
          </w:tcPr>
          <w:p w14:paraId="0773B6AD"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 xml:space="preserve">Treguesi i </w:t>
            </w:r>
            <w:r w:rsidRPr="00665273">
              <w:rPr>
                <w:rFonts w:ascii="Garamond" w:eastAsia="Arial" w:hAnsi="Garamond"/>
                <w:b/>
                <w:bCs/>
                <w:i/>
                <w:iCs/>
                <w:sz w:val="18"/>
                <w:szCs w:val="18"/>
                <w:lang w:val="sq-AL"/>
              </w:rPr>
              <w:t>output</w:t>
            </w:r>
            <w:r w:rsidRPr="0058349C">
              <w:rPr>
                <w:rFonts w:ascii="Garamond" w:eastAsia="Arial" w:hAnsi="Garamond"/>
                <w:b/>
                <w:bCs/>
                <w:sz w:val="18"/>
                <w:szCs w:val="18"/>
                <w:lang w:val="sq-AL"/>
              </w:rPr>
              <w:t>-it</w:t>
            </w:r>
          </w:p>
        </w:tc>
        <w:tc>
          <w:tcPr>
            <w:tcW w:w="1419" w:type="dxa"/>
            <w:vMerge w:val="restart"/>
            <w:shd w:val="clear" w:color="auto" w:fill="F2F2F2"/>
            <w:vAlign w:val="center"/>
          </w:tcPr>
          <w:p w14:paraId="0773B6AE" w14:textId="20E84939" w:rsidR="00A84CAF" w:rsidRPr="0058349C" w:rsidRDefault="00665273" w:rsidP="00CF7694">
            <w:pPr>
              <w:spacing w:after="0" w:line="240" w:lineRule="auto"/>
              <w:jc w:val="center"/>
              <w:rPr>
                <w:rFonts w:ascii="Garamond" w:eastAsia="Arial" w:hAnsi="Garamond"/>
                <w:sz w:val="18"/>
                <w:szCs w:val="18"/>
                <w:lang w:val="sq-AL"/>
              </w:rPr>
            </w:pPr>
            <w:r>
              <w:rPr>
                <w:rFonts w:ascii="Garamond" w:eastAsia="Arial" w:hAnsi="Garamond"/>
                <w:b/>
                <w:bCs/>
                <w:sz w:val="18"/>
                <w:szCs w:val="18"/>
                <w:lang w:val="sq-AL"/>
              </w:rPr>
              <w:t>Buxheti total 2022</w:t>
            </w:r>
            <w:r w:rsidR="00A84CAF" w:rsidRPr="0058349C">
              <w:rPr>
                <w:rFonts w:ascii="Garamond" w:eastAsia="Arial" w:hAnsi="Garamond" w:cs="Arial"/>
                <w:b/>
                <w:bCs/>
                <w:sz w:val="18"/>
                <w:szCs w:val="18"/>
                <w:lang w:val="sq-AL"/>
              </w:rPr>
              <w:t>–</w:t>
            </w:r>
            <w:r w:rsidR="00A84CAF" w:rsidRPr="0058349C">
              <w:rPr>
                <w:rFonts w:ascii="Garamond" w:eastAsia="Arial" w:hAnsi="Garamond"/>
                <w:b/>
                <w:bCs/>
                <w:sz w:val="18"/>
                <w:szCs w:val="18"/>
                <w:lang w:val="sq-AL"/>
              </w:rPr>
              <w:t>2024 (EUR)</w:t>
            </w:r>
          </w:p>
        </w:tc>
        <w:tc>
          <w:tcPr>
            <w:tcW w:w="3865" w:type="dxa"/>
            <w:gridSpan w:val="3"/>
            <w:shd w:val="clear" w:color="auto" w:fill="F2F2F2"/>
            <w:vAlign w:val="center"/>
          </w:tcPr>
          <w:p w14:paraId="0773B6AF" w14:textId="77777777" w:rsidR="00A84CAF" w:rsidRPr="0058349C" w:rsidRDefault="00A84CAF"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Allocated budget (EUR)</w:t>
            </w:r>
          </w:p>
          <w:p w14:paraId="0773B6B0" w14:textId="15DCEAC9" w:rsidR="00A84CAF" w:rsidRPr="0058349C" w:rsidRDefault="00665273" w:rsidP="00CF7694">
            <w:pPr>
              <w:spacing w:after="0" w:line="240" w:lineRule="auto"/>
              <w:jc w:val="center"/>
              <w:rPr>
                <w:rFonts w:ascii="Garamond" w:eastAsia="Arial" w:hAnsi="Garamond"/>
                <w:b/>
                <w:bCs/>
                <w:sz w:val="18"/>
                <w:szCs w:val="18"/>
                <w:lang w:val="sq-AL"/>
              </w:rPr>
            </w:pPr>
            <w:r>
              <w:rPr>
                <w:rFonts w:ascii="Garamond" w:eastAsia="Arial" w:hAnsi="Garamond"/>
                <w:b/>
                <w:bCs/>
                <w:sz w:val="18"/>
                <w:szCs w:val="18"/>
                <w:lang w:val="sq-AL"/>
              </w:rPr>
              <w:t>2022</w:t>
            </w:r>
            <w:r w:rsidR="00A84CAF" w:rsidRPr="0058349C">
              <w:rPr>
                <w:rFonts w:ascii="Garamond" w:eastAsia="Arial" w:hAnsi="Garamond" w:cs="Arial"/>
                <w:b/>
                <w:bCs/>
                <w:sz w:val="18"/>
                <w:szCs w:val="18"/>
                <w:lang w:val="sq-AL"/>
              </w:rPr>
              <w:t>–</w:t>
            </w:r>
            <w:r w:rsidR="00A84CAF" w:rsidRPr="0058349C">
              <w:rPr>
                <w:rFonts w:ascii="Garamond" w:eastAsia="Arial" w:hAnsi="Garamond"/>
                <w:b/>
                <w:bCs/>
                <w:sz w:val="18"/>
                <w:szCs w:val="18"/>
                <w:lang w:val="sq-AL"/>
              </w:rPr>
              <w:t>2024</w:t>
            </w:r>
          </w:p>
          <w:p w14:paraId="0773B6B1" w14:textId="22B1C305"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 xml:space="preserve">(N = nevojitet, not </w:t>
            </w:r>
            <w:r w:rsidR="00665273">
              <w:rPr>
                <w:rFonts w:ascii="Garamond" w:eastAsia="Arial" w:hAnsi="Garamond"/>
                <w:b/>
                <w:bCs/>
                <w:sz w:val="18"/>
                <w:szCs w:val="18"/>
                <w:lang w:val="sq-AL"/>
              </w:rPr>
              <w:t>covered by the Buxheti Kombëtar</w:t>
            </w:r>
            <w:r w:rsidR="00797859">
              <w:rPr>
                <w:rFonts w:ascii="Garamond" w:eastAsia="Arial" w:hAnsi="Garamond"/>
                <w:b/>
                <w:bCs/>
                <w:sz w:val="18"/>
                <w:szCs w:val="18"/>
                <w:lang w:val="sq-AL"/>
              </w:rPr>
              <w:t>/</w:t>
            </w:r>
            <w:r w:rsidRPr="0058349C">
              <w:rPr>
                <w:rFonts w:ascii="Garamond" w:eastAsia="Arial" w:hAnsi="Garamond"/>
                <w:b/>
                <w:bCs/>
                <w:sz w:val="18"/>
                <w:szCs w:val="18"/>
                <w:lang w:val="sq-AL"/>
              </w:rPr>
              <w:t>IPA III budget</w:t>
            </w:r>
            <w:r w:rsidR="00797859">
              <w:rPr>
                <w:rFonts w:ascii="Garamond" w:eastAsia="Arial" w:hAnsi="Garamond"/>
                <w:b/>
                <w:bCs/>
                <w:sz w:val="18"/>
                <w:szCs w:val="18"/>
                <w:lang w:val="sq-AL"/>
              </w:rPr>
              <w:t>/</w:t>
            </w:r>
            <w:r w:rsidRPr="0058349C">
              <w:rPr>
                <w:rFonts w:ascii="Garamond" w:eastAsia="Arial" w:hAnsi="Garamond"/>
                <w:b/>
                <w:bCs/>
                <w:sz w:val="18"/>
                <w:szCs w:val="18"/>
                <w:lang w:val="sq-AL"/>
              </w:rPr>
              <w:t>Donatorët)</w:t>
            </w:r>
          </w:p>
        </w:tc>
        <w:tc>
          <w:tcPr>
            <w:tcW w:w="1134" w:type="dxa"/>
            <w:vMerge w:val="restart"/>
            <w:shd w:val="clear" w:color="auto" w:fill="E5F7CA"/>
            <w:vAlign w:val="center"/>
          </w:tcPr>
          <w:p w14:paraId="0773B6B2" w14:textId="77777777" w:rsidR="00A84CAF" w:rsidRPr="00665273" w:rsidRDefault="00A84CAF" w:rsidP="00CF7694">
            <w:pPr>
              <w:spacing w:after="0" w:line="240" w:lineRule="auto"/>
              <w:jc w:val="center"/>
              <w:rPr>
                <w:rFonts w:ascii="Garamond" w:eastAsia="Arial" w:hAnsi="Garamond"/>
                <w:b/>
                <w:bCs/>
                <w:sz w:val="18"/>
                <w:szCs w:val="18"/>
                <w:lang w:val="sq-AL"/>
              </w:rPr>
            </w:pPr>
            <w:r w:rsidRPr="00665273">
              <w:rPr>
                <w:rFonts w:ascii="Garamond" w:eastAsia="Arial" w:hAnsi="Garamond"/>
                <w:b/>
                <w:bCs/>
                <w:sz w:val="18"/>
                <w:szCs w:val="18"/>
                <w:lang w:val="sq-AL"/>
              </w:rPr>
              <w:t>Objektivi p</w:t>
            </w:r>
            <w:r w:rsidRPr="00665273">
              <w:rPr>
                <w:rFonts w:ascii="Garamond" w:hAnsi="Garamond"/>
                <w:b/>
                <w:bCs/>
                <w:sz w:val="18"/>
                <w:szCs w:val="18"/>
                <w:lang w:val="sq-AL"/>
              </w:rPr>
              <w:t xml:space="preserve">ër vitin </w:t>
            </w:r>
            <w:r w:rsidRPr="00665273">
              <w:rPr>
                <w:rFonts w:ascii="Garamond" w:eastAsia="Arial" w:hAnsi="Garamond"/>
                <w:b/>
                <w:bCs/>
                <w:sz w:val="18"/>
                <w:szCs w:val="18"/>
                <w:lang w:val="sq-AL"/>
              </w:rPr>
              <w:t>2024</w:t>
            </w:r>
          </w:p>
        </w:tc>
        <w:tc>
          <w:tcPr>
            <w:tcW w:w="1275" w:type="dxa"/>
            <w:vMerge w:val="restart"/>
            <w:shd w:val="clear" w:color="auto" w:fill="E5F7CA"/>
            <w:vAlign w:val="center"/>
          </w:tcPr>
          <w:p w14:paraId="0773B6B3" w14:textId="4D5A3669" w:rsidR="00A84CAF" w:rsidRPr="00665273" w:rsidRDefault="00A84CAF" w:rsidP="00CF7694">
            <w:pPr>
              <w:spacing w:after="0" w:line="240" w:lineRule="auto"/>
              <w:jc w:val="center"/>
              <w:rPr>
                <w:rFonts w:ascii="Garamond" w:eastAsia="Arial" w:hAnsi="Garamond"/>
                <w:b/>
                <w:bCs/>
                <w:sz w:val="18"/>
                <w:szCs w:val="18"/>
                <w:lang w:val="sq-AL"/>
              </w:rPr>
            </w:pPr>
            <w:r w:rsidRPr="00665273">
              <w:rPr>
                <w:rFonts w:ascii="Garamond" w:eastAsia="Arial" w:hAnsi="Garamond"/>
                <w:b/>
                <w:bCs/>
                <w:sz w:val="18"/>
                <w:szCs w:val="18"/>
                <w:lang w:val="sq-AL"/>
              </w:rPr>
              <w:t>Objektivi p</w:t>
            </w:r>
            <w:r w:rsidRPr="00665273">
              <w:rPr>
                <w:rFonts w:ascii="Garamond" w:hAnsi="Garamond"/>
                <w:b/>
                <w:bCs/>
                <w:sz w:val="18"/>
                <w:szCs w:val="18"/>
                <w:lang w:val="sq-AL"/>
              </w:rPr>
              <w:t>ër vitin</w:t>
            </w:r>
            <w:r w:rsidR="00CF7694" w:rsidRPr="00665273">
              <w:rPr>
                <w:rFonts w:ascii="Garamond" w:hAnsi="Garamond"/>
                <w:b/>
                <w:bCs/>
                <w:sz w:val="18"/>
                <w:szCs w:val="18"/>
                <w:lang w:val="sq-AL"/>
              </w:rPr>
              <w:t xml:space="preserve"> </w:t>
            </w:r>
            <w:r w:rsidRPr="00665273">
              <w:rPr>
                <w:rFonts w:ascii="Garamond" w:eastAsia="Arial" w:hAnsi="Garamond"/>
                <w:b/>
                <w:bCs/>
                <w:sz w:val="18"/>
                <w:szCs w:val="18"/>
                <w:lang w:val="sq-AL"/>
              </w:rPr>
              <w:t>2027</w:t>
            </w:r>
          </w:p>
        </w:tc>
      </w:tr>
      <w:tr w:rsidR="00A84CAF" w:rsidRPr="0058349C" w14:paraId="0773B6BE" w14:textId="77777777" w:rsidTr="00C525CB">
        <w:trPr>
          <w:trHeight w:val="20"/>
        </w:trPr>
        <w:tc>
          <w:tcPr>
            <w:tcW w:w="384" w:type="dxa"/>
            <w:vMerge/>
            <w:shd w:val="clear" w:color="auto" w:fill="F2F2F2"/>
            <w:vAlign w:val="center"/>
          </w:tcPr>
          <w:p w14:paraId="0773B6B5" w14:textId="77777777" w:rsidR="00A84CAF" w:rsidRPr="0058349C" w:rsidRDefault="00A84CAF" w:rsidP="00CF7694">
            <w:pPr>
              <w:spacing w:after="0" w:line="240" w:lineRule="auto"/>
              <w:jc w:val="center"/>
              <w:rPr>
                <w:rFonts w:ascii="Garamond" w:eastAsia="Arial" w:hAnsi="Garamond"/>
                <w:b/>
                <w:sz w:val="18"/>
                <w:szCs w:val="18"/>
                <w:lang w:val="sq-AL"/>
              </w:rPr>
            </w:pPr>
          </w:p>
        </w:tc>
        <w:tc>
          <w:tcPr>
            <w:tcW w:w="3567" w:type="dxa"/>
            <w:vMerge/>
            <w:shd w:val="clear" w:color="auto" w:fill="F2F2F2"/>
            <w:vAlign w:val="center"/>
          </w:tcPr>
          <w:p w14:paraId="0773B6B6" w14:textId="77777777" w:rsidR="00A84CAF" w:rsidRPr="0058349C" w:rsidRDefault="00A84CAF" w:rsidP="00CF7694">
            <w:pPr>
              <w:spacing w:after="0" w:line="240" w:lineRule="auto"/>
              <w:jc w:val="center"/>
              <w:rPr>
                <w:rFonts w:ascii="Garamond" w:eastAsia="Arial Narrow" w:hAnsi="Garamond" w:cs="Arial Narrow"/>
                <w:b/>
                <w:bCs/>
                <w:sz w:val="18"/>
                <w:szCs w:val="18"/>
                <w:lang w:val="sq-AL"/>
              </w:rPr>
            </w:pPr>
          </w:p>
        </w:tc>
        <w:tc>
          <w:tcPr>
            <w:tcW w:w="2526" w:type="dxa"/>
            <w:vMerge/>
            <w:shd w:val="clear" w:color="auto" w:fill="F2F2F2"/>
            <w:vAlign w:val="center"/>
          </w:tcPr>
          <w:p w14:paraId="0773B6B7" w14:textId="77777777" w:rsidR="00A84CAF" w:rsidRPr="0058349C" w:rsidRDefault="00A84CAF" w:rsidP="00CF7694">
            <w:pPr>
              <w:spacing w:after="0" w:line="240" w:lineRule="auto"/>
              <w:jc w:val="center"/>
              <w:rPr>
                <w:rFonts w:ascii="Garamond" w:eastAsia="Arial" w:hAnsi="Garamond"/>
                <w:sz w:val="18"/>
                <w:szCs w:val="18"/>
                <w:lang w:val="sq-AL"/>
              </w:rPr>
            </w:pPr>
          </w:p>
        </w:tc>
        <w:tc>
          <w:tcPr>
            <w:tcW w:w="1419" w:type="dxa"/>
            <w:vMerge/>
            <w:shd w:val="clear" w:color="auto" w:fill="F2F2F2"/>
            <w:vAlign w:val="center"/>
          </w:tcPr>
          <w:p w14:paraId="0773B6B8" w14:textId="77777777" w:rsidR="00A84CAF" w:rsidRPr="0058349C" w:rsidRDefault="00A84CAF" w:rsidP="00CF7694">
            <w:pPr>
              <w:spacing w:after="0" w:line="240" w:lineRule="auto"/>
              <w:jc w:val="center"/>
              <w:rPr>
                <w:rFonts w:ascii="Garamond" w:eastAsia="Arial" w:hAnsi="Garamond"/>
                <w:sz w:val="18"/>
                <w:szCs w:val="18"/>
                <w:lang w:val="sq-AL"/>
              </w:rPr>
            </w:pPr>
          </w:p>
        </w:tc>
        <w:tc>
          <w:tcPr>
            <w:tcW w:w="1305" w:type="dxa"/>
            <w:shd w:val="clear" w:color="auto" w:fill="F2F2F2"/>
            <w:vAlign w:val="center"/>
          </w:tcPr>
          <w:p w14:paraId="0773B6B9"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2022</w:t>
            </w:r>
          </w:p>
        </w:tc>
        <w:tc>
          <w:tcPr>
            <w:tcW w:w="1277" w:type="dxa"/>
            <w:shd w:val="clear" w:color="auto" w:fill="F2F2F2"/>
            <w:vAlign w:val="center"/>
          </w:tcPr>
          <w:p w14:paraId="0773B6BA"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2023</w:t>
            </w:r>
          </w:p>
        </w:tc>
        <w:tc>
          <w:tcPr>
            <w:tcW w:w="1283" w:type="dxa"/>
            <w:shd w:val="clear" w:color="auto" w:fill="F2F2F2"/>
            <w:vAlign w:val="center"/>
          </w:tcPr>
          <w:p w14:paraId="0773B6BB"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2024</w:t>
            </w:r>
          </w:p>
        </w:tc>
        <w:tc>
          <w:tcPr>
            <w:tcW w:w="1134" w:type="dxa"/>
            <w:vMerge/>
            <w:shd w:val="clear" w:color="auto" w:fill="E5F7CA"/>
            <w:vAlign w:val="center"/>
          </w:tcPr>
          <w:p w14:paraId="0773B6BC" w14:textId="77777777" w:rsidR="00A84CAF" w:rsidRPr="0058349C" w:rsidRDefault="00A84CAF" w:rsidP="00CF7694">
            <w:pPr>
              <w:spacing w:after="0" w:line="240" w:lineRule="auto"/>
              <w:jc w:val="center"/>
              <w:rPr>
                <w:rFonts w:ascii="Garamond" w:eastAsia="Arial" w:hAnsi="Garamond"/>
                <w:sz w:val="18"/>
                <w:szCs w:val="18"/>
                <w:lang w:val="sq-AL"/>
              </w:rPr>
            </w:pPr>
          </w:p>
        </w:tc>
        <w:tc>
          <w:tcPr>
            <w:tcW w:w="1275" w:type="dxa"/>
            <w:vMerge/>
            <w:shd w:val="clear" w:color="auto" w:fill="E5F7CA"/>
            <w:vAlign w:val="center"/>
          </w:tcPr>
          <w:p w14:paraId="0773B6BD" w14:textId="77777777" w:rsidR="00A84CAF" w:rsidRPr="0058349C" w:rsidRDefault="00A84CAF" w:rsidP="00CF7694">
            <w:pPr>
              <w:spacing w:after="0" w:line="240" w:lineRule="auto"/>
              <w:jc w:val="center"/>
              <w:rPr>
                <w:rFonts w:ascii="Garamond" w:eastAsia="Arial" w:hAnsi="Garamond"/>
                <w:sz w:val="18"/>
                <w:szCs w:val="18"/>
                <w:lang w:val="sq-AL"/>
              </w:rPr>
            </w:pPr>
          </w:p>
        </w:tc>
      </w:tr>
      <w:tr w:rsidR="00A84CAF" w:rsidRPr="0058349C" w14:paraId="0773B6CA" w14:textId="77777777" w:rsidTr="00C525CB">
        <w:trPr>
          <w:trHeight w:val="20"/>
        </w:trPr>
        <w:tc>
          <w:tcPr>
            <w:tcW w:w="384" w:type="dxa"/>
            <w:shd w:val="clear" w:color="auto" w:fill="F2F2F2"/>
          </w:tcPr>
          <w:p w14:paraId="0773B6BF" w14:textId="77777777" w:rsidR="00A84CAF" w:rsidRPr="0058349C" w:rsidRDefault="00A84CAF" w:rsidP="00CF7694">
            <w:pPr>
              <w:spacing w:after="0" w:line="240" w:lineRule="auto"/>
              <w:rPr>
                <w:rFonts w:ascii="Garamond" w:eastAsia="Arial" w:hAnsi="Garamond"/>
                <w:b/>
                <w:sz w:val="18"/>
                <w:szCs w:val="18"/>
                <w:lang w:val="sq-AL"/>
              </w:rPr>
            </w:pPr>
          </w:p>
        </w:tc>
        <w:tc>
          <w:tcPr>
            <w:tcW w:w="3567" w:type="dxa"/>
            <w:shd w:val="clear" w:color="auto" w:fill="F2F2F2"/>
          </w:tcPr>
          <w:p w14:paraId="0773B6C0" w14:textId="06FC657F" w:rsidR="00A84CAF" w:rsidRPr="0058349C" w:rsidRDefault="00A84CAF" w:rsidP="00665273">
            <w:pPr>
              <w:spacing w:after="0" w:line="240" w:lineRule="auto"/>
              <w:rPr>
                <w:rFonts w:ascii="Garamond" w:eastAsia="Arial Narrow" w:hAnsi="Garamond" w:cs="Arial Narrow"/>
                <w:b/>
                <w:bCs/>
                <w:sz w:val="18"/>
                <w:szCs w:val="18"/>
                <w:lang w:val="sq-AL"/>
              </w:rPr>
            </w:pPr>
            <w:r w:rsidRPr="0058349C">
              <w:rPr>
                <w:rFonts w:ascii="Garamond" w:eastAsia="Arial Narrow" w:hAnsi="Garamond" w:cs="Arial Narrow"/>
                <w:b/>
                <w:bCs/>
                <w:sz w:val="18"/>
                <w:szCs w:val="18"/>
                <w:lang w:val="sq-AL"/>
              </w:rPr>
              <w:t xml:space="preserve">Prodhimi i ushqimit për akuakulturën dhe trajtimet e </w:t>
            </w:r>
            <w:r w:rsidR="00664693" w:rsidRPr="0058349C">
              <w:rPr>
                <w:rFonts w:ascii="Garamond" w:eastAsia="Arial Narrow" w:hAnsi="Garamond" w:cs="Arial Narrow"/>
                <w:b/>
                <w:bCs/>
                <w:sz w:val="18"/>
                <w:szCs w:val="18"/>
                <w:lang w:val="sq-AL"/>
              </w:rPr>
              <w:t>“</w:t>
            </w:r>
            <w:r w:rsidRPr="0058349C">
              <w:rPr>
                <w:rFonts w:ascii="Garamond" w:eastAsia="Arial Narrow" w:hAnsi="Garamond" w:cs="Arial Narrow"/>
                <w:b/>
                <w:bCs/>
                <w:sz w:val="18"/>
                <w:szCs w:val="18"/>
                <w:lang w:val="sq-AL"/>
              </w:rPr>
              <w:t>nënprodukteve</w:t>
            </w:r>
            <w:r w:rsidR="00665273">
              <w:rPr>
                <w:rFonts w:ascii="Garamond" w:eastAsia="Arial Narrow" w:hAnsi="Garamond" w:cs="Arial Narrow"/>
                <w:b/>
                <w:bCs/>
                <w:sz w:val="18"/>
                <w:szCs w:val="18"/>
                <w:lang w:val="sq-AL"/>
              </w:rPr>
              <w:t>”</w:t>
            </w:r>
            <w:r w:rsidRPr="0058349C">
              <w:rPr>
                <w:rFonts w:ascii="Garamond" w:eastAsia="Arial Narrow" w:hAnsi="Garamond" w:cs="Arial Narrow"/>
                <w:b/>
                <w:bCs/>
                <w:sz w:val="18"/>
                <w:szCs w:val="18"/>
                <w:lang w:val="sq-AL"/>
              </w:rPr>
              <w:t xml:space="preserve"> </w:t>
            </w:r>
          </w:p>
        </w:tc>
        <w:tc>
          <w:tcPr>
            <w:tcW w:w="2526" w:type="dxa"/>
            <w:shd w:val="clear" w:color="auto" w:fill="F2F2F2"/>
          </w:tcPr>
          <w:p w14:paraId="0773B6C2" w14:textId="77777777" w:rsidR="00A84CAF" w:rsidRPr="0058349C" w:rsidRDefault="00A84CAF"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Deri n</w:t>
            </w:r>
            <w:r w:rsidRPr="0058349C">
              <w:rPr>
                <w:rFonts w:ascii="Garamond" w:hAnsi="Garamond"/>
                <w:sz w:val="18"/>
                <w:szCs w:val="18"/>
                <w:lang w:val="sq-AL"/>
              </w:rPr>
              <w:t>ë vitin 2024 do të mbështetet ngritja e 1 fabrike dhe deri në vitin 2027 do të janë ngritur dhe në funksion 2 fabrika të tilla.</w:t>
            </w:r>
          </w:p>
        </w:tc>
        <w:tc>
          <w:tcPr>
            <w:tcW w:w="1419" w:type="dxa"/>
            <w:shd w:val="clear" w:color="auto" w:fill="F2F2F2"/>
          </w:tcPr>
          <w:p w14:paraId="0773B6C4" w14:textId="74327D54" w:rsidR="00A84CAF" w:rsidRPr="0058349C" w:rsidRDefault="00A84CAF"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Planifikohet mb</w:t>
            </w:r>
            <w:r w:rsidRPr="0058349C">
              <w:rPr>
                <w:rFonts w:ascii="Garamond" w:hAnsi="Garamond"/>
                <w:sz w:val="18"/>
                <w:szCs w:val="18"/>
                <w:lang w:val="sq-AL"/>
              </w:rPr>
              <w:t>ështetje si</w:t>
            </w:r>
            <w:r w:rsidRPr="0058349C">
              <w:rPr>
                <w:rFonts w:ascii="Garamond" w:eastAsia="Arial" w:hAnsi="Garamond"/>
                <w:sz w:val="18"/>
                <w:szCs w:val="18"/>
                <w:lang w:val="sq-AL"/>
              </w:rPr>
              <w:t xml:space="preserve"> pjesë e IPARD</w:t>
            </w:r>
            <w:r w:rsidR="00CD4A33">
              <w:rPr>
                <w:rFonts w:ascii="Garamond" w:eastAsia="Arial" w:hAnsi="Garamond"/>
                <w:sz w:val="18"/>
                <w:szCs w:val="18"/>
                <w:lang w:val="sq-AL"/>
              </w:rPr>
              <w:t>-së</w:t>
            </w:r>
            <w:r w:rsidRPr="0058349C">
              <w:rPr>
                <w:rFonts w:ascii="Garamond" w:eastAsia="Arial" w:hAnsi="Garamond"/>
                <w:sz w:val="18"/>
                <w:szCs w:val="18"/>
                <w:lang w:val="sq-AL"/>
              </w:rPr>
              <w:t xml:space="preserve"> M3 ose M7</w:t>
            </w:r>
          </w:p>
        </w:tc>
        <w:tc>
          <w:tcPr>
            <w:tcW w:w="1305" w:type="dxa"/>
            <w:shd w:val="clear" w:color="auto" w:fill="F2F2F2"/>
            <w:vAlign w:val="center"/>
          </w:tcPr>
          <w:p w14:paraId="0773B6C5" w14:textId="77777777" w:rsidR="00A84CAF" w:rsidRPr="0058349C" w:rsidRDefault="00A84CAF" w:rsidP="00CF7694">
            <w:pPr>
              <w:spacing w:after="0" w:line="240" w:lineRule="auto"/>
              <w:jc w:val="center"/>
              <w:rPr>
                <w:rFonts w:ascii="Garamond" w:eastAsia="Arial" w:hAnsi="Garamond"/>
                <w:sz w:val="18"/>
                <w:szCs w:val="18"/>
                <w:lang w:val="sq-AL"/>
              </w:rPr>
            </w:pPr>
          </w:p>
        </w:tc>
        <w:tc>
          <w:tcPr>
            <w:tcW w:w="1277" w:type="dxa"/>
            <w:shd w:val="clear" w:color="auto" w:fill="F2F2F2"/>
            <w:vAlign w:val="center"/>
          </w:tcPr>
          <w:p w14:paraId="0773B6C6" w14:textId="77777777" w:rsidR="00A84CAF" w:rsidRPr="0058349C" w:rsidRDefault="00A84CAF" w:rsidP="00CF7694">
            <w:pPr>
              <w:spacing w:after="0" w:line="240" w:lineRule="auto"/>
              <w:jc w:val="center"/>
              <w:rPr>
                <w:rFonts w:ascii="Garamond" w:eastAsia="Arial" w:hAnsi="Garamond"/>
                <w:sz w:val="18"/>
                <w:szCs w:val="18"/>
                <w:lang w:val="sq-AL"/>
              </w:rPr>
            </w:pPr>
          </w:p>
        </w:tc>
        <w:tc>
          <w:tcPr>
            <w:tcW w:w="1283" w:type="dxa"/>
            <w:shd w:val="clear" w:color="auto" w:fill="F2F2F2"/>
            <w:vAlign w:val="center"/>
          </w:tcPr>
          <w:p w14:paraId="0773B6C7" w14:textId="77777777" w:rsidR="00A84CAF" w:rsidRPr="0058349C" w:rsidRDefault="00A84CAF" w:rsidP="00CF7694">
            <w:pPr>
              <w:spacing w:after="0" w:line="240" w:lineRule="auto"/>
              <w:jc w:val="center"/>
              <w:rPr>
                <w:rFonts w:ascii="Garamond" w:eastAsia="Arial" w:hAnsi="Garamond"/>
                <w:sz w:val="18"/>
                <w:szCs w:val="18"/>
                <w:lang w:val="sq-AL"/>
              </w:rPr>
            </w:pPr>
          </w:p>
        </w:tc>
        <w:tc>
          <w:tcPr>
            <w:tcW w:w="1134" w:type="dxa"/>
            <w:shd w:val="clear" w:color="auto" w:fill="E5F7CA"/>
            <w:vAlign w:val="center"/>
          </w:tcPr>
          <w:p w14:paraId="0773B6C8"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w:t>
            </w:r>
          </w:p>
        </w:tc>
        <w:tc>
          <w:tcPr>
            <w:tcW w:w="1275" w:type="dxa"/>
            <w:shd w:val="clear" w:color="auto" w:fill="E5F7CA"/>
            <w:vAlign w:val="center"/>
          </w:tcPr>
          <w:p w14:paraId="0773B6C9"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w:t>
            </w:r>
          </w:p>
        </w:tc>
      </w:tr>
      <w:tr w:rsidR="00A84CAF" w:rsidRPr="0058349C" w14:paraId="0773B6D4" w14:textId="77777777" w:rsidTr="00C525CB">
        <w:trPr>
          <w:trHeight w:val="20"/>
        </w:trPr>
        <w:tc>
          <w:tcPr>
            <w:tcW w:w="384" w:type="dxa"/>
            <w:shd w:val="clear" w:color="auto" w:fill="F2F2F2"/>
          </w:tcPr>
          <w:p w14:paraId="0773B6CB" w14:textId="77777777" w:rsidR="00A84CAF" w:rsidRPr="0058349C" w:rsidRDefault="00A84CAF" w:rsidP="00CF7694">
            <w:pPr>
              <w:spacing w:after="0" w:line="240" w:lineRule="auto"/>
              <w:rPr>
                <w:rFonts w:ascii="Garamond" w:eastAsia="Arial" w:hAnsi="Garamond"/>
                <w:b/>
                <w:sz w:val="18"/>
                <w:szCs w:val="18"/>
                <w:lang w:val="sq-AL"/>
              </w:rPr>
            </w:pPr>
          </w:p>
        </w:tc>
        <w:tc>
          <w:tcPr>
            <w:tcW w:w="3567" w:type="dxa"/>
            <w:shd w:val="clear" w:color="auto" w:fill="F2F2F2"/>
          </w:tcPr>
          <w:p w14:paraId="0773B6CC" w14:textId="77777777" w:rsidR="00A84CAF" w:rsidRPr="0058349C" w:rsidRDefault="00A84CAF" w:rsidP="00CF7694">
            <w:pPr>
              <w:spacing w:after="0" w:line="240" w:lineRule="auto"/>
              <w:rPr>
                <w:rFonts w:ascii="Garamond" w:eastAsia="Arial Narrow" w:hAnsi="Garamond" w:cs="Arial Narrow"/>
                <w:b/>
                <w:bCs/>
                <w:sz w:val="18"/>
                <w:szCs w:val="18"/>
                <w:lang w:val="sq-AL"/>
              </w:rPr>
            </w:pPr>
            <w:r w:rsidRPr="0058349C">
              <w:rPr>
                <w:rFonts w:ascii="Garamond" w:eastAsia="Arial Narrow" w:hAnsi="Garamond" w:cs="Arial Narrow"/>
                <w:b/>
                <w:bCs/>
                <w:sz w:val="18"/>
                <w:szCs w:val="18"/>
                <w:lang w:val="sq-AL"/>
              </w:rPr>
              <w:t>Zhvillimi i akuakulturës së qëndrueshme, në përputhsh</w:t>
            </w:r>
            <w:r w:rsidRPr="00CD4A33">
              <w:rPr>
                <w:rFonts w:ascii="Garamond" w:eastAsia="Arial Narrow" w:hAnsi="Garamond" w:cs="Arial Narrow"/>
                <w:b/>
                <w:bCs/>
                <w:sz w:val="18"/>
                <w:szCs w:val="18"/>
                <w:lang w:val="sq-AL"/>
              </w:rPr>
              <w:t>m</w:t>
            </w:r>
            <w:r w:rsidRPr="00CD4A33">
              <w:rPr>
                <w:rFonts w:ascii="Garamond" w:hAnsi="Garamond"/>
                <w:b/>
                <w:bCs/>
                <w:sz w:val="18"/>
                <w:szCs w:val="18"/>
                <w:lang w:val="sq-AL"/>
              </w:rPr>
              <w:t>ëri</w:t>
            </w:r>
            <w:r w:rsidRPr="00CD4A33">
              <w:rPr>
                <w:rFonts w:ascii="Garamond" w:eastAsia="Arial Narrow" w:hAnsi="Garamond" w:cs="Arial Narrow"/>
                <w:b/>
                <w:bCs/>
                <w:sz w:val="18"/>
                <w:szCs w:val="18"/>
                <w:lang w:val="sq-AL"/>
              </w:rPr>
              <w:t xml:space="preserve"> </w:t>
            </w:r>
            <w:r w:rsidRPr="0058349C">
              <w:rPr>
                <w:rFonts w:ascii="Garamond" w:eastAsia="Arial Narrow" w:hAnsi="Garamond" w:cs="Arial Narrow"/>
                <w:b/>
                <w:bCs/>
                <w:sz w:val="18"/>
                <w:szCs w:val="18"/>
                <w:lang w:val="sq-AL"/>
              </w:rPr>
              <w:t>me mjedisin</w:t>
            </w:r>
          </w:p>
        </w:tc>
        <w:tc>
          <w:tcPr>
            <w:tcW w:w="2526" w:type="dxa"/>
            <w:shd w:val="clear" w:color="auto" w:fill="F2F2F2"/>
          </w:tcPr>
          <w:p w14:paraId="0773B6CD" w14:textId="18E63616" w:rsidR="00A84CAF" w:rsidRPr="0058349C" w:rsidRDefault="00A84CAF"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zonave t</w:t>
            </w:r>
            <w:r w:rsidRPr="0058349C">
              <w:rPr>
                <w:rFonts w:ascii="Garamond" w:hAnsi="Garamond"/>
                <w:sz w:val="18"/>
                <w:szCs w:val="18"/>
                <w:lang w:val="sq-AL"/>
              </w:rPr>
              <w:t>ë përcaktuara për</w:t>
            </w:r>
            <w:r w:rsidRPr="0058349C">
              <w:rPr>
                <w:rFonts w:ascii="Garamond" w:eastAsia="Arial" w:hAnsi="Garamond"/>
                <w:sz w:val="18"/>
                <w:szCs w:val="18"/>
                <w:lang w:val="sq-AL"/>
              </w:rPr>
              <w:t xml:space="preserve"> akuakulturën (ZPA) n</w:t>
            </w:r>
            <w:r w:rsidRPr="0058349C">
              <w:rPr>
                <w:rFonts w:ascii="Garamond" w:hAnsi="Garamond"/>
                <w:sz w:val="18"/>
                <w:szCs w:val="18"/>
                <w:lang w:val="sq-AL"/>
              </w:rPr>
              <w:t>ë</w:t>
            </w:r>
            <w:r w:rsidR="00CF7694" w:rsidRPr="0058349C">
              <w:rPr>
                <w:rFonts w:ascii="Garamond" w:hAnsi="Garamond"/>
                <w:sz w:val="18"/>
                <w:szCs w:val="18"/>
                <w:lang w:val="sq-AL"/>
              </w:rPr>
              <w:t xml:space="preserve"> </w:t>
            </w:r>
            <w:r w:rsidRPr="0058349C">
              <w:rPr>
                <w:rFonts w:ascii="Garamond" w:eastAsia="Arial" w:hAnsi="Garamond"/>
                <w:sz w:val="18"/>
                <w:szCs w:val="18"/>
                <w:lang w:val="sq-AL"/>
              </w:rPr>
              <w:t>ujërat e brendshme do t</w:t>
            </w:r>
            <w:r w:rsidRPr="0058349C">
              <w:rPr>
                <w:rFonts w:ascii="Garamond" w:hAnsi="Garamond"/>
                <w:sz w:val="18"/>
                <w:szCs w:val="18"/>
                <w:lang w:val="sq-AL"/>
              </w:rPr>
              <w:t>ë arrijë në 3 deri në vitin 2024.</w:t>
            </w:r>
          </w:p>
        </w:tc>
        <w:tc>
          <w:tcPr>
            <w:tcW w:w="1419" w:type="dxa"/>
            <w:shd w:val="clear" w:color="auto" w:fill="F2F2F2"/>
            <w:vAlign w:val="center"/>
          </w:tcPr>
          <w:p w14:paraId="0773B6CE" w14:textId="77777777" w:rsidR="00A84CAF" w:rsidRPr="0058349C" w:rsidRDefault="00A84CAF" w:rsidP="00CF7694">
            <w:pPr>
              <w:spacing w:after="0" w:line="240" w:lineRule="auto"/>
              <w:jc w:val="center"/>
              <w:rPr>
                <w:rFonts w:ascii="Garamond" w:eastAsia="Arial" w:hAnsi="Garamond"/>
                <w:sz w:val="18"/>
                <w:szCs w:val="18"/>
                <w:lang w:val="sq-AL"/>
              </w:rPr>
            </w:pPr>
          </w:p>
        </w:tc>
        <w:tc>
          <w:tcPr>
            <w:tcW w:w="1305" w:type="dxa"/>
            <w:shd w:val="clear" w:color="auto" w:fill="F2F2F2"/>
            <w:vAlign w:val="center"/>
          </w:tcPr>
          <w:p w14:paraId="0773B6CF" w14:textId="77777777" w:rsidR="00A84CAF" w:rsidRPr="0058349C" w:rsidRDefault="00A84CAF" w:rsidP="00CF7694">
            <w:pPr>
              <w:spacing w:after="0" w:line="240" w:lineRule="auto"/>
              <w:jc w:val="center"/>
              <w:rPr>
                <w:rFonts w:ascii="Garamond" w:hAnsi="Garamond"/>
                <w:sz w:val="18"/>
                <w:szCs w:val="18"/>
                <w:lang w:val="sq-AL"/>
              </w:rPr>
            </w:pPr>
          </w:p>
        </w:tc>
        <w:tc>
          <w:tcPr>
            <w:tcW w:w="1277" w:type="dxa"/>
            <w:shd w:val="clear" w:color="auto" w:fill="F2F2F2"/>
            <w:vAlign w:val="center"/>
          </w:tcPr>
          <w:p w14:paraId="0773B6D0" w14:textId="77777777" w:rsidR="00A84CAF" w:rsidRPr="0058349C" w:rsidRDefault="00A84CAF" w:rsidP="00CF7694">
            <w:pPr>
              <w:spacing w:after="0" w:line="240" w:lineRule="auto"/>
              <w:jc w:val="center"/>
              <w:rPr>
                <w:rFonts w:ascii="Garamond" w:hAnsi="Garamond"/>
                <w:sz w:val="18"/>
                <w:szCs w:val="18"/>
                <w:lang w:val="sq-AL"/>
              </w:rPr>
            </w:pPr>
          </w:p>
        </w:tc>
        <w:tc>
          <w:tcPr>
            <w:tcW w:w="1283" w:type="dxa"/>
            <w:shd w:val="clear" w:color="auto" w:fill="F2F2F2"/>
            <w:vAlign w:val="center"/>
          </w:tcPr>
          <w:p w14:paraId="0773B6D1" w14:textId="77777777" w:rsidR="00A84CAF" w:rsidRPr="0058349C" w:rsidRDefault="00A84CAF" w:rsidP="00CF7694">
            <w:pPr>
              <w:spacing w:after="0" w:line="240" w:lineRule="auto"/>
              <w:jc w:val="center"/>
              <w:rPr>
                <w:rFonts w:ascii="Garamond" w:hAnsi="Garamond"/>
                <w:sz w:val="18"/>
                <w:szCs w:val="18"/>
                <w:lang w:val="sq-AL"/>
              </w:rPr>
            </w:pPr>
          </w:p>
        </w:tc>
        <w:tc>
          <w:tcPr>
            <w:tcW w:w="1134" w:type="dxa"/>
            <w:shd w:val="clear" w:color="auto" w:fill="E5F7CA"/>
            <w:vAlign w:val="center"/>
          </w:tcPr>
          <w:p w14:paraId="0773B6D2"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w:t>
            </w:r>
          </w:p>
        </w:tc>
        <w:tc>
          <w:tcPr>
            <w:tcW w:w="1275" w:type="dxa"/>
            <w:shd w:val="clear" w:color="auto" w:fill="E5F7CA"/>
            <w:vAlign w:val="center"/>
          </w:tcPr>
          <w:p w14:paraId="0773B6D3"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w:t>
            </w:r>
          </w:p>
        </w:tc>
      </w:tr>
      <w:tr w:rsidR="00A84CAF" w:rsidRPr="0058349C" w14:paraId="0773B6DF" w14:textId="77777777" w:rsidTr="00C525CB">
        <w:trPr>
          <w:trHeight w:val="20"/>
        </w:trPr>
        <w:tc>
          <w:tcPr>
            <w:tcW w:w="384" w:type="dxa"/>
            <w:shd w:val="clear" w:color="auto" w:fill="F2F2F2"/>
          </w:tcPr>
          <w:p w14:paraId="0773B6D5" w14:textId="77777777" w:rsidR="00A84CAF" w:rsidRPr="0058349C" w:rsidRDefault="00A84CAF" w:rsidP="00CF7694">
            <w:pPr>
              <w:spacing w:after="0" w:line="240" w:lineRule="auto"/>
              <w:rPr>
                <w:rFonts w:ascii="Garamond" w:eastAsia="Arial" w:hAnsi="Garamond"/>
                <w:b/>
                <w:sz w:val="18"/>
                <w:szCs w:val="18"/>
                <w:lang w:val="sq-AL"/>
              </w:rPr>
            </w:pPr>
          </w:p>
        </w:tc>
        <w:tc>
          <w:tcPr>
            <w:tcW w:w="3567" w:type="dxa"/>
            <w:shd w:val="clear" w:color="auto" w:fill="F2F2F2"/>
          </w:tcPr>
          <w:p w14:paraId="0773B6D6" w14:textId="77777777" w:rsidR="00A84CAF" w:rsidRPr="0058349C" w:rsidRDefault="00A84CAF" w:rsidP="00CF7694">
            <w:pPr>
              <w:spacing w:after="0" w:line="240" w:lineRule="auto"/>
              <w:rPr>
                <w:rFonts w:ascii="Garamond" w:eastAsia="Arial Narrow" w:hAnsi="Garamond" w:cs="Arial Narrow"/>
                <w:b/>
                <w:bCs/>
                <w:sz w:val="18"/>
                <w:szCs w:val="18"/>
                <w:lang w:val="sq-AL"/>
              </w:rPr>
            </w:pPr>
            <w:r w:rsidRPr="0058349C">
              <w:rPr>
                <w:rFonts w:ascii="Garamond" w:eastAsia="Arial Narrow" w:hAnsi="Garamond" w:cs="Arial Narrow"/>
                <w:b/>
                <w:bCs/>
                <w:sz w:val="18"/>
                <w:szCs w:val="18"/>
                <w:lang w:val="sq-AL"/>
              </w:rPr>
              <w:t>Grande për zhvillimin e ekonomisë blu dhe zhvillimin e turizmit detar</w:t>
            </w:r>
          </w:p>
        </w:tc>
        <w:tc>
          <w:tcPr>
            <w:tcW w:w="2526" w:type="dxa"/>
            <w:shd w:val="clear" w:color="auto" w:fill="F2F2F2"/>
          </w:tcPr>
          <w:p w14:paraId="0773B6D7" w14:textId="77777777" w:rsidR="00A84CAF" w:rsidRPr="0058349C" w:rsidRDefault="00A84CAF"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aktorëve të sektorit privat të mbështetur do t</w:t>
            </w:r>
            <w:r w:rsidRPr="0058349C">
              <w:rPr>
                <w:rFonts w:ascii="Garamond" w:hAnsi="Garamond"/>
                <w:sz w:val="18"/>
                <w:szCs w:val="18"/>
                <w:lang w:val="sq-AL"/>
              </w:rPr>
              <w:t>ë arrijë në 10 deri në vitin 2024 dhe në 15 deri në vitin 2027.</w:t>
            </w:r>
          </w:p>
        </w:tc>
        <w:tc>
          <w:tcPr>
            <w:tcW w:w="1419" w:type="dxa"/>
            <w:shd w:val="clear" w:color="auto" w:fill="F2F2F2"/>
          </w:tcPr>
          <w:p w14:paraId="0773B6D8" w14:textId="77777777" w:rsidR="00A84CAF" w:rsidRPr="0058349C" w:rsidRDefault="00A84CAF"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N: 2,000,000</w:t>
            </w:r>
          </w:p>
          <w:p w14:paraId="0773B6D9" w14:textId="43D51E37" w:rsidR="00A84CAF" w:rsidRPr="0058349C" w:rsidRDefault="00A84CAF"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w:t>
            </w:r>
            <w:r w:rsidR="00CD4A33" w:rsidRPr="0058349C">
              <w:rPr>
                <w:rFonts w:ascii="Garamond" w:eastAsia="Arial" w:hAnsi="Garamond"/>
                <w:sz w:val="18"/>
                <w:szCs w:val="18"/>
                <w:lang w:val="sq-AL"/>
              </w:rPr>
              <w:t xml:space="preserve">jashtë </w:t>
            </w:r>
            <w:r w:rsidRPr="0058349C">
              <w:rPr>
                <w:rFonts w:ascii="Garamond" w:eastAsia="Arial" w:hAnsi="Garamond"/>
                <w:sz w:val="18"/>
                <w:szCs w:val="18"/>
                <w:lang w:val="sq-AL"/>
              </w:rPr>
              <w:t>buxhetit të BE-së për MBZHR, i menaxhuar nga ministri të tjera</w:t>
            </w:r>
            <w:r w:rsidR="00C259A4">
              <w:rPr>
                <w:rFonts w:ascii="Garamond" w:eastAsia="Arial" w:hAnsi="Garamond"/>
                <w:sz w:val="18"/>
                <w:szCs w:val="18"/>
                <w:lang w:val="sq-AL"/>
              </w:rPr>
              <w:t>)</w:t>
            </w:r>
          </w:p>
        </w:tc>
        <w:tc>
          <w:tcPr>
            <w:tcW w:w="1305" w:type="dxa"/>
            <w:shd w:val="clear" w:color="auto" w:fill="F2F2F2"/>
            <w:vAlign w:val="center"/>
          </w:tcPr>
          <w:p w14:paraId="0773B6DA"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77" w:type="dxa"/>
            <w:shd w:val="clear" w:color="auto" w:fill="F2F2F2"/>
            <w:vAlign w:val="center"/>
          </w:tcPr>
          <w:p w14:paraId="0773B6DB"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1,000,000</w:t>
            </w:r>
          </w:p>
        </w:tc>
        <w:tc>
          <w:tcPr>
            <w:tcW w:w="1283" w:type="dxa"/>
            <w:shd w:val="clear" w:color="auto" w:fill="F2F2F2"/>
            <w:vAlign w:val="center"/>
          </w:tcPr>
          <w:p w14:paraId="0773B6DC"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1,000,000</w:t>
            </w:r>
          </w:p>
        </w:tc>
        <w:tc>
          <w:tcPr>
            <w:tcW w:w="1134" w:type="dxa"/>
            <w:shd w:val="clear" w:color="auto" w:fill="E5F7CA"/>
            <w:vAlign w:val="center"/>
          </w:tcPr>
          <w:p w14:paraId="0773B6DD"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w:t>
            </w:r>
          </w:p>
        </w:tc>
        <w:tc>
          <w:tcPr>
            <w:tcW w:w="1275" w:type="dxa"/>
            <w:shd w:val="clear" w:color="auto" w:fill="E5F7CA"/>
            <w:vAlign w:val="center"/>
          </w:tcPr>
          <w:p w14:paraId="0773B6DE"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15</w:t>
            </w:r>
          </w:p>
        </w:tc>
      </w:tr>
      <w:tr w:rsidR="00A84CAF" w:rsidRPr="0058349C" w14:paraId="0773B6EA" w14:textId="77777777" w:rsidTr="00C525CB">
        <w:trPr>
          <w:trHeight w:val="20"/>
        </w:trPr>
        <w:tc>
          <w:tcPr>
            <w:tcW w:w="384" w:type="dxa"/>
            <w:shd w:val="clear" w:color="auto" w:fill="F2F2F2"/>
          </w:tcPr>
          <w:p w14:paraId="0773B6E0" w14:textId="77777777" w:rsidR="00A84CAF" w:rsidRPr="0058349C" w:rsidRDefault="00A84CAF" w:rsidP="00CF7694">
            <w:pPr>
              <w:spacing w:after="0" w:line="240" w:lineRule="auto"/>
              <w:rPr>
                <w:rFonts w:ascii="Garamond" w:eastAsia="Arial" w:hAnsi="Garamond"/>
                <w:b/>
                <w:sz w:val="18"/>
                <w:szCs w:val="18"/>
                <w:lang w:val="sq-AL"/>
              </w:rPr>
            </w:pPr>
          </w:p>
        </w:tc>
        <w:tc>
          <w:tcPr>
            <w:tcW w:w="3567" w:type="dxa"/>
            <w:shd w:val="clear" w:color="auto" w:fill="F2F2F2"/>
          </w:tcPr>
          <w:p w14:paraId="0773B6E1" w14:textId="1064DAC7" w:rsidR="00A84CAF" w:rsidRPr="0058349C" w:rsidRDefault="00A84CAF" w:rsidP="00CF7694">
            <w:pPr>
              <w:spacing w:after="0" w:line="240" w:lineRule="auto"/>
              <w:rPr>
                <w:rFonts w:ascii="Garamond" w:eastAsia="Arial Narrow" w:hAnsi="Garamond" w:cs="Arial Narrow"/>
                <w:b/>
                <w:bCs/>
                <w:sz w:val="18"/>
                <w:szCs w:val="18"/>
                <w:lang w:val="sq-AL"/>
              </w:rPr>
            </w:pPr>
            <w:r w:rsidRPr="0058349C">
              <w:rPr>
                <w:rFonts w:ascii="Garamond" w:eastAsia="Arial Narrow" w:hAnsi="Garamond" w:cs="Arial Narrow"/>
                <w:b/>
                <w:bCs/>
                <w:sz w:val="18"/>
                <w:szCs w:val="18"/>
                <w:lang w:val="sq-AL"/>
              </w:rPr>
              <w:t xml:space="preserve">AT për zhvillimin e </w:t>
            </w:r>
            <w:r w:rsidR="00664693" w:rsidRPr="0058349C">
              <w:rPr>
                <w:rFonts w:ascii="Garamond" w:eastAsia="Arial Narrow" w:hAnsi="Garamond" w:cs="Arial Narrow"/>
                <w:b/>
                <w:bCs/>
                <w:sz w:val="18"/>
                <w:szCs w:val="18"/>
                <w:lang w:val="sq-AL"/>
              </w:rPr>
              <w:t>“</w:t>
            </w:r>
            <w:r w:rsidRPr="0058349C">
              <w:rPr>
                <w:rFonts w:ascii="Garamond" w:eastAsia="Arial Narrow" w:hAnsi="Garamond" w:cs="Arial Narrow"/>
                <w:b/>
                <w:bCs/>
                <w:sz w:val="18"/>
                <w:szCs w:val="18"/>
                <w:lang w:val="sq-AL"/>
              </w:rPr>
              <w:t>ekonomisë blu</w:t>
            </w:r>
            <w:r w:rsidR="00664693" w:rsidRPr="0058349C">
              <w:rPr>
                <w:rFonts w:ascii="Garamond" w:eastAsia="Arial Narrow" w:hAnsi="Garamond" w:cs="Arial Narrow"/>
                <w:b/>
                <w:bCs/>
                <w:sz w:val="18"/>
                <w:szCs w:val="18"/>
                <w:lang w:val="sq-AL"/>
              </w:rPr>
              <w:t>”</w:t>
            </w:r>
            <w:r w:rsidRPr="0058349C">
              <w:rPr>
                <w:rFonts w:ascii="Garamond" w:eastAsia="Arial Narrow" w:hAnsi="Garamond" w:cs="Arial Narrow"/>
                <w:b/>
                <w:bCs/>
                <w:sz w:val="18"/>
                <w:szCs w:val="18"/>
                <w:lang w:val="sq-AL"/>
              </w:rPr>
              <w:t xml:space="preserve"> dhe zhvillimin e turizmit detar</w:t>
            </w:r>
          </w:p>
        </w:tc>
        <w:tc>
          <w:tcPr>
            <w:tcW w:w="2526" w:type="dxa"/>
            <w:shd w:val="clear" w:color="auto" w:fill="F2F2F2"/>
          </w:tcPr>
          <w:p w14:paraId="0773B6E2" w14:textId="287339BE" w:rsidR="00A84CAF" w:rsidRPr="0058349C" w:rsidRDefault="00A84CAF" w:rsidP="00C332AD">
            <w:pPr>
              <w:spacing w:after="0" w:line="240" w:lineRule="auto"/>
              <w:rPr>
                <w:rFonts w:ascii="Garamond" w:eastAsia="Arial" w:hAnsi="Garamond"/>
                <w:sz w:val="18"/>
                <w:szCs w:val="18"/>
                <w:lang w:val="sq-AL"/>
              </w:rPr>
            </w:pPr>
            <w:r w:rsidRPr="0058349C">
              <w:rPr>
                <w:rFonts w:ascii="Garamond" w:eastAsia="Arial" w:hAnsi="Garamond"/>
                <w:sz w:val="18"/>
                <w:szCs w:val="18"/>
                <w:lang w:val="sq-AL"/>
              </w:rPr>
              <w:t>Numri i projekteve të AT</w:t>
            </w:r>
            <w:r w:rsidR="00CD4A33">
              <w:rPr>
                <w:rFonts w:ascii="Garamond" w:eastAsia="Arial" w:hAnsi="Garamond"/>
                <w:sz w:val="18"/>
                <w:szCs w:val="18"/>
                <w:lang w:val="sq-AL"/>
              </w:rPr>
              <w:t>-së</w:t>
            </w:r>
            <w:r w:rsidRPr="0058349C">
              <w:rPr>
                <w:rFonts w:ascii="Garamond" w:eastAsia="Arial" w:hAnsi="Garamond"/>
                <w:sz w:val="18"/>
                <w:szCs w:val="18"/>
                <w:lang w:val="sq-AL"/>
              </w:rPr>
              <w:t xml:space="preserve"> për zhvillimin e </w:t>
            </w:r>
            <w:r w:rsidR="00664693" w:rsidRPr="0058349C">
              <w:rPr>
                <w:rFonts w:ascii="Garamond" w:eastAsia="Arial" w:hAnsi="Garamond"/>
                <w:sz w:val="18"/>
                <w:szCs w:val="18"/>
                <w:lang w:val="sq-AL"/>
              </w:rPr>
              <w:t>“</w:t>
            </w:r>
            <w:r w:rsidRPr="0058349C">
              <w:rPr>
                <w:rFonts w:ascii="Garamond" w:eastAsia="Arial" w:hAnsi="Garamond"/>
                <w:sz w:val="18"/>
                <w:szCs w:val="18"/>
                <w:lang w:val="sq-AL"/>
              </w:rPr>
              <w:t>ekonomisë blu</w:t>
            </w:r>
            <w:r w:rsidR="00CD4A33">
              <w:rPr>
                <w:rFonts w:ascii="Garamond" w:eastAsia="Arial" w:hAnsi="Garamond"/>
                <w:sz w:val="18"/>
                <w:szCs w:val="18"/>
                <w:lang w:val="sq-AL"/>
              </w:rPr>
              <w:t>”</w:t>
            </w:r>
            <w:r w:rsidRPr="0058349C">
              <w:rPr>
                <w:rFonts w:ascii="Garamond" w:eastAsia="Arial" w:hAnsi="Garamond"/>
                <w:sz w:val="18"/>
                <w:szCs w:val="18"/>
                <w:lang w:val="sq-AL"/>
              </w:rPr>
              <w:t xml:space="preserve"> t</w:t>
            </w:r>
            <w:r w:rsidRPr="0058349C">
              <w:rPr>
                <w:rFonts w:ascii="Garamond" w:hAnsi="Garamond"/>
                <w:sz w:val="18"/>
                <w:szCs w:val="18"/>
                <w:lang w:val="sq-AL"/>
              </w:rPr>
              <w:t>ë zbatuar</w:t>
            </w:r>
            <w:r w:rsidR="00CF7694" w:rsidRPr="0058349C">
              <w:rPr>
                <w:rFonts w:ascii="Garamond" w:hAnsi="Garamond"/>
                <w:sz w:val="18"/>
                <w:szCs w:val="18"/>
                <w:lang w:val="sq-AL"/>
              </w:rPr>
              <w:t xml:space="preserve"> </w:t>
            </w:r>
            <w:r w:rsidRPr="0058349C">
              <w:rPr>
                <w:rFonts w:ascii="Garamond" w:hAnsi="Garamond"/>
                <w:sz w:val="18"/>
                <w:szCs w:val="18"/>
                <w:lang w:val="sq-AL"/>
              </w:rPr>
              <w:t>do t</w:t>
            </w:r>
            <w:r w:rsidR="00C332AD">
              <w:rPr>
                <w:rFonts w:ascii="Garamond" w:hAnsi="Garamond"/>
                <w:sz w:val="18"/>
                <w:szCs w:val="18"/>
                <w:lang w:val="sq-AL"/>
              </w:rPr>
              <w:t>ë</w:t>
            </w:r>
            <w:r w:rsidRPr="0058349C">
              <w:rPr>
                <w:rFonts w:ascii="Garamond" w:hAnsi="Garamond"/>
                <w:sz w:val="18"/>
                <w:szCs w:val="18"/>
                <w:lang w:val="sq-AL"/>
              </w:rPr>
              <w:t xml:space="preserve"> jetë 2 deri në vitin 2024 dhe 4 deri në vitin 2027.</w:t>
            </w:r>
          </w:p>
        </w:tc>
        <w:tc>
          <w:tcPr>
            <w:tcW w:w="1419" w:type="dxa"/>
            <w:shd w:val="clear" w:color="auto" w:fill="F2F2F2"/>
          </w:tcPr>
          <w:p w14:paraId="0773B6E3" w14:textId="77777777" w:rsidR="00A84CAF" w:rsidRPr="0058349C" w:rsidRDefault="00A84CAF"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N:500,000</w:t>
            </w:r>
          </w:p>
          <w:p w14:paraId="0773B6E4" w14:textId="0E55977E" w:rsidR="00A84CAF" w:rsidRPr="0058349C" w:rsidRDefault="00A84CAF"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w:t>
            </w:r>
            <w:r w:rsidR="00CD4A33" w:rsidRPr="0058349C">
              <w:rPr>
                <w:rFonts w:ascii="Garamond" w:eastAsia="Arial" w:hAnsi="Garamond"/>
                <w:sz w:val="18"/>
                <w:szCs w:val="18"/>
                <w:lang w:val="sq-AL"/>
              </w:rPr>
              <w:t xml:space="preserve">jashtë </w:t>
            </w:r>
            <w:r w:rsidRPr="0058349C">
              <w:rPr>
                <w:rFonts w:ascii="Garamond" w:eastAsia="Arial" w:hAnsi="Garamond"/>
                <w:sz w:val="18"/>
                <w:szCs w:val="18"/>
                <w:lang w:val="sq-AL"/>
              </w:rPr>
              <w:t>buxhetit të BE-së për MBZHR, i menaxhuar nga ministri të tjera</w:t>
            </w:r>
            <w:r w:rsidR="00C259A4">
              <w:rPr>
                <w:rFonts w:ascii="Garamond" w:eastAsia="Arial" w:hAnsi="Garamond"/>
                <w:sz w:val="18"/>
                <w:szCs w:val="18"/>
                <w:lang w:val="sq-AL"/>
              </w:rPr>
              <w:t>)</w:t>
            </w:r>
            <w:r w:rsidRPr="0058349C">
              <w:rPr>
                <w:rFonts w:ascii="Garamond" w:eastAsia="Arial" w:hAnsi="Garamond"/>
                <w:sz w:val="18"/>
                <w:szCs w:val="18"/>
                <w:lang w:val="sq-AL"/>
              </w:rPr>
              <w:t xml:space="preserve"> </w:t>
            </w:r>
          </w:p>
        </w:tc>
        <w:tc>
          <w:tcPr>
            <w:tcW w:w="1305" w:type="dxa"/>
            <w:shd w:val="clear" w:color="auto" w:fill="F2F2F2"/>
            <w:vAlign w:val="center"/>
          </w:tcPr>
          <w:p w14:paraId="0773B6E5"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N/A</w:t>
            </w:r>
          </w:p>
        </w:tc>
        <w:tc>
          <w:tcPr>
            <w:tcW w:w="1277" w:type="dxa"/>
            <w:shd w:val="clear" w:color="auto" w:fill="F2F2F2"/>
            <w:vAlign w:val="center"/>
          </w:tcPr>
          <w:p w14:paraId="0773B6E6"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250,000</w:t>
            </w:r>
          </w:p>
        </w:tc>
        <w:tc>
          <w:tcPr>
            <w:tcW w:w="1283" w:type="dxa"/>
            <w:shd w:val="clear" w:color="auto" w:fill="F2F2F2"/>
            <w:vAlign w:val="center"/>
          </w:tcPr>
          <w:p w14:paraId="0773B6E7"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250,000</w:t>
            </w:r>
          </w:p>
        </w:tc>
        <w:tc>
          <w:tcPr>
            <w:tcW w:w="1134" w:type="dxa"/>
            <w:shd w:val="clear" w:color="auto" w:fill="E5F7CA"/>
            <w:vAlign w:val="center"/>
          </w:tcPr>
          <w:p w14:paraId="0773B6E8"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w:t>
            </w:r>
          </w:p>
        </w:tc>
        <w:tc>
          <w:tcPr>
            <w:tcW w:w="1275" w:type="dxa"/>
            <w:shd w:val="clear" w:color="auto" w:fill="E5F7CA"/>
            <w:vAlign w:val="center"/>
          </w:tcPr>
          <w:p w14:paraId="0773B6E9" w14:textId="77777777" w:rsidR="00A84CAF" w:rsidRPr="0058349C" w:rsidRDefault="00A84CAF"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w:t>
            </w:r>
          </w:p>
        </w:tc>
      </w:tr>
    </w:tbl>
    <w:p w14:paraId="0773B6ED" w14:textId="77777777" w:rsidR="00A84CAF" w:rsidRPr="0058349C" w:rsidRDefault="00A84CAF" w:rsidP="00C54AEA">
      <w:pPr>
        <w:pStyle w:val="TEKSTIIII"/>
        <w:rPr>
          <w:lang w:val="sq-AL"/>
        </w:rPr>
      </w:pPr>
    </w:p>
    <w:tbl>
      <w:tblPr>
        <w:tblpPr w:leftFromText="180" w:rightFromText="180" w:vertAnchor="text" w:tblpXSpec="center" w:tblpY="1"/>
        <w:tblOverlap w:val="never"/>
        <w:tblW w:w="14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
        <w:gridCol w:w="3567"/>
        <w:gridCol w:w="2526"/>
        <w:gridCol w:w="1419"/>
        <w:gridCol w:w="1288"/>
        <w:gridCol w:w="1288"/>
        <w:gridCol w:w="1289"/>
        <w:gridCol w:w="1134"/>
        <w:gridCol w:w="141"/>
        <w:gridCol w:w="1134"/>
        <w:gridCol w:w="8"/>
      </w:tblGrid>
      <w:tr w:rsidR="005676F7" w:rsidRPr="0058349C" w14:paraId="0773B6F4" w14:textId="77777777" w:rsidTr="00CD4A33">
        <w:trPr>
          <w:gridAfter w:val="1"/>
          <w:wAfter w:w="8" w:type="dxa"/>
          <w:trHeight w:val="20"/>
        </w:trPr>
        <w:tc>
          <w:tcPr>
            <w:tcW w:w="6477" w:type="dxa"/>
            <w:gridSpan w:val="3"/>
            <w:shd w:val="clear" w:color="auto" w:fill="E5F7CA"/>
            <w:vAlign w:val="center"/>
          </w:tcPr>
          <w:p w14:paraId="0773B6EE" w14:textId="4C80E486" w:rsidR="005676F7" w:rsidRPr="0058349C" w:rsidRDefault="005676F7" w:rsidP="00CF7694">
            <w:pPr>
              <w:shd w:val="clear" w:color="auto" w:fill="E5F7CA"/>
              <w:spacing w:after="0" w:line="240" w:lineRule="auto"/>
              <w:jc w:val="center"/>
              <w:rPr>
                <w:rFonts w:ascii="Garamond" w:eastAsia="Arial" w:hAnsi="Garamond"/>
                <w:b/>
                <w:bCs/>
                <w:i/>
                <w:iCs/>
                <w:sz w:val="18"/>
                <w:szCs w:val="18"/>
                <w:lang w:val="sq-AL"/>
              </w:rPr>
            </w:pPr>
            <w:r w:rsidRPr="0058349C">
              <w:rPr>
                <w:rFonts w:ascii="Garamond" w:hAnsi="Garamond"/>
                <w:b/>
                <w:sz w:val="18"/>
                <w:szCs w:val="18"/>
                <w:lang w:val="sq-AL"/>
              </w:rPr>
              <w:br w:type="page"/>
            </w:r>
            <w:r w:rsidRPr="0058349C">
              <w:rPr>
                <w:rFonts w:ascii="Garamond" w:eastAsia="Arial" w:hAnsi="Garamond"/>
                <w:b/>
                <w:bCs/>
                <w:sz w:val="18"/>
                <w:szCs w:val="18"/>
                <w:lang w:val="sq-AL"/>
              </w:rPr>
              <w:t xml:space="preserve">OBJEKTIVI HORIZONTAL 1 </w:t>
            </w:r>
            <w:r w:rsidR="00797859">
              <w:rPr>
                <w:rFonts w:ascii="Garamond" w:eastAsia="Arial" w:hAnsi="Garamond"/>
                <w:b/>
                <w:bCs/>
                <w:sz w:val="18"/>
                <w:szCs w:val="18"/>
                <w:lang w:val="sq-AL"/>
              </w:rPr>
              <w:t>/</w:t>
            </w:r>
            <w:r w:rsidRPr="0058349C">
              <w:rPr>
                <w:rFonts w:ascii="Garamond" w:eastAsia="Arial" w:hAnsi="Garamond"/>
                <w:b/>
                <w:bCs/>
                <w:sz w:val="18"/>
                <w:szCs w:val="18"/>
                <w:lang w:val="sq-AL"/>
              </w:rPr>
              <w:t>TREGUESI</w:t>
            </w:r>
          </w:p>
          <w:p w14:paraId="0773B6EF" w14:textId="2D53DB97" w:rsidR="005676F7" w:rsidRPr="0058349C" w:rsidRDefault="00E9489E" w:rsidP="00CF7694">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Cs/>
                <w:i/>
                <w:iCs/>
                <w:sz w:val="18"/>
                <w:szCs w:val="18"/>
                <w:lang w:val="sq-AL"/>
              </w:rPr>
              <w:t xml:space="preserve">Nuk </w:t>
            </w:r>
            <w:r w:rsidR="005676F7" w:rsidRPr="0058349C">
              <w:rPr>
                <w:rFonts w:ascii="Garamond" w:eastAsia="Arial" w:hAnsi="Garamond"/>
                <w:bCs/>
                <w:i/>
                <w:iCs/>
                <w:sz w:val="18"/>
                <w:szCs w:val="18"/>
                <w:lang w:val="sq-AL"/>
              </w:rPr>
              <w:t xml:space="preserve">ka tregues rezultati, pasi objektivi horizontal është </w:t>
            </w:r>
            <w:r w:rsidR="005676F7" w:rsidRPr="00CD4A33">
              <w:rPr>
                <w:rFonts w:ascii="Garamond" w:eastAsia="Arial" w:hAnsi="Garamond"/>
                <w:bCs/>
                <w:i/>
                <w:iCs/>
                <w:sz w:val="18"/>
                <w:szCs w:val="18"/>
                <w:lang w:val="sq-AL"/>
              </w:rPr>
              <w:t>n</w:t>
            </w:r>
            <w:r w:rsidR="005676F7" w:rsidRPr="00CD4A33">
              <w:rPr>
                <w:rFonts w:ascii="Garamond" w:hAnsi="Garamond"/>
                <w:i/>
                <w:iCs/>
                <w:sz w:val="18"/>
                <w:szCs w:val="18"/>
                <w:lang w:val="sq-AL"/>
              </w:rPr>
              <w:t xml:space="preserve">ënkuptuar që përfshihet në treguesit </w:t>
            </w:r>
            <w:r w:rsidR="005676F7" w:rsidRPr="00CD4A33">
              <w:rPr>
                <w:rFonts w:ascii="Garamond" w:eastAsia="Arial" w:hAnsi="Garamond"/>
                <w:bCs/>
                <w:i/>
                <w:iCs/>
                <w:sz w:val="18"/>
                <w:szCs w:val="18"/>
                <w:lang w:val="sq-AL"/>
              </w:rPr>
              <w:t>në nivelin e të gjithë treguesve të tjerë të mësipërm</w:t>
            </w:r>
            <w:r w:rsidR="00CF7694" w:rsidRPr="0058349C">
              <w:rPr>
                <w:rFonts w:ascii="Garamond" w:eastAsia="Arial" w:hAnsi="Garamond"/>
                <w:bCs/>
                <w:i/>
                <w:iCs/>
                <w:sz w:val="18"/>
                <w:szCs w:val="18"/>
                <w:lang w:val="sq-AL"/>
              </w:rPr>
              <w:t xml:space="preserve"> </w:t>
            </w:r>
          </w:p>
        </w:tc>
        <w:tc>
          <w:tcPr>
            <w:tcW w:w="1419" w:type="dxa"/>
            <w:shd w:val="clear" w:color="auto" w:fill="E5F7CA"/>
            <w:vAlign w:val="center"/>
          </w:tcPr>
          <w:p w14:paraId="0773B6F0" w14:textId="3055E533" w:rsidR="005676F7" w:rsidRPr="0058349C" w:rsidRDefault="005676F7" w:rsidP="00CF7694">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Vlera e treguesit bazë </w:t>
            </w:r>
            <w:r w:rsidRPr="00CD4A33">
              <w:rPr>
                <w:rFonts w:ascii="Garamond" w:eastAsia="Arial" w:hAnsi="Garamond"/>
                <w:b/>
                <w:bCs/>
                <w:sz w:val="18"/>
                <w:szCs w:val="18"/>
                <w:lang w:val="sq-AL"/>
              </w:rPr>
              <w:t>n</w:t>
            </w:r>
            <w:r w:rsidRPr="00CD4A33">
              <w:rPr>
                <w:rFonts w:ascii="Garamond" w:hAnsi="Garamond"/>
                <w:b/>
                <w:bCs/>
                <w:sz w:val="18"/>
                <w:szCs w:val="18"/>
                <w:lang w:val="sq-AL"/>
              </w:rPr>
              <w:t>ë vitin</w:t>
            </w:r>
            <w:r w:rsidR="00CF7694" w:rsidRPr="00CD4A33">
              <w:rPr>
                <w:rFonts w:ascii="Garamond" w:hAnsi="Garamond"/>
                <w:b/>
                <w:bCs/>
                <w:sz w:val="18"/>
                <w:szCs w:val="18"/>
                <w:lang w:val="sq-AL"/>
              </w:rPr>
              <w:t xml:space="preserve"> </w:t>
            </w:r>
            <w:r w:rsidRPr="00CD4A33">
              <w:rPr>
                <w:rFonts w:ascii="Garamond" w:eastAsia="Arial" w:hAnsi="Garamond"/>
                <w:b/>
                <w:bCs/>
                <w:sz w:val="18"/>
                <w:szCs w:val="18"/>
                <w:lang w:val="sq-AL"/>
              </w:rPr>
              <w:t>2020</w:t>
            </w:r>
            <w:r w:rsidRPr="0058349C">
              <w:rPr>
                <w:rFonts w:ascii="Garamond" w:eastAsia="Arial" w:hAnsi="Garamond"/>
                <w:b/>
                <w:bCs/>
                <w:sz w:val="18"/>
                <w:szCs w:val="18"/>
                <w:lang w:val="sq-AL"/>
              </w:rPr>
              <w:t xml:space="preserve"> </w:t>
            </w:r>
          </w:p>
        </w:tc>
        <w:tc>
          <w:tcPr>
            <w:tcW w:w="3865" w:type="dxa"/>
            <w:gridSpan w:val="3"/>
            <w:shd w:val="clear" w:color="auto" w:fill="E5F7CA"/>
            <w:vAlign w:val="center"/>
          </w:tcPr>
          <w:p w14:paraId="0773B6F1" w14:textId="77777777" w:rsidR="005676F7" w:rsidRPr="0058349C" w:rsidRDefault="005676F7" w:rsidP="00CF7694">
            <w:pPr>
              <w:shd w:val="clear" w:color="auto" w:fill="E5F7CA"/>
              <w:spacing w:after="0" w:line="240" w:lineRule="auto"/>
              <w:jc w:val="center"/>
              <w:rPr>
                <w:rFonts w:ascii="Garamond" w:eastAsia="Arial" w:hAnsi="Garamond"/>
                <w:b/>
                <w:bCs/>
                <w:sz w:val="18"/>
                <w:szCs w:val="18"/>
                <w:lang w:val="sq-AL"/>
              </w:rPr>
            </w:pPr>
          </w:p>
        </w:tc>
        <w:tc>
          <w:tcPr>
            <w:tcW w:w="1275" w:type="dxa"/>
            <w:gridSpan w:val="2"/>
            <w:shd w:val="clear" w:color="auto" w:fill="E5F7CA"/>
            <w:vAlign w:val="center"/>
          </w:tcPr>
          <w:p w14:paraId="0773B6F2" w14:textId="77777777" w:rsidR="005676F7" w:rsidRPr="0058349C" w:rsidRDefault="005676F7" w:rsidP="00CF7694">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Objektivi </w:t>
            </w:r>
            <w:r w:rsidRPr="00CD4A33">
              <w:rPr>
                <w:rFonts w:ascii="Garamond" w:eastAsia="Arial" w:hAnsi="Garamond"/>
                <w:b/>
                <w:bCs/>
                <w:sz w:val="18"/>
                <w:szCs w:val="18"/>
                <w:lang w:val="sq-AL"/>
              </w:rPr>
              <w:t>p</w:t>
            </w:r>
            <w:r w:rsidRPr="00CD4A33">
              <w:rPr>
                <w:rFonts w:ascii="Garamond" w:hAnsi="Garamond"/>
                <w:b/>
                <w:bCs/>
                <w:sz w:val="18"/>
                <w:szCs w:val="18"/>
                <w:lang w:val="sq-AL"/>
              </w:rPr>
              <w:t>ër vitin</w:t>
            </w:r>
            <w:r w:rsidRPr="00CD4A33">
              <w:rPr>
                <w:rFonts w:ascii="Garamond" w:eastAsia="Arial" w:hAnsi="Garamond"/>
                <w:b/>
                <w:bCs/>
                <w:sz w:val="18"/>
                <w:szCs w:val="18"/>
                <w:lang w:val="sq-AL"/>
              </w:rPr>
              <w:t xml:space="preserve"> 2024</w:t>
            </w:r>
          </w:p>
        </w:tc>
        <w:tc>
          <w:tcPr>
            <w:tcW w:w="1134" w:type="dxa"/>
            <w:shd w:val="clear" w:color="auto" w:fill="E5F7CA"/>
            <w:vAlign w:val="center"/>
          </w:tcPr>
          <w:p w14:paraId="0773B6F3" w14:textId="6A46B1C3" w:rsidR="005676F7" w:rsidRPr="0058349C" w:rsidRDefault="005676F7" w:rsidP="00CF7694">
            <w:pPr>
              <w:shd w:val="clear" w:color="auto" w:fill="E5F7CA"/>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Objektivi </w:t>
            </w:r>
            <w:r w:rsidRPr="00CD4A33">
              <w:rPr>
                <w:rFonts w:ascii="Garamond" w:eastAsia="Arial" w:hAnsi="Garamond"/>
                <w:b/>
                <w:bCs/>
                <w:sz w:val="18"/>
                <w:szCs w:val="18"/>
                <w:lang w:val="sq-AL"/>
              </w:rPr>
              <w:t>p</w:t>
            </w:r>
            <w:r w:rsidRPr="00CD4A33">
              <w:rPr>
                <w:rFonts w:ascii="Garamond" w:hAnsi="Garamond"/>
                <w:b/>
                <w:bCs/>
                <w:sz w:val="18"/>
                <w:szCs w:val="18"/>
                <w:lang w:val="sq-AL"/>
              </w:rPr>
              <w:t>ër vitin</w:t>
            </w:r>
            <w:r w:rsidR="00CF7694" w:rsidRPr="00CD4A33">
              <w:rPr>
                <w:rFonts w:ascii="Garamond" w:hAnsi="Garamond"/>
                <w:b/>
                <w:bCs/>
                <w:sz w:val="18"/>
                <w:szCs w:val="18"/>
                <w:lang w:val="sq-AL"/>
              </w:rPr>
              <w:t xml:space="preserve"> </w:t>
            </w:r>
            <w:r w:rsidRPr="00CD4A33">
              <w:rPr>
                <w:rFonts w:ascii="Garamond" w:eastAsia="Arial" w:hAnsi="Garamond"/>
                <w:b/>
                <w:bCs/>
                <w:sz w:val="18"/>
                <w:szCs w:val="18"/>
                <w:lang w:val="sq-AL"/>
              </w:rPr>
              <w:t>2027</w:t>
            </w:r>
          </w:p>
        </w:tc>
      </w:tr>
      <w:tr w:rsidR="005676F7" w:rsidRPr="0058349C" w14:paraId="0773B6F7" w14:textId="77777777" w:rsidTr="00CD4A33">
        <w:trPr>
          <w:trHeight w:val="20"/>
        </w:trPr>
        <w:tc>
          <w:tcPr>
            <w:tcW w:w="384" w:type="dxa"/>
            <w:shd w:val="clear" w:color="auto" w:fill="E5F7CA"/>
          </w:tcPr>
          <w:p w14:paraId="0773B6F5" w14:textId="77777777" w:rsidR="005676F7" w:rsidRPr="0058349C" w:rsidRDefault="005676F7" w:rsidP="00CF7694">
            <w:pPr>
              <w:spacing w:after="0" w:line="240" w:lineRule="auto"/>
              <w:rPr>
                <w:rStyle w:val="normaltextrun"/>
                <w:rFonts w:ascii="Garamond" w:eastAsia="Arial" w:hAnsi="Garamond"/>
                <w:b/>
                <w:bCs/>
                <w:sz w:val="18"/>
                <w:szCs w:val="18"/>
                <w:lang w:val="sq-AL"/>
              </w:rPr>
            </w:pPr>
          </w:p>
        </w:tc>
        <w:tc>
          <w:tcPr>
            <w:tcW w:w="13794" w:type="dxa"/>
            <w:gridSpan w:val="10"/>
            <w:shd w:val="clear" w:color="auto" w:fill="E5F7CA"/>
            <w:vAlign w:val="center"/>
          </w:tcPr>
          <w:p w14:paraId="0773B6F6" w14:textId="36BA9FB1" w:rsidR="005676F7" w:rsidRPr="0058349C" w:rsidRDefault="005676F7" w:rsidP="00CF7694">
            <w:pPr>
              <w:spacing w:after="0" w:line="240" w:lineRule="auto"/>
              <w:rPr>
                <w:rStyle w:val="normaltextrun"/>
                <w:rFonts w:ascii="Garamond" w:eastAsia="Arial" w:hAnsi="Garamond"/>
                <w:b/>
                <w:bCs/>
                <w:sz w:val="18"/>
                <w:szCs w:val="18"/>
                <w:lang w:val="sq-AL"/>
              </w:rPr>
            </w:pPr>
            <w:r w:rsidRPr="0058349C">
              <w:rPr>
                <w:rStyle w:val="normaltextrun"/>
                <w:rFonts w:ascii="Garamond" w:eastAsia="Arial" w:hAnsi="Garamond"/>
                <w:b/>
                <w:bCs/>
                <w:sz w:val="18"/>
                <w:szCs w:val="18"/>
                <w:lang w:val="sq-AL"/>
              </w:rPr>
              <w:t>Objektivi</w:t>
            </w:r>
            <w:r w:rsidR="00CF7694" w:rsidRPr="0058349C">
              <w:rPr>
                <w:rStyle w:val="normaltextrun"/>
                <w:rFonts w:ascii="Garamond" w:eastAsia="Arial" w:hAnsi="Garamond"/>
                <w:b/>
                <w:bCs/>
                <w:sz w:val="18"/>
                <w:szCs w:val="18"/>
                <w:lang w:val="sq-AL"/>
              </w:rPr>
              <w:t xml:space="preserve"> </w:t>
            </w:r>
            <w:r w:rsidRPr="0058349C">
              <w:rPr>
                <w:rStyle w:val="normaltextrun"/>
                <w:rFonts w:ascii="Garamond" w:eastAsia="Arial" w:hAnsi="Garamond"/>
                <w:b/>
                <w:bCs/>
                <w:sz w:val="18"/>
                <w:szCs w:val="18"/>
                <w:lang w:val="sq-AL"/>
              </w:rPr>
              <w:t xml:space="preserve">1: Forcimi i kapaciteteve institucionale dhe administrative drejt përafrimit me </w:t>
            </w:r>
            <w:r w:rsidR="00B25257" w:rsidRPr="00B25257">
              <w:rPr>
                <w:rStyle w:val="normaltextrun"/>
                <w:rFonts w:ascii="Garamond" w:eastAsia="Arial" w:hAnsi="Garamond"/>
                <w:b/>
                <w:bCs/>
                <w:i/>
                <w:iCs/>
                <w:sz w:val="18"/>
                <w:szCs w:val="18"/>
                <w:lang w:val="sq-AL"/>
              </w:rPr>
              <w:t>acquis</w:t>
            </w:r>
            <w:r w:rsidRPr="0058349C">
              <w:rPr>
                <w:rStyle w:val="normaltextrun"/>
                <w:rFonts w:ascii="Garamond" w:eastAsia="Arial" w:hAnsi="Garamond"/>
                <w:b/>
                <w:bCs/>
                <w:sz w:val="18"/>
                <w:szCs w:val="18"/>
                <w:lang w:val="sq-AL"/>
              </w:rPr>
              <w:t xml:space="preserve"> të BE-së</w:t>
            </w:r>
          </w:p>
        </w:tc>
      </w:tr>
      <w:tr w:rsidR="005676F7" w:rsidRPr="0058349C" w14:paraId="0773B6FE" w14:textId="77777777" w:rsidTr="00CD4A33">
        <w:trPr>
          <w:gridAfter w:val="1"/>
          <w:wAfter w:w="8" w:type="dxa"/>
          <w:trHeight w:val="20"/>
        </w:trPr>
        <w:tc>
          <w:tcPr>
            <w:tcW w:w="384" w:type="dxa"/>
            <w:shd w:val="clear" w:color="auto" w:fill="E5F7CA"/>
          </w:tcPr>
          <w:p w14:paraId="0773B6F8" w14:textId="77777777" w:rsidR="005676F7" w:rsidRPr="0058349C" w:rsidRDefault="005676F7" w:rsidP="00CF7694">
            <w:pPr>
              <w:spacing w:after="0" w:line="240" w:lineRule="auto"/>
              <w:rPr>
                <w:rFonts w:ascii="Garamond" w:eastAsia="Arial" w:hAnsi="Garamond"/>
                <w:b/>
                <w:sz w:val="18"/>
                <w:szCs w:val="18"/>
                <w:lang w:val="sq-AL"/>
              </w:rPr>
            </w:pPr>
          </w:p>
        </w:tc>
        <w:tc>
          <w:tcPr>
            <w:tcW w:w="6093" w:type="dxa"/>
            <w:gridSpan w:val="2"/>
            <w:shd w:val="clear" w:color="auto" w:fill="E5F7CA"/>
          </w:tcPr>
          <w:p w14:paraId="0773B6F9" w14:textId="07CF2574" w:rsidR="005676F7" w:rsidRPr="0058349C" w:rsidRDefault="005676F7" w:rsidP="00CF7694">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 xml:space="preserve">Treguesi i </w:t>
            </w:r>
            <w:r w:rsidR="00CD4A33" w:rsidRPr="0058349C">
              <w:rPr>
                <w:rFonts w:ascii="Garamond" w:eastAsia="Arial" w:hAnsi="Garamond"/>
                <w:b/>
                <w:bCs/>
                <w:sz w:val="18"/>
                <w:szCs w:val="18"/>
                <w:lang w:val="sq-AL"/>
              </w:rPr>
              <w:t xml:space="preserve">impaktit </w:t>
            </w:r>
            <w:r w:rsidRPr="0058349C">
              <w:rPr>
                <w:rFonts w:ascii="Garamond" w:eastAsia="Arial" w:hAnsi="Garamond"/>
                <w:b/>
                <w:bCs/>
                <w:sz w:val="18"/>
                <w:szCs w:val="18"/>
                <w:lang w:val="sq-AL"/>
              </w:rPr>
              <w:t xml:space="preserve">1.1: </w:t>
            </w:r>
            <w:r w:rsidRPr="0058349C">
              <w:rPr>
                <w:rFonts w:ascii="Garamond" w:eastAsia="Arial" w:hAnsi="Garamond"/>
                <w:bCs/>
                <w:sz w:val="18"/>
                <w:szCs w:val="18"/>
                <w:lang w:val="sq-AL"/>
              </w:rPr>
              <w:t>Niveli i transpozimit dhe zbatimit të legjislacionit të BE-së nga</w:t>
            </w:r>
            <w:r w:rsidR="00CF7694" w:rsidRPr="0058349C">
              <w:rPr>
                <w:rFonts w:ascii="Garamond" w:eastAsia="Arial" w:hAnsi="Garamond"/>
                <w:bCs/>
                <w:sz w:val="18"/>
                <w:szCs w:val="18"/>
                <w:lang w:val="sq-AL"/>
              </w:rPr>
              <w:t xml:space="preserve"> </w:t>
            </w:r>
            <w:r w:rsidRPr="0058349C">
              <w:rPr>
                <w:rFonts w:ascii="Garamond" w:eastAsia="Arial" w:hAnsi="Garamond"/>
                <w:bCs/>
                <w:sz w:val="18"/>
                <w:szCs w:val="18"/>
                <w:lang w:val="sq-AL"/>
              </w:rPr>
              <w:t>MBZHR</w:t>
            </w:r>
            <w:r w:rsidR="00CD4A33">
              <w:rPr>
                <w:rFonts w:ascii="Garamond" w:eastAsia="Arial" w:hAnsi="Garamond"/>
                <w:bCs/>
                <w:sz w:val="18"/>
                <w:szCs w:val="18"/>
                <w:lang w:val="sq-AL"/>
              </w:rPr>
              <w:t>-ja</w:t>
            </w:r>
            <w:r w:rsidRPr="0058349C">
              <w:rPr>
                <w:rFonts w:ascii="Garamond" w:eastAsia="Arial" w:hAnsi="Garamond"/>
                <w:bCs/>
                <w:sz w:val="18"/>
                <w:szCs w:val="18"/>
                <w:lang w:val="sq-AL"/>
              </w:rPr>
              <w:t xml:space="preserve"> do t</w:t>
            </w:r>
            <w:r w:rsidRPr="0058349C">
              <w:rPr>
                <w:rFonts w:ascii="Garamond" w:hAnsi="Garamond"/>
                <w:sz w:val="18"/>
                <w:szCs w:val="18"/>
                <w:lang w:val="sq-AL"/>
              </w:rPr>
              <w:t>ë</w:t>
            </w:r>
            <w:r w:rsidRPr="0058349C">
              <w:rPr>
                <w:rFonts w:ascii="Garamond" w:eastAsia="Arial" w:hAnsi="Garamond"/>
                <w:bCs/>
                <w:sz w:val="18"/>
                <w:szCs w:val="18"/>
                <w:lang w:val="sq-AL"/>
              </w:rPr>
              <w:t xml:space="preserve"> jet</w:t>
            </w:r>
            <w:r w:rsidRPr="0058349C">
              <w:rPr>
                <w:rFonts w:ascii="Garamond" w:hAnsi="Garamond"/>
                <w:sz w:val="18"/>
                <w:szCs w:val="18"/>
                <w:lang w:val="sq-AL"/>
              </w:rPr>
              <w:t>ë</w:t>
            </w:r>
            <w:r w:rsidRPr="0058349C">
              <w:rPr>
                <w:rFonts w:ascii="Garamond" w:eastAsia="Arial" w:hAnsi="Garamond"/>
                <w:bCs/>
                <w:sz w:val="18"/>
                <w:szCs w:val="18"/>
                <w:lang w:val="sq-AL"/>
              </w:rPr>
              <w:t xml:space="preserve"> n</w:t>
            </w:r>
            <w:r w:rsidRPr="0058349C">
              <w:rPr>
                <w:rFonts w:ascii="Garamond" w:hAnsi="Garamond"/>
                <w:sz w:val="18"/>
                <w:szCs w:val="18"/>
                <w:lang w:val="sq-AL"/>
              </w:rPr>
              <w:t>ë</w:t>
            </w:r>
            <w:r w:rsidRPr="0058349C">
              <w:rPr>
                <w:rFonts w:ascii="Garamond" w:eastAsia="Arial" w:hAnsi="Garamond"/>
                <w:bCs/>
                <w:sz w:val="18"/>
                <w:szCs w:val="18"/>
                <w:lang w:val="sq-AL"/>
              </w:rPr>
              <w:t xml:space="preserve"> mas</w:t>
            </w:r>
            <w:r w:rsidRPr="0058349C">
              <w:rPr>
                <w:rFonts w:ascii="Garamond" w:hAnsi="Garamond"/>
                <w:sz w:val="18"/>
                <w:szCs w:val="18"/>
                <w:lang w:val="sq-AL"/>
              </w:rPr>
              <w:t>ën</w:t>
            </w:r>
            <w:r w:rsidRPr="0058349C">
              <w:rPr>
                <w:rFonts w:ascii="Garamond" w:eastAsia="Arial" w:hAnsi="Garamond"/>
                <w:bCs/>
                <w:sz w:val="18"/>
                <w:szCs w:val="18"/>
                <w:lang w:val="sq-AL"/>
              </w:rPr>
              <w:t xml:space="preserve"> 35% deri n</w:t>
            </w:r>
            <w:r w:rsidRPr="0058349C">
              <w:rPr>
                <w:rFonts w:ascii="Garamond" w:hAnsi="Garamond"/>
                <w:sz w:val="18"/>
                <w:szCs w:val="18"/>
                <w:lang w:val="sq-AL"/>
              </w:rPr>
              <w:t>ë</w:t>
            </w:r>
            <w:r w:rsidRPr="0058349C">
              <w:rPr>
                <w:rFonts w:ascii="Garamond" w:eastAsia="Arial" w:hAnsi="Garamond"/>
                <w:bCs/>
                <w:sz w:val="18"/>
                <w:szCs w:val="18"/>
                <w:lang w:val="sq-AL"/>
              </w:rPr>
              <w:t xml:space="preserve"> vitin 2024 dhe n</w:t>
            </w:r>
            <w:r w:rsidRPr="0058349C">
              <w:rPr>
                <w:rFonts w:ascii="Garamond" w:hAnsi="Garamond"/>
                <w:sz w:val="18"/>
                <w:szCs w:val="18"/>
                <w:lang w:val="sq-AL"/>
              </w:rPr>
              <w:t>ë</w:t>
            </w:r>
            <w:r w:rsidRPr="0058349C">
              <w:rPr>
                <w:rFonts w:ascii="Garamond" w:eastAsia="Arial" w:hAnsi="Garamond"/>
                <w:bCs/>
                <w:sz w:val="18"/>
                <w:szCs w:val="18"/>
                <w:lang w:val="sq-AL"/>
              </w:rPr>
              <w:t xml:space="preserve"> mas</w:t>
            </w:r>
            <w:r w:rsidRPr="0058349C">
              <w:rPr>
                <w:rFonts w:ascii="Garamond" w:hAnsi="Garamond"/>
                <w:sz w:val="18"/>
                <w:szCs w:val="18"/>
                <w:lang w:val="sq-AL"/>
              </w:rPr>
              <w:t>ë</w:t>
            </w:r>
            <w:r w:rsidRPr="0058349C">
              <w:rPr>
                <w:rFonts w:ascii="Garamond" w:eastAsia="Arial" w:hAnsi="Garamond"/>
                <w:bCs/>
                <w:sz w:val="18"/>
                <w:szCs w:val="18"/>
                <w:lang w:val="sq-AL"/>
              </w:rPr>
              <w:t>n 100% deri n</w:t>
            </w:r>
            <w:r w:rsidRPr="0058349C">
              <w:rPr>
                <w:rFonts w:ascii="Garamond" w:hAnsi="Garamond"/>
                <w:sz w:val="18"/>
                <w:szCs w:val="18"/>
                <w:lang w:val="sq-AL"/>
              </w:rPr>
              <w:t>ë</w:t>
            </w:r>
            <w:r w:rsidRPr="0058349C">
              <w:rPr>
                <w:rFonts w:ascii="Garamond" w:eastAsia="Arial" w:hAnsi="Garamond"/>
                <w:bCs/>
                <w:sz w:val="18"/>
                <w:szCs w:val="18"/>
                <w:lang w:val="sq-AL"/>
              </w:rPr>
              <w:t xml:space="preserve"> vitin 2027.</w:t>
            </w:r>
          </w:p>
        </w:tc>
        <w:tc>
          <w:tcPr>
            <w:tcW w:w="1419" w:type="dxa"/>
            <w:shd w:val="clear" w:color="auto" w:fill="E5F7CA"/>
          </w:tcPr>
          <w:p w14:paraId="0773B6FA" w14:textId="77777777" w:rsidR="005676F7" w:rsidRPr="0058349C" w:rsidRDefault="005676F7" w:rsidP="00CF7694">
            <w:pPr>
              <w:spacing w:after="0" w:line="240" w:lineRule="auto"/>
              <w:jc w:val="center"/>
              <w:rPr>
                <w:rFonts w:ascii="Garamond" w:eastAsia="Arial" w:hAnsi="Garamond"/>
                <w:b/>
                <w:bCs/>
                <w:sz w:val="18"/>
                <w:szCs w:val="18"/>
                <w:lang w:val="sq-AL"/>
              </w:rPr>
            </w:pPr>
            <w:r w:rsidRPr="0058349C">
              <w:rPr>
                <w:rFonts w:ascii="Garamond" w:eastAsia="Arial" w:hAnsi="Garamond"/>
                <w:sz w:val="18"/>
                <w:szCs w:val="18"/>
                <w:lang w:val="sq-AL"/>
              </w:rPr>
              <w:t>Transpozim i pjesshëm</w:t>
            </w:r>
          </w:p>
        </w:tc>
        <w:tc>
          <w:tcPr>
            <w:tcW w:w="3865" w:type="dxa"/>
            <w:gridSpan w:val="3"/>
            <w:shd w:val="clear" w:color="auto" w:fill="E5F7CA"/>
          </w:tcPr>
          <w:p w14:paraId="0773B6FB" w14:textId="77777777" w:rsidR="005676F7" w:rsidRPr="0058349C" w:rsidRDefault="005676F7" w:rsidP="00CF7694">
            <w:pPr>
              <w:spacing w:after="0" w:line="240" w:lineRule="auto"/>
              <w:rPr>
                <w:rFonts w:ascii="Garamond" w:eastAsia="Arial" w:hAnsi="Garamond"/>
                <w:sz w:val="18"/>
                <w:szCs w:val="18"/>
                <w:lang w:val="sq-AL"/>
              </w:rPr>
            </w:pPr>
          </w:p>
        </w:tc>
        <w:tc>
          <w:tcPr>
            <w:tcW w:w="1134" w:type="dxa"/>
            <w:shd w:val="clear" w:color="auto" w:fill="E5F7CA"/>
            <w:vAlign w:val="center"/>
          </w:tcPr>
          <w:p w14:paraId="0773B6FC" w14:textId="77777777" w:rsidR="005676F7" w:rsidRPr="0058349C" w:rsidRDefault="005676F7" w:rsidP="00CF7694">
            <w:pPr>
              <w:spacing w:after="0" w:line="240" w:lineRule="auto"/>
              <w:jc w:val="center"/>
              <w:rPr>
                <w:rFonts w:ascii="Garamond" w:eastAsia="Arial" w:hAnsi="Garamond"/>
                <w:b/>
                <w:bCs/>
                <w:sz w:val="18"/>
                <w:szCs w:val="18"/>
                <w:lang w:val="sq-AL"/>
              </w:rPr>
            </w:pPr>
            <w:r w:rsidRPr="0058349C">
              <w:rPr>
                <w:rFonts w:ascii="Garamond" w:eastAsia="Arial" w:hAnsi="Garamond"/>
                <w:sz w:val="18"/>
                <w:szCs w:val="18"/>
                <w:lang w:val="sq-AL"/>
              </w:rPr>
              <w:t>35%</w:t>
            </w:r>
          </w:p>
        </w:tc>
        <w:tc>
          <w:tcPr>
            <w:tcW w:w="1275" w:type="dxa"/>
            <w:gridSpan w:val="2"/>
            <w:shd w:val="clear" w:color="auto" w:fill="E5F7CA"/>
            <w:vAlign w:val="center"/>
          </w:tcPr>
          <w:p w14:paraId="0773B6FD" w14:textId="77777777" w:rsidR="005676F7" w:rsidRPr="0058349C" w:rsidRDefault="005676F7" w:rsidP="00CF7694">
            <w:pPr>
              <w:spacing w:after="0" w:line="240" w:lineRule="auto"/>
              <w:jc w:val="center"/>
              <w:rPr>
                <w:rFonts w:ascii="Garamond" w:eastAsia="Arial" w:hAnsi="Garamond"/>
                <w:b/>
                <w:bCs/>
                <w:sz w:val="18"/>
                <w:szCs w:val="18"/>
                <w:lang w:val="sq-AL"/>
              </w:rPr>
            </w:pPr>
            <w:r w:rsidRPr="0058349C">
              <w:rPr>
                <w:rFonts w:ascii="Garamond" w:eastAsia="Arial" w:hAnsi="Garamond"/>
                <w:sz w:val="18"/>
                <w:szCs w:val="18"/>
                <w:lang w:val="sq-AL"/>
              </w:rPr>
              <w:t>100%</w:t>
            </w:r>
          </w:p>
        </w:tc>
      </w:tr>
      <w:tr w:rsidR="005676F7" w:rsidRPr="0058349C" w14:paraId="0773B707" w14:textId="77777777" w:rsidTr="00CD4A33">
        <w:trPr>
          <w:gridAfter w:val="1"/>
          <w:wAfter w:w="8" w:type="dxa"/>
          <w:trHeight w:val="20"/>
        </w:trPr>
        <w:tc>
          <w:tcPr>
            <w:tcW w:w="384" w:type="dxa"/>
            <w:vMerge w:val="restart"/>
            <w:shd w:val="clear" w:color="auto" w:fill="F2F2F2"/>
          </w:tcPr>
          <w:p w14:paraId="0773B6FF" w14:textId="77777777" w:rsidR="005676F7" w:rsidRPr="0058349C" w:rsidRDefault="005676F7" w:rsidP="00CF7694">
            <w:pPr>
              <w:spacing w:after="0" w:line="240" w:lineRule="auto"/>
              <w:rPr>
                <w:rFonts w:ascii="Garamond" w:eastAsia="Arial" w:hAnsi="Garamond"/>
                <w:b/>
                <w:sz w:val="18"/>
                <w:szCs w:val="18"/>
                <w:lang w:val="sq-AL"/>
              </w:rPr>
            </w:pPr>
          </w:p>
        </w:tc>
        <w:tc>
          <w:tcPr>
            <w:tcW w:w="6093" w:type="dxa"/>
            <w:gridSpan w:val="2"/>
            <w:vMerge w:val="restart"/>
            <w:shd w:val="clear" w:color="auto" w:fill="F2F2F2"/>
            <w:vAlign w:val="center"/>
          </w:tcPr>
          <w:p w14:paraId="0773B700" w14:textId="4BA84B19" w:rsidR="005676F7" w:rsidRPr="0058349C" w:rsidRDefault="00CD4A33" w:rsidP="00CF7694">
            <w:pPr>
              <w:spacing w:after="0" w:line="240" w:lineRule="auto"/>
              <w:jc w:val="center"/>
              <w:rPr>
                <w:rFonts w:ascii="Garamond" w:eastAsia="Arial" w:hAnsi="Garamond"/>
                <w:b/>
                <w:bCs/>
                <w:sz w:val="18"/>
                <w:szCs w:val="18"/>
                <w:lang w:val="sq-AL"/>
              </w:rPr>
            </w:pPr>
            <w:r>
              <w:rPr>
                <w:rFonts w:ascii="Garamond" w:eastAsia="Arial" w:hAnsi="Garamond"/>
                <w:b/>
                <w:bCs/>
                <w:sz w:val="18"/>
                <w:szCs w:val="18"/>
                <w:lang w:val="sq-AL"/>
              </w:rPr>
              <w:t>Veprimi</w:t>
            </w:r>
            <w:r w:rsidR="00797859">
              <w:rPr>
                <w:rFonts w:ascii="Garamond" w:eastAsia="Arial" w:hAnsi="Garamond"/>
                <w:b/>
                <w:bCs/>
                <w:sz w:val="18"/>
                <w:szCs w:val="18"/>
                <w:lang w:val="sq-AL"/>
              </w:rPr>
              <w:t>/</w:t>
            </w:r>
            <w:r w:rsidRPr="0058349C">
              <w:rPr>
                <w:rFonts w:ascii="Garamond" w:eastAsia="Arial" w:hAnsi="Garamond"/>
                <w:b/>
                <w:bCs/>
                <w:sz w:val="18"/>
                <w:szCs w:val="18"/>
                <w:lang w:val="sq-AL"/>
              </w:rPr>
              <w:t>ndërhyrja</w:t>
            </w:r>
          </w:p>
        </w:tc>
        <w:tc>
          <w:tcPr>
            <w:tcW w:w="1419" w:type="dxa"/>
            <w:vMerge w:val="restart"/>
            <w:shd w:val="clear" w:color="auto" w:fill="F2F2F2"/>
            <w:vAlign w:val="center"/>
          </w:tcPr>
          <w:p w14:paraId="0773B701" w14:textId="7E941EEC"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BK, IPA III, IPARD III dhe donatorët</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 xml:space="preserve">e tjerë </w:t>
            </w:r>
          </w:p>
        </w:tc>
        <w:tc>
          <w:tcPr>
            <w:tcW w:w="3865" w:type="dxa"/>
            <w:gridSpan w:val="3"/>
            <w:shd w:val="clear" w:color="auto" w:fill="F2F2F2"/>
            <w:vAlign w:val="center"/>
          </w:tcPr>
          <w:p w14:paraId="0773B702" w14:textId="3398D9B4" w:rsidR="005676F7" w:rsidRPr="0058349C" w:rsidRDefault="005676F7"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Buxheti i alokuar (</w:t>
            </w:r>
            <w:r w:rsidR="00CD4A33" w:rsidRPr="0058349C">
              <w:rPr>
                <w:rFonts w:ascii="Garamond" w:eastAsia="Arial" w:hAnsi="Garamond"/>
                <w:b/>
                <w:bCs/>
                <w:sz w:val="18"/>
                <w:szCs w:val="18"/>
                <w:lang w:val="sq-AL"/>
              </w:rPr>
              <w:t>euro</w:t>
            </w:r>
            <w:r w:rsidRPr="0058349C">
              <w:rPr>
                <w:rFonts w:ascii="Garamond" w:eastAsia="Arial" w:hAnsi="Garamond"/>
                <w:b/>
                <w:bCs/>
                <w:sz w:val="18"/>
                <w:szCs w:val="18"/>
                <w:lang w:val="sq-AL"/>
              </w:rPr>
              <w:t>)</w:t>
            </w:r>
          </w:p>
          <w:p w14:paraId="0773B703" w14:textId="1449DFAC" w:rsidR="005676F7" w:rsidRPr="0058349C" w:rsidRDefault="00CD4A33" w:rsidP="00CF7694">
            <w:pPr>
              <w:spacing w:after="0" w:line="240" w:lineRule="auto"/>
              <w:jc w:val="center"/>
              <w:rPr>
                <w:rFonts w:ascii="Garamond" w:eastAsia="Arial" w:hAnsi="Garamond"/>
                <w:b/>
                <w:bCs/>
                <w:sz w:val="18"/>
                <w:szCs w:val="18"/>
                <w:lang w:val="sq-AL"/>
              </w:rPr>
            </w:pPr>
            <w:r>
              <w:rPr>
                <w:rFonts w:ascii="Garamond" w:eastAsia="Arial" w:hAnsi="Garamond"/>
                <w:b/>
                <w:bCs/>
                <w:sz w:val="18"/>
                <w:szCs w:val="18"/>
                <w:lang w:val="sq-AL"/>
              </w:rPr>
              <w:t>2022</w:t>
            </w:r>
            <w:r w:rsidR="005676F7" w:rsidRPr="0058349C">
              <w:rPr>
                <w:rFonts w:ascii="Garamond" w:eastAsia="Arial" w:hAnsi="Garamond" w:cs="Arial"/>
                <w:b/>
                <w:bCs/>
                <w:sz w:val="18"/>
                <w:szCs w:val="18"/>
                <w:lang w:val="sq-AL"/>
              </w:rPr>
              <w:t>–</w:t>
            </w:r>
            <w:r w:rsidR="005676F7" w:rsidRPr="0058349C">
              <w:rPr>
                <w:rFonts w:ascii="Garamond" w:eastAsia="Arial" w:hAnsi="Garamond"/>
                <w:b/>
                <w:bCs/>
                <w:sz w:val="18"/>
                <w:szCs w:val="18"/>
                <w:lang w:val="sq-AL"/>
              </w:rPr>
              <w:t>2024</w:t>
            </w:r>
          </w:p>
          <w:p w14:paraId="0773B704" w14:textId="61E5ECEB"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(N = nevoja,</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nuk mbulohet nga buxheti kombëtar</w:t>
            </w:r>
            <w:r w:rsidR="00797859">
              <w:rPr>
                <w:rFonts w:ascii="Garamond" w:eastAsia="Arial" w:hAnsi="Garamond"/>
                <w:b/>
                <w:bCs/>
                <w:sz w:val="18"/>
                <w:szCs w:val="18"/>
                <w:lang w:val="sq-AL"/>
              </w:rPr>
              <w:t>/</w:t>
            </w:r>
            <w:r w:rsidRPr="0058349C">
              <w:rPr>
                <w:rFonts w:ascii="Garamond" w:eastAsia="Arial" w:hAnsi="Garamond"/>
                <w:b/>
                <w:bCs/>
                <w:sz w:val="18"/>
                <w:szCs w:val="18"/>
                <w:lang w:val="sq-AL"/>
              </w:rPr>
              <w:t xml:space="preserve">IPA III, </w:t>
            </w:r>
            <w:r w:rsidR="00CD4A33">
              <w:rPr>
                <w:rFonts w:ascii="Garamond" w:eastAsia="Arial" w:hAnsi="Garamond"/>
                <w:b/>
                <w:bCs/>
                <w:sz w:val="18"/>
                <w:szCs w:val="18"/>
                <w:lang w:val="sq-AL"/>
              </w:rPr>
              <w:t>donatorët</w:t>
            </w:r>
            <w:r w:rsidRPr="0058349C">
              <w:rPr>
                <w:rFonts w:ascii="Garamond" w:eastAsia="Arial" w:hAnsi="Garamond"/>
                <w:b/>
                <w:bCs/>
                <w:sz w:val="18"/>
                <w:szCs w:val="18"/>
                <w:lang w:val="sq-AL"/>
              </w:rPr>
              <w:t>)</w:t>
            </w:r>
          </w:p>
        </w:tc>
        <w:tc>
          <w:tcPr>
            <w:tcW w:w="1134" w:type="dxa"/>
            <w:vMerge w:val="restart"/>
            <w:shd w:val="clear" w:color="auto" w:fill="E5F7CA"/>
            <w:vAlign w:val="center"/>
          </w:tcPr>
          <w:p w14:paraId="0773B705" w14:textId="4641B41C" w:rsidR="005676F7" w:rsidRPr="00CD4A33" w:rsidRDefault="005676F7" w:rsidP="00CF7694">
            <w:pPr>
              <w:spacing w:after="0" w:line="240" w:lineRule="auto"/>
              <w:jc w:val="center"/>
              <w:rPr>
                <w:rFonts w:ascii="Garamond" w:eastAsia="Arial" w:hAnsi="Garamond"/>
                <w:sz w:val="18"/>
                <w:szCs w:val="18"/>
                <w:lang w:val="sq-AL"/>
              </w:rPr>
            </w:pPr>
            <w:r w:rsidRPr="00CD4A33">
              <w:rPr>
                <w:rFonts w:ascii="Garamond" w:eastAsia="Arial" w:hAnsi="Garamond"/>
                <w:sz w:val="18"/>
                <w:szCs w:val="18"/>
                <w:lang w:val="sq-AL"/>
              </w:rPr>
              <w:t>Objektivi p</w:t>
            </w:r>
            <w:r w:rsidRPr="00CD4A33">
              <w:rPr>
                <w:rFonts w:ascii="Garamond" w:hAnsi="Garamond"/>
                <w:sz w:val="18"/>
                <w:szCs w:val="18"/>
                <w:lang w:val="sq-AL"/>
              </w:rPr>
              <w:t>ër vitin</w:t>
            </w:r>
            <w:r w:rsidR="00CF7694" w:rsidRPr="00CD4A33">
              <w:rPr>
                <w:rFonts w:ascii="Garamond" w:hAnsi="Garamond"/>
                <w:sz w:val="18"/>
                <w:szCs w:val="18"/>
                <w:lang w:val="sq-AL"/>
              </w:rPr>
              <w:t xml:space="preserve"> </w:t>
            </w:r>
            <w:r w:rsidRPr="00CD4A33">
              <w:rPr>
                <w:rFonts w:ascii="Garamond" w:eastAsia="Arial" w:hAnsi="Garamond"/>
                <w:sz w:val="18"/>
                <w:szCs w:val="18"/>
                <w:lang w:val="sq-AL"/>
              </w:rPr>
              <w:t>2024</w:t>
            </w:r>
          </w:p>
        </w:tc>
        <w:tc>
          <w:tcPr>
            <w:tcW w:w="1275" w:type="dxa"/>
            <w:gridSpan w:val="2"/>
            <w:vMerge w:val="restart"/>
            <w:shd w:val="clear" w:color="auto" w:fill="E5F7CA"/>
            <w:vAlign w:val="center"/>
          </w:tcPr>
          <w:p w14:paraId="0773B706" w14:textId="61A76D3D" w:rsidR="005676F7" w:rsidRPr="00CD4A33" w:rsidRDefault="005676F7" w:rsidP="00CF7694">
            <w:pPr>
              <w:spacing w:after="0" w:line="240" w:lineRule="auto"/>
              <w:jc w:val="center"/>
              <w:rPr>
                <w:rFonts w:ascii="Garamond" w:eastAsia="Arial" w:hAnsi="Garamond"/>
                <w:sz w:val="18"/>
                <w:szCs w:val="18"/>
                <w:lang w:val="sq-AL"/>
              </w:rPr>
            </w:pPr>
            <w:r w:rsidRPr="00CD4A33">
              <w:rPr>
                <w:rFonts w:ascii="Garamond" w:eastAsia="Arial" w:hAnsi="Garamond"/>
                <w:sz w:val="18"/>
                <w:szCs w:val="18"/>
                <w:lang w:val="sq-AL"/>
              </w:rPr>
              <w:t>Objektivi p</w:t>
            </w:r>
            <w:r w:rsidRPr="00CD4A33">
              <w:rPr>
                <w:rFonts w:ascii="Garamond" w:hAnsi="Garamond"/>
                <w:sz w:val="18"/>
                <w:szCs w:val="18"/>
                <w:lang w:val="sq-AL"/>
              </w:rPr>
              <w:t>ër vitin</w:t>
            </w:r>
            <w:r w:rsidR="00CF7694" w:rsidRPr="00CD4A33">
              <w:rPr>
                <w:rFonts w:ascii="Garamond" w:eastAsia="Arial" w:hAnsi="Garamond"/>
                <w:sz w:val="18"/>
                <w:szCs w:val="18"/>
                <w:lang w:val="sq-AL"/>
              </w:rPr>
              <w:t xml:space="preserve"> </w:t>
            </w:r>
            <w:r w:rsidRPr="00CD4A33">
              <w:rPr>
                <w:rFonts w:ascii="Garamond" w:eastAsia="Arial" w:hAnsi="Garamond"/>
                <w:sz w:val="18"/>
                <w:szCs w:val="18"/>
                <w:lang w:val="sq-AL"/>
              </w:rPr>
              <w:t>2027</w:t>
            </w:r>
          </w:p>
        </w:tc>
      </w:tr>
      <w:tr w:rsidR="005676F7" w:rsidRPr="0058349C" w14:paraId="0773B710" w14:textId="77777777" w:rsidTr="00CD4A33">
        <w:trPr>
          <w:gridAfter w:val="1"/>
          <w:wAfter w:w="8" w:type="dxa"/>
          <w:trHeight w:val="20"/>
        </w:trPr>
        <w:tc>
          <w:tcPr>
            <w:tcW w:w="384" w:type="dxa"/>
            <w:vMerge/>
            <w:shd w:val="clear" w:color="auto" w:fill="F2F2F2"/>
          </w:tcPr>
          <w:p w14:paraId="0773B708" w14:textId="77777777" w:rsidR="005676F7" w:rsidRPr="0058349C" w:rsidRDefault="005676F7" w:rsidP="00CF7694">
            <w:pPr>
              <w:spacing w:after="0" w:line="240" w:lineRule="auto"/>
              <w:rPr>
                <w:rFonts w:ascii="Garamond" w:eastAsia="Arial" w:hAnsi="Garamond"/>
                <w:b/>
                <w:sz w:val="18"/>
                <w:szCs w:val="18"/>
                <w:lang w:val="sq-AL"/>
              </w:rPr>
            </w:pPr>
          </w:p>
        </w:tc>
        <w:tc>
          <w:tcPr>
            <w:tcW w:w="6093" w:type="dxa"/>
            <w:gridSpan w:val="2"/>
            <w:vMerge/>
            <w:shd w:val="clear" w:color="auto" w:fill="F2F2F2"/>
          </w:tcPr>
          <w:p w14:paraId="0773B709" w14:textId="77777777" w:rsidR="005676F7" w:rsidRPr="0058349C" w:rsidRDefault="005676F7" w:rsidP="00CF7694">
            <w:pPr>
              <w:spacing w:after="0" w:line="240" w:lineRule="auto"/>
              <w:rPr>
                <w:rFonts w:ascii="Garamond" w:eastAsia="Arial" w:hAnsi="Garamond"/>
                <w:b/>
                <w:bCs/>
                <w:sz w:val="18"/>
                <w:szCs w:val="18"/>
                <w:lang w:val="sq-AL"/>
              </w:rPr>
            </w:pPr>
          </w:p>
        </w:tc>
        <w:tc>
          <w:tcPr>
            <w:tcW w:w="1419" w:type="dxa"/>
            <w:vMerge/>
            <w:shd w:val="clear" w:color="auto" w:fill="F2F2F2"/>
          </w:tcPr>
          <w:p w14:paraId="0773B70A" w14:textId="77777777" w:rsidR="005676F7" w:rsidRPr="0058349C" w:rsidRDefault="005676F7" w:rsidP="00CF7694">
            <w:pPr>
              <w:spacing w:after="0" w:line="240" w:lineRule="auto"/>
              <w:rPr>
                <w:rFonts w:ascii="Garamond" w:eastAsia="Arial" w:hAnsi="Garamond"/>
                <w:sz w:val="18"/>
                <w:szCs w:val="18"/>
                <w:lang w:val="sq-AL"/>
              </w:rPr>
            </w:pPr>
          </w:p>
        </w:tc>
        <w:tc>
          <w:tcPr>
            <w:tcW w:w="1288" w:type="dxa"/>
            <w:shd w:val="clear" w:color="auto" w:fill="F2F2F2"/>
          </w:tcPr>
          <w:p w14:paraId="0773B70B"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2022</w:t>
            </w:r>
          </w:p>
        </w:tc>
        <w:tc>
          <w:tcPr>
            <w:tcW w:w="1288" w:type="dxa"/>
            <w:shd w:val="clear" w:color="auto" w:fill="F2F2F2"/>
          </w:tcPr>
          <w:p w14:paraId="0773B70C"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2023</w:t>
            </w:r>
          </w:p>
        </w:tc>
        <w:tc>
          <w:tcPr>
            <w:tcW w:w="1289" w:type="dxa"/>
            <w:shd w:val="clear" w:color="auto" w:fill="F2F2F2"/>
          </w:tcPr>
          <w:p w14:paraId="0773B70D"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2024</w:t>
            </w:r>
          </w:p>
        </w:tc>
        <w:tc>
          <w:tcPr>
            <w:tcW w:w="1134" w:type="dxa"/>
            <w:vMerge/>
            <w:shd w:val="clear" w:color="auto" w:fill="E5F7CA"/>
          </w:tcPr>
          <w:p w14:paraId="0773B70E" w14:textId="77777777" w:rsidR="005676F7" w:rsidRPr="0058349C" w:rsidRDefault="005676F7" w:rsidP="00CF7694">
            <w:pPr>
              <w:spacing w:after="0" w:line="240" w:lineRule="auto"/>
              <w:rPr>
                <w:rFonts w:ascii="Garamond" w:eastAsia="Arial" w:hAnsi="Garamond"/>
                <w:sz w:val="18"/>
                <w:szCs w:val="18"/>
                <w:lang w:val="sq-AL"/>
              </w:rPr>
            </w:pPr>
          </w:p>
        </w:tc>
        <w:tc>
          <w:tcPr>
            <w:tcW w:w="1275" w:type="dxa"/>
            <w:gridSpan w:val="2"/>
            <w:vMerge/>
            <w:shd w:val="clear" w:color="auto" w:fill="E5F7CA"/>
          </w:tcPr>
          <w:p w14:paraId="0773B70F" w14:textId="77777777" w:rsidR="005676F7" w:rsidRPr="0058349C" w:rsidRDefault="005676F7" w:rsidP="00CF7694">
            <w:pPr>
              <w:spacing w:after="0" w:line="240" w:lineRule="auto"/>
              <w:rPr>
                <w:rFonts w:ascii="Garamond" w:eastAsia="Arial" w:hAnsi="Garamond"/>
                <w:sz w:val="18"/>
                <w:szCs w:val="18"/>
                <w:lang w:val="sq-AL"/>
              </w:rPr>
            </w:pPr>
          </w:p>
        </w:tc>
      </w:tr>
      <w:tr w:rsidR="005676F7" w:rsidRPr="0058349C" w14:paraId="0773B71A" w14:textId="77777777" w:rsidTr="00CD4A33">
        <w:trPr>
          <w:gridAfter w:val="1"/>
          <w:wAfter w:w="8" w:type="dxa"/>
          <w:trHeight w:val="20"/>
        </w:trPr>
        <w:tc>
          <w:tcPr>
            <w:tcW w:w="384" w:type="dxa"/>
            <w:shd w:val="clear" w:color="auto" w:fill="F2F2F2"/>
          </w:tcPr>
          <w:p w14:paraId="0773B711"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shd w:val="clear" w:color="auto" w:fill="F2F2F2"/>
          </w:tcPr>
          <w:p w14:paraId="0773B712" w14:textId="77777777"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hAnsi="Garamond"/>
                <w:b/>
                <w:bCs/>
                <w:sz w:val="18"/>
                <w:szCs w:val="18"/>
                <w:lang w:val="sq-AL"/>
              </w:rPr>
              <w:t>Projekti AT për konsolidimin e njësisë së asistencës teknike për IPARD III</w:t>
            </w:r>
          </w:p>
        </w:tc>
        <w:tc>
          <w:tcPr>
            <w:tcW w:w="2526" w:type="dxa"/>
            <w:shd w:val="clear" w:color="auto" w:fill="F2F2F2"/>
          </w:tcPr>
          <w:p w14:paraId="0773B713" w14:textId="6F16998B"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Niveli i njësisë së asistencës teknike do t</w:t>
            </w:r>
            <w:r w:rsidRPr="0058349C">
              <w:rPr>
                <w:rFonts w:ascii="Garamond" w:hAnsi="Garamond"/>
                <w:sz w:val="18"/>
                <w:szCs w:val="18"/>
                <w:lang w:val="sq-AL"/>
              </w:rPr>
              <w:t>ë jetë</w:t>
            </w:r>
            <w:r w:rsidR="00CF7694" w:rsidRPr="0058349C">
              <w:rPr>
                <w:rFonts w:ascii="Garamond" w:hAnsi="Garamond"/>
                <w:sz w:val="18"/>
                <w:szCs w:val="18"/>
                <w:lang w:val="sq-AL"/>
              </w:rPr>
              <w:t xml:space="preserve"> </w:t>
            </w:r>
            <w:r w:rsidRPr="0058349C">
              <w:rPr>
                <w:rFonts w:ascii="Garamond" w:eastAsia="Arial" w:hAnsi="Garamond" w:cs="Segoe UI"/>
                <w:sz w:val="18"/>
                <w:szCs w:val="18"/>
                <w:lang w:val="sq-AL"/>
              </w:rPr>
              <w:t>plotësisht funksional për të zbatuar rregullat e PRAG deri n</w:t>
            </w:r>
            <w:r w:rsidRPr="0058349C">
              <w:rPr>
                <w:rFonts w:ascii="Garamond" w:hAnsi="Garamond"/>
                <w:sz w:val="18"/>
                <w:szCs w:val="18"/>
                <w:lang w:val="sq-AL"/>
              </w:rPr>
              <w:t>ë vitin 2024.</w:t>
            </w:r>
          </w:p>
        </w:tc>
        <w:tc>
          <w:tcPr>
            <w:tcW w:w="1419" w:type="dxa"/>
            <w:shd w:val="clear" w:color="auto" w:fill="F2F2F2"/>
            <w:vAlign w:val="center"/>
          </w:tcPr>
          <w:p w14:paraId="0773B714" w14:textId="50884EA1"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(TAIEX</w:t>
            </w:r>
            <w:r w:rsidR="00CF7694" w:rsidRPr="0058349C">
              <w:rPr>
                <w:rFonts w:ascii="Garamond" w:eastAsia="Arial" w:hAnsi="Garamond"/>
                <w:sz w:val="18"/>
                <w:szCs w:val="18"/>
                <w:lang w:val="sq-AL"/>
              </w:rPr>
              <w:t xml:space="preserve"> </w:t>
            </w:r>
            <w:r w:rsidRPr="0058349C">
              <w:rPr>
                <w:rFonts w:ascii="Garamond" w:eastAsia="Arial" w:hAnsi="Garamond"/>
                <w:sz w:val="18"/>
                <w:szCs w:val="18"/>
                <w:lang w:val="sq-AL"/>
              </w:rPr>
              <w:t>os</w:t>
            </w:r>
            <w:r w:rsidR="00CD4A33">
              <w:rPr>
                <w:rFonts w:ascii="Garamond" w:eastAsia="Arial" w:hAnsi="Garamond"/>
                <w:sz w:val="18"/>
                <w:szCs w:val="18"/>
                <w:lang w:val="sq-AL"/>
              </w:rPr>
              <w:t>e projekte të tjera të vogla AT</w:t>
            </w:r>
            <w:r w:rsidRPr="0058349C">
              <w:rPr>
                <w:rFonts w:ascii="Garamond" w:eastAsia="Arial" w:hAnsi="Garamond"/>
                <w:sz w:val="18"/>
                <w:szCs w:val="18"/>
                <w:lang w:val="sq-AL"/>
              </w:rPr>
              <w:t>)</w:t>
            </w:r>
          </w:p>
        </w:tc>
        <w:tc>
          <w:tcPr>
            <w:tcW w:w="1288" w:type="dxa"/>
            <w:shd w:val="clear" w:color="auto" w:fill="F2F2F2"/>
            <w:vAlign w:val="center"/>
          </w:tcPr>
          <w:p w14:paraId="0773B715"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716"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717"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718"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c>
          <w:tcPr>
            <w:tcW w:w="1275" w:type="dxa"/>
            <w:gridSpan w:val="2"/>
            <w:shd w:val="clear" w:color="auto" w:fill="E5F7CA"/>
            <w:vAlign w:val="center"/>
          </w:tcPr>
          <w:p w14:paraId="0773B719"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5676F7" w:rsidRPr="0058349C" w14:paraId="0773B724" w14:textId="77777777" w:rsidTr="00CD4A33">
        <w:trPr>
          <w:gridAfter w:val="1"/>
          <w:wAfter w:w="8" w:type="dxa"/>
          <w:trHeight w:val="20"/>
        </w:trPr>
        <w:tc>
          <w:tcPr>
            <w:tcW w:w="384" w:type="dxa"/>
            <w:vMerge w:val="restart"/>
            <w:shd w:val="clear" w:color="auto" w:fill="F2F2F2"/>
          </w:tcPr>
          <w:p w14:paraId="0773B71B"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val="restart"/>
            <w:shd w:val="clear" w:color="auto" w:fill="F2F2F2"/>
          </w:tcPr>
          <w:p w14:paraId="0773B71C" w14:textId="361F51C7" w:rsidR="005676F7" w:rsidRPr="0058349C" w:rsidRDefault="005676F7" w:rsidP="00CF7694">
            <w:pPr>
              <w:spacing w:after="0" w:line="240" w:lineRule="auto"/>
              <w:rPr>
                <w:rFonts w:ascii="Garamond" w:eastAsia="Arial" w:hAnsi="Garamond" w:cs="Segoe UI"/>
                <w:b/>
                <w:bCs/>
                <w:sz w:val="18"/>
                <w:szCs w:val="18"/>
                <w:lang w:val="sq-AL"/>
              </w:rPr>
            </w:pPr>
            <w:r w:rsidRPr="0058349C">
              <w:rPr>
                <w:rFonts w:ascii="Garamond" w:hAnsi="Garamond"/>
                <w:b/>
                <w:bCs/>
                <w:sz w:val="18"/>
                <w:szCs w:val="18"/>
                <w:lang w:val="sq-AL"/>
              </w:rPr>
              <w:t xml:space="preserve">Projektet e AT për përafrimin e legjislacionit të BE-së në </w:t>
            </w:r>
            <w:r w:rsidR="00CD4A33" w:rsidRPr="0058349C">
              <w:rPr>
                <w:rFonts w:ascii="Garamond" w:hAnsi="Garamond"/>
                <w:b/>
                <w:bCs/>
                <w:sz w:val="18"/>
                <w:szCs w:val="18"/>
                <w:lang w:val="sq-AL"/>
              </w:rPr>
              <w:t xml:space="preserve">kapitullin </w:t>
            </w:r>
            <w:r w:rsidRPr="0058349C">
              <w:rPr>
                <w:rFonts w:ascii="Garamond" w:hAnsi="Garamond"/>
                <w:b/>
                <w:bCs/>
                <w:sz w:val="18"/>
                <w:szCs w:val="18"/>
                <w:lang w:val="sq-AL"/>
              </w:rPr>
              <w:t>11</w:t>
            </w:r>
          </w:p>
        </w:tc>
        <w:tc>
          <w:tcPr>
            <w:tcW w:w="2526" w:type="dxa"/>
            <w:shd w:val="clear" w:color="auto" w:fill="F2F2F2"/>
          </w:tcPr>
          <w:p w14:paraId="0773B71D" w14:textId="0A662C29"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FADN</w:t>
            </w:r>
            <w:r w:rsidRPr="0058349C">
              <w:rPr>
                <w:rFonts w:ascii="Garamond" w:hAnsi="Garamond"/>
                <w:sz w:val="18"/>
                <w:szCs w:val="18"/>
                <w:lang w:val="sq-AL"/>
              </w:rPr>
              <w:t xml:space="preserve"> do të jetë gati/e plotësuar</w:t>
            </w:r>
            <w:r w:rsidR="00CF7694" w:rsidRPr="0058349C">
              <w:rPr>
                <w:rFonts w:ascii="Garamond" w:hAnsi="Garamond"/>
                <w:sz w:val="18"/>
                <w:szCs w:val="18"/>
                <w:lang w:val="sq-AL"/>
              </w:rPr>
              <w:t xml:space="preserve"> </w:t>
            </w:r>
            <w:r w:rsidRPr="0058349C">
              <w:rPr>
                <w:rFonts w:ascii="Garamond" w:hAnsi="Garamond"/>
                <w:sz w:val="18"/>
                <w:szCs w:val="18"/>
                <w:lang w:val="sq-AL"/>
              </w:rPr>
              <w:t>në 80% deri në vitin 2024 dhe 100 deri në vitin 2027.</w:t>
            </w:r>
          </w:p>
        </w:tc>
        <w:tc>
          <w:tcPr>
            <w:tcW w:w="1419" w:type="dxa"/>
            <w:shd w:val="clear" w:color="auto" w:fill="F2F2F2"/>
            <w:vAlign w:val="center"/>
          </w:tcPr>
          <w:p w14:paraId="0773B71E" w14:textId="77777777" w:rsidR="005676F7" w:rsidRPr="0058349C" w:rsidRDefault="005676F7"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71F"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720"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500,000</w:t>
            </w:r>
          </w:p>
        </w:tc>
        <w:tc>
          <w:tcPr>
            <w:tcW w:w="1289" w:type="dxa"/>
            <w:shd w:val="clear" w:color="auto" w:fill="F2F2F2"/>
            <w:vAlign w:val="center"/>
          </w:tcPr>
          <w:p w14:paraId="0773B721"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500,000</w:t>
            </w:r>
          </w:p>
        </w:tc>
        <w:tc>
          <w:tcPr>
            <w:tcW w:w="1134" w:type="dxa"/>
            <w:shd w:val="clear" w:color="auto" w:fill="E5F7CA"/>
            <w:vAlign w:val="center"/>
          </w:tcPr>
          <w:p w14:paraId="0773B722"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80%</w:t>
            </w:r>
          </w:p>
        </w:tc>
        <w:tc>
          <w:tcPr>
            <w:tcW w:w="1275" w:type="dxa"/>
            <w:gridSpan w:val="2"/>
            <w:shd w:val="clear" w:color="auto" w:fill="E5F7CA"/>
            <w:vAlign w:val="center"/>
          </w:tcPr>
          <w:p w14:paraId="0773B723"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5676F7" w:rsidRPr="0058349C" w14:paraId="0773B72F" w14:textId="77777777" w:rsidTr="00CD4A33">
        <w:trPr>
          <w:gridAfter w:val="1"/>
          <w:wAfter w:w="8" w:type="dxa"/>
          <w:trHeight w:val="20"/>
        </w:trPr>
        <w:tc>
          <w:tcPr>
            <w:tcW w:w="384" w:type="dxa"/>
            <w:vMerge/>
            <w:shd w:val="clear" w:color="auto" w:fill="F2F2F2"/>
          </w:tcPr>
          <w:p w14:paraId="0773B725"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F2F2F2"/>
          </w:tcPr>
          <w:p w14:paraId="0773B726"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727" w14:textId="2A906675"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 xml:space="preserve">Regjistri i </w:t>
            </w:r>
            <w:r w:rsidR="00CD4A33" w:rsidRPr="0058349C">
              <w:rPr>
                <w:rFonts w:ascii="Garamond" w:eastAsia="Arial" w:hAnsi="Garamond" w:cs="Segoe UI"/>
                <w:sz w:val="18"/>
                <w:szCs w:val="18"/>
                <w:lang w:val="sq-AL"/>
              </w:rPr>
              <w:t xml:space="preserve">fermës </w:t>
            </w:r>
            <w:r w:rsidRPr="0058349C">
              <w:rPr>
                <w:rFonts w:ascii="Garamond" w:eastAsia="Arial" w:hAnsi="Garamond" w:cs="Segoe UI"/>
                <w:sz w:val="18"/>
                <w:szCs w:val="18"/>
                <w:lang w:val="sq-AL"/>
              </w:rPr>
              <w:t>do t</w:t>
            </w:r>
            <w:r w:rsidR="00CD4A33">
              <w:rPr>
                <w:rFonts w:ascii="Garamond" w:hAnsi="Garamond"/>
                <w:sz w:val="18"/>
                <w:szCs w:val="18"/>
                <w:lang w:val="sq-AL"/>
              </w:rPr>
              <w:t>ë jetë gati</w:t>
            </w:r>
            <w:r w:rsidR="00797859">
              <w:rPr>
                <w:rFonts w:ascii="Garamond" w:hAnsi="Garamond"/>
                <w:sz w:val="18"/>
                <w:szCs w:val="18"/>
                <w:lang w:val="sq-AL"/>
              </w:rPr>
              <w:t>/</w:t>
            </w:r>
            <w:r w:rsidRPr="0058349C">
              <w:rPr>
                <w:rFonts w:ascii="Garamond" w:hAnsi="Garamond"/>
                <w:sz w:val="18"/>
                <w:szCs w:val="18"/>
                <w:lang w:val="sq-AL"/>
              </w:rPr>
              <w:t>i plotësuar në masën 100% deri në vitin 2024.</w:t>
            </w:r>
          </w:p>
        </w:tc>
        <w:tc>
          <w:tcPr>
            <w:tcW w:w="1419" w:type="dxa"/>
            <w:shd w:val="clear" w:color="auto" w:fill="F2F2F2"/>
            <w:vAlign w:val="center"/>
          </w:tcPr>
          <w:p w14:paraId="0773B728" w14:textId="0CB8D57F" w:rsidR="005676F7" w:rsidRPr="0058349C" w:rsidRDefault="00CF7694"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 xml:space="preserve"> </w:t>
            </w:r>
          </w:p>
          <w:p w14:paraId="0773B729" w14:textId="77777777" w:rsidR="005676F7" w:rsidRPr="0058349C" w:rsidRDefault="005676F7"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72A"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500,000</w:t>
            </w:r>
          </w:p>
        </w:tc>
        <w:tc>
          <w:tcPr>
            <w:tcW w:w="1288" w:type="dxa"/>
            <w:shd w:val="clear" w:color="auto" w:fill="F2F2F2"/>
            <w:vAlign w:val="center"/>
          </w:tcPr>
          <w:p w14:paraId="0773B72B"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9" w:type="dxa"/>
            <w:shd w:val="clear" w:color="auto" w:fill="F2F2F2"/>
            <w:vAlign w:val="center"/>
          </w:tcPr>
          <w:p w14:paraId="0773B72C"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134" w:type="dxa"/>
            <w:shd w:val="clear" w:color="auto" w:fill="E5F7CA"/>
            <w:vAlign w:val="center"/>
          </w:tcPr>
          <w:p w14:paraId="0773B72D"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c>
          <w:tcPr>
            <w:tcW w:w="1275" w:type="dxa"/>
            <w:gridSpan w:val="2"/>
            <w:shd w:val="clear" w:color="auto" w:fill="E5F7CA"/>
            <w:vAlign w:val="center"/>
          </w:tcPr>
          <w:p w14:paraId="0773B72E"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5676F7" w:rsidRPr="0058349C" w14:paraId="0773B73A" w14:textId="77777777" w:rsidTr="00CD4A33">
        <w:trPr>
          <w:gridAfter w:val="1"/>
          <w:wAfter w:w="8" w:type="dxa"/>
          <w:trHeight w:val="20"/>
        </w:trPr>
        <w:tc>
          <w:tcPr>
            <w:tcW w:w="384" w:type="dxa"/>
            <w:vMerge/>
            <w:shd w:val="clear" w:color="auto" w:fill="F2F2F2"/>
          </w:tcPr>
          <w:p w14:paraId="0773B730"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F2F2F2"/>
          </w:tcPr>
          <w:p w14:paraId="0773B731"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732" w14:textId="29E3303F"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hAnsi="Garamond" w:cs="Segoe UI"/>
                <w:sz w:val="18"/>
                <w:szCs w:val="18"/>
                <w:lang w:val="sq-AL"/>
              </w:rPr>
              <w:t>Sistemi i</w:t>
            </w:r>
            <w:r w:rsidRPr="0058349C">
              <w:rPr>
                <w:rFonts w:ascii="Garamond" w:hAnsi="Garamond"/>
                <w:sz w:val="18"/>
                <w:szCs w:val="18"/>
                <w:lang w:val="sq-AL"/>
              </w:rPr>
              <w:t xml:space="preserve"> identifikimit të parcelave të tokës</w:t>
            </w:r>
            <w:r w:rsidR="00CF7694" w:rsidRPr="0058349C">
              <w:rPr>
                <w:rFonts w:ascii="Garamond" w:hAnsi="Garamond"/>
                <w:sz w:val="18"/>
                <w:szCs w:val="18"/>
                <w:lang w:val="sq-AL"/>
              </w:rPr>
              <w:t xml:space="preserve"> </w:t>
            </w:r>
            <w:r w:rsidRPr="0058349C">
              <w:rPr>
                <w:rFonts w:ascii="Garamond" w:hAnsi="Garamond"/>
                <w:sz w:val="18"/>
                <w:szCs w:val="18"/>
                <w:lang w:val="sq-AL"/>
              </w:rPr>
              <w:t>(</w:t>
            </w:r>
            <w:r w:rsidRPr="0058349C">
              <w:rPr>
                <w:rFonts w:ascii="Garamond" w:hAnsi="Garamond" w:cs="Segoe UI"/>
                <w:sz w:val="18"/>
                <w:szCs w:val="18"/>
                <w:lang w:val="sq-AL"/>
              </w:rPr>
              <w:t>LPIS) do t</w:t>
            </w:r>
            <w:r w:rsidRPr="0058349C">
              <w:rPr>
                <w:rFonts w:ascii="Garamond" w:hAnsi="Garamond"/>
                <w:sz w:val="18"/>
                <w:szCs w:val="18"/>
                <w:lang w:val="sq-AL"/>
              </w:rPr>
              <w:t>ë jetë gati në masën 50% deri në vitin 2024 dhe në masën 100% deri në vitin 2027.</w:t>
            </w:r>
          </w:p>
        </w:tc>
        <w:tc>
          <w:tcPr>
            <w:tcW w:w="1419" w:type="dxa"/>
            <w:shd w:val="clear" w:color="auto" w:fill="F2F2F2"/>
            <w:vAlign w:val="center"/>
          </w:tcPr>
          <w:p w14:paraId="0773B733" w14:textId="77777777" w:rsidR="005676F7" w:rsidRPr="0058349C" w:rsidRDefault="005676F7" w:rsidP="00CF7694">
            <w:pPr>
              <w:spacing w:after="0" w:line="240" w:lineRule="auto"/>
              <w:jc w:val="center"/>
              <w:rPr>
                <w:rFonts w:ascii="Garamond" w:eastAsia="Arial" w:hAnsi="Garamond"/>
                <w:sz w:val="18"/>
                <w:szCs w:val="18"/>
                <w:lang w:val="sq-AL"/>
              </w:rPr>
            </w:pPr>
          </w:p>
          <w:p w14:paraId="0773B734" w14:textId="77777777" w:rsidR="005676F7" w:rsidRPr="0058349C" w:rsidRDefault="005676F7"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735"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736"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750,000</w:t>
            </w:r>
          </w:p>
        </w:tc>
        <w:tc>
          <w:tcPr>
            <w:tcW w:w="1289" w:type="dxa"/>
            <w:shd w:val="clear" w:color="auto" w:fill="F2F2F2"/>
            <w:vAlign w:val="center"/>
          </w:tcPr>
          <w:p w14:paraId="0773B737"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750,000</w:t>
            </w:r>
          </w:p>
        </w:tc>
        <w:tc>
          <w:tcPr>
            <w:tcW w:w="1134" w:type="dxa"/>
            <w:shd w:val="clear" w:color="auto" w:fill="E5F7CA"/>
            <w:vAlign w:val="center"/>
          </w:tcPr>
          <w:p w14:paraId="0773B738"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w:t>
            </w:r>
          </w:p>
        </w:tc>
        <w:tc>
          <w:tcPr>
            <w:tcW w:w="1275" w:type="dxa"/>
            <w:gridSpan w:val="2"/>
            <w:shd w:val="clear" w:color="auto" w:fill="E5F7CA"/>
            <w:vAlign w:val="center"/>
          </w:tcPr>
          <w:p w14:paraId="0773B739"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5676F7" w:rsidRPr="0058349C" w14:paraId="0773B745" w14:textId="77777777" w:rsidTr="00CD4A33">
        <w:trPr>
          <w:gridAfter w:val="1"/>
          <w:wAfter w:w="8" w:type="dxa"/>
          <w:trHeight w:val="20"/>
        </w:trPr>
        <w:tc>
          <w:tcPr>
            <w:tcW w:w="384" w:type="dxa"/>
            <w:vMerge/>
            <w:shd w:val="clear" w:color="auto" w:fill="F2F2F2"/>
          </w:tcPr>
          <w:p w14:paraId="0773B73B"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F2F2F2"/>
          </w:tcPr>
          <w:p w14:paraId="0773B73C"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73D" w14:textId="77777777" w:rsidR="005676F7" w:rsidRPr="0058349C" w:rsidRDefault="005676F7" w:rsidP="00CF7694">
            <w:pPr>
              <w:spacing w:after="0" w:line="240" w:lineRule="auto"/>
              <w:rPr>
                <w:rFonts w:ascii="Garamond" w:eastAsia="Arial Narrow" w:hAnsi="Garamond"/>
                <w:sz w:val="18"/>
                <w:szCs w:val="18"/>
                <w:lang w:val="sq-AL"/>
              </w:rPr>
            </w:pPr>
            <w:r w:rsidRPr="0058349C">
              <w:rPr>
                <w:rFonts w:ascii="Garamond" w:eastAsia="Arial Narrow" w:hAnsi="Garamond"/>
                <w:sz w:val="18"/>
                <w:szCs w:val="18"/>
                <w:lang w:val="sq-AL"/>
              </w:rPr>
              <w:t>Numri i masave të reja IPARD III t</w:t>
            </w:r>
            <w:r w:rsidRPr="0058349C">
              <w:rPr>
                <w:rFonts w:ascii="Garamond" w:hAnsi="Garamond"/>
                <w:sz w:val="18"/>
                <w:szCs w:val="18"/>
                <w:lang w:val="sq-AL"/>
              </w:rPr>
              <w:t>ë akredituara për zbatim do të arrijë në 5 deri në vitin 2024 dhe në 9 deri në vitin 2027.</w:t>
            </w:r>
            <w:r w:rsidRPr="0058349C">
              <w:rPr>
                <w:rFonts w:ascii="Garamond" w:eastAsia="Arial Narrow" w:hAnsi="Garamond"/>
                <w:sz w:val="18"/>
                <w:szCs w:val="18"/>
                <w:lang w:val="sq-AL"/>
              </w:rPr>
              <w:t xml:space="preserve"> </w:t>
            </w:r>
          </w:p>
        </w:tc>
        <w:tc>
          <w:tcPr>
            <w:tcW w:w="1419" w:type="dxa"/>
            <w:shd w:val="clear" w:color="auto" w:fill="F2F2F2"/>
            <w:vAlign w:val="center"/>
          </w:tcPr>
          <w:p w14:paraId="0773B73E"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 xml:space="preserve"> </w:t>
            </w:r>
          </w:p>
          <w:p w14:paraId="0773B73F" w14:textId="77777777" w:rsidR="005676F7" w:rsidRPr="0058349C" w:rsidRDefault="005676F7"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740"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741"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742"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743"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w:t>
            </w:r>
          </w:p>
        </w:tc>
        <w:tc>
          <w:tcPr>
            <w:tcW w:w="1275" w:type="dxa"/>
            <w:gridSpan w:val="2"/>
            <w:shd w:val="clear" w:color="auto" w:fill="E5F7CA"/>
            <w:vAlign w:val="center"/>
          </w:tcPr>
          <w:p w14:paraId="0773B744"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9</w:t>
            </w:r>
          </w:p>
        </w:tc>
      </w:tr>
      <w:tr w:rsidR="005676F7" w:rsidRPr="0058349C" w14:paraId="0773B750" w14:textId="77777777" w:rsidTr="00CD4A33">
        <w:trPr>
          <w:gridAfter w:val="1"/>
          <w:wAfter w:w="8" w:type="dxa"/>
          <w:trHeight w:val="20"/>
        </w:trPr>
        <w:tc>
          <w:tcPr>
            <w:tcW w:w="384" w:type="dxa"/>
            <w:vMerge/>
            <w:shd w:val="clear" w:color="auto" w:fill="F2F2F2"/>
          </w:tcPr>
          <w:p w14:paraId="0773B746"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F2F2F2"/>
          </w:tcPr>
          <w:p w14:paraId="0773B747"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748" w14:textId="2B794C80" w:rsidR="005676F7" w:rsidRPr="0058349C" w:rsidRDefault="005676F7" w:rsidP="00CF7694">
            <w:pPr>
              <w:spacing w:after="0" w:line="240" w:lineRule="auto"/>
              <w:rPr>
                <w:rFonts w:ascii="Garamond" w:eastAsia="Arial Narrow" w:hAnsi="Garamond"/>
                <w:sz w:val="18"/>
                <w:szCs w:val="18"/>
                <w:lang w:val="sq-AL"/>
              </w:rPr>
            </w:pPr>
            <w:r w:rsidRPr="0058349C">
              <w:rPr>
                <w:rFonts w:ascii="Garamond" w:eastAsia="Arial Narrow" w:hAnsi="Garamond"/>
                <w:sz w:val="18"/>
                <w:szCs w:val="18"/>
                <w:lang w:val="sq-AL"/>
              </w:rPr>
              <w:t>Legjislacioni i përditësuar për bujqësinë organike dhe një njësi përgjegjëse në</w:t>
            </w:r>
            <w:r w:rsidR="00CF7694" w:rsidRPr="0058349C">
              <w:rPr>
                <w:rFonts w:ascii="Garamond" w:eastAsia="Arial Narrow" w:hAnsi="Garamond"/>
                <w:sz w:val="18"/>
                <w:szCs w:val="18"/>
                <w:lang w:val="sq-AL"/>
              </w:rPr>
              <w:t xml:space="preserve"> </w:t>
            </w:r>
            <w:r w:rsidRPr="0058349C">
              <w:rPr>
                <w:rFonts w:ascii="Garamond" w:eastAsia="Arial Narrow" w:hAnsi="Garamond"/>
                <w:sz w:val="18"/>
                <w:szCs w:val="18"/>
                <w:lang w:val="sq-AL"/>
              </w:rPr>
              <w:t>MBZHR për këtë sektor do t</w:t>
            </w:r>
            <w:r w:rsidRPr="0058349C">
              <w:rPr>
                <w:rFonts w:ascii="Garamond" w:hAnsi="Garamond"/>
                <w:sz w:val="18"/>
                <w:szCs w:val="18"/>
                <w:lang w:val="sq-AL"/>
              </w:rPr>
              <w:t>ë jetë efektive</w:t>
            </w:r>
            <w:r w:rsidR="00CF7694" w:rsidRPr="0058349C">
              <w:rPr>
                <w:rFonts w:ascii="Garamond" w:hAnsi="Garamond"/>
                <w:sz w:val="18"/>
                <w:szCs w:val="18"/>
                <w:lang w:val="sq-AL"/>
              </w:rPr>
              <w:t xml:space="preserve"> </w:t>
            </w:r>
            <w:r w:rsidRPr="0058349C">
              <w:rPr>
                <w:rFonts w:ascii="Garamond" w:hAnsi="Garamond"/>
                <w:sz w:val="18"/>
                <w:szCs w:val="18"/>
                <w:lang w:val="sq-AL"/>
              </w:rPr>
              <w:t>në nivelin 100% në vitin 2024.</w:t>
            </w:r>
          </w:p>
        </w:tc>
        <w:tc>
          <w:tcPr>
            <w:tcW w:w="1419" w:type="dxa"/>
            <w:shd w:val="clear" w:color="auto" w:fill="F2F2F2"/>
            <w:vAlign w:val="center"/>
          </w:tcPr>
          <w:p w14:paraId="0773B749" w14:textId="77777777" w:rsidR="005676F7" w:rsidRPr="0058349C" w:rsidRDefault="005676F7" w:rsidP="00CF7694">
            <w:pPr>
              <w:spacing w:after="0" w:line="240" w:lineRule="auto"/>
              <w:jc w:val="center"/>
              <w:rPr>
                <w:rFonts w:ascii="Garamond" w:eastAsia="Arial" w:hAnsi="Garamond"/>
                <w:sz w:val="18"/>
                <w:szCs w:val="18"/>
                <w:lang w:val="sq-AL"/>
              </w:rPr>
            </w:pPr>
          </w:p>
          <w:p w14:paraId="0773B74A" w14:textId="77777777" w:rsidR="005676F7" w:rsidRPr="0058349C" w:rsidRDefault="005676F7"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74B"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25,000</w:t>
            </w:r>
          </w:p>
        </w:tc>
        <w:tc>
          <w:tcPr>
            <w:tcW w:w="1288" w:type="dxa"/>
            <w:shd w:val="clear" w:color="auto" w:fill="F2F2F2"/>
            <w:vAlign w:val="center"/>
          </w:tcPr>
          <w:p w14:paraId="0773B74C"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25,000</w:t>
            </w:r>
          </w:p>
        </w:tc>
        <w:tc>
          <w:tcPr>
            <w:tcW w:w="1289" w:type="dxa"/>
            <w:shd w:val="clear" w:color="auto" w:fill="F2F2F2"/>
            <w:vAlign w:val="center"/>
          </w:tcPr>
          <w:p w14:paraId="0773B74D"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25,000</w:t>
            </w:r>
          </w:p>
        </w:tc>
        <w:tc>
          <w:tcPr>
            <w:tcW w:w="1134" w:type="dxa"/>
            <w:shd w:val="clear" w:color="auto" w:fill="E5F7CA"/>
            <w:vAlign w:val="center"/>
          </w:tcPr>
          <w:p w14:paraId="0773B74E"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c>
          <w:tcPr>
            <w:tcW w:w="1275" w:type="dxa"/>
            <w:gridSpan w:val="2"/>
            <w:shd w:val="clear" w:color="auto" w:fill="E5F7CA"/>
            <w:vAlign w:val="center"/>
          </w:tcPr>
          <w:p w14:paraId="0773B74F"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5676F7" w:rsidRPr="0058349C" w14:paraId="0773B75B" w14:textId="77777777" w:rsidTr="00CD4A33">
        <w:trPr>
          <w:gridAfter w:val="1"/>
          <w:wAfter w:w="8" w:type="dxa"/>
          <w:trHeight w:val="20"/>
        </w:trPr>
        <w:tc>
          <w:tcPr>
            <w:tcW w:w="384" w:type="dxa"/>
            <w:vMerge/>
            <w:shd w:val="clear" w:color="auto" w:fill="F2F2F2"/>
          </w:tcPr>
          <w:p w14:paraId="0773B751"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F2F2F2"/>
          </w:tcPr>
          <w:p w14:paraId="0773B752"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753" w14:textId="77777777"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Numri i departamenteve të MBZHR-së dhe agjencive të varësisë të trajnuara për negociatat me BE-në do t</w:t>
            </w:r>
            <w:r w:rsidRPr="0058349C">
              <w:rPr>
                <w:rFonts w:ascii="Garamond" w:hAnsi="Garamond"/>
                <w:sz w:val="18"/>
                <w:szCs w:val="18"/>
                <w:lang w:val="sq-AL"/>
              </w:rPr>
              <w:t>ë arrijë në 5 deri në vitin 2024.</w:t>
            </w:r>
          </w:p>
        </w:tc>
        <w:tc>
          <w:tcPr>
            <w:tcW w:w="1419" w:type="dxa"/>
            <w:shd w:val="clear" w:color="auto" w:fill="F2F2F2"/>
            <w:vAlign w:val="center"/>
          </w:tcPr>
          <w:p w14:paraId="0773B754" w14:textId="77777777" w:rsidR="005676F7" w:rsidRPr="0058349C" w:rsidRDefault="005676F7" w:rsidP="00CF7694">
            <w:pPr>
              <w:spacing w:after="0" w:line="240" w:lineRule="auto"/>
              <w:jc w:val="center"/>
              <w:rPr>
                <w:rFonts w:ascii="Garamond" w:eastAsia="Arial" w:hAnsi="Garamond"/>
                <w:sz w:val="18"/>
                <w:szCs w:val="18"/>
                <w:lang w:val="sq-AL"/>
              </w:rPr>
            </w:pPr>
          </w:p>
          <w:p w14:paraId="0773B755" w14:textId="77777777" w:rsidR="005676F7" w:rsidRPr="0058349C" w:rsidRDefault="005676F7"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756"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N:50,000</w:t>
            </w:r>
          </w:p>
        </w:tc>
        <w:tc>
          <w:tcPr>
            <w:tcW w:w="1288" w:type="dxa"/>
            <w:shd w:val="clear" w:color="auto" w:fill="F2F2F2"/>
            <w:vAlign w:val="center"/>
          </w:tcPr>
          <w:p w14:paraId="0773B757"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N:75,000</w:t>
            </w:r>
          </w:p>
        </w:tc>
        <w:tc>
          <w:tcPr>
            <w:tcW w:w="1289" w:type="dxa"/>
            <w:shd w:val="clear" w:color="auto" w:fill="F2F2F2"/>
            <w:vAlign w:val="center"/>
          </w:tcPr>
          <w:p w14:paraId="0773B758"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N:75,000</w:t>
            </w:r>
          </w:p>
        </w:tc>
        <w:tc>
          <w:tcPr>
            <w:tcW w:w="1134" w:type="dxa"/>
            <w:shd w:val="clear" w:color="auto" w:fill="E5F7CA"/>
            <w:vAlign w:val="center"/>
          </w:tcPr>
          <w:p w14:paraId="0773B759"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w:t>
            </w:r>
          </w:p>
        </w:tc>
        <w:tc>
          <w:tcPr>
            <w:tcW w:w="1275" w:type="dxa"/>
            <w:gridSpan w:val="2"/>
            <w:shd w:val="clear" w:color="auto" w:fill="E5F7CA"/>
            <w:vAlign w:val="center"/>
          </w:tcPr>
          <w:p w14:paraId="0773B75A"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w:t>
            </w:r>
          </w:p>
        </w:tc>
      </w:tr>
      <w:tr w:rsidR="005676F7" w:rsidRPr="0058349C" w14:paraId="0773B767" w14:textId="77777777" w:rsidTr="00CD4A33">
        <w:trPr>
          <w:gridAfter w:val="1"/>
          <w:wAfter w:w="8" w:type="dxa"/>
          <w:trHeight w:val="20"/>
        </w:trPr>
        <w:tc>
          <w:tcPr>
            <w:tcW w:w="384" w:type="dxa"/>
            <w:vMerge w:val="restart"/>
            <w:shd w:val="clear" w:color="auto" w:fill="F2F2F2"/>
          </w:tcPr>
          <w:p w14:paraId="0773B75C"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auto"/>
          </w:tcPr>
          <w:p w14:paraId="0773B75D"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75F" w14:textId="1580B29F" w:rsidR="005676F7" w:rsidRPr="0058349C" w:rsidRDefault="005676F7" w:rsidP="00CD4A33">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 xml:space="preserve">Numri i stafit të trajnuar të MBZHR-së për përcaktimin e kompetencave të institucioneve dhe specialistëve të përfshirë në </w:t>
            </w:r>
            <w:r w:rsidRPr="0058349C">
              <w:rPr>
                <w:rFonts w:ascii="Garamond" w:eastAsia="Arial" w:hAnsi="Garamond" w:cs="Segoe UI"/>
                <w:sz w:val="18"/>
                <w:szCs w:val="18"/>
                <w:lang w:val="sq-AL"/>
              </w:rPr>
              <w:lastRenderedPageBreak/>
              <w:t>skemën PMO/TMGJ</w:t>
            </w:r>
            <w:r w:rsidR="00CD4A33">
              <w:rPr>
                <w:rFonts w:ascii="Garamond" w:eastAsia="Arial" w:hAnsi="Garamond" w:cs="Segoe UI"/>
                <w:sz w:val="18"/>
                <w:szCs w:val="18"/>
                <w:lang w:val="sq-AL"/>
              </w:rPr>
              <w:t>,</w:t>
            </w:r>
            <w:r w:rsidRPr="0058349C">
              <w:rPr>
                <w:rFonts w:ascii="Garamond" w:eastAsia="Arial" w:hAnsi="Garamond" w:cs="Segoe UI"/>
                <w:sz w:val="18"/>
                <w:szCs w:val="18"/>
                <w:lang w:val="sq-AL"/>
              </w:rPr>
              <w:t xml:space="preserve"> si dhe për procedurat e kontrollit dhe verifikimit të produkteve PMO/TMGJ do të arrijë në 10 deri në vitin 2024 dhe në 20 deri në vitin 2027.</w:t>
            </w:r>
          </w:p>
        </w:tc>
        <w:tc>
          <w:tcPr>
            <w:tcW w:w="1419" w:type="dxa"/>
            <w:shd w:val="clear" w:color="auto" w:fill="F2F2F2"/>
            <w:vAlign w:val="center"/>
          </w:tcPr>
          <w:p w14:paraId="0773B760" w14:textId="77777777" w:rsidR="005676F7" w:rsidRPr="0058349C" w:rsidRDefault="005676F7" w:rsidP="00CF7694">
            <w:pPr>
              <w:spacing w:after="0" w:line="240" w:lineRule="auto"/>
              <w:jc w:val="center"/>
              <w:rPr>
                <w:rFonts w:ascii="Garamond" w:eastAsia="Arial" w:hAnsi="Garamond"/>
                <w:sz w:val="18"/>
                <w:szCs w:val="18"/>
                <w:lang w:val="sq-AL"/>
              </w:rPr>
            </w:pPr>
          </w:p>
          <w:p w14:paraId="0773B761"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762"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763"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764"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765"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w:t>
            </w:r>
          </w:p>
        </w:tc>
        <w:tc>
          <w:tcPr>
            <w:tcW w:w="1275" w:type="dxa"/>
            <w:gridSpan w:val="2"/>
            <w:shd w:val="clear" w:color="auto" w:fill="E5F7CA"/>
            <w:vAlign w:val="center"/>
          </w:tcPr>
          <w:p w14:paraId="0773B766"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20</w:t>
            </w:r>
          </w:p>
        </w:tc>
      </w:tr>
      <w:tr w:rsidR="005676F7" w:rsidRPr="0058349C" w14:paraId="0773B772" w14:textId="77777777" w:rsidTr="00CD4A33">
        <w:trPr>
          <w:gridAfter w:val="1"/>
          <w:wAfter w:w="8" w:type="dxa"/>
          <w:trHeight w:val="20"/>
        </w:trPr>
        <w:tc>
          <w:tcPr>
            <w:tcW w:w="384" w:type="dxa"/>
            <w:vMerge/>
            <w:shd w:val="clear" w:color="auto" w:fill="F2F2F2"/>
          </w:tcPr>
          <w:p w14:paraId="0773B768"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auto"/>
          </w:tcPr>
          <w:p w14:paraId="0773B769"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76A" w14:textId="05513FDB"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Deri në vitin 2024 do të realizohet një fushatë</w:t>
            </w:r>
            <w:r w:rsidR="00CF7694" w:rsidRPr="0058349C">
              <w:rPr>
                <w:rFonts w:ascii="Garamond" w:eastAsia="Arial" w:hAnsi="Garamond" w:cs="Segoe UI"/>
                <w:sz w:val="18"/>
                <w:szCs w:val="18"/>
                <w:lang w:val="sq-AL"/>
              </w:rPr>
              <w:t xml:space="preserve"> </w:t>
            </w:r>
            <w:r w:rsidRPr="0058349C">
              <w:rPr>
                <w:rFonts w:ascii="Garamond" w:eastAsia="Arial" w:hAnsi="Garamond" w:cs="Segoe UI"/>
                <w:sz w:val="18"/>
                <w:szCs w:val="18"/>
                <w:lang w:val="sq-AL"/>
              </w:rPr>
              <w:t>për promovimin e produkteve tradicionale dhe produkteve EOM/TMGJ</w:t>
            </w:r>
            <w:r w:rsidR="00CD4A33">
              <w:rPr>
                <w:rFonts w:ascii="Garamond" w:eastAsia="Arial" w:hAnsi="Garamond" w:cs="Segoe UI"/>
                <w:sz w:val="18"/>
                <w:szCs w:val="18"/>
                <w:lang w:val="sq-AL"/>
              </w:rPr>
              <w:t>.</w:t>
            </w:r>
          </w:p>
        </w:tc>
        <w:tc>
          <w:tcPr>
            <w:tcW w:w="1419" w:type="dxa"/>
            <w:shd w:val="clear" w:color="auto" w:fill="F2F2F2"/>
            <w:vAlign w:val="center"/>
          </w:tcPr>
          <w:p w14:paraId="0773B76B" w14:textId="77777777" w:rsidR="005676F7" w:rsidRPr="0058349C" w:rsidRDefault="005676F7" w:rsidP="00CF7694">
            <w:pPr>
              <w:spacing w:after="0" w:line="240" w:lineRule="auto"/>
              <w:rPr>
                <w:rFonts w:ascii="Garamond" w:eastAsia="Arial" w:hAnsi="Garamond"/>
                <w:sz w:val="18"/>
                <w:szCs w:val="18"/>
                <w:lang w:val="sq-AL"/>
              </w:rPr>
            </w:pPr>
            <w:r w:rsidRPr="0058349C">
              <w:rPr>
                <w:rFonts w:ascii="Garamond" w:eastAsia="Arial" w:hAnsi="Garamond"/>
                <w:sz w:val="18"/>
                <w:szCs w:val="18"/>
                <w:lang w:val="sq-AL"/>
              </w:rPr>
              <w:t xml:space="preserve"> </w:t>
            </w:r>
          </w:p>
          <w:p w14:paraId="0773B76C" w14:textId="77777777" w:rsidR="005676F7" w:rsidRPr="0058349C" w:rsidRDefault="005676F7"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76D"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76E"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N:250,000</w:t>
            </w:r>
          </w:p>
        </w:tc>
        <w:tc>
          <w:tcPr>
            <w:tcW w:w="1289" w:type="dxa"/>
            <w:shd w:val="clear" w:color="auto" w:fill="F2F2F2"/>
            <w:vAlign w:val="center"/>
          </w:tcPr>
          <w:p w14:paraId="0773B76F"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N:250,000</w:t>
            </w:r>
          </w:p>
        </w:tc>
        <w:tc>
          <w:tcPr>
            <w:tcW w:w="1134" w:type="dxa"/>
            <w:shd w:val="clear" w:color="auto" w:fill="E5F7CA"/>
            <w:vAlign w:val="center"/>
          </w:tcPr>
          <w:p w14:paraId="0773B770"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w:t>
            </w:r>
          </w:p>
        </w:tc>
        <w:tc>
          <w:tcPr>
            <w:tcW w:w="1275" w:type="dxa"/>
            <w:gridSpan w:val="2"/>
            <w:shd w:val="clear" w:color="auto" w:fill="E5F7CA"/>
            <w:vAlign w:val="center"/>
          </w:tcPr>
          <w:p w14:paraId="0773B771"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w:t>
            </w:r>
          </w:p>
        </w:tc>
      </w:tr>
      <w:tr w:rsidR="005676F7" w:rsidRPr="0058349C" w14:paraId="0773B77C" w14:textId="77777777" w:rsidTr="00CD4A33">
        <w:trPr>
          <w:gridAfter w:val="1"/>
          <w:wAfter w:w="8" w:type="dxa"/>
          <w:trHeight w:val="20"/>
        </w:trPr>
        <w:tc>
          <w:tcPr>
            <w:tcW w:w="384" w:type="dxa"/>
            <w:vMerge w:val="restart"/>
            <w:shd w:val="clear" w:color="auto" w:fill="F2F2F2"/>
          </w:tcPr>
          <w:p w14:paraId="0773B773"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val="restart"/>
            <w:shd w:val="clear" w:color="auto" w:fill="F2F2F2"/>
          </w:tcPr>
          <w:p w14:paraId="0773B774" w14:textId="6753309D" w:rsidR="005676F7" w:rsidRPr="0058349C" w:rsidRDefault="005676F7" w:rsidP="00CF7694">
            <w:pPr>
              <w:spacing w:after="0" w:line="240" w:lineRule="auto"/>
              <w:rPr>
                <w:rFonts w:ascii="Garamond" w:hAnsi="Garamond"/>
                <w:b/>
                <w:bCs/>
                <w:sz w:val="18"/>
                <w:szCs w:val="18"/>
                <w:lang w:val="sq-AL"/>
              </w:rPr>
            </w:pPr>
            <w:r w:rsidRPr="0058349C">
              <w:rPr>
                <w:rFonts w:ascii="Garamond" w:hAnsi="Garamond"/>
                <w:b/>
                <w:bCs/>
                <w:sz w:val="18"/>
                <w:szCs w:val="18"/>
                <w:lang w:val="sq-AL"/>
              </w:rPr>
              <w:t xml:space="preserve">Projektet AT për përafrimin e legjislacionit të BE-së në </w:t>
            </w:r>
            <w:r w:rsidR="00CD4A33" w:rsidRPr="0058349C">
              <w:rPr>
                <w:rFonts w:ascii="Garamond" w:hAnsi="Garamond"/>
                <w:b/>
                <w:bCs/>
                <w:sz w:val="18"/>
                <w:szCs w:val="18"/>
                <w:lang w:val="sq-AL"/>
              </w:rPr>
              <w:t xml:space="preserve">kapitullin </w:t>
            </w:r>
            <w:r w:rsidRPr="0058349C">
              <w:rPr>
                <w:rFonts w:ascii="Garamond" w:hAnsi="Garamond"/>
                <w:b/>
                <w:bCs/>
                <w:sz w:val="18"/>
                <w:szCs w:val="18"/>
                <w:lang w:val="sq-AL"/>
              </w:rPr>
              <w:t>12</w:t>
            </w:r>
          </w:p>
        </w:tc>
        <w:tc>
          <w:tcPr>
            <w:tcW w:w="2526" w:type="dxa"/>
            <w:shd w:val="clear" w:color="auto" w:fill="F2F2F2"/>
          </w:tcPr>
          <w:p w14:paraId="0773B775" w14:textId="77777777"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Narrow" w:hAnsi="Garamond"/>
                <w:sz w:val="18"/>
                <w:szCs w:val="18"/>
                <w:lang w:val="sq-AL"/>
              </w:rPr>
              <w:t>Niveli i përditësimit dhe përmirësimit të bazës së të dhënave të Regjistrit të Kafshëve dhe sigurimi i një lidhjeje të mirë me bazat e tjera të të dhënave si dhe përditësimi i bazës ligjore përkatëse do t</w:t>
            </w:r>
            <w:r w:rsidRPr="0058349C">
              <w:rPr>
                <w:rFonts w:ascii="Garamond" w:eastAsia="Arial" w:hAnsi="Garamond" w:cs="Segoe UI"/>
                <w:sz w:val="18"/>
                <w:szCs w:val="18"/>
                <w:lang w:val="sq-AL"/>
              </w:rPr>
              <w:t>ë arrijë nivelin 80% deri në vitin 2024 dhe në nivelin 100% deri në vitin 2027.</w:t>
            </w:r>
          </w:p>
        </w:tc>
        <w:tc>
          <w:tcPr>
            <w:tcW w:w="1419" w:type="dxa"/>
            <w:shd w:val="clear" w:color="auto" w:fill="F2F2F2"/>
            <w:vAlign w:val="center"/>
          </w:tcPr>
          <w:p w14:paraId="0773B776" w14:textId="77777777" w:rsidR="005676F7" w:rsidRPr="0058349C" w:rsidRDefault="005676F7"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777"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 xml:space="preserve"> </w:t>
            </w:r>
          </w:p>
        </w:tc>
        <w:tc>
          <w:tcPr>
            <w:tcW w:w="1288" w:type="dxa"/>
            <w:shd w:val="clear" w:color="auto" w:fill="F2F2F2"/>
            <w:vAlign w:val="center"/>
          </w:tcPr>
          <w:p w14:paraId="0773B778"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N:100,000</w:t>
            </w:r>
          </w:p>
        </w:tc>
        <w:tc>
          <w:tcPr>
            <w:tcW w:w="1289" w:type="dxa"/>
            <w:shd w:val="clear" w:color="auto" w:fill="F2F2F2"/>
            <w:vAlign w:val="center"/>
          </w:tcPr>
          <w:p w14:paraId="0773B779"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N:100,000</w:t>
            </w:r>
          </w:p>
        </w:tc>
        <w:tc>
          <w:tcPr>
            <w:tcW w:w="1134" w:type="dxa"/>
            <w:shd w:val="clear" w:color="auto" w:fill="E5F7CA"/>
            <w:vAlign w:val="center"/>
          </w:tcPr>
          <w:p w14:paraId="0773B77A"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80%</w:t>
            </w:r>
          </w:p>
        </w:tc>
        <w:tc>
          <w:tcPr>
            <w:tcW w:w="1275" w:type="dxa"/>
            <w:gridSpan w:val="2"/>
            <w:shd w:val="clear" w:color="auto" w:fill="E5F7CA"/>
            <w:vAlign w:val="center"/>
          </w:tcPr>
          <w:p w14:paraId="0773B77B"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5676F7" w:rsidRPr="0058349C" w14:paraId="0773B786" w14:textId="77777777" w:rsidTr="00CD4A33">
        <w:trPr>
          <w:gridAfter w:val="1"/>
          <w:wAfter w:w="8" w:type="dxa"/>
          <w:trHeight w:val="20"/>
        </w:trPr>
        <w:tc>
          <w:tcPr>
            <w:tcW w:w="384" w:type="dxa"/>
            <w:vMerge/>
            <w:shd w:val="clear" w:color="auto" w:fill="F2F2F2"/>
          </w:tcPr>
          <w:p w14:paraId="0773B77D"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F2F2F2"/>
          </w:tcPr>
          <w:p w14:paraId="0773B77E"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77F" w14:textId="670480BE"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Narrow" w:hAnsi="Garamond"/>
                <w:sz w:val="18"/>
                <w:szCs w:val="18"/>
                <w:lang w:val="sq-AL"/>
              </w:rPr>
              <w:t>Niveli i përgatitjes së planeve të veprimit për mbushjen e boshllëqeve institucionale në lidhje me ushqimin</w:t>
            </w:r>
            <w:r w:rsidR="00CF7694" w:rsidRPr="0058349C">
              <w:rPr>
                <w:rFonts w:ascii="Garamond" w:eastAsia="Arial Narrow" w:hAnsi="Garamond"/>
                <w:sz w:val="18"/>
                <w:szCs w:val="18"/>
                <w:lang w:val="sq-AL"/>
              </w:rPr>
              <w:t xml:space="preserve"> </w:t>
            </w:r>
            <w:r w:rsidRPr="0058349C">
              <w:rPr>
                <w:rFonts w:ascii="Garamond" w:eastAsia="Arial Narrow" w:hAnsi="Garamond"/>
                <w:sz w:val="18"/>
                <w:szCs w:val="18"/>
                <w:lang w:val="sq-AL"/>
              </w:rPr>
              <w:t>p</w:t>
            </w:r>
            <w:r w:rsidRPr="0058349C">
              <w:rPr>
                <w:rFonts w:ascii="Garamond" w:eastAsia="Arial" w:hAnsi="Garamond" w:cs="Segoe UI"/>
                <w:sz w:val="18"/>
                <w:szCs w:val="18"/>
                <w:lang w:val="sq-AL"/>
              </w:rPr>
              <w:t>ër</w:t>
            </w:r>
            <w:r w:rsidRPr="0058349C">
              <w:rPr>
                <w:rFonts w:ascii="Garamond" w:eastAsia="Arial Narrow" w:hAnsi="Garamond"/>
                <w:sz w:val="18"/>
                <w:szCs w:val="18"/>
                <w:lang w:val="sq-AL"/>
              </w:rPr>
              <w:t xml:space="preserve"> blegtorin</w:t>
            </w:r>
            <w:r w:rsidRPr="0058349C">
              <w:rPr>
                <w:rFonts w:ascii="Garamond" w:eastAsia="Arial" w:hAnsi="Garamond" w:cs="Segoe UI"/>
                <w:sz w:val="18"/>
                <w:szCs w:val="18"/>
                <w:lang w:val="sq-AL"/>
              </w:rPr>
              <w:t>ë</w:t>
            </w:r>
            <w:r w:rsidRPr="0058349C">
              <w:rPr>
                <w:rFonts w:ascii="Garamond" w:eastAsia="Arial Narrow" w:hAnsi="Garamond"/>
                <w:sz w:val="18"/>
                <w:szCs w:val="18"/>
                <w:lang w:val="sq-AL"/>
              </w:rPr>
              <w:t>,</w:t>
            </w:r>
            <w:r w:rsidR="00CF7694" w:rsidRPr="0058349C">
              <w:rPr>
                <w:rFonts w:ascii="Garamond" w:eastAsia="Arial Narrow" w:hAnsi="Garamond"/>
                <w:sz w:val="18"/>
                <w:szCs w:val="18"/>
                <w:lang w:val="sq-AL"/>
              </w:rPr>
              <w:t xml:space="preserve"> </w:t>
            </w:r>
            <w:r w:rsidRPr="0058349C">
              <w:rPr>
                <w:rFonts w:ascii="Garamond" w:eastAsia="Arial Narrow" w:hAnsi="Garamond"/>
                <w:sz w:val="18"/>
                <w:szCs w:val="18"/>
                <w:lang w:val="sq-AL"/>
              </w:rPr>
              <w:t>p</w:t>
            </w:r>
            <w:r w:rsidRPr="0058349C">
              <w:rPr>
                <w:rFonts w:ascii="Garamond" w:eastAsia="Arial" w:hAnsi="Garamond" w:cs="Segoe UI"/>
                <w:sz w:val="18"/>
                <w:szCs w:val="18"/>
                <w:lang w:val="sq-AL"/>
              </w:rPr>
              <w:t xml:space="preserve">ër </w:t>
            </w:r>
            <w:r w:rsidRPr="0058349C">
              <w:rPr>
                <w:rFonts w:ascii="Garamond" w:eastAsia="Arial Narrow" w:hAnsi="Garamond"/>
                <w:sz w:val="18"/>
                <w:szCs w:val="18"/>
                <w:lang w:val="sq-AL"/>
              </w:rPr>
              <w:t xml:space="preserve">gjurmueshmërinë e nënprodukteve shtazore </w:t>
            </w:r>
            <w:r w:rsidR="0057233D">
              <w:rPr>
                <w:rFonts w:ascii="Garamond" w:eastAsia="Arial Narrow" w:hAnsi="Garamond"/>
                <w:sz w:val="18"/>
                <w:szCs w:val="18"/>
                <w:lang w:val="sq-AL"/>
              </w:rPr>
              <w:t>(mish dhe produkte të qumështit</w:t>
            </w:r>
            <w:r w:rsidRPr="0058349C">
              <w:rPr>
                <w:rFonts w:ascii="Garamond" w:eastAsia="Arial Narrow" w:hAnsi="Garamond"/>
                <w:sz w:val="18"/>
                <w:szCs w:val="18"/>
                <w:lang w:val="sq-AL"/>
              </w:rPr>
              <w:t>) do t</w:t>
            </w:r>
            <w:r w:rsidRPr="0058349C">
              <w:rPr>
                <w:rFonts w:ascii="Garamond" w:eastAsia="Arial" w:hAnsi="Garamond" w:cs="Segoe UI"/>
                <w:sz w:val="18"/>
                <w:szCs w:val="18"/>
                <w:lang w:val="sq-AL"/>
              </w:rPr>
              <w:t>ë përmirësohet në masën 100% deri në vitin 2024.</w:t>
            </w:r>
          </w:p>
        </w:tc>
        <w:tc>
          <w:tcPr>
            <w:tcW w:w="1419" w:type="dxa"/>
            <w:shd w:val="clear" w:color="auto" w:fill="F2F2F2"/>
            <w:vAlign w:val="center"/>
          </w:tcPr>
          <w:p w14:paraId="0773B780"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(TAIEX ose projekte të tjera të vogla AT)</w:t>
            </w:r>
          </w:p>
        </w:tc>
        <w:tc>
          <w:tcPr>
            <w:tcW w:w="1288" w:type="dxa"/>
            <w:shd w:val="clear" w:color="auto" w:fill="F2F2F2"/>
            <w:vAlign w:val="center"/>
          </w:tcPr>
          <w:p w14:paraId="0773B781"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782"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783"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784"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c>
          <w:tcPr>
            <w:tcW w:w="1275" w:type="dxa"/>
            <w:gridSpan w:val="2"/>
            <w:shd w:val="clear" w:color="auto" w:fill="E5F7CA"/>
            <w:vAlign w:val="center"/>
          </w:tcPr>
          <w:p w14:paraId="0773B785"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5676F7" w:rsidRPr="0058349C" w14:paraId="0773B790" w14:textId="77777777" w:rsidTr="00CD4A33">
        <w:trPr>
          <w:gridAfter w:val="1"/>
          <w:wAfter w:w="8" w:type="dxa"/>
          <w:trHeight w:val="20"/>
        </w:trPr>
        <w:tc>
          <w:tcPr>
            <w:tcW w:w="384" w:type="dxa"/>
            <w:vMerge/>
            <w:shd w:val="clear" w:color="auto" w:fill="F2F2F2"/>
          </w:tcPr>
          <w:p w14:paraId="0773B787"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F2F2F2"/>
          </w:tcPr>
          <w:p w14:paraId="0773B788"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789" w14:textId="54E5E619"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Narrow" w:hAnsi="Garamond"/>
                <w:sz w:val="18"/>
                <w:szCs w:val="18"/>
                <w:lang w:val="sq-AL"/>
              </w:rPr>
              <w:t>Konsolidimi plotë i programeve të kontrollit të sëmundjeve të kafshëve (plani i monitorimit në lidhje me sëmundjet e kafshëve dhe për vlerësimin e nënprodukteve/rrezikut për ferma</w:t>
            </w:r>
            <w:r w:rsidR="0057233D">
              <w:rPr>
                <w:rFonts w:ascii="Garamond" w:eastAsia="Arial Narrow" w:hAnsi="Garamond"/>
                <w:sz w:val="18"/>
                <w:szCs w:val="18"/>
                <w:lang w:val="sq-AL"/>
              </w:rPr>
              <w:t>t dhe për operatorët e biznesit</w:t>
            </w:r>
            <w:r w:rsidRPr="0058349C">
              <w:rPr>
                <w:rFonts w:ascii="Garamond" w:eastAsia="Arial Narrow" w:hAnsi="Garamond"/>
                <w:sz w:val="18"/>
                <w:szCs w:val="18"/>
                <w:lang w:val="sq-AL"/>
              </w:rPr>
              <w:t xml:space="preserve">) do të arrihet në masën 100% deri në vitin 2024. </w:t>
            </w:r>
          </w:p>
        </w:tc>
        <w:tc>
          <w:tcPr>
            <w:tcW w:w="1419" w:type="dxa"/>
            <w:shd w:val="clear" w:color="auto" w:fill="F2F2F2"/>
            <w:vAlign w:val="center"/>
          </w:tcPr>
          <w:p w14:paraId="0773B78A"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(TAIEX ose projekte të tjera të vogla AT)</w:t>
            </w:r>
          </w:p>
        </w:tc>
        <w:tc>
          <w:tcPr>
            <w:tcW w:w="1288" w:type="dxa"/>
            <w:shd w:val="clear" w:color="auto" w:fill="F2F2F2"/>
            <w:vAlign w:val="center"/>
          </w:tcPr>
          <w:p w14:paraId="0773B78B"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78C"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78D"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78E"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c>
          <w:tcPr>
            <w:tcW w:w="1275" w:type="dxa"/>
            <w:gridSpan w:val="2"/>
            <w:shd w:val="clear" w:color="auto" w:fill="E5F7CA"/>
            <w:vAlign w:val="center"/>
          </w:tcPr>
          <w:p w14:paraId="0773B78F"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5676F7" w:rsidRPr="0058349C" w14:paraId="0773B79A" w14:textId="77777777" w:rsidTr="00CD4A33">
        <w:trPr>
          <w:gridAfter w:val="1"/>
          <w:wAfter w:w="8" w:type="dxa"/>
          <w:trHeight w:val="20"/>
        </w:trPr>
        <w:tc>
          <w:tcPr>
            <w:tcW w:w="384" w:type="dxa"/>
            <w:vMerge/>
            <w:shd w:val="clear" w:color="auto" w:fill="F2F2F2"/>
          </w:tcPr>
          <w:p w14:paraId="0773B791"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F2F2F2"/>
          </w:tcPr>
          <w:p w14:paraId="0773B792"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793" w14:textId="3B0E0C0C" w:rsidR="005676F7" w:rsidRPr="0058349C" w:rsidRDefault="005676F7" w:rsidP="00CF7694">
            <w:pPr>
              <w:spacing w:after="0" w:line="240" w:lineRule="auto"/>
              <w:rPr>
                <w:rFonts w:ascii="Garamond" w:eastAsia="Arial Narrow" w:hAnsi="Garamond"/>
                <w:sz w:val="18"/>
                <w:szCs w:val="18"/>
                <w:lang w:val="sq-AL"/>
              </w:rPr>
            </w:pPr>
            <w:r w:rsidRPr="0058349C">
              <w:rPr>
                <w:rFonts w:ascii="Garamond" w:eastAsia="Arial Narrow" w:hAnsi="Garamond"/>
                <w:sz w:val="18"/>
                <w:szCs w:val="18"/>
                <w:lang w:val="sq-AL"/>
              </w:rPr>
              <w:t xml:space="preserve">Niveli i përmirësimit të procedurave të kontrollit dhe logjistikës së nevojshme për kontrollet (përfshirë laboratorët e specializuar) dhe bazat e të </w:t>
            </w:r>
            <w:r w:rsidRPr="0058349C">
              <w:rPr>
                <w:rFonts w:ascii="Garamond" w:eastAsia="Arial Narrow" w:hAnsi="Garamond"/>
                <w:sz w:val="18"/>
                <w:szCs w:val="18"/>
                <w:lang w:val="sq-AL"/>
              </w:rPr>
              <w:lastRenderedPageBreak/>
              <w:t>dhënave përkatëse</w:t>
            </w:r>
            <w:r w:rsidR="00CF7694" w:rsidRPr="0058349C">
              <w:rPr>
                <w:rFonts w:ascii="Garamond" w:eastAsia="Arial Narrow" w:hAnsi="Garamond"/>
                <w:sz w:val="18"/>
                <w:szCs w:val="18"/>
                <w:lang w:val="sq-AL"/>
              </w:rPr>
              <w:t xml:space="preserve"> </w:t>
            </w:r>
            <w:r w:rsidRPr="0058349C">
              <w:rPr>
                <w:rFonts w:ascii="Garamond" w:eastAsia="Arial Narrow" w:hAnsi="Garamond"/>
                <w:sz w:val="18"/>
                <w:szCs w:val="18"/>
                <w:lang w:val="sq-AL"/>
              </w:rPr>
              <w:t>do të arrijë masën 100% deri në vitin 2024.</w:t>
            </w:r>
          </w:p>
        </w:tc>
        <w:tc>
          <w:tcPr>
            <w:tcW w:w="1419" w:type="dxa"/>
            <w:shd w:val="clear" w:color="auto" w:fill="F2F2F2"/>
            <w:vAlign w:val="center"/>
          </w:tcPr>
          <w:p w14:paraId="0773B794"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lastRenderedPageBreak/>
              <w:t>(TAIEX ose projekte të tjera të vogla AT</w:t>
            </w:r>
          </w:p>
        </w:tc>
        <w:tc>
          <w:tcPr>
            <w:tcW w:w="1288" w:type="dxa"/>
            <w:shd w:val="clear" w:color="auto" w:fill="F2F2F2"/>
            <w:vAlign w:val="center"/>
          </w:tcPr>
          <w:p w14:paraId="0773B795"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796"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797"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798"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c>
          <w:tcPr>
            <w:tcW w:w="1275" w:type="dxa"/>
            <w:gridSpan w:val="2"/>
            <w:shd w:val="clear" w:color="auto" w:fill="E5F7CA"/>
            <w:vAlign w:val="center"/>
          </w:tcPr>
          <w:p w14:paraId="0773B799"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5676F7" w:rsidRPr="0058349C" w14:paraId="0773B7A4" w14:textId="77777777" w:rsidTr="00CD4A33">
        <w:trPr>
          <w:gridAfter w:val="1"/>
          <w:wAfter w:w="8" w:type="dxa"/>
          <w:trHeight w:val="20"/>
        </w:trPr>
        <w:tc>
          <w:tcPr>
            <w:tcW w:w="384" w:type="dxa"/>
            <w:vMerge/>
            <w:shd w:val="clear" w:color="auto" w:fill="F2F2F2"/>
          </w:tcPr>
          <w:p w14:paraId="0773B79B"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F2F2F2"/>
          </w:tcPr>
          <w:p w14:paraId="0773B79C"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79D" w14:textId="77777777" w:rsidR="005676F7" w:rsidRPr="0058349C" w:rsidRDefault="005676F7" w:rsidP="00CF7694">
            <w:pPr>
              <w:spacing w:after="0" w:line="240" w:lineRule="auto"/>
              <w:rPr>
                <w:rFonts w:ascii="Garamond" w:eastAsia="Arial" w:hAnsi="Garamond"/>
                <w:sz w:val="18"/>
                <w:szCs w:val="18"/>
                <w:lang w:val="sq-AL"/>
              </w:rPr>
            </w:pPr>
            <w:r w:rsidRPr="0058349C">
              <w:rPr>
                <w:rFonts w:ascii="Garamond" w:eastAsia="Arial Narrow" w:hAnsi="Garamond"/>
                <w:sz w:val="18"/>
                <w:szCs w:val="18"/>
                <w:lang w:val="sq-AL"/>
              </w:rPr>
              <w:t>Numri i marrëveshjeve të bashkëpunimit ndërkufitar për parandalimin e sëmundjeve endemike rajonale dhe për sëmundjet e reja/shpërthimet e reja do të jetë 2 deri në vitin 2024 dhe 3 deri n</w:t>
            </w:r>
            <w:r w:rsidRPr="0058349C">
              <w:rPr>
                <w:rFonts w:ascii="Garamond" w:eastAsia="Arial" w:hAnsi="Garamond" w:cs="Segoe UI"/>
                <w:sz w:val="18"/>
                <w:szCs w:val="18"/>
                <w:lang w:val="sq-AL"/>
              </w:rPr>
              <w:t>ë vitin 2027.</w:t>
            </w:r>
          </w:p>
        </w:tc>
        <w:tc>
          <w:tcPr>
            <w:tcW w:w="1419" w:type="dxa"/>
            <w:shd w:val="clear" w:color="auto" w:fill="F2F2F2"/>
            <w:vAlign w:val="center"/>
          </w:tcPr>
          <w:p w14:paraId="0773B79E" w14:textId="77777777" w:rsidR="005676F7" w:rsidRPr="0058349C" w:rsidRDefault="005676F7"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79F"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7A0"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9" w:type="dxa"/>
            <w:shd w:val="clear" w:color="auto" w:fill="F2F2F2"/>
            <w:vAlign w:val="center"/>
          </w:tcPr>
          <w:p w14:paraId="0773B7A1"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N:50,000</w:t>
            </w:r>
          </w:p>
        </w:tc>
        <w:tc>
          <w:tcPr>
            <w:tcW w:w="1134" w:type="dxa"/>
            <w:shd w:val="clear" w:color="auto" w:fill="E5F7CA"/>
            <w:vAlign w:val="center"/>
          </w:tcPr>
          <w:p w14:paraId="0773B7A2"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w:t>
            </w:r>
          </w:p>
        </w:tc>
        <w:tc>
          <w:tcPr>
            <w:tcW w:w="1275" w:type="dxa"/>
            <w:gridSpan w:val="2"/>
            <w:shd w:val="clear" w:color="auto" w:fill="E5F7CA"/>
            <w:vAlign w:val="center"/>
          </w:tcPr>
          <w:p w14:paraId="0773B7A3"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w:t>
            </w:r>
          </w:p>
        </w:tc>
      </w:tr>
      <w:tr w:rsidR="005676F7" w:rsidRPr="0058349C" w14:paraId="0773B7AE" w14:textId="77777777" w:rsidTr="00CD4A33">
        <w:trPr>
          <w:gridAfter w:val="1"/>
          <w:wAfter w:w="8" w:type="dxa"/>
          <w:trHeight w:val="20"/>
        </w:trPr>
        <w:tc>
          <w:tcPr>
            <w:tcW w:w="384" w:type="dxa"/>
            <w:vMerge/>
            <w:shd w:val="clear" w:color="auto" w:fill="F2F2F2"/>
          </w:tcPr>
          <w:p w14:paraId="0773B7A5"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F2F2F2"/>
          </w:tcPr>
          <w:p w14:paraId="0773B7A6"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7A7" w14:textId="77777777"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Numri i personave të trajnuar për kontrollet mbi ruajtjen dhe përdorimin e pesticideve në nivel ferme dhe për zbulimin e mbetjeve të pesticideve në bimë do t</w:t>
            </w:r>
            <w:r w:rsidRPr="0058349C">
              <w:rPr>
                <w:rFonts w:ascii="Garamond" w:eastAsia="Arial Narrow" w:hAnsi="Garamond"/>
                <w:sz w:val="18"/>
                <w:szCs w:val="18"/>
                <w:lang w:val="sq-AL"/>
              </w:rPr>
              <w:t>ë arrijë në 30 deri në vitin 2024 dhe në 50 deri në vitin 2027.</w:t>
            </w:r>
          </w:p>
        </w:tc>
        <w:tc>
          <w:tcPr>
            <w:tcW w:w="1419" w:type="dxa"/>
            <w:shd w:val="clear" w:color="auto" w:fill="F2F2F2"/>
            <w:vAlign w:val="center"/>
          </w:tcPr>
          <w:p w14:paraId="0773B7A8" w14:textId="77777777" w:rsidR="005676F7" w:rsidRPr="0058349C" w:rsidRDefault="005676F7"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7A9"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7AA"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9" w:type="dxa"/>
            <w:shd w:val="clear" w:color="auto" w:fill="F2F2F2"/>
            <w:vAlign w:val="center"/>
          </w:tcPr>
          <w:p w14:paraId="0773B7AB"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N:50,000</w:t>
            </w:r>
          </w:p>
        </w:tc>
        <w:tc>
          <w:tcPr>
            <w:tcW w:w="1134" w:type="dxa"/>
            <w:shd w:val="clear" w:color="auto" w:fill="E5F7CA"/>
            <w:vAlign w:val="center"/>
          </w:tcPr>
          <w:p w14:paraId="0773B7AC"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30</w:t>
            </w:r>
          </w:p>
        </w:tc>
        <w:tc>
          <w:tcPr>
            <w:tcW w:w="1275" w:type="dxa"/>
            <w:gridSpan w:val="2"/>
            <w:shd w:val="clear" w:color="auto" w:fill="E5F7CA"/>
            <w:vAlign w:val="center"/>
          </w:tcPr>
          <w:p w14:paraId="0773B7AD"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w:t>
            </w:r>
          </w:p>
        </w:tc>
      </w:tr>
      <w:tr w:rsidR="005676F7" w:rsidRPr="0058349C" w14:paraId="0773B7B8" w14:textId="77777777" w:rsidTr="00CD4A33">
        <w:trPr>
          <w:gridAfter w:val="1"/>
          <w:wAfter w:w="8" w:type="dxa"/>
          <w:trHeight w:val="20"/>
        </w:trPr>
        <w:tc>
          <w:tcPr>
            <w:tcW w:w="384" w:type="dxa"/>
            <w:vMerge/>
            <w:shd w:val="clear" w:color="auto" w:fill="F2F2F2"/>
          </w:tcPr>
          <w:p w14:paraId="0773B7AF"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F2F2F2"/>
          </w:tcPr>
          <w:p w14:paraId="0773B7B0"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7B1" w14:textId="77777777"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Narrow" w:hAnsi="Garamond"/>
                <w:sz w:val="18"/>
                <w:szCs w:val="18"/>
                <w:lang w:val="sq-AL"/>
              </w:rPr>
              <w:t>Niveli i procedurave të unifikuara të regjistrimit për inputet bujqësore do të arrijë masën 100% deri në vitin 2024.</w:t>
            </w:r>
          </w:p>
        </w:tc>
        <w:tc>
          <w:tcPr>
            <w:tcW w:w="1419" w:type="dxa"/>
            <w:shd w:val="clear" w:color="auto" w:fill="F2F2F2"/>
            <w:vAlign w:val="center"/>
          </w:tcPr>
          <w:p w14:paraId="0773B7B2"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(TAIEX ose projekte të tjera të vogla AT</w:t>
            </w:r>
          </w:p>
        </w:tc>
        <w:tc>
          <w:tcPr>
            <w:tcW w:w="1288" w:type="dxa"/>
            <w:shd w:val="clear" w:color="auto" w:fill="F2F2F2"/>
            <w:vAlign w:val="center"/>
          </w:tcPr>
          <w:p w14:paraId="0773B7B3"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7B4"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7B5"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7B6"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c>
          <w:tcPr>
            <w:tcW w:w="1275" w:type="dxa"/>
            <w:gridSpan w:val="2"/>
            <w:shd w:val="clear" w:color="auto" w:fill="E5F7CA"/>
            <w:vAlign w:val="center"/>
          </w:tcPr>
          <w:p w14:paraId="0773B7B7"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5676F7" w:rsidRPr="0058349C" w14:paraId="0773B7C2" w14:textId="77777777" w:rsidTr="00CD4A33">
        <w:trPr>
          <w:gridAfter w:val="1"/>
          <w:wAfter w:w="8" w:type="dxa"/>
          <w:trHeight w:val="20"/>
        </w:trPr>
        <w:tc>
          <w:tcPr>
            <w:tcW w:w="384" w:type="dxa"/>
            <w:vMerge/>
            <w:shd w:val="clear" w:color="auto" w:fill="F2F2F2"/>
          </w:tcPr>
          <w:p w14:paraId="0773B7B9"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F2F2F2"/>
          </w:tcPr>
          <w:p w14:paraId="0773B7BA"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7BB" w14:textId="77777777"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Narrow" w:hAnsi="Garamond"/>
                <w:sz w:val="18"/>
                <w:szCs w:val="18"/>
                <w:lang w:val="sq-AL"/>
              </w:rPr>
              <w:t>Numri i stafit të trajnuar për monitorimin e standardeve të sigurisë ushqimore për fabrikat e agropërpunimit do të rritet në 30 deri në vitin 2024 dhe në 50 deri në vitin 2027.</w:t>
            </w:r>
          </w:p>
        </w:tc>
        <w:tc>
          <w:tcPr>
            <w:tcW w:w="1419" w:type="dxa"/>
            <w:shd w:val="clear" w:color="auto" w:fill="F2F2F2"/>
            <w:vAlign w:val="center"/>
          </w:tcPr>
          <w:p w14:paraId="0773B7BC" w14:textId="77777777" w:rsidR="005676F7" w:rsidRPr="0058349C" w:rsidRDefault="005676F7"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7BD"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7BE"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9" w:type="dxa"/>
            <w:shd w:val="clear" w:color="auto" w:fill="F2F2F2"/>
            <w:vAlign w:val="center"/>
          </w:tcPr>
          <w:p w14:paraId="0773B7BF"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N:50,000</w:t>
            </w:r>
          </w:p>
        </w:tc>
        <w:tc>
          <w:tcPr>
            <w:tcW w:w="1134" w:type="dxa"/>
            <w:shd w:val="clear" w:color="auto" w:fill="E5F7CA"/>
            <w:vAlign w:val="center"/>
          </w:tcPr>
          <w:p w14:paraId="0773B7C0"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30</w:t>
            </w:r>
          </w:p>
        </w:tc>
        <w:tc>
          <w:tcPr>
            <w:tcW w:w="1275" w:type="dxa"/>
            <w:gridSpan w:val="2"/>
            <w:shd w:val="clear" w:color="auto" w:fill="E5F7CA"/>
            <w:vAlign w:val="center"/>
          </w:tcPr>
          <w:p w14:paraId="0773B7C1"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w:t>
            </w:r>
          </w:p>
        </w:tc>
      </w:tr>
      <w:tr w:rsidR="005676F7" w:rsidRPr="0058349C" w14:paraId="0773B7CC" w14:textId="77777777" w:rsidTr="00CD4A33">
        <w:trPr>
          <w:gridAfter w:val="1"/>
          <w:wAfter w:w="8" w:type="dxa"/>
          <w:trHeight w:val="20"/>
        </w:trPr>
        <w:tc>
          <w:tcPr>
            <w:tcW w:w="384" w:type="dxa"/>
            <w:vMerge/>
            <w:shd w:val="clear" w:color="auto" w:fill="F2F2F2"/>
          </w:tcPr>
          <w:p w14:paraId="0773B7C3"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F2F2F2"/>
          </w:tcPr>
          <w:p w14:paraId="0773B7C4"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7C5" w14:textId="77777777"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Narrow" w:hAnsi="Garamond"/>
                <w:sz w:val="18"/>
                <w:szCs w:val="18"/>
                <w:lang w:val="sq-AL"/>
              </w:rPr>
              <w:t>Numri i stafit të trajnuar për metodën e akreditimit të laboratorëve rajonalë do të arrijë në 10 deri në vitin 2024.</w:t>
            </w:r>
          </w:p>
        </w:tc>
        <w:tc>
          <w:tcPr>
            <w:tcW w:w="1419" w:type="dxa"/>
            <w:shd w:val="clear" w:color="auto" w:fill="F2F2F2"/>
            <w:vAlign w:val="center"/>
          </w:tcPr>
          <w:p w14:paraId="0773B7C6"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 xml:space="preserve"> (TAIEX ose projekte të tjera të vogla AT</w:t>
            </w:r>
          </w:p>
        </w:tc>
        <w:tc>
          <w:tcPr>
            <w:tcW w:w="1288" w:type="dxa"/>
            <w:shd w:val="clear" w:color="auto" w:fill="F2F2F2"/>
            <w:vAlign w:val="center"/>
          </w:tcPr>
          <w:p w14:paraId="0773B7C7"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7C8"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7C9"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7CA"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w:t>
            </w:r>
          </w:p>
        </w:tc>
        <w:tc>
          <w:tcPr>
            <w:tcW w:w="1275" w:type="dxa"/>
            <w:gridSpan w:val="2"/>
            <w:shd w:val="clear" w:color="auto" w:fill="E5F7CA"/>
            <w:vAlign w:val="center"/>
          </w:tcPr>
          <w:p w14:paraId="0773B7CB"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w:t>
            </w:r>
          </w:p>
        </w:tc>
      </w:tr>
      <w:tr w:rsidR="005676F7" w:rsidRPr="0058349C" w14:paraId="0773B7D6" w14:textId="77777777" w:rsidTr="00CD4A33">
        <w:trPr>
          <w:gridAfter w:val="1"/>
          <w:wAfter w:w="8" w:type="dxa"/>
          <w:trHeight w:val="20"/>
        </w:trPr>
        <w:tc>
          <w:tcPr>
            <w:tcW w:w="384" w:type="dxa"/>
            <w:vMerge/>
            <w:shd w:val="clear" w:color="auto" w:fill="F2F2F2"/>
          </w:tcPr>
          <w:p w14:paraId="0773B7CD"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F2F2F2"/>
          </w:tcPr>
          <w:p w14:paraId="0773B7CE"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7CF" w14:textId="24F0F324"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Niveli i përgatitjes të nj</w:t>
            </w:r>
            <w:r w:rsidRPr="0058349C">
              <w:rPr>
                <w:rFonts w:ascii="Garamond" w:eastAsia="Arial Narrow" w:hAnsi="Garamond"/>
                <w:sz w:val="18"/>
                <w:szCs w:val="18"/>
                <w:lang w:val="sq-AL"/>
              </w:rPr>
              <w:t xml:space="preserve">ë </w:t>
            </w:r>
            <w:r w:rsidRPr="0058349C">
              <w:rPr>
                <w:rFonts w:ascii="Garamond" w:eastAsia="Arial" w:hAnsi="Garamond" w:cs="Segoe UI"/>
                <w:sz w:val="18"/>
                <w:szCs w:val="18"/>
                <w:lang w:val="sq-AL"/>
              </w:rPr>
              <w:t>Plani të Veprimit për përmirësimin e cilësisë së qumështit do t</w:t>
            </w:r>
            <w:r w:rsidRPr="0058349C">
              <w:rPr>
                <w:rFonts w:ascii="Garamond" w:eastAsia="Arial Narrow" w:hAnsi="Garamond"/>
                <w:sz w:val="18"/>
                <w:szCs w:val="18"/>
                <w:lang w:val="sq-AL"/>
              </w:rPr>
              <w:t>ë jetë</w:t>
            </w:r>
            <w:r w:rsidR="00CF7694" w:rsidRPr="0058349C">
              <w:rPr>
                <w:rFonts w:ascii="Garamond" w:eastAsia="Arial Narrow" w:hAnsi="Garamond"/>
                <w:sz w:val="18"/>
                <w:szCs w:val="18"/>
                <w:lang w:val="sq-AL"/>
              </w:rPr>
              <w:t xml:space="preserve"> </w:t>
            </w:r>
            <w:r w:rsidRPr="0058349C">
              <w:rPr>
                <w:rFonts w:ascii="Garamond" w:eastAsia="Arial Narrow" w:hAnsi="Garamond"/>
                <w:sz w:val="18"/>
                <w:szCs w:val="18"/>
                <w:lang w:val="sq-AL"/>
              </w:rPr>
              <w:t>në masën 100% deri në vitin 2024</w:t>
            </w:r>
          </w:p>
        </w:tc>
        <w:tc>
          <w:tcPr>
            <w:tcW w:w="1419" w:type="dxa"/>
            <w:shd w:val="clear" w:color="auto" w:fill="F2F2F2"/>
            <w:vAlign w:val="center"/>
          </w:tcPr>
          <w:p w14:paraId="0773B7D0"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(TAIEX ose projekte të tjera të vogla AT</w:t>
            </w:r>
          </w:p>
        </w:tc>
        <w:tc>
          <w:tcPr>
            <w:tcW w:w="1288" w:type="dxa"/>
            <w:shd w:val="clear" w:color="auto" w:fill="F2F2F2"/>
            <w:vAlign w:val="center"/>
          </w:tcPr>
          <w:p w14:paraId="0773B7D1"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7D2"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7D3"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7D4"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c>
          <w:tcPr>
            <w:tcW w:w="1275" w:type="dxa"/>
            <w:gridSpan w:val="2"/>
            <w:shd w:val="clear" w:color="auto" w:fill="E5F7CA"/>
            <w:vAlign w:val="center"/>
          </w:tcPr>
          <w:p w14:paraId="0773B7D5"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5676F7" w:rsidRPr="0058349C" w14:paraId="0773B7E0" w14:textId="77777777" w:rsidTr="00CD4A33">
        <w:trPr>
          <w:gridAfter w:val="1"/>
          <w:wAfter w:w="8" w:type="dxa"/>
          <w:trHeight w:val="20"/>
        </w:trPr>
        <w:tc>
          <w:tcPr>
            <w:tcW w:w="384" w:type="dxa"/>
            <w:vMerge/>
            <w:shd w:val="clear" w:color="auto" w:fill="F2F2F2"/>
          </w:tcPr>
          <w:p w14:paraId="0773B7D7"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F2F2F2"/>
          </w:tcPr>
          <w:p w14:paraId="0773B7D8"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7D9" w14:textId="6A4D4515"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 xml:space="preserve">Niveli i zbatimit </w:t>
            </w:r>
            <w:r w:rsidR="0057233D" w:rsidRPr="0058349C">
              <w:rPr>
                <w:rFonts w:ascii="Garamond" w:eastAsia="Arial" w:hAnsi="Garamond" w:cs="Segoe UI"/>
                <w:sz w:val="18"/>
                <w:szCs w:val="18"/>
                <w:lang w:val="sq-AL"/>
              </w:rPr>
              <w:t>të planit të veprimit për pë</w:t>
            </w:r>
            <w:r w:rsidRPr="0058349C">
              <w:rPr>
                <w:rFonts w:ascii="Garamond" w:eastAsia="Arial" w:hAnsi="Garamond" w:cs="Segoe UI"/>
                <w:sz w:val="18"/>
                <w:szCs w:val="18"/>
                <w:lang w:val="sq-AL"/>
              </w:rPr>
              <w:t>rmirësimin e cilësisë së qumështit do t</w:t>
            </w:r>
            <w:r w:rsidRPr="0058349C">
              <w:rPr>
                <w:rFonts w:ascii="Garamond" w:eastAsia="Arial Narrow" w:hAnsi="Garamond"/>
                <w:sz w:val="18"/>
                <w:szCs w:val="18"/>
                <w:lang w:val="sq-AL"/>
              </w:rPr>
              <w:t>ë arrijë masën 100% deri në vitin 2027</w:t>
            </w:r>
          </w:p>
        </w:tc>
        <w:tc>
          <w:tcPr>
            <w:tcW w:w="1419" w:type="dxa"/>
            <w:shd w:val="clear" w:color="auto" w:fill="F2F2F2"/>
            <w:vAlign w:val="center"/>
          </w:tcPr>
          <w:p w14:paraId="0773B7DA"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(TAIEX ose projekte të tjera të vogla AT</w:t>
            </w:r>
          </w:p>
        </w:tc>
        <w:tc>
          <w:tcPr>
            <w:tcW w:w="1288" w:type="dxa"/>
            <w:shd w:val="clear" w:color="auto" w:fill="F2F2F2"/>
            <w:vAlign w:val="center"/>
          </w:tcPr>
          <w:p w14:paraId="0773B7DB"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7DC"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7DD"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7DE"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75" w:type="dxa"/>
            <w:gridSpan w:val="2"/>
            <w:shd w:val="clear" w:color="auto" w:fill="E5F7CA"/>
            <w:vAlign w:val="center"/>
          </w:tcPr>
          <w:p w14:paraId="0773B7DF"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5676F7" w:rsidRPr="0058349C" w14:paraId="0773B7EA" w14:textId="77777777" w:rsidTr="00CD4A33">
        <w:trPr>
          <w:gridAfter w:val="1"/>
          <w:wAfter w:w="8" w:type="dxa"/>
          <w:trHeight w:val="20"/>
        </w:trPr>
        <w:tc>
          <w:tcPr>
            <w:tcW w:w="384" w:type="dxa"/>
            <w:vMerge/>
            <w:shd w:val="clear" w:color="auto" w:fill="F2F2F2"/>
          </w:tcPr>
          <w:p w14:paraId="0773B7E1"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F2F2F2"/>
          </w:tcPr>
          <w:p w14:paraId="0773B7E2"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7E3" w14:textId="4AAC6A31"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Numri i departamenteve dhe agjencive të MBZHR-së të trajnuar për negociatat me BE-në do arrij</w:t>
            </w:r>
            <w:r w:rsidRPr="0058349C">
              <w:rPr>
                <w:rFonts w:ascii="Garamond" w:eastAsia="Arial Narrow" w:hAnsi="Garamond"/>
                <w:sz w:val="18"/>
                <w:szCs w:val="18"/>
                <w:lang w:val="sq-AL"/>
              </w:rPr>
              <w:t>ë në</w:t>
            </w:r>
            <w:r w:rsidR="00CF7694" w:rsidRPr="0058349C">
              <w:rPr>
                <w:rFonts w:ascii="Garamond" w:eastAsia="Arial Narrow" w:hAnsi="Garamond"/>
                <w:sz w:val="18"/>
                <w:szCs w:val="18"/>
                <w:lang w:val="sq-AL"/>
              </w:rPr>
              <w:t xml:space="preserve"> </w:t>
            </w:r>
            <w:r w:rsidRPr="0058349C">
              <w:rPr>
                <w:rFonts w:ascii="Garamond" w:eastAsia="Arial Narrow" w:hAnsi="Garamond"/>
                <w:sz w:val="18"/>
                <w:szCs w:val="18"/>
                <w:lang w:val="sq-AL"/>
              </w:rPr>
              <w:t xml:space="preserve">3 deri në vitin </w:t>
            </w:r>
            <w:r w:rsidRPr="0058349C">
              <w:rPr>
                <w:rFonts w:ascii="Garamond" w:eastAsia="Arial Narrow" w:hAnsi="Garamond"/>
                <w:sz w:val="18"/>
                <w:szCs w:val="18"/>
                <w:lang w:val="sq-AL"/>
              </w:rPr>
              <w:lastRenderedPageBreak/>
              <w:t>2024.</w:t>
            </w:r>
          </w:p>
        </w:tc>
        <w:tc>
          <w:tcPr>
            <w:tcW w:w="1419" w:type="dxa"/>
            <w:shd w:val="clear" w:color="auto" w:fill="F2F2F2"/>
            <w:vAlign w:val="center"/>
          </w:tcPr>
          <w:p w14:paraId="0773B7E4" w14:textId="77777777" w:rsidR="005676F7" w:rsidRPr="0058349C" w:rsidRDefault="005676F7"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7E5"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N:50,000</w:t>
            </w:r>
          </w:p>
        </w:tc>
        <w:tc>
          <w:tcPr>
            <w:tcW w:w="1288" w:type="dxa"/>
            <w:shd w:val="clear" w:color="auto" w:fill="F2F2F2"/>
            <w:vAlign w:val="center"/>
          </w:tcPr>
          <w:p w14:paraId="0773B7E6"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N:50,000</w:t>
            </w:r>
          </w:p>
        </w:tc>
        <w:tc>
          <w:tcPr>
            <w:tcW w:w="1289" w:type="dxa"/>
            <w:shd w:val="clear" w:color="auto" w:fill="F2F2F2"/>
            <w:vAlign w:val="center"/>
          </w:tcPr>
          <w:p w14:paraId="0773B7E7"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N:50,000</w:t>
            </w:r>
          </w:p>
        </w:tc>
        <w:tc>
          <w:tcPr>
            <w:tcW w:w="1134" w:type="dxa"/>
            <w:shd w:val="clear" w:color="auto" w:fill="E5F7CA"/>
            <w:vAlign w:val="center"/>
          </w:tcPr>
          <w:p w14:paraId="0773B7E8"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w:t>
            </w:r>
          </w:p>
        </w:tc>
        <w:tc>
          <w:tcPr>
            <w:tcW w:w="1275" w:type="dxa"/>
            <w:gridSpan w:val="2"/>
            <w:shd w:val="clear" w:color="auto" w:fill="E5F7CA"/>
            <w:vAlign w:val="center"/>
          </w:tcPr>
          <w:p w14:paraId="0773B7E9"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w:t>
            </w:r>
          </w:p>
        </w:tc>
      </w:tr>
      <w:tr w:rsidR="005676F7" w:rsidRPr="0058349C" w14:paraId="0773B7F4" w14:textId="77777777" w:rsidTr="00CD4A33">
        <w:trPr>
          <w:gridAfter w:val="1"/>
          <w:wAfter w:w="8" w:type="dxa"/>
          <w:trHeight w:val="20"/>
        </w:trPr>
        <w:tc>
          <w:tcPr>
            <w:tcW w:w="384" w:type="dxa"/>
            <w:shd w:val="clear" w:color="auto" w:fill="F2F2F2"/>
          </w:tcPr>
          <w:p w14:paraId="0773B7EB"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shd w:val="clear" w:color="auto" w:fill="F2F2F2"/>
          </w:tcPr>
          <w:p w14:paraId="0773B7EC" w14:textId="19AE1D6E" w:rsidR="005676F7" w:rsidRPr="0058349C" w:rsidRDefault="005676F7" w:rsidP="00CF7694">
            <w:pPr>
              <w:spacing w:after="0" w:line="240" w:lineRule="auto"/>
              <w:rPr>
                <w:rFonts w:ascii="Garamond" w:eastAsia="Arial" w:hAnsi="Garamond" w:cs="Segoe UI"/>
                <w:b/>
                <w:bCs/>
                <w:sz w:val="18"/>
                <w:szCs w:val="18"/>
                <w:lang w:val="sq-AL"/>
              </w:rPr>
            </w:pPr>
            <w:r w:rsidRPr="0058349C">
              <w:rPr>
                <w:rFonts w:ascii="Garamond" w:hAnsi="Garamond"/>
                <w:b/>
                <w:bCs/>
                <w:sz w:val="18"/>
                <w:szCs w:val="18"/>
                <w:lang w:val="sq-AL"/>
              </w:rPr>
              <w:t xml:space="preserve">Projektet AT për përafrimin e legjislacionit të BE-së në </w:t>
            </w:r>
            <w:r w:rsidR="0057233D" w:rsidRPr="0058349C">
              <w:rPr>
                <w:rFonts w:ascii="Garamond" w:hAnsi="Garamond"/>
                <w:b/>
                <w:bCs/>
                <w:sz w:val="18"/>
                <w:szCs w:val="18"/>
                <w:lang w:val="sq-AL"/>
              </w:rPr>
              <w:t xml:space="preserve">kapitullin </w:t>
            </w:r>
            <w:r w:rsidRPr="0058349C">
              <w:rPr>
                <w:rFonts w:ascii="Garamond" w:hAnsi="Garamond"/>
                <w:b/>
                <w:bCs/>
                <w:sz w:val="18"/>
                <w:szCs w:val="18"/>
                <w:lang w:val="sq-AL"/>
              </w:rPr>
              <w:t>13</w:t>
            </w:r>
          </w:p>
        </w:tc>
        <w:tc>
          <w:tcPr>
            <w:tcW w:w="2526" w:type="dxa"/>
            <w:shd w:val="clear" w:color="auto" w:fill="F2F2F2"/>
          </w:tcPr>
          <w:p w14:paraId="0773B7ED" w14:textId="77777777"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Numri i stafit të trajnuar të MBZHR-së për negociatat me BE-në do arrij</w:t>
            </w:r>
            <w:r w:rsidRPr="0058349C">
              <w:rPr>
                <w:rFonts w:ascii="Garamond" w:eastAsia="Arial Narrow" w:hAnsi="Garamond"/>
                <w:sz w:val="18"/>
                <w:szCs w:val="18"/>
                <w:lang w:val="sq-AL"/>
              </w:rPr>
              <w:t>ë në 5 deri në vitin 2024.</w:t>
            </w:r>
          </w:p>
        </w:tc>
        <w:tc>
          <w:tcPr>
            <w:tcW w:w="1419" w:type="dxa"/>
            <w:shd w:val="clear" w:color="auto" w:fill="F2F2F2"/>
            <w:vAlign w:val="center"/>
          </w:tcPr>
          <w:p w14:paraId="0773B7EE"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(TAIEX ose projekte të tjera të vogla AT</w:t>
            </w:r>
          </w:p>
        </w:tc>
        <w:tc>
          <w:tcPr>
            <w:tcW w:w="1288" w:type="dxa"/>
            <w:shd w:val="clear" w:color="auto" w:fill="F2F2F2"/>
            <w:vAlign w:val="center"/>
          </w:tcPr>
          <w:p w14:paraId="0773B7EF"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7F0"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7F1"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7F2"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w:t>
            </w:r>
          </w:p>
        </w:tc>
        <w:tc>
          <w:tcPr>
            <w:tcW w:w="1275" w:type="dxa"/>
            <w:gridSpan w:val="2"/>
            <w:shd w:val="clear" w:color="auto" w:fill="E5F7CA"/>
            <w:vAlign w:val="center"/>
          </w:tcPr>
          <w:p w14:paraId="0773B7F3"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w:t>
            </w:r>
          </w:p>
        </w:tc>
      </w:tr>
      <w:tr w:rsidR="005676F7" w:rsidRPr="0058349C" w14:paraId="0773B7FE" w14:textId="77777777" w:rsidTr="00CD4A33">
        <w:trPr>
          <w:gridAfter w:val="1"/>
          <w:wAfter w:w="8" w:type="dxa"/>
          <w:trHeight w:val="20"/>
        </w:trPr>
        <w:tc>
          <w:tcPr>
            <w:tcW w:w="384" w:type="dxa"/>
            <w:shd w:val="clear" w:color="auto" w:fill="F2F2F2"/>
          </w:tcPr>
          <w:p w14:paraId="0773B7F5"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shd w:val="clear" w:color="auto" w:fill="F2F2F2"/>
          </w:tcPr>
          <w:p w14:paraId="0773B7F6" w14:textId="77777777" w:rsidR="005676F7" w:rsidRPr="0058349C" w:rsidRDefault="005676F7" w:rsidP="00CF7694">
            <w:pPr>
              <w:spacing w:after="0" w:line="240" w:lineRule="auto"/>
              <w:rPr>
                <w:rFonts w:ascii="Garamond" w:eastAsia="Arial" w:hAnsi="Garamond" w:cs="Segoe UI"/>
                <w:b/>
                <w:bCs/>
                <w:sz w:val="18"/>
                <w:szCs w:val="18"/>
                <w:lang w:val="sq-AL"/>
              </w:rPr>
            </w:pPr>
            <w:r w:rsidRPr="0058349C">
              <w:rPr>
                <w:rFonts w:ascii="Garamond" w:hAnsi="Garamond"/>
                <w:b/>
                <w:bCs/>
                <w:sz w:val="18"/>
                <w:szCs w:val="18"/>
                <w:lang w:val="sq-AL"/>
              </w:rPr>
              <w:t>AT për të dhënat statistikore për treguesit mjedisorë bazë të kontekstit</w:t>
            </w:r>
          </w:p>
        </w:tc>
        <w:tc>
          <w:tcPr>
            <w:tcW w:w="2526" w:type="dxa"/>
            <w:shd w:val="clear" w:color="auto" w:fill="F2F2F2"/>
          </w:tcPr>
          <w:p w14:paraId="0773B7F7" w14:textId="6FE7591A"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Niveli i gatishmërisë institucionale për monitorimin e treguesve mjedisorë</w:t>
            </w:r>
            <w:r w:rsidR="0057233D">
              <w:rPr>
                <w:rFonts w:ascii="Garamond" w:eastAsia="Arial" w:hAnsi="Garamond" w:cs="Segoe UI"/>
                <w:sz w:val="18"/>
                <w:szCs w:val="18"/>
                <w:lang w:val="sq-AL"/>
              </w:rPr>
              <w:t>,</w:t>
            </w:r>
            <w:r w:rsidRPr="0058349C">
              <w:rPr>
                <w:rFonts w:ascii="Garamond" w:eastAsia="Arial" w:hAnsi="Garamond" w:cs="Segoe UI"/>
                <w:sz w:val="18"/>
                <w:szCs w:val="18"/>
                <w:lang w:val="sq-AL"/>
              </w:rPr>
              <w:t xml:space="preserve"> që lidhen me PPB do t</w:t>
            </w:r>
            <w:r w:rsidRPr="0058349C">
              <w:rPr>
                <w:rFonts w:ascii="Garamond" w:eastAsia="Arial Narrow" w:hAnsi="Garamond"/>
                <w:sz w:val="18"/>
                <w:szCs w:val="18"/>
                <w:lang w:val="sq-AL"/>
              </w:rPr>
              <w:t>ë arrijë në 30% deri n</w:t>
            </w:r>
            <w:r w:rsidRPr="0058349C">
              <w:rPr>
                <w:rFonts w:ascii="Garamond" w:eastAsia="Arial" w:hAnsi="Garamond" w:cs="Segoe UI"/>
                <w:sz w:val="18"/>
                <w:szCs w:val="18"/>
                <w:lang w:val="sq-AL"/>
              </w:rPr>
              <w:t xml:space="preserve">ë vitin 2024 dhe në </w:t>
            </w:r>
            <w:r w:rsidRPr="0058349C">
              <w:rPr>
                <w:rFonts w:ascii="Garamond" w:eastAsia="Arial Narrow" w:hAnsi="Garamond"/>
                <w:sz w:val="18"/>
                <w:szCs w:val="18"/>
                <w:lang w:val="sq-AL"/>
              </w:rPr>
              <w:t>50% deri në vitin 2027</w:t>
            </w:r>
          </w:p>
        </w:tc>
        <w:tc>
          <w:tcPr>
            <w:tcW w:w="1419" w:type="dxa"/>
            <w:shd w:val="clear" w:color="auto" w:fill="F2F2F2"/>
            <w:vAlign w:val="center"/>
          </w:tcPr>
          <w:p w14:paraId="0773B7F8" w14:textId="77777777" w:rsidR="005676F7" w:rsidRPr="0058349C" w:rsidRDefault="005676F7"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7F9"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7FA"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N:200,000</w:t>
            </w:r>
          </w:p>
        </w:tc>
        <w:tc>
          <w:tcPr>
            <w:tcW w:w="1289" w:type="dxa"/>
            <w:shd w:val="clear" w:color="auto" w:fill="F2F2F2"/>
            <w:vAlign w:val="center"/>
          </w:tcPr>
          <w:p w14:paraId="0773B7FB"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N:200,000</w:t>
            </w:r>
          </w:p>
        </w:tc>
        <w:tc>
          <w:tcPr>
            <w:tcW w:w="1134" w:type="dxa"/>
            <w:shd w:val="clear" w:color="auto" w:fill="E5F7CA"/>
            <w:vAlign w:val="center"/>
          </w:tcPr>
          <w:p w14:paraId="0773B7FC"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 xml:space="preserve">30% </w:t>
            </w:r>
          </w:p>
        </w:tc>
        <w:tc>
          <w:tcPr>
            <w:tcW w:w="1275" w:type="dxa"/>
            <w:gridSpan w:val="2"/>
            <w:shd w:val="clear" w:color="auto" w:fill="E5F7CA"/>
            <w:vAlign w:val="center"/>
          </w:tcPr>
          <w:p w14:paraId="0773B7FD"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70%</w:t>
            </w:r>
          </w:p>
        </w:tc>
      </w:tr>
      <w:tr w:rsidR="005676F7" w:rsidRPr="0058349C" w14:paraId="0773B808" w14:textId="77777777" w:rsidTr="00CD4A33">
        <w:trPr>
          <w:gridAfter w:val="1"/>
          <w:wAfter w:w="8" w:type="dxa"/>
          <w:trHeight w:val="20"/>
        </w:trPr>
        <w:tc>
          <w:tcPr>
            <w:tcW w:w="384" w:type="dxa"/>
            <w:shd w:val="clear" w:color="auto" w:fill="F2F2F2"/>
          </w:tcPr>
          <w:p w14:paraId="0773B7FF"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shd w:val="clear" w:color="auto" w:fill="F2F2F2"/>
          </w:tcPr>
          <w:p w14:paraId="0773B800" w14:textId="77777777" w:rsidR="005676F7" w:rsidRPr="0058349C" w:rsidRDefault="005676F7" w:rsidP="00CF7694">
            <w:pPr>
              <w:spacing w:after="0" w:line="240" w:lineRule="auto"/>
              <w:rPr>
                <w:rFonts w:ascii="Garamond" w:eastAsia="Arial" w:hAnsi="Garamond" w:cs="Segoe UI"/>
                <w:b/>
                <w:bCs/>
                <w:sz w:val="18"/>
                <w:szCs w:val="18"/>
                <w:lang w:val="sq-AL"/>
              </w:rPr>
            </w:pPr>
            <w:r w:rsidRPr="0058349C">
              <w:rPr>
                <w:rFonts w:ascii="Garamond" w:eastAsia="Arial" w:hAnsi="Garamond" w:cs="Segoe UI"/>
                <w:b/>
                <w:bCs/>
                <w:sz w:val="18"/>
                <w:szCs w:val="18"/>
                <w:lang w:val="sq-AL"/>
              </w:rPr>
              <w:t>AT për krijimin e një njësie të analizës ekonomike n</w:t>
            </w:r>
            <w:r w:rsidRPr="0058349C">
              <w:rPr>
                <w:rFonts w:ascii="Garamond" w:eastAsia="Arial" w:hAnsi="Garamond" w:cs="Segoe UI"/>
                <w:b/>
                <w:sz w:val="18"/>
                <w:szCs w:val="18"/>
                <w:lang w:val="sq-AL"/>
              </w:rPr>
              <w:t>ë MBZHR</w:t>
            </w:r>
          </w:p>
        </w:tc>
        <w:tc>
          <w:tcPr>
            <w:tcW w:w="2526" w:type="dxa"/>
            <w:shd w:val="clear" w:color="auto" w:fill="F2F2F2"/>
          </w:tcPr>
          <w:p w14:paraId="0773B801" w14:textId="77777777"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Deri n</w:t>
            </w:r>
            <w:r w:rsidRPr="0058349C">
              <w:rPr>
                <w:rFonts w:ascii="Garamond" w:eastAsia="Arial Narrow" w:hAnsi="Garamond"/>
                <w:sz w:val="18"/>
                <w:szCs w:val="18"/>
                <w:lang w:val="sq-AL"/>
              </w:rPr>
              <w:t>ë vitin 2024 do të ngrihet dhe do të jetë plotësisht funksionale një njësi e</w:t>
            </w:r>
            <w:r w:rsidRPr="0058349C">
              <w:rPr>
                <w:rFonts w:ascii="Garamond" w:eastAsia="Arial" w:hAnsi="Garamond" w:cs="Segoe UI"/>
                <w:sz w:val="18"/>
                <w:szCs w:val="18"/>
                <w:lang w:val="sq-AL"/>
              </w:rPr>
              <w:t xml:space="preserve"> analizave ekonomike.</w:t>
            </w:r>
          </w:p>
        </w:tc>
        <w:tc>
          <w:tcPr>
            <w:tcW w:w="1419" w:type="dxa"/>
            <w:shd w:val="clear" w:color="auto" w:fill="F2F2F2"/>
            <w:vAlign w:val="center"/>
          </w:tcPr>
          <w:p w14:paraId="0773B802" w14:textId="77777777" w:rsidR="005676F7" w:rsidRPr="0058349C" w:rsidRDefault="005676F7"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803" w14:textId="77777777" w:rsidR="005676F7" w:rsidRPr="0058349C" w:rsidRDefault="005676F7"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804"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N:25,000</w:t>
            </w:r>
          </w:p>
        </w:tc>
        <w:tc>
          <w:tcPr>
            <w:tcW w:w="1289" w:type="dxa"/>
            <w:shd w:val="clear" w:color="auto" w:fill="F2F2F2"/>
            <w:vAlign w:val="center"/>
          </w:tcPr>
          <w:p w14:paraId="0773B805"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N:25,000</w:t>
            </w:r>
          </w:p>
        </w:tc>
        <w:tc>
          <w:tcPr>
            <w:tcW w:w="1134" w:type="dxa"/>
            <w:shd w:val="clear" w:color="auto" w:fill="E5F7CA"/>
            <w:vAlign w:val="center"/>
          </w:tcPr>
          <w:p w14:paraId="0773B806"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w:t>
            </w:r>
          </w:p>
        </w:tc>
        <w:tc>
          <w:tcPr>
            <w:tcW w:w="1275" w:type="dxa"/>
            <w:gridSpan w:val="2"/>
            <w:shd w:val="clear" w:color="auto" w:fill="E5F7CA"/>
            <w:vAlign w:val="center"/>
          </w:tcPr>
          <w:p w14:paraId="0773B807"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w:t>
            </w:r>
          </w:p>
        </w:tc>
      </w:tr>
      <w:tr w:rsidR="005676F7" w:rsidRPr="0058349C" w14:paraId="0773B812" w14:textId="77777777" w:rsidTr="00CD4A33">
        <w:trPr>
          <w:gridAfter w:val="1"/>
          <w:wAfter w:w="8" w:type="dxa"/>
          <w:trHeight w:val="20"/>
        </w:trPr>
        <w:tc>
          <w:tcPr>
            <w:tcW w:w="384" w:type="dxa"/>
            <w:shd w:val="clear" w:color="auto" w:fill="F2F2F2"/>
          </w:tcPr>
          <w:p w14:paraId="0773B809"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shd w:val="clear" w:color="auto" w:fill="F2F2F2"/>
          </w:tcPr>
          <w:p w14:paraId="0773B80A" w14:textId="2589C76D" w:rsidR="005676F7" w:rsidRPr="0058349C" w:rsidRDefault="0057233D" w:rsidP="00CF7694">
            <w:pPr>
              <w:spacing w:after="0" w:line="240" w:lineRule="auto"/>
              <w:rPr>
                <w:rFonts w:ascii="Garamond" w:eastAsia="Arial" w:hAnsi="Garamond" w:cs="Segoe UI"/>
                <w:b/>
                <w:bCs/>
                <w:sz w:val="18"/>
                <w:szCs w:val="18"/>
                <w:lang w:val="sq-AL"/>
              </w:rPr>
            </w:pPr>
            <w:r>
              <w:rPr>
                <w:rFonts w:ascii="Garamond" w:hAnsi="Garamond"/>
                <w:b/>
                <w:bCs/>
                <w:sz w:val="18"/>
                <w:szCs w:val="18"/>
                <w:lang w:val="sq-AL"/>
              </w:rPr>
              <w:t>AT për futjen</w:t>
            </w:r>
            <w:r w:rsidR="00797859">
              <w:rPr>
                <w:rFonts w:ascii="Garamond" w:hAnsi="Garamond"/>
                <w:b/>
                <w:bCs/>
                <w:sz w:val="18"/>
                <w:szCs w:val="18"/>
                <w:lang w:val="sq-AL"/>
              </w:rPr>
              <w:t>/</w:t>
            </w:r>
            <w:r w:rsidR="005676F7" w:rsidRPr="0058349C">
              <w:rPr>
                <w:rFonts w:ascii="Garamond" w:hAnsi="Garamond"/>
                <w:b/>
                <w:bCs/>
                <w:sz w:val="18"/>
                <w:szCs w:val="18"/>
                <w:lang w:val="sq-AL"/>
              </w:rPr>
              <w:t>zbatimin e kushteve të mira bujqësore dhe mjedisore (KMBM) të thjeshtuara</w:t>
            </w:r>
          </w:p>
        </w:tc>
        <w:tc>
          <w:tcPr>
            <w:tcW w:w="2526" w:type="dxa"/>
            <w:shd w:val="clear" w:color="auto" w:fill="F2F2F2"/>
          </w:tcPr>
          <w:p w14:paraId="0773B80B" w14:textId="77777777"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Niveli i gatishmërisë institucionale për të zbatuar KMBM do t</w:t>
            </w:r>
            <w:r w:rsidRPr="0058349C">
              <w:rPr>
                <w:rFonts w:ascii="Garamond" w:eastAsia="Arial Narrow" w:hAnsi="Garamond"/>
                <w:sz w:val="18"/>
                <w:szCs w:val="18"/>
                <w:lang w:val="sq-AL"/>
              </w:rPr>
              <w:t>ë arrijë në 50% deri në vitin 2024 dhe në 100% deri në vitin 2027.</w:t>
            </w:r>
          </w:p>
        </w:tc>
        <w:tc>
          <w:tcPr>
            <w:tcW w:w="1419" w:type="dxa"/>
            <w:shd w:val="clear" w:color="auto" w:fill="F2F2F2"/>
            <w:vAlign w:val="center"/>
          </w:tcPr>
          <w:p w14:paraId="0773B80C"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 xml:space="preserve"> (TAIEX ose projekte të tjera të vogla AT)</w:t>
            </w:r>
          </w:p>
        </w:tc>
        <w:tc>
          <w:tcPr>
            <w:tcW w:w="1288" w:type="dxa"/>
            <w:shd w:val="clear" w:color="auto" w:fill="F2F2F2"/>
            <w:vAlign w:val="center"/>
          </w:tcPr>
          <w:p w14:paraId="0773B80D"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80E"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80F"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810"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w:t>
            </w:r>
          </w:p>
        </w:tc>
        <w:tc>
          <w:tcPr>
            <w:tcW w:w="1275" w:type="dxa"/>
            <w:gridSpan w:val="2"/>
            <w:shd w:val="clear" w:color="auto" w:fill="E5F7CA"/>
            <w:vAlign w:val="center"/>
          </w:tcPr>
          <w:p w14:paraId="0773B811"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5676F7" w:rsidRPr="0058349C" w14:paraId="0773B81C" w14:textId="77777777" w:rsidTr="00CD4A33">
        <w:trPr>
          <w:gridAfter w:val="1"/>
          <w:wAfter w:w="8" w:type="dxa"/>
          <w:trHeight w:val="20"/>
        </w:trPr>
        <w:tc>
          <w:tcPr>
            <w:tcW w:w="384" w:type="dxa"/>
            <w:shd w:val="clear" w:color="auto" w:fill="F2F2F2"/>
          </w:tcPr>
          <w:p w14:paraId="0773B813"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shd w:val="clear" w:color="auto" w:fill="F2F2F2"/>
          </w:tcPr>
          <w:p w14:paraId="0773B814" w14:textId="31B46083" w:rsidR="005676F7" w:rsidRPr="0058349C" w:rsidRDefault="005676F7" w:rsidP="0057233D">
            <w:pPr>
              <w:spacing w:after="0" w:line="240" w:lineRule="auto"/>
              <w:rPr>
                <w:rFonts w:ascii="Garamond" w:eastAsia="Arial" w:hAnsi="Garamond" w:cs="Segoe UI"/>
                <w:b/>
                <w:bCs/>
                <w:sz w:val="18"/>
                <w:szCs w:val="18"/>
                <w:lang w:val="sq-AL"/>
              </w:rPr>
            </w:pPr>
            <w:r w:rsidRPr="0058349C">
              <w:rPr>
                <w:rFonts w:ascii="Garamond" w:hAnsi="Garamond"/>
                <w:b/>
                <w:bCs/>
                <w:sz w:val="18"/>
                <w:szCs w:val="18"/>
                <w:lang w:val="sq-AL"/>
              </w:rPr>
              <w:t>AT për hartimin e Kodit të Praktikave të Mira Bujqësore për parandalimin dhe reduktimin e ndotjes me nitrate të shkaktuar nga bujqësia dhe për hartimin e Kodit të Praktikave të Mira Bujqësore për Reduktimin e Emetimeve të Amoniakut.</w:t>
            </w:r>
          </w:p>
        </w:tc>
        <w:tc>
          <w:tcPr>
            <w:tcW w:w="2526" w:type="dxa"/>
            <w:shd w:val="clear" w:color="auto" w:fill="F2F2F2"/>
          </w:tcPr>
          <w:p w14:paraId="0773B815" w14:textId="5372C9E5"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Niveli i gatishmërisë institucionale për të futur n</w:t>
            </w:r>
            <w:r w:rsidRPr="0058349C">
              <w:rPr>
                <w:rFonts w:ascii="Garamond" w:eastAsia="Arial Narrow" w:hAnsi="Garamond"/>
                <w:sz w:val="18"/>
                <w:szCs w:val="18"/>
                <w:lang w:val="sq-AL"/>
              </w:rPr>
              <w:t xml:space="preserve">ë zbatim </w:t>
            </w:r>
            <w:r w:rsidRPr="0058349C">
              <w:rPr>
                <w:rFonts w:ascii="Garamond" w:eastAsia="Arial" w:hAnsi="Garamond" w:cs="Segoe UI"/>
                <w:sz w:val="18"/>
                <w:szCs w:val="18"/>
                <w:lang w:val="sq-AL"/>
              </w:rPr>
              <w:t>Kodin e Praktikave të Mira Bujqësore për parandalimin dhe reduktimin e ndotjes me nitrate të shkaktuar nga bujqësia dhe për hartimin e Kodit të Praktikave të Mira Bujqësore për Reduktimin e Emetimeve të Amoniakut</w:t>
            </w:r>
            <w:r w:rsidR="00CF7694" w:rsidRPr="0058349C">
              <w:rPr>
                <w:rFonts w:ascii="Garamond" w:eastAsia="Arial" w:hAnsi="Garamond" w:cs="Segoe UI"/>
                <w:sz w:val="18"/>
                <w:szCs w:val="18"/>
                <w:lang w:val="sq-AL"/>
              </w:rPr>
              <w:t xml:space="preserve"> </w:t>
            </w:r>
            <w:r w:rsidRPr="0058349C">
              <w:rPr>
                <w:rFonts w:ascii="Garamond" w:eastAsia="Arial" w:hAnsi="Garamond" w:cs="Segoe UI"/>
                <w:sz w:val="18"/>
                <w:szCs w:val="18"/>
                <w:lang w:val="sq-AL"/>
              </w:rPr>
              <w:t>do t</w:t>
            </w:r>
            <w:r w:rsidRPr="0058349C">
              <w:rPr>
                <w:rFonts w:ascii="Garamond" w:eastAsia="Arial Narrow" w:hAnsi="Garamond"/>
                <w:sz w:val="18"/>
                <w:szCs w:val="18"/>
                <w:lang w:val="sq-AL"/>
              </w:rPr>
              <w:t>ë arrijë në 50% deri në vitin 2024 dhe në 100% deri në vitin 2027.</w:t>
            </w:r>
          </w:p>
        </w:tc>
        <w:tc>
          <w:tcPr>
            <w:tcW w:w="1419" w:type="dxa"/>
            <w:shd w:val="clear" w:color="auto" w:fill="F2F2F2"/>
            <w:vAlign w:val="center"/>
          </w:tcPr>
          <w:p w14:paraId="0773B816" w14:textId="77777777" w:rsidR="005676F7" w:rsidRPr="0058349C" w:rsidRDefault="005676F7"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817"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818" w14:textId="77777777" w:rsidR="005676F7" w:rsidRPr="0058349C" w:rsidRDefault="005676F7" w:rsidP="005676F7">
            <w:pPr>
              <w:pStyle w:val="ListParagraph"/>
              <w:numPr>
                <w:ilvl w:val="0"/>
                <w:numId w:val="24"/>
              </w:numPr>
              <w:overflowPunct w:val="0"/>
              <w:autoSpaceDE w:val="0"/>
              <w:autoSpaceDN w:val="0"/>
              <w:adjustRightInd w:val="0"/>
              <w:spacing w:after="0" w:line="240" w:lineRule="auto"/>
              <w:jc w:val="center"/>
              <w:textAlignment w:val="baseline"/>
              <w:rPr>
                <w:rFonts w:ascii="Garamond" w:hAnsi="Garamond"/>
                <w:sz w:val="18"/>
                <w:szCs w:val="18"/>
                <w:lang w:val="sq-AL"/>
              </w:rPr>
            </w:pPr>
          </w:p>
        </w:tc>
        <w:tc>
          <w:tcPr>
            <w:tcW w:w="1289" w:type="dxa"/>
            <w:shd w:val="clear" w:color="auto" w:fill="F2F2F2"/>
            <w:vAlign w:val="center"/>
          </w:tcPr>
          <w:p w14:paraId="0773B819"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N:50,000</w:t>
            </w:r>
          </w:p>
        </w:tc>
        <w:tc>
          <w:tcPr>
            <w:tcW w:w="1134" w:type="dxa"/>
            <w:shd w:val="clear" w:color="auto" w:fill="E5F7CA"/>
            <w:vAlign w:val="center"/>
          </w:tcPr>
          <w:p w14:paraId="0773B81A"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w:t>
            </w:r>
          </w:p>
        </w:tc>
        <w:tc>
          <w:tcPr>
            <w:tcW w:w="1275" w:type="dxa"/>
            <w:gridSpan w:val="2"/>
            <w:shd w:val="clear" w:color="auto" w:fill="E5F7CA"/>
            <w:vAlign w:val="center"/>
          </w:tcPr>
          <w:p w14:paraId="0773B81B"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5676F7" w:rsidRPr="0058349C" w14:paraId="0773B826" w14:textId="77777777" w:rsidTr="00CD4A33">
        <w:trPr>
          <w:gridAfter w:val="1"/>
          <w:wAfter w:w="8" w:type="dxa"/>
          <w:trHeight w:val="20"/>
        </w:trPr>
        <w:tc>
          <w:tcPr>
            <w:tcW w:w="384" w:type="dxa"/>
            <w:shd w:val="clear" w:color="auto" w:fill="F2F2F2"/>
          </w:tcPr>
          <w:p w14:paraId="0773B81D"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shd w:val="clear" w:color="auto" w:fill="F2F2F2"/>
          </w:tcPr>
          <w:p w14:paraId="0773B81E" w14:textId="77777777" w:rsidR="005676F7" w:rsidRPr="0058349C" w:rsidRDefault="005676F7" w:rsidP="00CF7694">
            <w:pPr>
              <w:spacing w:after="0" w:line="240" w:lineRule="auto"/>
              <w:rPr>
                <w:rFonts w:ascii="Garamond" w:eastAsia="Arial" w:hAnsi="Garamond" w:cs="Segoe UI"/>
                <w:b/>
                <w:bCs/>
                <w:sz w:val="18"/>
                <w:szCs w:val="18"/>
                <w:lang w:val="sq-AL"/>
              </w:rPr>
            </w:pPr>
            <w:r w:rsidRPr="0058349C">
              <w:rPr>
                <w:rFonts w:ascii="Garamond" w:hAnsi="Garamond"/>
                <w:b/>
                <w:bCs/>
                <w:sz w:val="18"/>
                <w:szCs w:val="18"/>
                <w:lang w:val="sq-AL"/>
              </w:rPr>
              <w:t>AT për konsolidimin e kapaciteteve institucionale për menaxhimin e sistemeve të ujitjes dhe kullimit</w:t>
            </w:r>
          </w:p>
        </w:tc>
        <w:tc>
          <w:tcPr>
            <w:tcW w:w="2526" w:type="dxa"/>
            <w:shd w:val="clear" w:color="auto" w:fill="F2F2F2"/>
          </w:tcPr>
          <w:p w14:paraId="0773B81F" w14:textId="0386B9B6"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Numri i stafit të MBZHR-së, bashkive dhe shoqatave të përdoruesve të ujit të trajnuar për transferimin</w:t>
            </w:r>
            <w:r w:rsidR="0057233D">
              <w:rPr>
                <w:rFonts w:ascii="Garamond" w:eastAsia="Arial" w:hAnsi="Garamond" w:cs="Segoe UI"/>
                <w:sz w:val="18"/>
                <w:szCs w:val="18"/>
                <w:lang w:val="sq-AL"/>
              </w:rPr>
              <w:t xml:space="preserve"> e të drejtave të përdorimit te</w:t>
            </w:r>
            <w:r w:rsidRPr="0058349C">
              <w:rPr>
                <w:rFonts w:ascii="Garamond" w:eastAsia="Arial" w:hAnsi="Garamond" w:cs="Segoe UI"/>
                <w:sz w:val="18"/>
                <w:szCs w:val="18"/>
                <w:lang w:val="sq-AL"/>
              </w:rPr>
              <w:t xml:space="preserve"> shoqatat e përdoruesve të ujit për kanalet dytësore dhe terciare si dhe për rehabilitimin dhe menaxhimin e sistemeve të ujitjes dhe kullimit</w:t>
            </w:r>
            <w:r w:rsidR="00CF7694" w:rsidRPr="0058349C">
              <w:rPr>
                <w:rFonts w:ascii="Garamond" w:eastAsia="Arial" w:hAnsi="Garamond" w:cs="Segoe UI"/>
                <w:sz w:val="18"/>
                <w:szCs w:val="18"/>
                <w:lang w:val="sq-AL"/>
              </w:rPr>
              <w:t xml:space="preserve"> </w:t>
            </w:r>
            <w:r w:rsidRPr="0058349C">
              <w:rPr>
                <w:rFonts w:ascii="Garamond" w:eastAsia="Arial" w:hAnsi="Garamond" w:cs="Segoe UI"/>
                <w:sz w:val="18"/>
                <w:szCs w:val="18"/>
                <w:lang w:val="sq-AL"/>
              </w:rPr>
              <w:t>do t</w:t>
            </w:r>
            <w:r w:rsidRPr="0058349C">
              <w:rPr>
                <w:rFonts w:ascii="Garamond" w:eastAsia="Arial Narrow" w:hAnsi="Garamond"/>
                <w:sz w:val="18"/>
                <w:szCs w:val="18"/>
                <w:lang w:val="sq-AL"/>
              </w:rPr>
              <w:t xml:space="preserve">ë arrijë në 50 deri në vitin 2024 dhe në 100 deri në vitin </w:t>
            </w:r>
            <w:r w:rsidRPr="0058349C">
              <w:rPr>
                <w:rFonts w:ascii="Garamond" w:eastAsia="Arial Narrow" w:hAnsi="Garamond"/>
                <w:sz w:val="18"/>
                <w:szCs w:val="18"/>
                <w:lang w:val="sq-AL"/>
              </w:rPr>
              <w:lastRenderedPageBreak/>
              <w:t>2027.</w:t>
            </w:r>
          </w:p>
        </w:tc>
        <w:tc>
          <w:tcPr>
            <w:tcW w:w="1419" w:type="dxa"/>
            <w:shd w:val="clear" w:color="auto" w:fill="F2F2F2"/>
            <w:vAlign w:val="center"/>
          </w:tcPr>
          <w:p w14:paraId="0773B820" w14:textId="77777777" w:rsidR="005676F7" w:rsidRPr="0058349C" w:rsidRDefault="005676F7"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821"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822" w14:textId="77777777" w:rsidR="005676F7" w:rsidRPr="0058349C" w:rsidRDefault="005676F7" w:rsidP="005676F7">
            <w:pPr>
              <w:pStyle w:val="ListParagraph"/>
              <w:numPr>
                <w:ilvl w:val="0"/>
                <w:numId w:val="24"/>
              </w:numPr>
              <w:overflowPunct w:val="0"/>
              <w:autoSpaceDE w:val="0"/>
              <w:autoSpaceDN w:val="0"/>
              <w:adjustRightInd w:val="0"/>
              <w:spacing w:after="0" w:line="240" w:lineRule="auto"/>
              <w:jc w:val="center"/>
              <w:textAlignment w:val="baseline"/>
              <w:rPr>
                <w:rFonts w:ascii="Garamond" w:hAnsi="Garamond"/>
                <w:sz w:val="18"/>
                <w:szCs w:val="18"/>
                <w:lang w:val="sq-AL"/>
              </w:rPr>
            </w:pPr>
          </w:p>
        </w:tc>
        <w:tc>
          <w:tcPr>
            <w:tcW w:w="1289" w:type="dxa"/>
            <w:shd w:val="clear" w:color="auto" w:fill="F2F2F2"/>
            <w:vAlign w:val="center"/>
          </w:tcPr>
          <w:p w14:paraId="0773B823"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N:50,000</w:t>
            </w:r>
          </w:p>
        </w:tc>
        <w:tc>
          <w:tcPr>
            <w:tcW w:w="1134" w:type="dxa"/>
            <w:shd w:val="clear" w:color="auto" w:fill="E5F7CA"/>
            <w:vAlign w:val="center"/>
          </w:tcPr>
          <w:p w14:paraId="0773B824"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w:t>
            </w:r>
          </w:p>
        </w:tc>
        <w:tc>
          <w:tcPr>
            <w:tcW w:w="1275" w:type="dxa"/>
            <w:gridSpan w:val="2"/>
            <w:shd w:val="clear" w:color="auto" w:fill="E5F7CA"/>
            <w:vAlign w:val="center"/>
          </w:tcPr>
          <w:p w14:paraId="0773B825"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5676F7" w:rsidRPr="0058349C" w14:paraId="0773B830" w14:textId="77777777" w:rsidTr="00CD4A33">
        <w:trPr>
          <w:gridAfter w:val="1"/>
          <w:wAfter w:w="8" w:type="dxa"/>
          <w:trHeight w:val="20"/>
        </w:trPr>
        <w:tc>
          <w:tcPr>
            <w:tcW w:w="384" w:type="dxa"/>
            <w:vMerge w:val="restart"/>
            <w:shd w:val="clear" w:color="auto" w:fill="F2F2F2"/>
          </w:tcPr>
          <w:p w14:paraId="0773B827"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val="restart"/>
            <w:shd w:val="clear" w:color="auto" w:fill="F2F2F2"/>
          </w:tcPr>
          <w:p w14:paraId="0773B828" w14:textId="77777777" w:rsidR="005676F7" w:rsidRPr="0058349C" w:rsidRDefault="005676F7" w:rsidP="00CF7694">
            <w:pPr>
              <w:spacing w:after="0" w:line="240" w:lineRule="auto"/>
              <w:rPr>
                <w:rFonts w:ascii="Garamond" w:eastAsia="Arial" w:hAnsi="Garamond" w:cs="Segoe UI"/>
                <w:b/>
                <w:bCs/>
                <w:sz w:val="18"/>
                <w:szCs w:val="18"/>
                <w:lang w:val="sq-AL"/>
              </w:rPr>
            </w:pPr>
            <w:r w:rsidRPr="0058349C">
              <w:rPr>
                <w:rFonts w:ascii="Garamond" w:hAnsi="Garamond"/>
                <w:b/>
                <w:bCs/>
                <w:sz w:val="18"/>
                <w:szCs w:val="18"/>
                <w:lang w:val="sq-AL"/>
              </w:rPr>
              <w:t>AT për marketing të drejtpërdrejtë dhe strukturimin e</w:t>
            </w:r>
            <w:r w:rsidRPr="0058349C">
              <w:rPr>
                <w:rFonts w:ascii="Garamond" w:eastAsia="Arial" w:hAnsi="Garamond" w:cs="Segoe UI"/>
                <w:sz w:val="18"/>
                <w:szCs w:val="18"/>
                <w:lang w:val="sq-AL"/>
              </w:rPr>
              <w:t xml:space="preserve"> </w:t>
            </w:r>
            <w:r w:rsidRPr="0058349C">
              <w:rPr>
                <w:rFonts w:ascii="Garamond" w:hAnsi="Garamond"/>
                <w:b/>
                <w:bCs/>
                <w:sz w:val="18"/>
                <w:szCs w:val="18"/>
                <w:lang w:val="sq-AL"/>
              </w:rPr>
              <w:t>zinxhirëve të shkurtër të furnizimit</w:t>
            </w:r>
          </w:p>
        </w:tc>
        <w:tc>
          <w:tcPr>
            <w:tcW w:w="2526" w:type="dxa"/>
            <w:shd w:val="clear" w:color="auto" w:fill="F2F2F2"/>
          </w:tcPr>
          <w:p w14:paraId="0773B829" w14:textId="7278D32A"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hAnsi="Garamond"/>
                <w:sz w:val="18"/>
                <w:szCs w:val="18"/>
                <w:lang w:val="sq-AL"/>
              </w:rPr>
              <w:t>Niveli i p</w:t>
            </w:r>
            <w:r w:rsidRPr="0058349C">
              <w:rPr>
                <w:rFonts w:ascii="Garamond" w:eastAsia="Arial" w:hAnsi="Garamond" w:cs="Segoe UI"/>
                <w:sz w:val="18"/>
                <w:szCs w:val="18"/>
                <w:lang w:val="sq-AL"/>
              </w:rPr>
              <w:t xml:space="preserve">ërshtatjes dhe </w:t>
            </w:r>
            <w:r w:rsidR="00320CB6">
              <w:rPr>
                <w:rFonts w:ascii="Garamond" w:eastAsia="Arial" w:hAnsi="Garamond" w:cs="Segoe UI"/>
                <w:sz w:val="18"/>
                <w:szCs w:val="18"/>
                <w:lang w:val="sq-AL"/>
              </w:rPr>
              <w:t xml:space="preserve">i </w:t>
            </w:r>
            <w:r w:rsidRPr="0058349C">
              <w:rPr>
                <w:rFonts w:ascii="Garamond" w:eastAsia="Arial" w:hAnsi="Garamond" w:cs="Segoe UI"/>
                <w:sz w:val="18"/>
                <w:szCs w:val="18"/>
                <w:lang w:val="sq-AL"/>
              </w:rPr>
              <w:t>vënies në zbatim</w:t>
            </w:r>
            <w:r w:rsidR="00CF7694" w:rsidRPr="0058349C">
              <w:rPr>
                <w:rFonts w:ascii="Garamond" w:eastAsia="Arial" w:hAnsi="Garamond" w:cs="Segoe UI"/>
                <w:sz w:val="18"/>
                <w:szCs w:val="18"/>
                <w:lang w:val="sq-AL"/>
              </w:rPr>
              <w:t xml:space="preserve"> </w:t>
            </w:r>
            <w:r w:rsidRPr="0058349C">
              <w:rPr>
                <w:rFonts w:ascii="Garamond" w:hAnsi="Garamond"/>
                <w:sz w:val="18"/>
                <w:szCs w:val="18"/>
                <w:lang w:val="sq-AL"/>
              </w:rPr>
              <w:t>t</w:t>
            </w:r>
            <w:r w:rsidRPr="0058349C">
              <w:rPr>
                <w:rFonts w:ascii="Garamond" w:eastAsia="Arial" w:hAnsi="Garamond" w:cs="Segoe UI"/>
                <w:sz w:val="18"/>
                <w:szCs w:val="18"/>
                <w:lang w:val="sq-AL"/>
              </w:rPr>
              <w:t>ë</w:t>
            </w:r>
            <w:r w:rsidRPr="0058349C">
              <w:rPr>
                <w:rFonts w:ascii="Garamond" w:hAnsi="Garamond"/>
                <w:sz w:val="18"/>
                <w:szCs w:val="18"/>
                <w:lang w:val="sq-AL"/>
              </w:rPr>
              <w:t xml:space="preserve"> </w:t>
            </w:r>
            <w:r w:rsidR="00320CB6" w:rsidRPr="0058349C">
              <w:rPr>
                <w:rFonts w:ascii="Garamond" w:hAnsi="Garamond"/>
                <w:sz w:val="18"/>
                <w:szCs w:val="18"/>
                <w:lang w:val="sq-AL"/>
              </w:rPr>
              <w:t>udhëzimit n</w:t>
            </w:r>
            <w:r w:rsidRPr="0058349C">
              <w:rPr>
                <w:rFonts w:ascii="Garamond" w:hAnsi="Garamond"/>
                <w:sz w:val="18"/>
                <w:szCs w:val="18"/>
                <w:lang w:val="sq-AL"/>
              </w:rPr>
              <w:t>r. 5</w:t>
            </w:r>
            <w:r w:rsidR="00320CB6">
              <w:rPr>
                <w:rFonts w:ascii="Garamond" w:hAnsi="Garamond"/>
                <w:sz w:val="18"/>
                <w:szCs w:val="18"/>
                <w:lang w:val="sq-AL"/>
              </w:rPr>
              <w:t>,</w:t>
            </w:r>
            <w:r w:rsidRPr="0058349C">
              <w:rPr>
                <w:rFonts w:ascii="Garamond" w:hAnsi="Garamond"/>
                <w:sz w:val="18"/>
                <w:szCs w:val="18"/>
                <w:lang w:val="sq-AL"/>
              </w:rPr>
              <w:t xml:space="preserve"> datë 4.5.2018 të MBZHR</w:t>
            </w:r>
            <w:r w:rsidR="00320CB6">
              <w:rPr>
                <w:rFonts w:ascii="Garamond" w:hAnsi="Garamond"/>
                <w:sz w:val="18"/>
                <w:szCs w:val="18"/>
                <w:lang w:val="sq-AL"/>
              </w:rPr>
              <w:t>-së,</w:t>
            </w:r>
            <w:r w:rsidRPr="0058349C">
              <w:rPr>
                <w:rFonts w:ascii="Garamond" w:hAnsi="Garamond"/>
                <w:sz w:val="18"/>
                <w:szCs w:val="18"/>
                <w:lang w:val="sq-AL"/>
              </w:rPr>
              <w:t xml:space="preserve"> q</w:t>
            </w:r>
            <w:r w:rsidRPr="0058349C">
              <w:rPr>
                <w:rFonts w:ascii="Garamond" w:eastAsia="Arial" w:hAnsi="Garamond" w:cs="Segoe UI"/>
                <w:sz w:val="18"/>
                <w:szCs w:val="18"/>
                <w:lang w:val="sq-AL"/>
              </w:rPr>
              <w:t xml:space="preserve">ë </w:t>
            </w:r>
            <w:r w:rsidRPr="0058349C">
              <w:rPr>
                <w:rFonts w:ascii="Garamond" w:hAnsi="Garamond"/>
                <w:sz w:val="18"/>
                <w:szCs w:val="18"/>
                <w:lang w:val="sq-AL"/>
              </w:rPr>
              <w:t>mb</w:t>
            </w:r>
            <w:r w:rsidRPr="0058349C">
              <w:rPr>
                <w:rFonts w:ascii="Garamond" w:eastAsia="Arial" w:hAnsi="Garamond" w:cs="Segoe UI"/>
                <w:sz w:val="18"/>
                <w:szCs w:val="18"/>
                <w:lang w:val="sq-AL"/>
              </w:rPr>
              <w:t>ë</w:t>
            </w:r>
            <w:r w:rsidRPr="0058349C">
              <w:rPr>
                <w:rFonts w:ascii="Garamond" w:hAnsi="Garamond"/>
                <w:sz w:val="18"/>
                <w:szCs w:val="18"/>
                <w:lang w:val="sq-AL"/>
              </w:rPr>
              <w:t>shtet regjistrimin</w:t>
            </w:r>
            <w:r w:rsidR="00CF7694" w:rsidRPr="0058349C">
              <w:rPr>
                <w:rFonts w:ascii="Garamond" w:hAnsi="Garamond"/>
                <w:sz w:val="18"/>
                <w:szCs w:val="18"/>
                <w:lang w:val="sq-AL"/>
              </w:rPr>
              <w:t xml:space="preserve"> </w:t>
            </w:r>
            <w:r w:rsidRPr="0058349C">
              <w:rPr>
                <w:rFonts w:ascii="Garamond" w:hAnsi="Garamond"/>
                <w:sz w:val="18"/>
                <w:szCs w:val="18"/>
                <w:lang w:val="sq-AL"/>
              </w:rPr>
              <w:t>e prodhuesve të vegjël ushqimorë, produkte ushqimore tradicionale</w:t>
            </w:r>
            <w:r w:rsidRPr="0058349C">
              <w:rPr>
                <w:rFonts w:ascii="Garamond" w:eastAsia="Arial" w:hAnsi="Garamond" w:cs="Segoe UI"/>
                <w:sz w:val="18"/>
                <w:szCs w:val="18"/>
                <w:lang w:val="sq-AL"/>
              </w:rPr>
              <w:t xml:space="preserve"> do t</w:t>
            </w:r>
            <w:r w:rsidRPr="0058349C">
              <w:rPr>
                <w:rFonts w:ascii="Garamond" w:eastAsia="Arial Narrow" w:hAnsi="Garamond"/>
                <w:sz w:val="18"/>
                <w:szCs w:val="18"/>
                <w:lang w:val="sq-AL"/>
              </w:rPr>
              <w:t>ë arrijë në 100% deri në vitin 2024.</w:t>
            </w:r>
            <w:r w:rsidRPr="0058349C">
              <w:rPr>
                <w:rFonts w:ascii="Garamond" w:hAnsi="Garamond"/>
                <w:sz w:val="18"/>
                <w:szCs w:val="18"/>
                <w:lang w:val="sq-AL"/>
              </w:rPr>
              <w:t xml:space="preserve"> </w:t>
            </w:r>
          </w:p>
        </w:tc>
        <w:tc>
          <w:tcPr>
            <w:tcW w:w="1419" w:type="dxa"/>
            <w:shd w:val="clear" w:color="auto" w:fill="F2F2F2"/>
            <w:vAlign w:val="center"/>
          </w:tcPr>
          <w:p w14:paraId="0773B82A"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(TAIEX ose projekte të tjera të vogla AT)</w:t>
            </w:r>
          </w:p>
        </w:tc>
        <w:tc>
          <w:tcPr>
            <w:tcW w:w="1288" w:type="dxa"/>
            <w:shd w:val="clear" w:color="auto" w:fill="F2F2F2"/>
            <w:vAlign w:val="center"/>
          </w:tcPr>
          <w:p w14:paraId="0773B82B"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82C"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82D"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82E"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c>
          <w:tcPr>
            <w:tcW w:w="1275" w:type="dxa"/>
            <w:gridSpan w:val="2"/>
            <w:shd w:val="clear" w:color="auto" w:fill="E5F7CA"/>
            <w:vAlign w:val="center"/>
          </w:tcPr>
          <w:p w14:paraId="0773B82F"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5676F7" w:rsidRPr="0058349C" w14:paraId="0773B83A" w14:textId="77777777" w:rsidTr="00CD4A33">
        <w:trPr>
          <w:gridAfter w:val="1"/>
          <w:wAfter w:w="8" w:type="dxa"/>
          <w:trHeight w:val="20"/>
        </w:trPr>
        <w:tc>
          <w:tcPr>
            <w:tcW w:w="384" w:type="dxa"/>
            <w:vMerge/>
            <w:shd w:val="clear" w:color="auto" w:fill="F2F2F2"/>
          </w:tcPr>
          <w:p w14:paraId="0773B831"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F2F2F2"/>
          </w:tcPr>
          <w:p w14:paraId="0773B832"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833" w14:textId="12D9CFD1"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 xml:space="preserve">Niveli i përfshirjes në legjislacionin kombëtar të përkufizimeve të mëposhtme fermer </w:t>
            </w:r>
            <w:r w:rsidR="00797859">
              <w:rPr>
                <w:rFonts w:ascii="Garamond" w:eastAsia="Arial" w:hAnsi="Garamond" w:cs="Segoe UI"/>
                <w:sz w:val="18"/>
                <w:szCs w:val="18"/>
                <w:lang w:val="sq-AL"/>
              </w:rPr>
              <w:t>/</w:t>
            </w:r>
            <w:r w:rsidRPr="0058349C">
              <w:rPr>
                <w:rFonts w:ascii="Garamond" w:eastAsia="Arial" w:hAnsi="Garamond" w:cs="Segoe UI"/>
                <w:sz w:val="18"/>
                <w:szCs w:val="18"/>
                <w:lang w:val="sq-AL"/>
              </w:rPr>
              <w:t xml:space="preserve">fermer i vogël </w:t>
            </w:r>
            <w:r w:rsidR="00797859">
              <w:rPr>
                <w:rFonts w:ascii="Garamond" w:eastAsia="Arial" w:hAnsi="Garamond" w:cs="Segoe UI"/>
                <w:sz w:val="18"/>
                <w:szCs w:val="18"/>
                <w:lang w:val="sq-AL"/>
              </w:rPr>
              <w:t>/</w:t>
            </w:r>
            <w:r w:rsidRPr="0058349C">
              <w:rPr>
                <w:rFonts w:ascii="Garamond" w:eastAsia="Arial" w:hAnsi="Garamond" w:cs="Segoe UI"/>
                <w:sz w:val="18"/>
                <w:szCs w:val="18"/>
                <w:lang w:val="sq-AL"/>
              </w:rPr>
              <w:t xml:space="preserve">fermer gjysmë komercial </w:t>
            </w:r>
            <w:r w:rsidR="00797859">
              <w:rPr>
                <w:rFonts w:ascii="Garamond" w:eastAsia="Arial" w:hAnsi="Garamond" w:cs="Segoe UI"/>
                <w:sz w:val="18"/>
                <w:szCs w:val="18"/>
                <w:lang w:val="sq-AL"/>
              </w:rPr>
              <w:t>/</w:t>
            </w:r>
            <w:r w:rsidRPr="0058349C">
              <w:rPr>
                <w:rFonts w:ascii="Garamond" w:eastAsia="Arial" w:hAnsi="Garamond" w:cs="Segoe UI"/>
                <w:sz w:val="18"/>
                <w:szCs w:val="18"/>
                <w:lang w:val="sq-AL"/>
              </w:rPr>
              <w:t>komercial (ose fermer i madh), shitës direkt dhe zinxhir i shkurtër furnizimi</w:t>
            </w:r>
            <w:r w:rsidR="00CF7694" w:rsidRPr="0058349C">
              <w:rPr>
                <w:rFonts w:ascii="Garamond" w:eastAsia="Arial" w:hAnsi="Garamond" w:cs="Segoe UI"/>
                <w:sz w:val="18"/>
                <w:szCs w:val="18"/>
                <w:lang w:val="sq-AL"/>
              </w:rPr>
              <w:t xml:space="preserve"> </w:t>
            </w:r>
            <w:r w:rsidRPr="0058349C">
              <w:rPr>
                <w:rFonts w:ascii="Garamond" w:eastAsia="Arial" w:hAnsi="Garamond" w:cs="Segoe UI"/>
                <w:sz w:val="18"/>
                <w:szCs w:val="18"/>
                <w:lang w:val="sq-AL"/>
              </w:rPr>
              <w:t>do t</w:t>
            </w:r>
            <w:r w:rsidRPr="0058349C">
              <w:rPr>
                <w:rFonts w:ascii="Garamond" w:eastAsia="Arial Narrow" w:hAnsi="Garamond"/>
                <w:sz w:val="18"/>
                <w:szCs w:val="18"/>
                <w:lang w:val="sq-AL"/>
              </w:rPr>
              <w:t>ë b</w:t>
            </w:r>
            <w:r w:rsidRPr="0058349C">
              <w:rPr>
                <w:rFonts w:ascii="Garamond" w:eastAsia="Arial" w:hAnsi="Garamond" w:cs="Segoe UI"/>
                <w:sz w:val="18"/>
                <w:szCs w:val="18"/>
                <w:lang w:val="sq-AL"/>
              </w:rPr>
              <w:t>ëhet në masën</w:t>
            </w:r>
            <w:r w:rsidRPr="0058349C">
              <w:rPr>
                <w:rFonts w:ascii="Garamond" w:eastAsia="Arial Narrow" w:hAnsi="Garamond"/>
                <w:sz w:val="18"/>
                <w:szCs w:val="18"/>
                <w:lang w:val="sq-AL"/>
              </w:rPr>
              <w:t xml:space="preserve"> 100% deri në vitin 2024.</w:t>
            </w:r>
          </w:p>
        </w:tc>
        <w:tc>
          <w:tcPr>
            <w:tcW w:w="1419" w:type="dxa"/>
            <w:shd w:val="clear" w:color="auto" w:fill="F2F2F2"/>
            <w:vAlign w:val="center"/>
          </w:tcPr>
          <w:p w14:paraId="0773B834"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 xml:space="preserve"> (TAIEX ose projekte të tjera të vogla AT)</w:t>
            </w:r>
          </w:p>
        </w:tc>
        <w:tc>
          <w:tcPr>
            <w:tcW w:w="1288" w:type="dxa"/>
            <w:shd w:val="clear" w:color="auto" w:fill="F2F2F2"/>
            <w:vAlign w:val="center"/>
          </w:tcPr>
          <w:p w14:paraId="0773B835"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836"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837"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838"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c>
          <w:tcPr>
            <w:tcW w:w="1275" w:type="dxa"/>
            <w:gridSpan w:val="2"/>
            <w:shd w:val="clear" w:color="auto" w:fill="E5F7CA"/>
            <w:vAlign w:val="center"/>
          </w:tcPr>
          <w:p w14:paraId="0773B839"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5676F7" w:rsidRPr="0058349C" w14:paraId="0773B844" w14:textId="77777777" w:rsidTr="00CD4A33">
        <w:trPr>
          <w:gridAfter w:val="1"/>
          <w:wAfter w:w="8" w:type="dxa"/>
          <w:trHeight w:val="20"/>
        </w:trPr>
        <w:tc>
          <w:tcPr>
            <w:tcW w:w="384" w:type="dxa"/>
            <w:vMerge/>
            <w:shd w:val="clear" w:color="auto" w:fill="auto"/>
          </w:tcPr>
          <w:p w14:paraId="0773B83B"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auto"/>
          </w:tcPr>
          <w:p w14:paraId="0773B83C"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83D" w14:textId="271622BF" w:rsidR="005676F7" w:rsidRPr="0058349C" w:rsidRDefault="005676F7"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Niveli i gatishmërisë</w:t>
            </w:r>
            <w:r w:rsidR="00CF7694" w:rsidRPr="0058349C">
              <w:rPr>
                <w:rFonts w:ascii="Garamond" w:eastAsia="Arial" w:hAnsi="Garamond" w:cs="Segoe UI"/>
                <w:sz w:val="18"/>
                <w:szCs w:val="18"/>
                <w:lang w:val="sq-AL"/>
              </w:rPr>
              <w:t xml:space="preserve"> </w:t>
            </w:r>
            <w:r w:rsidRPr="0058349C">
              <w:rPr>
                <w:rFonts w:ascii="Garamond" w:eastAsia="Arial" w:hAnsi="Garamond" w:cs="Segoe UI"/>
                <w:sz w:val="18"/>
                <w:szCs w:val="18"/>
                <w:lang w:val="sq-AL"/>
              </w:rPr>
              <w:t xml:space="preserve">teknike dhe institucionale për të përgatitur, publikuar dhe promovuar </w:t>
            </w:r>
            <w:r w:rsidR="00E9489E" w:rsidRPr="0058349C">
              <w:rPr>
                <w:rFonts w:ascii="Garamond" w:eastAsia="Arial" w:hAnsi="Garamond" w:cs="Segoe UI"/>
                <w:sz w:val="18"/>
                <w:szCs w:val="18"/>
                <w:lang w:val="sq-AL"/>
              </w:rPr>
              <w:t>udhëzime të r</w:t>
            </w:r>
            <w:r w:rsidRPr="0058349C">
              <w:rPr>
                <w:rFonts w:ascii="Garamond" w:eastAsia="Arial" w:hAnsi="Garamond" w:cs="Segoe UI"/>
                <w:sz w:val="18"/>
                <w:szCs w:val="18"/>
                <w:lang w:val="sq-AL"/>
              </w:rPr>
              <w:t>eja për Praktikat e Mira të Higjienës Ushqimore dhe kryerjen e vetëkontrollit nga fermerët dhe përpunuesit artizanal të ushqimit të regjistruar në MBZHR,</w:t>
            </w:r>
            <w:r w:rsidR="00CF7694" w:rsidRPr="0058349C">
              <w:rPr>
                <w:rFonts w:ascii="Garamond" w:eastAsia="Arial" w:hAnsi="Garamond" w:cs="Segoe UI"/>
                <w:sz w:val="18"/>
                <w:szCs w:val="18"/>
                <w:lang w:val="sq-AL"/>
              </w:rPr>
              <w:t xml:space="preserve"> </w:t>
            </w:r>
            <w:r w:rsidRPr="0058349C">
              <w:rPr>
                <w:rFonts w:ascii="Garamond" w:eastAsia="Arial" w:hAnsi="Garamond" w:cs="Segoe UI"/>
                <w:sz w:val="18"/>
                <w:szCs w:val="18"/>
                <w:lang w:val="sq-AL"/>
              </w:rPr>
              <w:t>udhëzues dhe material trajnimi për rritjen e njohurive dhe aftësive të</w:t>
            </w:r>
            <w:r w:rsidR="00CF7694" w:rsidRPr="0058349C">
              <w:rPr>
                <w:rFonts w:ascii="Garamond" w:eastAsia="Arial" w:hAnsi="Garamond" w:cs="Segoe UI"/>
                <w:sz w:val="18"/>
                <w:szCs w:val="18"/>
                <w:lang w:val="sq-AL"/>
              </w:rPr>
              <w:t xml:space="preserve"> </w:t>
            </w:r>
            <w:r w:rsidRPr="0058349C">
              <w:rPr>
                <w:rFonts w:ascii="Garamond" w:eastAsia="Arial" w:hAnsi="Garamond" w:cs="Segoe UI"/>
                <w:sz w:val="18"/>
                <w:szCs w:val="18"/>
                <w:lang w:val="sq-AL"/>
              </w:rPr>
              <w:t>prodhuesve të vegjël të ushqimit</w:t>
            </w:r>
            <w:r w:rsidR="00CF7694" w:rsidRPr="0058349C">
              <w:rPr>
                <w:rFonts w:ascii="Garamond" w:eastAsia="Arial" w:hAnsi="Garamond" w:cs="Segoe UI"/>
                <w:sz w:val="18"/>
                <w:szCs w:val="18"/>
                <w:lang w:val="sq-AL"/>
              </w:rPr>
              <w:t xml:space="preserve"> </w:t>
            </w:r>
            <w:r w:rsidRPr="0058349C">
              <w:rPr>
                <w:rFonts w:ascii="Garamond" w:eastAsia="Arial" w:hAnsi="Garamond" w:cs="Segoe UI"/>
                <w:sz w:val="18"/>
                <w:szCs w:val="18"/>
                <w:lang w:val="sq-AL"/>
              </w:rPr>
              <w:t>do t</w:t>
            </w:r>
            <w:r w:rsidRPr="0058349C">
              <w:rPr>
                <w:rFonts w:ascii="Garamond" w:eastAsia="Arial Narrow" w:hAnsi="Garamond"/>
                <w:sz w:val="18"/>
                <w:szCs w:val="18"/>
                <w:lang w:val="sq-AL"/>
              </w:rPr>
              <w:t>ë arrijë në 100% deri në vitin 2024.</w:t>
            </w:r>
          </w:p>
        </w:tc>
        <w:tc>
          <w:tcPr>
            <w:tcW w:w="1419" w:type="dxa"/>
            <w:shd w:val="clear" w:color="auto" w:fill="F2F2F2"/>
            <w:vAlign w:val="center"/>
          </w:tcPr>
          <w:p w14:paraId="0773B83E" w14:textId="77777777" w:rsidR="005676F7" w:rsidRPr="0058349C" w:rsidRDefault="005676F7"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83F"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N:30,000-</w:t>
            </w:r>
          </w:p>
        </w:tc>
        <w:tc>
          <w:tcPr>
            <w:tcW w:w="1288" w:type="dxa"/>
            <w:shd w:val="clear" w:color="auto" w:fill="F2F2F2"/>
            <w:vAlign w:val="center"/>
          </w:tcPr>
          <w:p w14:paraId="0773B840"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841"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842"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c>
          <w:tcPr>
            <w:tcW w:w="1275" w:type="dxa"/>
            <w:gridSpan w:val="2"/>
            <w:shd w:val="clear" w:color="auto" w:fill="E5F7CA"/>
            <w:vAlign w:val="center"/>
          </w:tcPr>
          <w:p w14:paraId="0773B843"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5676F7" w:rsidRPr="0058349C" w14:paraId="0773B84E" w14:textId="77777777" w:rsidTr="00CD4A33">
        <w:trPr>
          <w:gridAfter w:val="1"/>
          <w:wAfter w:w="8" w:type="dxa"/>
          <w:trHeight w:val="20"/>
        </w:trPr>
        <w:tc>
          <w:tcPr>
            <w:tcW w:w="384" w:type="dxa"/>
            <w:vMerge/>
            <w:shd w:val="clear" w:color="auto" w:fill="auto"/>
          </w:tcPr>
          <w:p w14:paraId="0773B845"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auto"/>
          </w:tcPr>
          <w:p w14:paraId="0773B846"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847" w14:textId="35B39789" w:rsidR="005676F7" w:rsidRPr="0058349C" w:rsidRDefault="005676F7" w:rsidP="00CF7694">
            <w:pPr>
              <w:spacing w:after="0" w:line="240" w:lineRule="auto"/>
              <w:rPr>
                <w:rFonts w:ascii="Garamond" w:hAnsi="Garamond"/>
                <w:sz w:val="18"/>
                <w:szCs w:val="18"/>
                <w:lang w:val="sq-AL"/>
              </w:rPr>
            </w:pPr>
            <w:r w:rsidRPr="0058349C">
              <w:rPr>
                <w:rFonts w:ascii="Garamond" w:eastAsia="Arial" w:hAnsi="Garamond" w:cs="Segoe UI"/>
                <w:sz w:val="18"/>
                <w:szCs w:val="18"/>
                <w:lang w:val="sq-AL"/>
              </w:rPr>
              <w:t>Numri i stafit të trajnuar të AKU</w:t>
            </w:r>
            <w:r w:rsidR="00E9489E">
              <w:rPr>
                <w:rFonts w:ascii="Garamond" w:eastAsia="Arial" w:hAnsi="Garamond" w:cs="Segoe UI"/>
                <w:sz w:val="18"/>
                <w:szCs w:val="18"/>
                <w:lang w:val="sq-AL"/>
              </w:rPr>
              <w:t>-së</w:t>
            </w:r>
            <w:r w:rsidRPr="0058349C">
              <w:rPr>
                <w:rFonts w:ascii="Garamond" w:eastAsia="Arial" w:hAnsi="Garamond" w:cs="Segoe UI"/>
                <w:sz w:val="18"/>
                <w:szCs w:val="18"/>
                <w:lang w:val="sq-AL"/>
              </w:rPr>
              <w:t xml:space="preserve"> për forcimin e besueshmërisë së sistemeve të gjurmueshmërisë së ushqimit do të arrijë në 10 deri në vitin 2024 dhe në 20 deri në vitin 2027.</w:t>
            </w:r>
          </w:p>
        </w:tc>
        <w:tc>
          <w:tcPr>
            <w:tcW w:w="1419" w:type="dxa"/>
            <w:shd w:val="clear" w:color="auto" w:fill="F2F2F2"/>
            <w:vAlign w:val="center"/>
          </w:tcPr>
          <w:p w14:paraId="0773B848"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 xml:space="preserve"> (TAIEX ose projekte të tjera të vogla AT)</w:t>
            </w:r>
          </w:p>
        </w:tc>
        <w:tc>
          <w:tcPr>
            <w:tcW w:w="1288" w:type="dxa"/>
            <w:shd w:val="clear" w:color="auto" w:fill="F2F2F2"/>
            <w:vAlign w:val="center"/>
          </w:tcPr>
          <w:p w14:paraId="0773B849"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84A"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84B"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84C"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w:t>
            </w:r>
          </w:p>
        </w:tc>
        <w:tc>
          <w:tcPr>
            <w:tcW w:w="1275" w:type="dxa"/>
            <w:gridSpan w:val="2"/>
            <w:shd w:val="clear" w:color="auto" w:fill="E5F7CA"/>
            <w:vAlign w:val="center"/>
          </w:tcPr>
          <w:p w14:paraId="0773B84D"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20</w:t>
            </w:r>
          </w:p>
        </w:tc>
      </w:tr>
      <w:tr w:rsidR="005676F7" w:rsidRPr="0058349C" w14:paraId="0773B858" w14:textId="77777777" w:rsidTr="00CD4A33">
        <w:trPr>
          <w:gridAfter w:val="1"/>
          <w:wAfter w:w="8" w:type="dxa"/>
          <w:trHeight w:val="20"/>
        </w:trPr>
        <w:tc>
          <w:tcPr>
            <w:tcW w:w="384" w:type="dxa"/>
            <w:vMerge/>
            <w:shd w:val="clear" w:color="auto" w:fill="auto"/>
          </w:tcPr>
          <w:p w14:paraId="0773B84F" w14:textId="77777777" w:rsidR="005676F7" w:rsidRPr="0058349C" w:rsidRDefault="005676F7" w:rsidP="00CF7694">
            <w:pPr>
              <w:spacing w:after="0" w:line="240" w:lineRule="auto"/>
              <w:rPr>
                <w:rFonts w:ascii="Garamond" w:eastAsia="Arial" w:hAnsi="Garamond"/>
                <w:b/>
                <w:sz w:val="18"/>
                <w:szCs w:val="18"/>
                <w:lang w:val="sq-AL"/>
              </w:rPr>
            </w:pPr>
          </w:p>
        </w:tc>
        <w:tc>
          <w:tcPr>
            <w:tcW w:w="3567" w:type="dxa"/>
            <w:vMerge/>
            <w:shd w:val="clear" w:color="auto" w:fill="auto"/>
          </w:tcPr>
          <w:p w14:paraId="0773B850" w14:textId="77777777" w:rsidR="005676F7" w:rsidRPr="0058349C" w:rsidRDefault="005676F7" w:rsidP="00CF7694">
            <w:pPr>
              <w:spacing w:after="0" w:line="240" w:lineRule="auto"/>
              <w:rPr>
                <w:rFonts w:ascii="Garamond" w:hAnsi="Garamond"/>
                <w:b/>
                <w:bCs/>
                <w:sz w:val="18"/>
                <w:szCs w:val="18"/>
                <w:lang w:val="sq-AL"/>
              </w:rPr>
            </w:pPr>
          </w:p>
        </w:tc>
        <w:tc>
          <w:tcPr>
            <w:tcW w:w="2526" w:type="dxa"/>
            <w:shd w:val="clear" w:color="auto" w:fill="F2F2F2"/>
          </w:tcPr>
          <w:p w14:paraId="0773B851" w14:textId="7759C3C8" w:rsidR="005676F7" w:rsidRPr="0058349C" w:rsidRDefault="005676F7" w:rsidP="00CF7694">
            <w:pPr>
              <w:spacing w:after="0" w:line="240" w:lineRule="auto"/>
              <w:rPr>
                <w:rFonts w:ascii="Garamond" w:hAnsi="Garamond"/>
                <w:sz w:val="18"/>
                <w:szCs w:val="18"/>
                <w:lang w:val="sq-AL"/>
              </w:rPr>
            </w:pPr>
            <w:r w:rsidRPr="0058349C">
              <w:rPr>
                <w:rFonts w:ascii="Garamond" w:hAnsi="Garamond"/>
                <w:sz w:val="18"/>
                <w:szCs w:val="18"/>
                <w:lang w:val="sq-AL"/>
              </w:rPr>
              <w:t xml:space="preserve">Numri i skemave të reja vullnetare të cilësisë së ushqimit të prezantuara (p.sh., </w:t>
            </w:r>
            <w:r w:rsidR="00664693" w:rsidRPr="0058349C">
              <w:rPr>
                <w:rFonts w:ascii="Garamond" w:hAnsi="Garamond"/>
                <w:sz w:val="18"/>
                <w:szCs w:val="18"/>
                <w:lang w:val="sq-AL"/>
              </w:rPr>
              <w:t>“</w:t>
            </w:r>
            <w:r w:rsidRPr="0058349C">
              <w:rPr>
                <w:rFonts w:ascii="Garamond" w:hAnsi="Garamond"/>
                <w:sz w:val="18"/>
                <w:szCs w:val="18"/>
                <w:lang w:val="sq-AL"/>
              </w:rPr>
              <w:t>marketing i drejtpërdrejtë në bujqësi</w:t>
            </w:r>
            <w:r w:rsidR="00664693" w:rsidRPr="0058349C">
              <w:rPr>
                <w:rFonts w:ascii="Garamond" w:hAnsi="Garamond"/>
                <w:sz w:val="18"/>
                <w:szCs w:val="18"/>
                <w:lang w:val="sq-AL"/>
              </w:rPr>
              <w:t>”</w:t>
            </w:r>
            <w:r w:rsidRPr="0058349C">
              <w:rPr>
                <w:rFonts w:ascii="Garamond" w:hAnsi="Garamond"/>
                <w:sz w:val="18"/>
                <w:szCs w:val="18"/>
                <w:lang w:val="sq-AL"/>
              </w:rPr>
              <w:t xml:space="preserve">, </w:t>
            </w:r>
            <w:r w:rsidR="00664693" w:rsidRPr="0058349C">
              <w:rPr>
                <w:rFonts w:ascii="Garamond" w:hAnsi="Garamond"/>
                <w:sz w:val="18"/>
                <w:szCs w:val="18"/>
                <w:lang w:val="sq-AL"/>
              </w:rPr>
              <w:t>“</w:t>
            </w:r>
            <w:r w:rsidRPr="0058349C">
              <w:rPr>
                <w:rFonts w:ascii="Garamond" w:hAnsi="Garamond"/>
                <w:sz w:val="18"/>
                <w:szCs w:val="18"/>
                <w:lang w:val="sq-AL"/>
              </w:rPr>
              <w:t>blerje në fermë</w:t>
            </w:r>
            <w:r w:rsidR="00664693" w:rsidRPr="0058349C">
              <w:rPr>
                <w:rFonts w:ascii="Garamond" w:hAnsi="Garamond"/>
                <w:sz w:val="18"/>
                <w:szCs w:val="18"/>
                <w:lang w:val="sq-AL"/>
              </w:rPr>
              <w:t>”</w:t>
            </w:r>
            <w:r w:rsidRPr="0058349C">
              <w:rPr>
                <w:rFonts w:ascii="Garamond" w:hAnsi="Garamond"/>
                <w:sz w:val="18"/>
                <w:szCs w:val="18"/>
                <w:lang w:val="sq-AL"/>
              </w:rPr>
              <w:t xml:space="preserve">, </w:t>
            </w:r>
            <w:r w:rsidR="00664693" w:rsidRPr="0058349C">
              <w:rPr>
                <w:rFonts w:ascii="Garamond" w:hAnsi="Garamond"/>
                <w:sz w:val="18"/>
                <w:szCs w:val="18"/>
                <w:lang w:val="sq-AL"/>
              </w:rPr>
              <w:t>“</w:t>
            </w:r>
            <w:r w:rsidRPr="0058349C">
              <w:rPr>
                <w:rFonts w:ascii="Garamond" w:hAnsi="Garamond"/>
                <w:sz w:val="18"/>
                <w:szCs w:val="18"/>
                <w:lang w:val="sq-AL"/>
              </w:rPr>
              <w:t xml:space="preserve">produkte </w:t>
            </w:r>
            <w:r w:rsidRPr="0058349C">
              <w:rPr>
                <w:rFonts w:ascii="Garamond" w:hAnsi="Garamond"/>
                <w:sz w:val="18"/>
                <w:szCs w:val="18"/>
                <w:lang w:val="sq-AL"/>
              </w:rPr>
              <w:lastRenderedPageBreak/>
              <w:t>ushqimore tradicionale të prodhuara në mënyrë artizanale</w:t>
            </w:r>
            <w:r w:rsidR="00664693" w:rsidRPr="0058349C">
              <w:rPr>
                <w:rFonts w:ascii="Garamond" w:hAnsi="Garamond"/>
                <w:sz w:val="18"/>
                <w:szCs w:val="18"/>
                <w:lang w:val="sq-AL"/>
              </w:rPr>
              <w:t>”</w:t>
            </w:r>
            <w:r w:rsidRPr="0058349C">
              <w:rPr>
                <w:rFonts w:ascii="Garamond" w:hAnsi="Garamond"/>
                <w:sz w:val="18"/>
                <w:szCs w:val="18"/>
                <w:lang w:val="sq-AL"/>
              </w:rPr>
              <w:t xml:space="preserve"> - gjithashtu si skema pilot) për prodhuesit e vegjël të ushqimit do t</w:t>
            </w:r>
            <w:r w:rsidRPr="0058349C">
              <w:rPr>
                <w:rFonts w:ascii="Garamond" w:eastAsia="Arial" w:hAnsi="Garamond" w:cs="Segoe UI"/>
                <w:sz w:val="18"/>
                <w:szCs w:val="18"/>
                <w:lang w:val="sq-AL"/>
              </w:rPr>
              <w:t>ë arrijë në 4 deri në vitin 2027.</w:t>
            </w:r>
          </w:p>
        </w:tc>
        <w:tc>
          <w:tcPr>
            <w:tcW w:w="1419" w:type="dxa"/>
            <w:shd w:val="clear" w:color="auto" w:fill="F2F2F2"/>
            <w:vAlign w:val="center"/>
          </w:tcPr>
          <w:p w14:paraId="0773B852"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lastRenderedPageBreak/>
              <w:t xml:space="preserve"> (TAIEX ose projekte të tjera të vogla AT)</w:t>
            </w:r>
          </w:p>
        </w:tc>
        <w:tc>
          <w:tcPr>
            <w:tcW w:w="1288" w:type="dxa"/>
            <w:shd w:val="clear" w:color="auto" w:fill="F2F2F2"/>
            <w:vAlign w:val="center"/>
          </w:tcPr>
          <w:p w14:paraId="0773B853"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854"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855"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856"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75" w:type="dxa"/>
            <w:gridSpan w:val="2"/>
            <w:shd w:val="clear" w:color="auto" w:fill="E5F7CA"/>
            <w:vAlign w:val="center"/>
          </w:tcPr>
          <w:p w14:paraId="0773B857" w14:textId="77777777" w:rsidR="005676F7" w:rsidRPr="0058349C" w:rsidRDefault="005676F7"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w:t>
            </w:r>
          </w:p>
        </w:tc>
      </w:tr>
    </w:tbl>
    <w:p w14:paraId="0773B864" w14:textId="77777777" w:rsidR="00C63F02" w:rsidRPr="0058349C" w:rsidRDefault="00C63F02" w:rsidP="00C54AEA">
      <w:pPr>
        <w:pStyle w:val="TEKSTIIII"/>
        <w:rPr>
          <w:lang w:val="sq-AL"/>
        </w:rPr>
      </w:pPr>
    </w:p>
    <w:tbl>
      <w:tblPr>
        <w:tblpPr w:leftFromText="180" w:rightFromText="180" w:vertAnchor="text" w:tblpXSpec="center" w:tblpY="1"/>
        <w:tblOverlap w:val="never"/>
        <w:tblW w:w="14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
        <w:gridCol w:w="3567"/>
        <w:gridCol w:w="2526"/>
        <w:gridCol w:w="1419"/>
        <w:gridCol w:w="1288"/>
        <w:gridCol w:w="1288"/>
        <w:gridCol w:w="1289"/>
        <w:gridCol w:w="1134"/>
        <w:gridCol w:w="1275"/>
        <w:gridCol w:w="8"/>
      </w:tblGrid>
      <w:tr w:rsidR="00C4444C" w:rsidRPr="0058349C" w14:paraId="0773B86E" w14:textId="77777777" w:rsidTr="00E9489E">
        <w:trPr>
          <w:gridAfter w:val="1"/>
          <w:wAfter w:w="8" w:type="dxa"/>
          <w:trHeight w:val="20"/>
        </w:trPr>
        <w:tc>
          <w:tcPr>
            <w:tcW w:w="384" w:type="dxa"/>
            <w:shd w:val="clear" w:color="auto" w:fill="E5F7CA"/>
          </w:tcPr>
          <w:p w14:paraId="0773B865" w14:textId="77777777" w:rsidR="00C4444C" w:rsidRPr="0058349C" w:rsidRDefault="00C4444C" w:rsidP="00CF7694">
            <w:pPr>
              <w:spacing w:after="0" w:line="240" w:lineRule="auto"/>
              <w:rPr>
                <w:rFonts w:ascii="Garamond" w:eastAsia="Arial" w:hAnsi="Garamond"/>
                <w:b/>
                <w:sz w:val="18"/>
                <w:szCs w:val="18"/>
                <w:lang w:val="sq-AL"/>
              </w:rPr>
            </w:pPr>
            <w:r w:rsidRPr="0058349C">
              <w:rPr>
                <w:rFonts w:ascii="Garamond" w:hAnsi="Garamond"/>
                <w:b/>
                <w:sz w:val="18"/>
                <w:szCs w:val="18"/>
                <w:lang w:val="sq-AL"/>
              </w:rPr>
              <w:br w:type="page"/>
            </w:r>
          </w:p>
        </w:tc>
        <w:tc>
          <w:tcPr>
            <w:tcW w:w="6093" w:type="dxa"/>
            <w:gridSpan w:val="2"/>
            <w:shd w:val="clear" w:color="auto" w:fill="E5F7CA"/>
            <w:vAlign w:val="center"/>
          </w:tcPr>
          <w:p w14:paraId="0773B866" w14:textId="50A90690" w:rsidR="00C4444C" w:rsidRPr="0058349C" w:rsidRDefault="00E9489E" w:rsidP="00CF7694">
            <w:pPr>
              <w:spacing w:after="0" w:line="240" w:lineRule="auto"/>
              <w:jc w:val="center"/>
              <w:rPr>
                <w:rFonts w:ascii="Garamond" w:eastAsia="Arial" w:hAnsi="Garamond"/>
                <w:b/>
                <w:bCs/>
                <w:sz w:val="18"/>
                <w:szCs w:val="18"/>
                <w:lang w:val="sq-AL"/>
              </w:rPr>
            </w:pPr>
            <w:r>
              <w:rPr>
                <w:rFonts w:ascii="Garamond" w:eastAsia="Arial" w:hAnsi="Garamond"/>
                <w:b/>
                <w:bCs/>
                <w:sz w:val="18"/>
                <w:szCs w:val="18"/>
                <w:lang w:val="sq-AL"/>
              </w:rPr>
              <w:t>OBJEKTIVI HORIZONTAL 2</w:t>
            </w:r>
            <w:r w:rsidR="00797859">
              <w:rPr>
                <w:rFonts w:ascii="Garamond" w:eastAsia="Arial" w:hAnsi="Garamond"/>
                <w:b/>
                <w:bCs/>
                <w:sz w:val="18"/>
                <w:szCs w:val="18"/>
                <w:lang w:val="sq-AL"/>
              </w:rPr>
              <w:t>/</w:t>
            </w:r>
            <w:r w:rsidR="00C4444C" w:rsidRPr="0058349C">
              <w:rPr>
                <w:rFonts w:ascii="Garamond" w:eastAsia="Arial" w:hAnsi="Garamond"/>
                <w:b/>
                <w:bCs/>
                <w:sz w:val="18"/>
                <w:szCs w:val="18"/>
                <w:lang w:val="sq-AL"/>
              </w:rPr>
              <w:t>TREGUESI</w:t>
            </w:r>
          </w:p>
          <w:p w14:paraId="0773B867" w14:textId="1AFB3966" w:rsidR="00C4444C" w:rsidRPr="0058349C" w:rsidRDefault="00E9489E" w:rsidP="00CF7694">
            <w:pPr>
              <w:spacing w:after="0" w:line="240" w:lineRule="auto"/>
              <w:jc w:val="center"/>
              <w:rPr>
                <w:rFonts w:ascii="Garamond" w:eastAsia="Arial" w:hAnsi="Garamond"/>
                <w:bCs/>
                <w:i/>
                <w:iCs/>
                <w:sz w:val="18"/>
                <w:szCs w:val="18"/>
                <w:lang w:val="sq-AL"/>
              </w:rPr>
            </w:pPr>
            <w:r w:rsidRPr="0058349C">
              <w:rPr>
                <w:rFonts w:ascii="Garamond" w:eastAsia="Arial" w:hAnsi="Garamond"/>
                <w:bCs/>
                <w:i/>
                <w:iCs/>
                <w:sz w:val="18"/>
                <w:szCs w:val="18"/>
                <w:lang w:val="sq-AL"/>
              </w:rPr>
              <w:t xml:space="preserve">Nuk </w:t>
            </w:r>
            <w:r w:rsidR="00C4444C" w:rsidRPr="0058349C">
              <w:rPr>
                <w:rFonts w:ascii="Garamond" w:eastAsia="Arial" w:hAnsi="Garamond"/>
                <w:bCs/>
                <w:i/>
                <w:iCs/>
                <w:sz w:val="18"/>
                <w:szCs w:val="18"/>
                <w:lang w:val="sq-AL"/>
              </w:rPr>
              <w:t>ka tregues rezultati, pasi objektivi horizontal është</w:t>
            </w:r>
            <w:r w:rsidR="00CF7694" w:rsidRPr="0058349C">
              <w:rPr>
                <w:rFonts w:ascii="Garamond" w:eastAsia="Arial" w:hAnsi="Garamond"/>
                <w:bCs/>
                <w:i/>
                <w:iCs/>
                <w:sz w:val="18"/>
                <w:szCs w:val="18"/>
                <w:lang w:val="sq-AL"/>
              </w:rPr>
              <w:t xml:space="preserve"> </w:t>
            </w:r>
            <w:r w:rsidR="00C4444C" w:rsidRPr="0058349C">
              <w:rPr>
                <w:rFonts w:ascii="Garamond" w:eastAsia="Arial" w:hAnsi="Garamond"/>
                <w:bCs/>
                <w:i/>
                <w:iCs/>
                <w:sz w:val="18"/>
                <w:szCs w:val="18"/>
                <w:lang w:val="sq-AL"/>
              </w:rPr>
              <w:t>n</w:t>
            </w:r>
            <w:r w:rsidR="00C4444C" w:rsidRPr="0058349C">
              <w:rPr>
                <w:rFonts w:ascii="Garamond" w:hAnsi="Garamond"/>
                <w:sz w:val="18"/>
                <w:szCs w:val="18"/>
                <w:lang w:val="sq-AL"/>
              </w:rPr>
              <w:t xml:space="preserve">ënkuptuar që përfshihet në treguesit </w:t>
            </w:r>
            <w:r w:rsidR="00C4444C" w:rsidRPr="0058349C">
              <w:rPr>
                <w:rFonts w:ascii="Garamond" w:eastAsia="Arial" w:hAnsi="Garamond"/>
                <w:bCs/>
                <w:i/>
                <w:iCs/>
                <w:sz w:val="18"/>
                <w:szCs w:val="18"/>
                <w:lang w:val="sq-AL"/>
              </w:rPr>
              <w:t>në nivelin e të gjithë treguesve të tjerë të mësipërm</w:t>
            </w:r>
            <w:r w:rsidR="00CF7694" w:rsidRPr="0058349C">
              <w:rPr>
                <w:rFonts w:ascii="Garamond" w:eastAsia="Arial" w:hAnsi="Garamond"/>
                <w:bCs/>
                <w:i/>
                <w:iCs/>
                <w:sz w:val="18"/>
                <w:szCs w:val="18"/>
                <w:lang w:val="sq-AL"/>
              </w:rPr>
              <w:t xml:space="preserve"> </w:t>
            </w:r>
          </w:p>
          <w:p w14:paraId="0773B868" w14:textId="77777777" w:rsidR="00C4444C" w:rsidRPr="0058349C" w:rsidRDefault="00C4444C" w:rsidP="00CF7694">
            <w:pPr>
              <w:spacing w:after="0" w:line="240" w:lineRule="auto"/>
              <w:jc w:val="center"/>
              <w:rPr>
                <w:rFonts w:ascii="Garamond" w:eastAsia="Arial" w:hAnsi="Garamond"/>
                <w:b/>
                <w:bCs/>
                <w:sz w:val="18"/>
                <w:szCs w:val="18"/>
                <w:lang w:val="sq-AL"/>
              </w:rPr>
            </w:pPr>
          </w:p>
        </w:tc>
        <w:tc>
          <w:tcPr>
            <w:tcW w:w="1419" w:type="dxa"/>
            <w:shd w:val="clear" w:color="auto" w:fill="E5F7CA"/>
            <w:vAlign w:val="center"/>
          </w:tcPr>
          <w:p w14:paraId="0773B869" w14:textId="77777777" w:rsidR="00C4444C" w:rsidRPr="0058349C" w:rsidRDefault="00C4444C"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 xml:space="preserve">Vlera treguesit bazë </w:t>
            </w:r>
          </w:p>
          <w:p w14:paraId="0773B86A" w14:textId="77777777" w:rsidR="00C4444C" w:rsidRPr="0058349C" w:rsidRDefault="00C4444C" w:rsidP="00CF7694">
            <w:pPr>
              <w:spacing w:after="0" w:line="240" w:lineRule="auto"/>
              <w:jc w:val="center"/>
              <w:rPr>
                <w:rFonts w:ascii="Garamond" w:eastAsia="Arial" w:hAnsi="Garamond"/>
                <w:b/>
                <w:sz w:val="18"/>
                <w:szCs w:val="18"/>
                <w:lang w:val="sq-AL"/>
              </w:rPr>
            </w:pPr>
            <w:r w:rsidRPr="0058349C">
              <w:rPr>
                <w:rFonts w:ascii="Garamond" w:eastAsia="Arial" w:hAnsi="Garamond"/>
                <w:b/>
                <w:bCs/>
                <w:sz w:val="18"/>
                <w:szCs w:val="18"/>
                <w:lang w:val="sq-AL"/>
              </w:rPr>
              <w:t>2019</w:t>
            </w:r>
          </w:p>
        </w:tc>
        <w:tc>
          <w:tcPr>
            <w:tcW w:w="3865" w:type="dxa"/>
            <w:gridSpan w:val="3"/>
            <w:shd w:val="clear" w:color="auto" w:fill="E5F7CA"/>
            <w:vAlign w:val="center"/>
          </w:tcPr>
          <w:p w14:paraId="0773B86B" w14:textId="77777777" w:rsidR="00C4444C" w:rsidRPr="0058349C" w:rsidRDefault="00C4444C" w:rsidP="00CF7694">
            <w:pPr>
              <w:spacing w:after="0" w:line="240" w:lineRule="auto"/>
              <w:jc w:val="center"/>
              <w:rPr>
                <w:rFonts w:ascii="Garamond" w:eastAsia="Arial" w:hAnsi="Garamond"/>
                <w:b/>
                <w:sz w:val="18"/>
                <w:szCs w:val="18"/>
                <w:lang w:val="sq-AL"/>
              </w:rPr>
            </w:pPr>
          </w:p>
        </w:tc>
        <w:tc>
          <w:tcPr>
            <w:tcW w:w="1134" w:type="dxa"/>
            <w:shd w:val="clear" w:color="auto" w:fill="E5F7CA"/>
            <w:vAlign w:val="center"/>
          </w:tcPr>
          <w:p w14:paraId="0773B86C" w14:textId="77777777" w:rsidR="00C4444C" w:rsidRPr="0058349C" w:rsidRDefault="00C4444C" w:rsidP="00CF7694">
            <w:pPr>
              <w:spacing w:after="0" w:line="240" w:lineRule="auto"/>
              <w:jc w:val="center"/>
              <w:rPr>
                <w:rFonts w:ascii="Garamond" w:eastAsia="Arial" w:hAnsi="Garamond"/>
                <w:b/>
                <w:sz w:val="18"/>
                <w:szCs w:val="18"/>
                <w:lang w:val="sq-AL"/>
              </w:rPr>
            </w:pPr>
            <w:r w:rsidRPr="0058349C">
              <w:rPr>
                <w:rFonts w:ascii="Garamond" w:eastAsia="Arial" w:hAnsi="Garamond"/>
                <w:b/>
                <w:bCs/>
                <w:sz w:val="18"/>
                <w:szCs w:val="18"/>
                <w:lang w:val="sq-AL"/>
              </w:rPr>
              <w:t>Objektivi për vitin 2024</w:t>
            </w:r>
          </w:p>
        </w:tc>
        <w:tc>
          <w:tcPr>
            <w:tcW w:w="1275" w:type="dxa"/>
            <w:shd w:val="clear" w:color="auto" w:fill="E5F7CA"/>
            <w:vAlign w:val="center"/>
          </w:tcPr>
          <w:p w14:paraId="0773B86D" w14:textId="77777777" w:rsidR="00C4444C" w:rsidRPr="0058349C" w:rsidRDefault="00C4444C" w:rsidP="00CF7694">
            <w:pPr>
              <w:spacing w:after="0" w:line="240" w:lineRule="auto"/>
              <w:jc w:val="center"/>
              <w:rPr>
                <w:rFonts w:ascii="Garamond" w:eastAsia="Arial" w:hAnsi="Garamond"/>
                <w:b/>
                <w:sz w:val="18"/>
                <w:szCs w:val="18"/>
                <w:lang w:val="sq-AL"/>
              </w:rPr>
            </w:pPr>
            <w:r w:rsidRPr="0058349C">
              <w:rPr>
                <w:rFonts w:ascii="Garamond" w:eastAsia="Arial" w:hAnsi="Garamond"/>
                <w:b/>
                <w:bCs/>
                <w:sz w:val="18"/>
                <w:szCs w:val="18"/>
                <w:lang w:val="sq-AL"/>
              </w:rPr>
              <w:t>Objektivi për vitin 2027</w:t>
            </w:r>
          </w:p>
        </w:tc>
      </w:tr>
      <w:tr w:rsidR="00C4444C" w:rsidRPr="0058349C" w14:paraId="0773B870" w14:textId="77777777" w:rsidTr="00E9489E">
        <w:trPr>
          <w:trHeight w:val="20"/>
        </w:trPr>
        <w:tc>
          <w:tcPr>
            <w:tcW w:w="14178" w:type="dxa"/>
            <w:gridSpan w:val="10"/>
            <w:shd w:val="clear" w:color="auto" w:fill="E5F7CA"/>
            <w:vAlign w:val="center"/>
          </w:tcPr>
          <w:p w14:paraId="0773B86F" w14:textId="1DEC83D4" w:rsidR="00C4444C" w:rsidRPr="0058349C" w:rsidRDefault="00C4444C" w:rsidP="00D90D20">
            <w:pPr>
              <w:spacing w:after="0" w:line="240" w:lineRule="auto"/>
              <w:rPr>
                <w:rFonts w:ascii="Garamond" w:eastAsia="Arial" w:hAnsi="Garamond"/>
                <w:b/>
                <w:bCs/>
                <w:sz w:val="18"/>
                <w:szCs w:val="18"/>
                <w:lang w:val="sq-AL"/>
              </w:rPr>
            </w:pPr>
            <w:r w:rsidRPr="0058349C">
              <w:rPr>
                <w:rStyle w:val="normaltextrun"/>
                <w:rFonts w:ascii="Garamond" w:eastAsia="Arial" w:hAnsi="Garamond"/>
                <w:b/>
                <w:bCs/>
                <w:sz w:val="18"/>
                <w:szCs w:val="18"/>
                <w:lang w:val="sq-AL"/>
              </w:rPr>
              <w:t>Objektivi horizontal 2</w:t>
            </w:r>
            <w:r w:rsidR="00D90D20">
              <w:rPr>
                <w:rStyle w:val="normaltextrun"/>
                <w:rFonts w:ascii="Garamond" w:eastAsia="Arial" w:hAnsi="Garamond"/>
                <w:b/>
                <w:bCs/>
                <w:sz w:val="18"/>
                <w:szCs w:val="18"/>
                <w:lang w:val="sq-AL"/>
              </w:rPr>
              <w:t>:</w:t>
            </w:r>
            <w:r w:rsidRPr="0058349C">
              <w:rPr>
                <w:rStyle w:val="normaltextrun"/>
                <w:rFonts w:ascii="Garamond" w:eastAsia="Arial" w:hAnsi="Garamond"/>
                <w:b/>
                <w:bCs/>
                <w:sz w:val="18"/>
                <w:szCs w:val="18"/>
                <w:lang w:val="sq-AL"/>
              </w:rPr>
              <w:t xml:space="preserve"> Transferimi i njohurive dhe inovacionit n</w:t>
            </w:r>
            <w:r w:rsidRPr="0058349C">
              <w:rPr>
                <w:rFonts w:ascii="Garamond" w:eastAsia="Arial" w:hAnsi="Garamond"/>
                <w:b/>
                <w:bCs/>
                <w:sz w:val="18"/>
                <w:szCs w:val="18"/>
                <w:lang w:val="sq-AL"/>
              </w:rPr>
              <w:t>ë</w:t>
            </w:r>
            <w:r w:rsidRPr="0058349C">
              <w:rPr>
                <w:rStyle w:val="normaltextrun"/>
                <w:rFonts w:ascii="Garamond" w:eastAsia="Arial" w:hAnsi="Garamond"/>
                <w:b/>
                <w:bCs/>
                <w:sz w:val="18"/>
                <w:szCs w:val="18"/>
                <w:lang w:val="sq-AL"/>
              </w:rPr>
              <w:t xml:space="preserve"> sektorin e bujqësisë dhe zhvillimin rural</w:t>
            </w:r>
          </w:p>
        </w:tc>
      </w:tr>
      <w:tr w:rsidR="00C4444C" w:rsidRPr="0058349C" w14:paraId="0773B877" w14:textId="77777777" w:rsidTr="00E9489E">
        <w:trPr>
          <w:gridAfter w:val="1"/>
          <w:wAfter w:w="8" w:type="dxa"/>
          <w:trHeight w:val="20"/>
        </w:trPr>
        <w:tc>
          <w:tcPr>
            <w:tcW w:w="384" w:type="dxa"/>
            <w:shd w:val="clear" w:color="auto" w:fill="E5F7CA"/>
          </w:tcPr>
          <w:p w14:paraId="0773B871" w14:textId="77777777" w:rsidR="00C4444C" w:rsidRPr="0058349C" w:rsidRDefault="00C4444C" w:rsidP="00CF7694">
            <w:pPr>
              <w:spacing w:after="0" w:line="240" w:lineRule="auto"/>
              <w:rPr>
                <w:rFonts w:ascii="Garamond" w:eastAsia="Arial" w:hAnsi="Garamond"/>
                <w:b/>
                <w:sz w:val="18"/>
                <w:szCs w:val="18"/>
                <w:lang w:val="sq-AL"/>
              </w:rPr>
            </w:pPr>
          </w:p>
        </w:tc>
        <w:tc>
          <w:tcPr>
            <w:tcW w:w="6093" w:type="dxa"/>
            <w:gridSpan w:val="2"/>
            <w:shd w:val="clear" w:color="auto" w:fill="E5F7CA"/>
          </w:tcPr>
          <w:p w14:paraId="0773B872" w14:textId="768EBB66" w:rsidR="00C4444C" w:rsidRPr="0058349C" w:rsidRDefault="00C4444C" w:rsidP="00CF7694">
            <w:pPr>
              <w:spacing w:after="0" w:line="240" w:lineRule="auto"/>
              <w:rPr>
                <w:rFonts w:ascii="Garamond" w:eastAsia="Arial" w:hAnsi="Garamond"/>
                <w:b/>
                <w:bCs/>
                <w:sz w:val="18"/>
                <w:szCs w:val="18"/>
                <w:lang w:val="sq-AL"/>
              </w:rPr>
            </w:pPr>
            <w:r w:rsidRPr="0058349C">
              <w:rPr>
                <w:rFonts w:ascii="Garamond" w:eastAsia="Arial" w:hAnsi="Garamond"/>
                <w:b/>
                <w:bCs/>
                <w:sz w:val="18"/>
                <w:szCs w:val="18"/>
                <w:lang w:val="sq-AL"/>
              </w:rPr>
              <w:t xml:space="preserve">Treguesi i </w:t>
            </w:r>
            <w:r w:rsidR="00D90D20" w:rsidRPr="0058349C">
              <w:rPr>
                <w:rFonts w:ascii="Garamond" w:eastAsia="Arial" w:hAnsi="Garamond"/>
                <w:b/>
                <w:bCs/>
                <w:sz w:val="18"/>
                <w:szCs w:val="18"/>
                <w:lang w:val="sq-AL"/>
              </w:rPr>
              <w:t xml:space="preserve">impaktit </w:t>
            </w:r>
            <w:r w:rsidRPr="0058349C">
              <w:rPr>
                <w:rFonts w:ascii="Garamond" w:eastAsia="Arial" w:hAnsi="Garamond"/>
                <w:b/>
                <w:bCs/>
                <w:sz w:val="18"/>
                <w:szCs w:val="18"/>
                <w:lang w:val="sq-AL"/>
              </w:rPr>
              <w:t>2.1: Sistemi</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 xml:space="preserve">i </w:t>
            </w:r>
            <w:r w:rsidR="00D90D20" w:rsidRPr="0058349C">
              <w:rPr>
                <w:rFonts w:ascii="Garamond" w:eastAsia="Arial" w:hAnsi="Garamond"/>
                <w:b/>
                <w:bCs/>
                <w:sz w:val="18"/>
                <w:szCs w:val="18"/>
                <w:lang w:val="sq-AL"/>
              </w:rPr>
              <w:t xml:space="preserve">njohurive dhe </w:t>
            </w:r>
            <w:r w:rsidR="00D90D20">
              <w:rPr>
                <w:rFonts w:ascii="Garamond" w:eastAsia="Arial" w:hAnsi="Garamond"/>
                <w:b/>
                <w:bCs/>
                <w:sz w:val="18"/>
                <w:szCs w:val="18"/>
                <w:lang w:val="sq-AL"/>
              </w:rPr>
              <w:t xml:space="preserve">i </w:t>
            </w:r>
            <w:r w:rsidR="00D90D20" w:rsidRPr="0058349C">
              <w:rPr>
                <w:rFonts w:ascii="Garamond" w:eastAsia="Arial" w:hAnsi="Garamond"/>
                <w:b/>
                <w:bCs/>
                <w:sz w:val="18"/>
                <w:szCs w:val="18"/>
                <w:lang w:val="sq-AL"/>
              </w:rPr>
              <w:t xml:space="preserve">inovacionit në bujqësi </w:t>
            </w:r>
            <w:r w:rsidR="00D90D20">
              <w:rPr>
                <w:rFonts w:ascii="Garamond" w:eastAsia="Arial" w:hAnsi="Garamond"/>
                <w:b/>
                <w:bCs/>
                <w:sz w:val="18"/>
                <w:szCs w:val="18"/>
                <w:lang w:val="sq-AL"/>
              </w:rPr>
              <w:t>(SNJIB–</w:t>
            </w:r>
            <w:r w:rsidRPr="0058349C">
              <w:rPr>
                <w:rFonts w:ascii="Garamond" w:eastAsia="Arial" w:hAnsi="Garamond"/>
                <w:b/>
                <w:bCs/>
                <w:sz w:val="18"/>
                <w:szCs w:val="18"/>
                <w:lang w:val="sq-AL"/>
              </w:rPr>
              <w:t xml:space="preserve">AKIS) deri në vitin 2024 është ngritur dhe funksionon në formë pilot dhe është plotësisht funksional deri në vitin 2027 </w:t>
            </w:r>
          </w:p>
        </w:tc>
        <w:tc>
          <w:tcPr>
            <w:tcW w:w="1419" w:type="dxa"/>
            <w:shd w:val="clear" w:color="auto" w:fill="E5F7CA"/>
            <w:vAlign w:val="center"/>
          </w:tcPr>
          <w:p w14:paraId="0773B873"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Aktualisht nuk ka nj</w:t>
            </w:r>
            <w:r w:rsidRPr="0058349C">
              <w:rPr>
                <w:rFonts w:ascii="Garamond" w:eastAsia="Arial" w:hAnsi="Garamond"/>
                <w:bCs/>
                <w:sz w:val="18"/>
                <w:szCs w:val="18"/>
                <w:lang w:val="sq-AL"/>
              </w:rPr>
              <w:t>ë vlerë bazë</w:t>
            </w:r>
          </w:p>
        </w:tc>
        <w:tc>
          <w:tcPr>
            <w:tcW w:w="3865" w:type="dxa"/>
            <w:gridSpan w:val="3"/>
            <w:shd w:val="clear" w:color="auto" w:fill="E5F7CA"/>
            <w:vAlign w:val="center"/>
          </w:tcPr>
          <w:p w14:paraId="0773B874"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134" w:type="dxa"/>
            <w:shd w:val="clear" w:color="auto" w:fill="E5F7CA"/>
            <w:vAlign w:val="center"/>
          </w:tcPr>
          <w:p w14:paraId="0773B875"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(Pilot)</w:t>
            </w:r>
          </w:p>
        </w:tc>
        <w:tc>
          <w:tcPr>
            <w:tcW w:w="1275" w:type="dxa"/>
            <w:shd w:val="clear" w:color="auto" w:fill="E5F7CA"/>
            <w:vAlign w:val="center"/>
          </w:tcPr>
          <w:p w14:paraId="0773B876"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 (Plot</w:t>
            </w:r>
            <w:r w:rsidRPr="0058349C">
              <w:rPr>
                <w:rFonts w:ascii="Garamond" w:eastAsia="Arial" w:hAnsi="Garamond"/>
                <w:b/>
                <w:bCs/>
                <w:sz w:val="18"/>
                <w:szCs w:val="18"/>
                <w:lang w:val="sq-AL"/>
              </w:rPr>
              <w:t>ësisht në funksion)</w:t>
            </w:r>
          </w:p>
        </w:tc>
      </w:tr>
      <w:tr w:rsidR="00C4444C" w:rsidRPr="0058349C" w14:paraId="0773B882" w14:textId="77777777" w:rsidTr="00E9489E">
        <w:trPr>
          <w:gridAfter w:val="1"/>
          <w:wAfter w:w="8" w:type="dxa"/>
          <w:trHeight w:val="20"/>
        </w:trPr>
        <w:tc>
          <w:tcPr>
            <w:tcW w:w="384" w:type="dxa"/>
            <w:vMerge w:val="restart"/>
            <w:shd w:val="clear" w:color="auto" w:fill="F2F2F2"/>
            <w:vAlign w:val="center"/>
          </w:tcPr>
          <w:p w14:paraId="0773B878" w14:textId="77777777" w:rsidR="00C4444C" w:rsidRPr="0058349C" w:rsidRDefault="00C4444C" w:rsidP="00CF7694">
            <w:pPr>
              <w:spacing w:after="0" w:line="240" w:lineRule="auto"/>
              <w:jc w:val="center"/>
              <w:rPr>
                <w:rFonts w:ascii="Garamond" w:eastAsia="Arial" w:hAnsi="Garamond"/>
                <w:b/>
                <w:sz w:val="18"/>
                <w:szCs w:val="18"/>
                <w:lang w:val="sq-AL"/>
              </w:rPr>
            </w:pPr>
          </w:p>
        </w:tc>
        <w:tc>
          <w:tcPr>
            <w:tcW w:w="3567" w:type="dxa"/>
            <w:vMerge w:val="restart"/>
            <w:shd w:val="clear" w:color="auto" w:fill="F2F2F2"/>
            <w:vAlign w:val="center"/>
          </w:tcPr>
          <w:p w14:paraId="0773B879" w14:textId="0E67C40A" w:rsidR="00C4444C" w:rsidRPr="0058349C" w:rsidRDefault="00C4444C" w:rsidP="00CF7694">
            <w:pPr>
              <w:spacing w:after="0" w:line="240" w:lineRule="auto"/>
              <w:jc w:val="center"/>
              <w:rPr>
                <w:rFonts w:ascii="Garamond" w:hAnsi="Garamond"/>
                <w:b/>
                <w:bCs/>
                <w:sz w:val="18"/>
                <w:szCs w:val="18"/>
                <w:lang w:val="sq-AL"/>
              </w:rPr>
            </w:pPr>
            <w:r w:rsidRPr="0058349C">
              <w:rPr>
                <w:rFonts w:ascii="Garamond" w:eastAsia="Arial" w:hAnsi="Garamond"/>
                <w:b/>
                <w:bCs/>
                <w:sz w:val="18"/>
                <w:szCs w:val="18"/>
                <w:lang w:val="sq-AL"/>
              </w:rPr>
              <w:t xml:space="preserve">Masa </w:t>
            </w:r>
            <w:r w:rsidR="00797859">
              <w:rPr>
                <w:rFonts w:ascii="Garamond" w:eastAsia="Arial" w:hAnsi="Garamond"/>
                <w:b/>
                <w:bCs/>
                <w:sz w:val="18"/>
                <w:szCs w:val="18"/>
                <w:lang w:val="sq-AL"/>
              </w:rPr>
              <w:t>/</w:t>
            </w:r>
            <w:r w:rsidRPr="0058349C">
              <w:rPr>
                <w:rFonts w:ascii="Garamond" w:eastAsia="Arial" w:hAnsi="Garamond"/>
                <w:b/>
                <w:bCs/>
                <w:sz w:val="18"/>
                <w:szCs w:val="18"/>
                <w:lang w:val="sq-AL"/>
              </w:rPr>
              <w:t xml:space="preserve">Veprimi </w:t>
            </w:r>
            <w:r w:rsidR="00797859">
              <w:rPr>
                <w:rFonts w:ascii="Garamond" w:eastAsia="Arial" w:hAnsi="Garamond"/>
                <w:b/>
                <w:bCs/>
                <w:sz w:val="18"/>
                <w:szCs w:val="18"/>
                <w:lang w:val="sq-AL"/>
              </w:rPr>
              <w:t>/</w:t>
            </w:r>
            <w:r w:rsidRPr="0058349C">
              <w:rPr>
                <w:rFonts w:ascii="Garamond" w:eastAsia="Arial" w:hAnsi="Garamond"/>
                <w:b/>
                <w:bCs/>
                <w:sz w:val="18"/>
                <w:szCs w:val="18"/>
                <w:lang w:val="sq-AL"/>
              </w:rPr>
              <w:t>Ndërhyrja</w:t>
            </w:r>
          </w:p>
        </w:tc>
        <w:tc>
          <w:tcPr>
            <w:tcW w:w="2526" w:type="dxa"/>
            <w:vMerge w:val="restart"/>
            <w:shd w:val="clear" w:color="auto" w:fill="F2F2F2"/>
            <w:vAlign w:val="center"/>
          </w:tcPr>
          <w:p w14:paraId="0773B87A" w14:textId="77777777" w:rsidR="00C4444C" w:rsidRPr="0058349C" w:rsidRDefault="00C4444C" w:rsidP="00CF7694">
            <w:pPr>
              <w:spacing w:after="0" w:line="240" w:lineRule="auto"/>
              <w:jc w:val="center"/>
              <w:rPr>
                <w:rFonts w:ascii="Garamond" w:eastAsia="Arial" w:hAnsi="Garamond" w:cs="Segoe UI"/>
                <w:sz w:val="18"/>
                <w:szCs w:val="18"/>
                <w:lang w:val="sq-AL"/>
              </w:rPr>
            </w:pPr>
            <w:r w:rsidRPr="0058349C">
              <w:rPr>
                <w:rFonts w:ascii="Garamond" w:eastAsia="Arial" w:hAnsi="Garamond"/>
                <w:b/>
                <w:bCs/>
                <w:sz w:val="18"/>
                <w:szCs w:val="18"/>
                <w:lang w:val="sq-AL"/>
              </w:rPr>
              <w:t xml:space="preserve">Treguesi i </w:t>
            </w:r>
            <w:r w:rsidRPr="00D90D20">
              <w:rPr>
                <w:rFonts w:ascii="Garamond" w:eastAsia="Arial" w:hAnsi="Garamond"/>
                <w:b/>
                <w:bCs/>
                <w:i/>
                <w:iCs/>
                <w:sz w:val="18"/>
                <w:szCs w:val="18"/>
                <w:lang w:val="sq-AL"/>
              </w:rPr>
              <w:t>output</w:t>
            </w:r>
            <w:r w:rsidRPr="0058349C">
              <w:rPr>
                <w:rFonts w:ascii="Garamond" w:eastAsia="Arial" w:hAnsi="Garamond"/>
                <w:b/>
                <w:bCs/>
                <w:sz w:val="18"/>
                <w:szCs w:val="18"/>
                <w:lang w:val="sq-AL"/>
              </w:rPr>
              <w:t>-it</w:t>
            </w:r>
          </w:p>
        </w:tc>
        <w:tc>
          <w:tcPr>
            <w:tcW w:w="1419" w:type="dxa"/>
            <w:vMerge w:val="restart"/>
            <w:shd w:val="clear" w:color="auto" w:fill="F2F2F2"/>
            <w:vAlign w:val="center"/>
          </w:tcPr>
          <w:p w14:paraId="0773B87B"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BK, IPA III, IPARD III dhe donatorë të tjerë</w:t>
            </w:r>
          </w:p>
        </w:tc>
        <w:tc>
          <w:tcPr>
            <w:tcW w:w="3865" w:type="dxa"/>
            <w:gridSpan w:val="3"/>
            <w:shd w:val="clear" w:color="auto" w:fill="F2F2F2"/>
            <w:vAlign w:val="center"/>
          </w:tcPr>
          <w:p w14:paraId="0773B87C" w14:textId="1E2549E1" w:rsidR="00C4444C" w:rsidRPr="0058349C" w:rsidRDefault="00C4444C"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Buxheti i alokuar (</w:t>
            </w:r>
            <w:r w:rsidR="00D90D20" w:rsidRPr="0058349C">
              <w:rPr>
                <w:rFonts w:ascii="Garamond" w:eastAsia="Arial" w:hAnsi="Garamond"/>
                <w:b/>
                <w:bCs/>
                <w:sz w:val="18"/>
                <w:szCs w:val="18"/>
                <w:lang w:val="sq-AL"/>
              </w:rPr>
              <w:t>euro</w:t>
            </w:r>
            <w:r w:rsidRPr="0058349C">
              <w:rPr>
                <w:rFonts w:ascii="Garamond" w:eastAsia="Arial" w:hAnsi="Garamond"/>
                <w:b/>
                <w:bCs/>
                <w:sz w:val="18"/>
                <w:szCs w:val="18"/>
                <w:lang w:val="sq-AL"/>
              </w:rPr>
              <w:t>)</w:t>
            </w:r>
          </w:p>
          <w:p w14:paraId="0773B87D" w14:textId="032F09A3" w:rsidR="00C4444C" w:rsidRPr="0058349C" w:rsidRDefault="00D90D20" w:rsidP="00CF7694">
            <w:pPr>
              <w:spacing w:after="0" w:line="240" w:lineRule="auto"/>
              <w:jc w:val="center"/>
              <w:rPr>
                <w:rFonts w:ascii="Garamond" w:eastAsia="Arial" w:hAnsi="Garamond"/>
                <w:b/>
                <w:bCs/>
                <w:sz w:val="18"/>
                <w:szCs w:val="18"/>
                <w:lang w:val="sq-AL"/>
              </w:rPr>
            </w:pPr>
            <w:r>
              <w:rPr>
                <w:rFonts w:ascii="Garamond" w:eastAsia="Arial" w:hAnsi="Garamond"/>
                <w:b/>
                <w:bCs/>
                <w:sz w:val="18"/>
                <w:szCs w:val="18"/>
                <w:lang w:val="sq-AL"/>
              </w:rPr>
              <w:t>2022</w:t>
            </w:r>
            <w:r w:rsidR="00C4444C" w:rsidRPr="0058349C">
              <w:rPr>
                <w:rFonts w:ascii="Garamond" w:eastAsia="Arial" w:hAnsi="Garamond" w:cs="Arial"/>
                <w:b/>
                <w:bCs/>
                <w:sz w:val="18"/>
                <w:szCs w:val="18"/>
                <w:lang w:val="sq-AL"/>
              </w:rPr>
              <w:t>–</w:t>
            </w:r>
            <w:r w:rsidR="00C4444C" w:rsidRPr="0058349C">
              <w:rPr>
                <w:rFonts w:ascii="Garamond" w:eastAsia="Arial" w:hAnsi="Garamond"/>
                <w:b/>
                <w:bCs/>
                <w:sz w:val="18"/>
                <w:szCs w:val="18"/>
                <w:lang w:val="sq-AL"/>
              </w:rPr>
              <w:t>2024</w:t>
            </w:r>
          </w:p>
          <w:p w14:paraId="0773B87E" w14:textId="3EE9499B"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(N = nevoja,</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nuk mbulohet nga buxheti kombëtar/buxheti IPA III</w:t>
            </w:r>
            <w:r w:rsidR="00C259A4">
              <w:rPr>
                <w:rFonts w:ascii="Garamond" w:eastAsia="Arial" w:hAnsi="Garamond"/>
                <w:b/>
                <w:bCs/>
                <w:sz w:val="18"/>
                <w:szCs w:val="18"/>
                <w:lang w:val="sq-AL"/>
              </w:rPr>
              <w:t>)</w:t>
            </w:r>
          </w:p>
        </w:tc>
        <w:tc>
          <w:tcPr>
            <w:tcW w:w="1134" w:type="dxa"/>
            <w:vMerge w:val="restart"/>
            <w:shd w:val="clear" w:color="auto" w:fill="E5F7CA"/>
            <w:vAlign w:val="center"/>
          </w:tcPr>
          <w:p w14:paraId="0773B87F" w14:textId="48343806"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Objektivi</w:t>
            </w:r>
            <w:r w:rsidR="00CF7694" w:rsidRPr="0058349C">
              <w:rPr>
                <w:rFonts w:ascii="Garamond" w:eastAsia="Arial" w:hAnsi="Garamond"/>
                <w:b/>
                <w:bCs/>
                <w:sz w:val="18"/>
                <w:szCs w:val="18"/>
                <w:lang w:val="sq-AL"/>
              </w:rPr>
              <w:t xml:space="preserve"> </w:t>
            </w:r>
            <w:r w:rsidRPr="0058349C">
              <w:rPr>
                <w:rFonts w:ascii="Garamond" w:eastAsia="Arial" w:hAnsi="Garamond"/>
                <w:b/>
                <w:bCs/>
                <w:sz w:val="18"/>
                <w:szCs w:val="18"/>
                <w:lang w:val="sq-AL"/>
              </w:rPr>
              <w:t>për vitin 2024</w:t>
            </w:r>
          </w:p>
        </w:tc>
        <w:tc>
          <w:tcPr>
            <w:tcW w:w="1275" w:type="dxa"/>
            <w:vMerge w:val="restart"/>
            <w:shd w:val="clear" w:color="auto" w:fill="E5F7CA"/>
            <w:vAlign w:val="center"/>
          </w:tcPr>
          <w:p w14:paraId="0773B880" w14:textId="1656291B" w:rsidR="00C4444C" w:rsidRPr="0058349C" w:rsidRDefault="00C4444C"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Objektivi</w:t>
            </w:r>
            <w:r w:rsidR="00CF7694" w:rsidRPr="0058349C">
              <w:rPr>
                <w:rFonts w:ascii="Garamond" w:eastAsia="Arial" w:hAnsi="Garamond"/>
                <w:b/>
                <w:bCs/>
                <w:sz w:val="18"/>
                <w:szCs w:val="18"/>
                <w:lang w:val="sq-AL"/>
              </w:rPr>
              <w:t xml:space="preserve"> </w:t>
            </w:r>
          </w:p>
          <w:p w14:paraId="0773B881" w14:textId="77777777" w:rsidR="00C4444C" w:rsidRPr="0058349C" w:rsidRDefault="00C4444C" w:rsidP="00CF7694">
            <w:pPr>
              <w:spacing w:after="0" w:line="240" w:lineRule="auto"/>
              <w:jc w:val="center"/>
              <w:rPr>
                <w:rFonts w:ascii="Garamond" w:eastAsia="Arial" w:hAnsi="Garamond"/>
                <w:b/>
                <w:bCs/>
                <w:sz w:val="18"/>
                <w:szCs w:val="18"/>
                <w:lang w:val="sq-AL"/>
              </w:rPr>
            </w:pPr>
            <w:r w:rsidRPr="0058349C">
              <w:rPr>
                <w:rFonts w:ascii="Garamond" w:eastAsia="Arial" w:hAnsi="Garamond"/>
                <w:b/>
                <w:bCs/>
                <w:sz w:val="18"/>
                <w:szCs w:val="18"/>
                <w:lang w:val="sq-AL"/>
              </w:rPr>
              <w:t>për vitin 2027</w:t>
            </w:r>
          </w:p>
        </w:tc>
      </w:tr>
      <w:tr w:rsidR="00C4444C" w:rsidRPr="0058349C" w14:paraId="0773B88C" w14:textId="77777777" w:rsidTr="00E9489E">
        <w:trPr>
          <w:gridAfter w:val="1"/>
          <w:wAfter w:w="8" w:type="dxa"/>
          <w:trHeight w:val="20"/>
        </w:trPr>
        <w:tc>
          <w:tcPr>
            <w:tcW w:w="384" w:type="dxa"/>
            <w:vMerge/>
            <w:shd w:val="clear" w:color="auto" w:fill="F2F2F2"/>
          </w:tcPr>
          <w:p w14:paraId="0773B883" w14:textId="77777777" w:rsidR="00C4444C" w:rsidRPr="0058349C" w:rsidRDefault="00C4444C" w:rsidP="00CF7694">
            <w:pPr>
              <w:spacing w:after="0" w:line="240" w:lineRule="auto"/>
              <w:rPr>
                <w:rFonts w:ascii="Garamond" w:eastAsia="Arial" w:hAnsi="Garamond"/>
                <w:b/>
                <w:sz w:val="18"/>
                <w:szCs w:val="18"/>
                <w:lang w:val="sq-AL"/>
              </w:rPr>
            </w:pPr>
          </w:p>
        </w:tc>
        <w:tc>
          <w:tcPr>
            <w:tcW w:w="3567" w:type="dxa"/>
            <w:vMerge/>
            <w:shd w:val="clear" w:color="auto" w:fill="F2F2F2"/>
          </w:tcPr>
          <w:p w14:paraId="0773B884" w14:textId="77777777" w:rsidR="00C4444C" w:rsidRPr="0058349C" w:rsidRDefault="00C4444C" w:rsidP="00CF7694">
            <w:pPr>
              <w:spacing w:after="0" w:line="240" w:lineRule="auto"/>
              <w:rPr>
                <w:rFonts w:ascii="Garamond" w:hAnsi="Garamond"/>
                <w:b/>
                <w:bCs/>
                <w:sz w:val="18"/>
                <w:szCs w:val="18"/>
                <w:lang w:val="sq-AL"/>
              </w:rPr>
            </w:pPr>
          </w:p>
        </w:tc>
        <w:tc>
          <w:tcPr>
            <w:tcW w:w="2526" w:type="dxa"/>
            <w:vMerge/>
            <w:shd w:val="clear" w:color="auto" w:fill="F2F2F2"/>
          </w:tcPr>
          <w:p w14:paraId="0773B885" w14:textId="77777777" w:rsidR="00C4444C" w:rsidRPr="0058349C" w:rsidRDefault="00C4444C" w:rsidP="00CF7694">
            <w:pPr>
              <w:spacing w:after="0" w:line="240" w:lineRule="auto"/>
              <w:rPr>
                <w:rFonts w:ascii="Garamond" w:eastAsia="Arial" w:hAnsi="Garamond" w:cs="Segoe UI"/>
                <w:sz w:val="18"/>
                <w:szCs w:val="18"/>
                <w:lang w:val="sq-AL"/>
              </w:rPr>
            </w:pPr>
          </w:p>
        </w:tc>
        <w:tc>
          <w:tcPr>
            <w:tcW w:w="1419" w:type="dxa"/>
            <w:vMerge/>
            <w:shd w:val="clear" w:color="auto" w:fill="F2F2F2"/>
          </w:tcPr>
          <w:p w14:paraId="0773B886" w14:textId="77777777" w:rsidR="00C4444C" w:rsidRPr="0058349C" w:rsidRDefault="00C4444C" w:rsidP="00CF7694">
            <w:pPr>
              <w:spacing w:after="0" w:line="240" w:lineRule="auto"/>
              <w:rPr>
                <w:rFonts w:ascii="Garamond" w:eastAsia="Arial" w:hAnsi="Garamond"/>
                <w:sz w:val="18"/>
                <w:szCs w:val="18"/>
                <w:lang w:val="sq-AL"/>
              </w:rPr>
            </w:pPr>
          </w:p>
        </w:tc>
        <w:tc>
          <w:tcPr>
            <w:tcW w:w="1288" w:type="dxa"/>
            <w:shd w:val="clear" w:color="auto" w:fill="F2F2F2"/>
          </w:tcPr>
          <w:p w14:paraId="0773B887"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2022</w:t>
            </w:r>
          </w:p>
        </w:tc>
        <w:tc>
          <w:tcPr>
            <w:tcW w:w="1288" w:type="dxa"/>
            <w:shd w:val="clear" w:color="auto" w:fill="F2F2F2"/>
          </w:tcPr>
          <w:p w14:paraId="0773B888"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2023</w:t>
            </w:r>
          </w:p>
        </w:tc>
        <w:tc>
          <w:tcPr>
            <w:tcW w:w="1289" w:type="dxa"/>
            <w:shd w:val="clear" w:color="auto" w:fill="F2F2F2"/>
          </w:tcPr>
          <w:p w14:paraId="0773B889"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b/>
                <w:bCs/>
                <w:sz w:val="18"/>
                <w:szCs w:val="18"/>
                <w:lang w:val="sq-AL"/>
              </w:rPr>
              <w:t>2024</w:t>
            </w:r>
          </w:p>
        </w:tc>
        <w:tc>
          <w:tcPr>
            <w:tcW w:w="1134" w:type="dxa"/>
            <w:vMerge/>
            <w:shd w:val="clear" w:color="auto" w:fill="E5F7CA"/>
          </w:tcPr>
          <w:p w14:paraId="0773B88A" w14:textId="77777777" w:rsidR="00C4444C" w:rsidRPr="0058349C" w:rsidRDefault="00C4444C" w:rsidP="00CF7694">
            <w:pPr>
              <w:spacing w:after="0" w:line="240" w:lineRule="auto"/>
              <w:rPr>
                <w:rFonts w:ascii="Garamond" w:eastAsia="Arial" w:hAnsi="Garamond"/>
                <w:sz w:val="18"/>
                <w:szCs w:val="18"/>
                <w:lang w:val="sq-AL"/>
              </w:rPr>
            </w:pPr>
          </w:p>
        </w:tc>
        <w:tc>
          <w:tcPr>
            <w:tcW w:w="1275" w:type="dxa"/>
            <w:vMerge/>
            <w:shd w:val="clear" w:color="auto" w:fill="E5F7CA"/>
          </w:tcPr>
          <w:p w14:paraId="0773B88B" w14:textId="77777777" w:rsidR="00C4444C" w:rsidRPr="0058349C" w:rsidRDefault="00C4444C" w:rsidP="00CF7694">
            <w:pPr>
              <w:spacing w:after="0" w:line="240" w:lineRule="auto"/>
              <w:rPr>
                <w:rFonts w:ascii="Garamond" w:eastAsia="Arial" w:hAnsi="Garamond"/>
                <w:sz w:val="18"/>
                <w:szCs w:val="18"/>
                <w:lang w:val="sq-AL"/>
              </w:rPr>
            </w:pPr>
          </w:p>
        </w:tc>
      </w:tr>
      <w:tr w:rsidR="00C4444C" w:rsidRPr="0058349C" w14:paraId="0773B898" w14:textId="77777777" w:rsidTr="00E9489E">
        <w:trPr>
          <w:gridAfter w:val="1"/>
          <w:wAfter w:w="8" w:type="dxa"/>
          <w:trHeight w:val="20"/>
        </w:trPr>
        <w:tc>
          <w:tcPr>
            <w:tcW w:w="384" w:type="dxa"/>
            <w:shd w:val="clear" w:color="auto" w:fill="F2F2F2"/>
          </w:tcPr>
          <w:p w14:paraId="0773B88D" w14:textId="77777777" w:rsidR="00C4444C" w:rsidRPr="0058349C" w:rsidRDefault="00C4444C" w:rsidP="00CF7694">
            <w:pPr>
              <w:spacing w:after="0" w:line="240" w:lineRule="auto"/>
              <w:rPr>
                <w:rFonts w:ascii="Garamond" w:eastAsia="Arial" w:hAnsi="Garamond"/>
                <w:b/>
                <w:sz w:val="18"/>
                <w:szCs w:val="18"/>
                <w:lang w:val="sq-AL"/>
              </w:rPr>
            </w:pPr>
          </w:p>
        </w:tc>
        <w:tc>
          <w:tcPr>
            <w:tcW w:w="3567" w:type="dxa"/>
            <w:shd w:val="clear" w:color="auto" w:fill="F2F2F2"/>
          </w:tcPr>
          <w:p w14:paraId="0773B88E" w14:textId="6E97A338" w:rsidR="00C4444C" w:rsidRPr="0058349C" w:rsidRDefault="00C4444C" w:rsidP="00CF7694">
            <w:pPr>
              <w:spacing w:after="0" w:line="240" w:lineRule="auto"/>
              <w:rPr>
                <w:rFonts w:ascii="Garamond" w:hAnsi="Garamond"/>
                <w:b/>
                <w:bCs/>
                <w:sz w:val="18"/>
                <w:szCs w:val="18"/>
                <w:lang w:val="sq-AL"/>
              </w:rPr>
            </w:pPr>
            <w:r w:rsidRPr="0058349C">
              <w:rPr>
                <w:rFonts w:ascii="Garamond" w:hAnsi="Garamond"/>
                <w:b/>
                <w:bCs/>
                <w:sz w:val="18"/>
                <w:szCs w:val="18"/>
                <w:lang w:val="sq-AL"/>
              </w:rPr>
              <w:t xml:space="preserve">Hartimi i </w:t>
            </w:r>
            <w:r w:rsidR="00D90D20" w:rsidRPr="0058349C">
              <w:rPr>
                <w:rFonts w:ascii="Garamond" w:hAnsi="Garamond"/>
                <w:b/>
                <w:bCs/>
                <w:sz w:val="18"/>
                <w:szCs w:val="18"/>
                <w:lang w:val="sq-AL"/>
              </w:rPr>
              <w:t xml:space="preserve">konceptit </w:t>
            </w:r>
            <w:r w:rsidRPr="0058349C">
              <w:rPr>
                <w:rFonts w:ascii="Garamond" w:hAnsi="Garamond"/>
                <w:b/>
                <w:bCs/>
                <w:sz w:val="18"/>
                <w:szCs w:val="18"/>
                <w:lang w:val="sq-AL"/>
              </w:rPr>
              <w:t>strategjik mbi ngritjen e sistemi SNJIB p</w:t>
            </w:r>
            <w:r w:rsidRPr="0058349C">
              <w:rPr>
                <w:rFonts w:ascii="Garamond" w:eastAsia="Arial" w:hAnsi="Garamond"/>
                <w:b/>
                <w:bCs/>
                <w:sz w:val="18"/>
                <w:szCs w:val="18"/>
                <w:lang w:val="sq-AL"/>
              </w:rPr>
              <w:t>ër Shqipërinë është miratuar nga QSH</w:t>
            </w:r>
            <w:r w:rsidR="00D90D20">
              <w:rPr>
                <w:rFonts w:ascii="Garamond" w:eastAsia="Arial" w:hAnsi="Garamond"/>
                <w:b/>
                <w:bCs/>
                <w:sz w:val="18"/>
                <w:szCs w:val="18"/>
                <w:lang w:val="sq-AL"/>
              </w:rPr>
              <w:t>-ja</w:t>
            </w:r>
          </w:p>
        </w:tc>
        <w:tc>
          <w:tcPr>
            <w:tcW w:w="2526" w:type="dxa"/>
            <w:shd w:val="clear" w:color="auto" w:fill="F2F2F2"/>
          </w:tcPr>
          <w:p w14:paraId="0773B88F" w14:textId="0273B778" w:rsidR="00C4444C" w:rsidRPr="0058349C" w:rsidRDefault="00C4444C" w:rsidP="00CF7694">
            <w:pPr>
              <w:spacing w:after="0" w:line="240" w:lineRule="auto"/>
              <w:rPr>
                <w:rFonts w:ascii="Garamond" w:eastAsia="Arial" w:hAnsi="Garamond" w:cs="Segoe UI"/>
                <w:sz w:val="18"/>
                <w:szCs w:val="18"/>
                <w:lang w:val="sq-AL"/>
              </w:rPr>
            </w:pPr>
            <w:r w:rsidRPr="0058349C">
              <w:rPr>
                <w:rFonts w:ascii="Garamond" w:hAnsi="Garamond"/>
                <w:bCs/>
                <w:sz w:val="18"/>
                <w:szCs w:val="18"/>
                <w:lang w:val="sq-AL"/>
              </w:rPr>
              <w:t>Koncepti strategjik mbi ngritjen e sistemi SNJIB (AKIS)</w:t>
            </w:r>
            <w:r w:rsidR="00CF7694" w:rsidRPr="0058349C">
              <w:rPr>
                <w:rFonts w:ascii="Garamond" w:hAnsi="Garamond"/>
                <w:bCs/>
                <w:sz w:val="18"/>
                <w:szCs w:val="18"/>
                <w:lang w:val="sq-AL"/>
              </w:rPr>
              <w:t xml:space="preserve"> </w:t>
            </w:r>
            <w:r w:rsidRPr="0058349C">
              <w:rPr>
                <w:rFonts w:ascii="Garamond" w:hAnsi="Garamond"/>
                <w:bCs/>
                <w:sz w:val="18"/>
                <w:szCs w:val="18"/>
                <w:lang w:val="sq-AL"/>
              </w:rPr>
              <w:t>p</w:t>
            </w:r>
            <w:r w:rsidRPr="0058349C">
              <w:rPr>
                <w:rFonts w:ascii="Garamond" w:eastAsia="Arial" w:hAnsi="Garamond"/>
                <w:bCs/>
                <w:sz w:val="18"/>
                <w:szCs w:val="18"/>
                <w:lang w:val="sq-AL"/>
              </w:rPr>
              <w:t>ër Shqipërinë është miratuar nga QSH deri n</w:t>
            </w:r>
            <w:r w:rsidRPr="0058349C">
              <w:rPr>
                <w:rFonts w:ascii="Garamond" w:hAnsi="Garamond"/>
                <w:bCs/>
                <w:sz w:val="18"/>
                <w:szCs w:val="18"/>
                <w:lang w:val="sq-AL"/>
              </w:rPr>
              <w:t xml:space="preserve">ë </w:t>
            </w:r>
            <w:r w:rsidRPr="0058349C">
              <w:rPr>
                <w:rFonts w:ascii="Garamond" w:eastAsia="Arial" w:hAnsi="Garamond"/>
                <w:bCs/>
                <w:sz w:val="18"/>
                <w:szCs w:val="18"/>
                <w:lang w:val="sq-AL"/>
              </w:rPr>
              <w:t>vitin 2025.</w:t>
            </w:r>
          </w:p>
        </w:tc>
        <w:tc>
          <w:tcPr>
            <w:tcW w:w="1419" w:type="dxa"/>
            <w:shd w:val="clear" w:color="auto" w:fill="F2F2F2"/>
            <w:vAlign w:val="center"/>
          </w:tcPr>
          <w:p w14:paraId="0773B890"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NB</w:t>
            </w:r>
          </w:p>
        </w:tc>
        <w:tc>
          <w:tcPr>
            <w:tcW w:w="1288" w:type="dxa"/>
            <w:shd w:val="clear" w:color="auto" w:fill="F2F2F2"/>
            <w:vAlign w:val="center"/>
          </w:tcPr>
          <w:p w14:paraId="0773B891"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892" w14:textId="77777777" w:rsidR="00C4444C" w:rsidRPr="0058349C" w:rsidRDefault="00C4444C" w:rsidP="00CF7694">
            <w:pPr>
              <w:spacing w:after="0" w:line="240" w:lineRule="auto"/>
              <w:jc w:val="center"/>
              <w:rPr>
                <w:rFonts w:ascii="Garamond" w:hAnsi="Garamond"/>
                <w:bCs/>
                <w:sz w:val="18"/>
                <w:szCs w:val="18"/>
                <w:lang w:val="sq-AL"/>
              </w:rPr>
            </w:pPr>
            <w:r w:rsidRPr="0058349C">
              <w:rPr>
                <w:rFonts w:ascii="Garamond" w:eastAsia="Arial" w:hAnsi="Garamond"/>
                <w:sz w:val="18"/>
                <w:szCs w:val="18"/>
                <w:lang w:val="sq-AL"/>
              </w:rPr>
              <w:t>Donator</w:t>
            </w:r>
            <w:r w:rsidRPr="0058349C">
              <w:rPr>
                <w:rFonts w:ascii="Garamond" w:hAnsi="Garamond"/>
                <w:bCs/>
                <w:sz w:val="18"/>
                <w:szCs w:val="18"/>
                <w:lang w:val="sq-AL"/>
              </w:rPr>
              <w:t>ët TAIEX</w:t>
            </w:r>
          </w:p>
          <w:p w14:paraId="0773B893"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hAnsi="Garamond"/>
                <w:bCs/>
                <w:sz w:val="18"/>
                <w:szCs w:val="18"/>
                <w:lang w:val="sq-AL"/>
              </w:rPr>
              <w:t xml:space="preserve"> BK</w:t>
            </w:r>
          </w:p>
        </w:tc>
        <w:tc>
          <w:tcPr>
            <w:tcW w:w="1289" w:type="dxa"/>
            <w:shd w:val="clear" w:color="auto" w:fill="F2F2F2"/>
            <w:vAlign w:val="center"/>
          </w:tcPr>
          <w:p w14:paraId="0773B894" w14:textId="77777777" w:rsidR="00C4444C" w:rsidRPr="0058349C" w:rsidRDefault="00C4444C" w:rsidP="00CF7694">
            <w:pPr>
              <w:spacing w:after="0" w:line="240" w:lineRule="auto"/>
              <w:jc w:val="center"/>
              <w:rPr>
                <w:rFonts w:ascii="Garamond" w:hAnsi="Garamond"/>
                <w:bCs/>
                <w:sz w:val="18"/>
                <w:szCs w:val="18"/>
                <w:lang w:val="sq-AL"/>
              </w:rPr>
            </w:pPr>
            <w:r w:rsidRPr="0058349C">
              <w:rPr>
                <w:rFonts w:ascii="Garamond" w:eastAsia="Arial" w:hAnsi="Garamond"/>
                <w:sz w:val="18"/>
                <w:szCs w:val="18"/>
                <w:lang w:val="sq-AL"/>
              </w:rPr>
              <w:t>Donator</w:t>
            </w:r>
            <w:r w:rsidRPr="0058349C">
              <w:rPr>
                <w:rFonts w:ascii="Garamond" w:hAnsi="Garamond"/>
                <w:bCs/>
                <w:sz w:val="18"/>
                <w:szCs w:val="18"/>
                <w:lang w:val="sq-AL"/>
              </w:rPr>
              <w:t>ët TAIEX</w:t>
            </w:r>
          </w:p>
          <w:p w14:paraId="0773B895"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hAnsi="Garamond"/>
                <w:bCs/>
                <w:sz w:val="18"/>
                <w:szCs w:val="18"/>
                <w:lang w:val="sq-AL"/>
              </w:rPr>
              <w:t xml:space="preserve"> BK</w:t>
            </w:r>
          </w:p>
        </w:tc>
        <w:tc>
          <w:tcPr>
            <w:tcW w:w="1134" w:type="dxa"/>
            <w:shd w:val="clear" w:color="auto" w:fill="E5F7CA"/>
            <w:vAlign w:val="center"/>
          </w:tcPr>
          <w:p w14:paraId="0773B896"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75" w:type="dxa"/>
            <w:shd w:val="clear" w:color="auto" w:fill="E5F7CA"/>
            <w:vAlign w:val="center"/>
          </w:tcPr>
          <w:p w14:paraId="0773B897"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w:t>
            </w:r>
          </w:p>
        </w:tc>
      </w:tr>
      <w:tr w:rsidR="00C4444C" w:rsidRPr="0058349C" w14:paraId="0773B8A3" w14:textId="77777777" w:rsidTr="00E9489E">
        <w:trPr>
          <w:gridAfter w:val="1"/>
          <w:wAfter w:w="8" w:type="dxa"/>
          <w:trHeight w:val="20"/>
        </w:trPr>
        <w:tc>
          <w:tcPr>
            <w:tcW w:w="384" w:type="dxa"/>
            <w:shd w:val="clear" w:color="auto" w:fill="F2F2F2"/>
          </w:tcPr>
          <w:p w14:paraId="0773B899" w14:textId="77777777" w:rsidR="00C4444C" w:rsidRPr="0058349C" w:rsidRDefault="00C4444C" w:rsidP="00CF7694">
            <w:pPr>
              <w:spacing w:after="0" w:line="240" w:lineRule="auto"/>
              <w:rPr>
                <w:rFonts w:ascii="Garamond" w:eastAsia="Arial" w:hAnsi="Garamond"/>
                <w:b/>
                <w:sz w:val="18"/>
                <w:szCs w:val="18"/>
                <w:lang w:val="sq-AL"/>
              </w:rPr>
            </w:pPr>
          </w:p>
        </w:tc>
        <w:tc>
          <w:tcPr>
            <w:tcW w:w="3567" w:type="dxa"/>
            <w:shd w:val="clear" w:color="auto" w:fill="F2F2F2"/>
          </w:tcPr>
          <w:p w14:paraId="0773B89A" w14:textId="0A9266AE" w:rsidR="00C4444C" w:rsidRPr="0058349C" w:rsidRDefault="00C4444C" w:rsidP="00CF7694">
            <w:pPr>
              <w:spacing w:after="0" w:line="240" w:lineRule="auto"/>
              <w:rPr>
                <w:rFonts w:ascii="Garamond" w:hAnsi="Garamond"/>
                <w:b/>
                <w:bCs/>
                <w:sz w:val="18"/>
                <w:szCs w:val="18"/>
                <w:lang w:val="sq-AL"/>
              </w:rPr>
            </w:pPr>
            <w:r w:rsidRPr="0058349C">
              <w:rPr>
                <w:rFonts w:ascii="Garamond" w:hAnsi="Garamond"/>
                <w:b/>
                <w:bCs/>
                <w:sz w:val="18"/>
                <w:szCs w:val="18"/>
                <w:lang w:val="sq-AL"/>
              </w:rPr>
              <w:t xml:space="preserve">Hartimi i </w:t>
            </w:r>
            <w:r w:rsidR="00D90D20" w:rsidRPr="0058349C">
              <w:rPr>
                <w:rFonts w:ascii="Garamond" w:hAnsi="Garamond"/>
                <w:b/>
                <w:bCs/>
                <w:sz w:val="18"/>
                <w:szCs w:val="18"/>
                <w:lang w:val="sq-AL"/>
              </w:rPr>
              <w:t xml:space="preserve">konceptit </w:t>
            </w:r>
            <w:r w:rsidRPr="0058349C">
              <w:rPr>
                <w:rFonts w:ascii="Garamond" w:hAnsi="Garamond"/>
                <w:b/>
                <w:bCs/>
                <w:sz w:val="18"/>
                <w:szCs w:val="18"/>
                <w:lang w:val="sq-AL"/>
              </w:rPr>
              <w:t>strategjik mbi integrimin dhe rolin e AREB-ve dhe të QTTB-ve në sistemin SNJIB në përputhje me PPB pas 2021</w:t>
            </w:r>
          </w:p>
        </w:tc>
        <w:tc>
          <w:tcPr>
            <w:tcW w:w="2526" w:type="dxa"/>
            <w:shd w:val="clear" w:color="auto" w:fill="F2F2F2"/>
          </w:tcPr>
          <w:p w14:paraId="0773B89B" w14:textId="06D69C03" w:rsidR="00C4444C" w:rsidRPr="0058349C" w:rsidRDefault="00C4444C" w:rsidP="00CF7694">
            <w:pPr>
              <w:spacing w:after="0" w:line="240" w:lineRule="auto"/>
              <w:rPr>
                <w:rFonts w:ascii="Garamond" w:eastAsia="Arial" w:hAnsi="Garamond" w:cs="Segoe UI"/>
                <w:sz w:val="18"/>
                <w:szCs w:val="18"/>
                <w:lang w:val="sq-AL"/>
              </w:rPr>
            </w:pPr>
            <w:r w:rsidRPr="0058349C">
              <w:rPr>
                <w:rFonts w:ascii="Garamond" w:hAnsi="Garamond"/>
                <w:bCs/>
                <w:sz w:val="18"/>
                <w:szCs w:val="18"/>
                <w:lang w:val="sq-AL"/>
              </w:rPr>
              <w:t>Koncepti strategjik mbi p</w:t>
            </w:r>
            <w:r w:rsidRPr="0058349C">
              <w:rPr>
                <w:rFonts w:ascii="Garamond" w:eastAsia="Arial" w:hAnsi="Garamond"/>
                <w:bCs/>
                <w:sz w:val="18"/>
                <w:szCs w:val="18"/>
                <w:lang w:val="sq-AL"/>
              </w:rPr>
              <w:t xml:space="preserve">ërfshirjen, </w:t>
            </w:r>
            <w:r w:rsidRPr="0058349C">
              <w:rPr>
                <w:rFonts w:ascii="Garamond" w:hAnsi="Garamond"/>
                <w:bCs/>
                <w:sz w:val="18"/>
                <w:szCs w:val="18"/>
                <w:lang w:val="sq-AL"/>
              </w:rPr>
              <w:t>rolin dhe funksionin e SHKF</w:t>
            </w:r>
            <w:r w:rsidR="00D90D20">
              <w:rPr>
                <w:rFonts w:ascii="Garamond" w:hAnsi="Garamond"/>
                <w:bCs/>
                <w:sz w:val="18"/>
                <w:szCs w:val="18"/>
                <w:lang w:val="sq-AL"/>
              </w:rPr>
              <w:t>-së</w:t>
            </w:r>
            <w:r w:rsidRPr="0058349C">
              <w:rPr>
                <w:rFonts w:ascii="Garamond" w:hAnsi="Garamond"/>
                <w:bCs/>
                <w:sz w:val="18"/>
                <w:szCs w:val="18"/>
                <w:lang w:val="sq-AL"/>
              </w:rPr>
              <w:t xml:space="preserve"> dhe QTTB-ve n</w:t>
            </w:r>
            <w:r w:rsidRPr="0058349C">
              <w:rPr>
                <w:rFonts w:ascii="Garamond" w:eastAsia="Arial" w:hAnsi="Garamond"/>
                <w:bCs/>
                <w:sz w:val="18"/>
                <w:szCs w:val="18"/>
                <w:lang w:val="sq-AL"/>
              </w:rPr>
              <w:t>ë</w:t>
            </w:r>
            <w:r w:rsidR="00CF7694" w:rsidRPr="0058349C">
              <w:rPr>
                <w:rFonts w:ascii="Garamond" w:eastAsia="Arial" w:hAnsi="Garamond"/>
                <w:bCs/>
                <w:sz w:val="18"/>
                <w:szCs w:val="18"/>
                <w:lang w:val="sq-AL"/>
              </w:rPr>
              <w:t xml:space="preserve"> </w:t>
            </w:r>
            <w:r w:rsidRPr="0058349C">
              <w:rPr>
                <w:rFonts w:ascii="Garamond" w:hAnsi="Garamond"/>
                <w:bCs/>
                <w:sz w:val="18"/>
                <w:szCs w:val="18"/>
                <w:lang w:val="sq-AL"/>
              </w:rPr>
              <w:t xml:space="preserve">sistemin SNJIB (AKIS) </w:t>
            </w:r>
            <w:r w:rsidRPr="0058349C">
              <w:rPr>
                <w:rFonts w:ascii="Garamond" w:eastAsia="Arial" w:hAnsi="Garamond"/>
                <w:bCs/>
                <w:sz w:val="18"/>
                <w:szCs w:val="18"/>
                <w:lang w:val="sq-AL"/>
              </w:rPr>
              <w:t>është miratuar nga MBZHR</w:t>
            </w:r>
            <w:r w:rsidR="00D90D20">
              <w:rPr>
                <w:rFonts w:ascii="Garamond" w:eastAsia="Arial" w:hAnsi="Garamond"/>
                <w:bCs/>
                <w:sz w:val="18"/>
                <w:szCs w:val="18"/>
                <w:lang w:val="sq-AL"/>
              </w:rPr>
              <w:t>-ja</w:t>
            </w:r>
            <w:r w:rsidRPr="0058349C">
              <w:rPr>
                <w:rFonts w:ascii="Garamond" w:eastAsia="Arial" w:hAnsi="Garamond"/>
                <w:bCs/>
                <w:sz w:val="18"/>
                <w:szCs w:val="18"/>
                <w:lang w:val="sq-AL"/>
              </w:rPr>
              <w:t xml:space="preserve"> deri n</w:t>
            </w:r>
            <w:r w:rsidRPr="0058349C">
              <w:rPr>
                <w:rFonts w:ascii="Garamond" w:hAnsi="Garamond"/>
                <w:bCs/>
                <w:sz w:val="18"/>
                <w:szCs w:val="18"/>
                <w:lang w:val="sq-AL"/>
              </w:rPr>
              <w:t xml:space="preserve">ë </w:t>
            </w:r>
            <w:r w:rsidRPr="0058349C">
              <w:rPr>
                <w:rFonts w:ascii="Garamond" w:eastAsia="Arial" w:hAnsi="Garamond"/>
                <w:bCs/>
                <w:sz w:val="18"/>
                <w:szCs w:val="18"/>
                <w:lang w:val="sq-AL"/>
              </w:rPr>
              <w:t>vitin 2027.</w:t>
            </w:r>
          </w:p>
        </w:tc>
        <w:tc>
          <w:tcPr>
            <w:tcW w:w="1419" w:type="dxa"/>
            <w:shd w:val="clear" w:color="auto" w:fill="F2F2F2"/>
            <w:vAlign w:val="center"/>
          </w:tcPr>
          <w:p w14:paraId="0773B89C"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89D"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89E"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89" w:type="dxa"/>
            <w:shd w:val="clear" w:color="auto" w:fill="F2F2F2"/>
            <w:vAlign w:val="center"/>
          </w:tcPr>
          <w:p w14:paraId="0773B89F" w14:textId="77777777" w:rsidR="00C4444C" w:rsidRPr="0058349C" w:rsidRDefault="00C4444C" w:rsidP="00CF7694">
            <w:pPr>
              <w:spacing w:after="0" w:line="240" w:lineRule="auto"/>
              <w:jc w:val="center"/>
              <w:rPr>
                <w:rFonts w:ascii="Garamond" w:hAnsi="Garamond"/>
                <w:bCs/>
                <w:sz w:val="18"/>
                <w:szCs w:val="18"/>
                <w:lang w:val="sq-AL"/>
              </w:rPr>
            </w:pPr>
            <w:r w:rsidRPr="0058349C">
              <w:rPr>
                <w:rFonts w:ascii="Garamond" w:eastAsia="Arial" w:hAnsi="Garamond"/>
                <w:sz w:val="18"/>
                <w:szCs w:val="18"/>
                <w:lang w:val="sq-AL"/>
              </w:rPr>
              <w:t>Donator</w:t>
            </w:r>
            <w:r w:rsidRPr="0058349C">
              <w:rPr>
                <w:rFonts w:ascii="Garamond" w:hAnsi="Garamond"/>
                <w:bCs/>
                <w:sz w:val="18"/>
                <w:szCs w:val="18"/>
                <w:lang w:val="sq-AL"/>
              </w:rPr>
              <w:t>ët TAIEX</w:t>
            </w:r>
          </w:p>
          <w:p w14:paraId="0773B8A0"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hAnsi="Garamond"/>
                <w:bCs/>
                <w:sz w:val="18"/>
                <w:szCs w:val="18"/>
                <w:lang w:val="sq-AL"/>
              </w:rPr>
              <w:t xml:space="preserve"> BK ndoshta IPARD III</w:t>
            </w:r>
          </w:p>
        </w:tc>
        <w:tc>
          <w:tcPr>
            <w:tcW w:w="1134" w:type="dxa"/>
            <w:shd w:val="clear" w:color="auto" w:fill="E5F7CA"/>
            <w:vAlign w:val="center"/>
          </w:tcPr>
          <w:p w14:paraId="0773B8A1"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75" w:type="dxa"/>
            <w:shd w:val="clear" w:color="auto" w:fill="E5F7CA"/>
            <w:vAlign w:val="center"/>
          </w:tcPr>
          <w:p w14:paraId="0773B8A2"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w:t>
            </w:r>
          </w:p>
        </w:tc>
      </w:tr>
      <w:tr w:rsidR="00C4444C" w:rsidRPr="0058349C" w14:paraId="0773B8AF" w14:textId="77777777" w:rsidTr="00E9489E">
        <w:trPr>
          <w:gridAfter w:val="1"/>
          <w:wAfter w:w="8" w:type="dxa"/>
          <w:trHeight w:val="20"/>
        </w:trPr>
        <w:tc>
          <w:tcPr>
            <w:tcW w:w="384" w:type="dxa"/>
            <w:shd w:val="clear" w:color="auto" w:fill="F2F2F2"/>
          </w:tcPr>
          <w:p w14:paraId="0773B8A4" w14:textId="77777777" w:rsidR="00C4444C" w:rsidRPr="0058349C" w:rsidRDefault="00C4444C" w:rsidP="00CF7694">
            <w:pPr>
              <w:spacing w:after="0" w:line="240" w:lineRule="auto"/>
              <w:rPr>
                <w:rFonts w:ascii="Garamond" w:eastAsia="Arial" w:hAnsi="Garamond"/>
                <w:b/>
                <w:sz w:val="18"/>
                <w:szCs w:val="18"/>
                <w:lang w:val="sq-AL"/>
              </w:rPr>
            </w:pPr>
          </w:p>
        </w:tc>
        <w:tc>
          <w:tcPr>
            <w:tcW w:w="3567" w:type="dxa"/>
            <w:shd w:val="clear" w:color="auto" w:fill="F2F2F2"/>
          </w:tcPr>
          <w:p w14:paraId="0773B8A5" w14:textId="6B32231C" w:rsidR="00C4444C" w:rsidRPr="0058349C" w:rsidRDefault="00C4444C" w:rsidP="00CF7694">
            <w:pPr>
              <w:spacing w:after="0" w:line="240" w:lineRule="auto"/>
              <w:rPr>
                <w:rFonts w:ascii="Garamond" w:hAnsi="Garamond"/>
                <w:b/>
                <w:bCs/>
                <w:sz w:val="18"/>
                <w:szCs w:val="18"/>
                <w:lang w:val="sq-AL"/>
              </w:rPr>
            </w:pPr>
            <w:r w:rsidRPr="0058349C">
              <w:rPr>
                <w:rFonts w:ascii="Garamond" w:hAnsi="Garamond"/>
                <w:b/>
                <w:bCs/>
                <w:sz w:val="18"/>
                <w:szCs w:val="18"/>
                <w:lang w:val="sq-AL"/>
              </w:rPr>
              <w:t>Mbështetje për ngritjen e strukturave operacionale në kontekstin e SNJIB</w:t>
            </w:r>
            <w:r w:rsidR="00D90D20">
              <w:rPr>
                <w:rFonts w:ascii="Garamond" w:hAnsi="Garamond"/>
                <w:b/>
                <w:bCs/>
                <w:sz w:val="18"/>
                <w:szCs w:val="18"/>
                <w:lang w:val="sq-AL"/>
              </w:rPr>
              <w:t>-së,</w:t>
            </w:r>
            <w:r w:rsidRPr="0058349C">
              <w:rPr>
                <w:rFonts w:ascii="Garamond" w:hAnsi="Garamond"/>
                <w:b/>
                <w:bCs/>
                <w:sz w:val="18"/>
                <w:szCs w:val="18"/>
                <w:lang w:val="sq-AL"/>
              </w:rPr>
              <w:t xml:space="preserve"> si p.sh. grupet operacionale, rrjetet tematike në nivel kombëtar të bazuar në iniciativën e organizatave të fermerëve, por edhe të AREB-ve, QTTB-ve, AUT etj.</w:t>
            </w:r>
          </w:p>
        </w:tc>
        <w:tc>
          <w:tcPr>
            <w:tcW w:w="2526" w:type="dxa"/>
            <w:shd w:val="clear" w:color="auto" w:fill="F2F2F2"/>
          </w:tcPr>
          <w:p w14:paraId="0773B8A6" w14:textId="6D850B6B" w:rsidR="00C4444C" w:rsidRPr="0058349C" w:rsidRDefault="00C4444C" w:rsidP="006573CC">
            <w:pPr>
              <w:spacing w:after="0" w:line="240" w:lineRule="auto"/>
              <w:rPr>
                <w:rFonts w:ascii="Garamond" w:eastAsia="Arial" w:hAnsi="Garamond" w:cs="Segoe UI"/>
                <w:sz w:val="18"/>
                <w:szCs w:val="18"/>
                <w:lang w:val="sq-AL"/>
              </w:rPr>
            </w:pPr>
            <w:r w:rsidRPr="0058349C">
              <w:rPr>
                <w:rFonts w:ascii="Garamond" w:hAnsi="Garamond"/>
                <w:bCs/>
                <w:sz w:val="18"/>
                <w:szCs w:val="18"/>
                <w:lang w:val="sq-AL"/>
              </w:rPr>
              <w:t>Deri në vitin 2027 janë ngritur deri në 5 struktura</w:t>
            </w:r>
            <w:r w:rsidR="006573CC">
              <w:rPr>
                <w:rFonts w:ascii="Garamond" w:hAnsi="Garamond"/>
                <w:bCs/>
                <w:sz w:val="18"/>
                <w:szCs w:val="18"/>
                <w:lang w:val="sq-AL"/>
              </w:rPr>
              <w:t>,</w:t>
            </w:r>
            <w:r w:rsidRPr="0058349C">
              <w:rPr>
                <w:rFonts w:ascii="Garamond" w:hAnsi="Garamond"/>
                <w:bCs/>
                <w:sz w:val="18"/>
                <w:szCs w:val="18"/>
                <w:lang w:val="sq-AL"/>
              </w:rPr>
              <w:t>sipas SINJB (AKIS).</w:t>
            </w:r>
          </w:p>
        </w:tc>
        <w:tc>
          <w:tcPr>
            <w:tcW w:w="1419" w:type="dxa"/>
            <w:shd w:val="clear" w:color="auto" w:fill="F2F2F2"/>
            <w:vAlign w:val="center"/>
          </w:tcPr>
          <w:p w14:paraId="0773B8A7"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8A8"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8A9" w14:textId="77777777" w:rsidR="00C4444C" w:rsidRPr="0058349C" w:rsidRDefault="00C4444C" w:rsidP="00CF7694">
            <w:pPr>
              <w:spacing w:after="0" w:line="240" w:lineRule="auto"/>
              <w:jc w:val="center"/>
              <w:rPr>
                <w:rFonts w:ascii="Garamond" w:hAnsi="Garamond"/>
                <w:bCs/>
                <w:sz w:val="18"/>
                <w:szCs w:val="18"/>
                <w:lang w:val="sq-AL"/>
              </w:rPr>
            </w:pPr>
            <w:r w:rsidRPr="0058349C">
              <w:rPr>
                <w:rFonts w:ascii="Garamond" w:eastAsia="Arial" w:hAnsi="Garamond"/>
                <w:sz w:val="18"/>
                <w:szCs w:val="18"/>
                <w:lang w:val="sq-AL"/>
              </w:rPr>
              <w:t>Donator</w:t>
            </w:r>
            <w:r w:rsidRPr="0058349C">
              <w:rPr>
                <w:rFonts w:ascii="Garamond" w:hAnsi="Garamond"/>
                <w:bCs/>
                <w:sz w:val="18"/>
                <w:szCs w:val="18"/>
                <w:lang w:val="sq-AL"/>
              </w:rPr>
              <w:t>ët TAIEX</w:t>
            </w:r>
          </w:p>
          <w:p w14:paraId="0773B8AA"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hAnsi="Garamond"/>
                <w:bCs/>
                <w:sz w:val="18"/>
                <w:szCs w:val="18"/>
                <w:lang w:val="sq-AL"/>
              </w:rPr>
              <w:t xml:space="preserve"> BK ndoshta IPARD III</w:t>
            </w:r>
          </w:p>
        </w:tc>
        <w:tc>
          <w:tcPr>
            <w:tcW w:w="1289" w:type="dxa"/>
            <w:shd w:val="clear" w:color="auto" w:fill="F2F2F2"/>
            <w:vAlign w:val="center"/>
          </w:tcPr>
          <w:p w14:paraId="0773B8AB" w14:textId="77777777" w:rsidR="00C4444C" w:rsidRPr="0058349C" w:rsidRDefault="00C4444C" w:rsidP="00CF7694">
            <w:pPr>
              <w:spacing w:after="0" w:line="240" w:lineRule="auto"/>
              <w:jc w:val="center"/>
              <w:rPr>
                <w:rFonts w:ascii="Garamond" w:hAnsi="Garamond"/>
                <w:bCs/>
                <w:sz w:val="18"/>
                <w:szCs w:val="18"/>
                <w:lang w:val="sq-AL"/>
              </w:rPr>
            </w:pPr>
            <w:r w:rsidRPr="0058349C">
              <w:rPr>
                <w:rFonts w:ascii="Garamond" w:eastAsia="Arial" w:hAnsi="Garamond"/>
                <w:sz w:val="18"/>
                <w:szCs w:val="18"/>
                <w:lang w:val="sq-AL"/>
              </w:rPr>
              <w:t>Donator</w:t>
            </w:r>
            <w:r w:rsidRPr="0058349C">
              <w:rPr>
                <w:rFonts w:ascii="Garamond" w:hAnsi="Garamond"/>
                <w:bCs/>
                <w:sz w:val="18"/>
                <w:szCs w:val="18"/>
                <w:lang w:val="sq-AL"/>
              </w:rPr>
              <w:t>ët TAIEX</w:t>
            </w:r>
          </w:p>
          <w:p w14:paraId="0773B8AC"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hAnsi="Garamond"/>
                <w:bCs/>
                <w:sz w:val="18"/>
                <w:szCs w:val="18"/>
                <w:lang w:val="sq-AL"/>
              </w:rPr>
              <w:t xml:space="preserve"> BK ndoshta IPARD III</w:t>
            </w:r>
          </w:p>
        </w:tc>
        <w:tc>
          <w:tcPr>
            <w:tcW w:w="1134" w:type="dxa"/>
            <w:shd w:val="clear" w:color="auto" w:fill="E5F7CA"/>
            <w:vAlign w:val="center"/>
          </w:tcPr>
          <w:p w14:paraId="0773B8AD"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75" w:type="dxa"/>
            <w:shd w:val="clear" w:color="auto" w:fill="E5F7CA"/>
            <w:vAlign w:val="center"/>
          </w:tcPr>
          <w:p w14:paraId="0773B8AE"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w:t>
            </w:r>
          </w:p>
        </w:tc>
      </w:tr>
      <w:tr w:rsidR="00C4444C" w:rsidRPr="0058349C" w14:paraId="0773B8B9" w14:textId="77777777" w:rsidTr="00E9489E">
        <w:trPr>
          <w:gridAfter w:val="1"/>
          <w:wAfter w:w="8" w:type="dxa"/>
          <w:trHeight w:val="20"/>
        </w:trPr>
        <w:tc>
          <w:tcPr>
            <w:tcW w:w="384" w:type="dxa"/>
            <w:shd w:val="clear" w:color="auto" w:fill="F2F2F2"/>
          </w:tcPr>
          <w:p w14:paraId="0773B8B0" w14:textId="77777777" w:rsidR="00C4444C" w:rsidRPr="0058349C" w:rsidRDefault="00C4444C" w:rsidP="00CF7694">
            <w:pPr>
              <w:spacing w:after="0" w:line="240" w:lineRule="auto"/>
              <w:rPr>
                <w:rFonts w:ascii="Garamond" w:eastAsia="Arial" w:hAnsi="Garamond"/>
                <w:b/>
                <w:sz w:val="18"/>
                <w:szCs w:val="18"/>
                <w:lang w:val="sq-AL"/>
              </w:rPr>
            </w:pPr>
          </w:p>
        </w:tc>
        <w:tc>
          <w:tcPr>
            <w:tcW w:w="3567" w:type="dxa"/>
            <w:shd w:val="clear" w:color="auto" w:fill="F2F2F2"/>
          </w:tcPr>
          <w:p w14:paraId="0773B8B1" w14:textId="68CB5333" w:rsidR="00C4444C" w:rsidRPr="0058349C" w:rsidRDefault="00C4444C" w:rsidP="00CF7694">
            <w:pPr>
              <w:spacing w:after="0" w:line="240" w:lineRule="auto"/>
              <w:rPr>
                <w:rFonts w:ascii="Garamond" w:eastAsia="Arial" w:hAnsi="Garamond" w:cs="Segoe UI"/>
                <w:b/>
                <w:bCs/>
                <w:sz w:val="18"/>
                <w:szCs w:val="18"/>
                <w:lang w:val="sq-AL"/>
              </w:rPr>
            </w:pPr>
            <w:r w:rsidRPr="0058349C">
              <w:rPr>
                <w:rFonts w:ascii="Garamond" w:hAnsi="Garamond"/>
                <w:b/>
                <w:bCs/>
                <w:sz w:val="18"/>
                <w:szCs w:val="18"/>
                <w:lang w:val="sq-AL"/>
              </w:rPr>
              <w:t>Kontrata shërbimi dhe mbështetje direkte financiare për ofrimin e këshillimit për fermat</w:t>
            </w:r>
            <w:r w:rsidR="00CF7694" w:rsidRPr="0058349C">
              <w:rPr>
                <w:rFonts w:ascii="Garamond" w:hAnsi="Garamond"/>
                <w:b/>
                <w:bCs/>
                <w:sz w:val="18"/>
                <w:szCs w:val="18"/>
                <w:lang w:val="sq-AL"/>
              </w:rPr>
              <w:t xml:space="preserve"> </w:t>
            </w:r>
          </w:p>
        </w:tc>
        <w:tc>
          <w:tcPr>
            <w:tcW w:w="2526" w:type="dxa"/>
            <w:shd w:val="clear" w:color="auto" w:fill="F2F2F2"/>
          </w:tcPr>
          <w:p w14:paraId="0773B8B2" w14:textId="77777777" w:rsidR="00C4444C" w:rsidRPr="0058349C" w:rsidRDefault="00C4444C"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Numri i fermerëve të këshilluar/trajnuar në vit (IPARD III – Masa 10 buxhet) do t</w:t>
            </w:r>
            <w:r w:rsidRPr="0058349C">
              <w:rPr>
                <w:rFonts w:ascii="Garamond" w:hAnsi="Garamond"/>
                <w:bCs/>
                <w:sz w:val="18"/>
                <w:szCs w:val="18"/>
                <w:lang w:val="sq-AL"/>
              </w:rPr>
              <w:t>ë arrijë 25,200 deri në vitin 2027.</w:t>
            </w:r>
          </w:p>
        </w:tc>
        <w:tc>
          <w:tcPr>
            <w:tcW w:w="1419" w:type="dxa"/>
            <w:shd w:val="clear" w:color="auto" w:fill="F2F2F2"/>
            <w:vAlign w:val="center"/>
          </w:tcPr>
          <w:p w14:paraId="0773B8B3"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8B4"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200,000</w:t>
            </w:r>
          </w:p>
        </w:tc>
        <w:tc>
          <w:tcPr>
            <w:tcW w:w="1288" w:type="dxa"/>
            <w:shd w:val="clear" w:color="auto" w:fill="F2F2F2"/>
            <w:vAlign w:val="center"/>
          </w:tcPr>
          <w:p w14:paraId="0773B8B5"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300,000</w:t>
            </w:r>
          </w:p>
        </w:tc>
        <w:tc>
          <w:tcPr>
            <w:tcW w:w="1289" w:type="dxa"/>
            <w:shd w:val="clear" w:color="auto" w:fill="F2F2F2"/>
            <w:vAlign w:val="center"/>
          </w:tcPr>
          <w:p w14:paraId="0773B8B6"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400,000</w:t>
            </w:r>
          </w:p>
        </w:tc>
        <w:tc>
          <w:tcPr>
            <w:tcW w:w="1134" w:type="dxa"/>
            <w:shd w:val="clear" w:color="auto" w:fill="E5F7CA"/>
            <w:vAlign w:val="center"/>
          </w:tcPr>
          <w:p w14:paraId="0773B8B7"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12,600</w:t>
            </w:r>
          </w:p>
        </w:tc>
        <w:tc>
          <w:tcPr>
            <w:tcW w:w="1275" w:type="dxa"/>
            <w:shd w:val="clear" w:color="auto" w:fill="E5F7CA"/>
            <w:vAlign w:val="center"/>
          </w:tcPr>
          <w:p w14:paraId="0773B8B8"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25,200</w:t>
            </w:r>
          </w:p>
        </w:tc>
      </w:tr>
      <w:tr w:rsidR="00C4444C" w:rsidRPr="0058349C" w14:paraId="0773B8C3" w14:textId="77777777" w:rsidTr="00E9489E">
        <w:trPr>
          <w:gridAfter w:val="1"/>
          <w:wAfter w:w="8" w:type="dxa"/>
          <w:trHeight w:val="20"/>
        </w:trPr>
        <w:tc>
          <w:tcPr>
            <w:tcW w:w="384" w:type="dxa"/>
            <w:shd w:val="clear" w:color="auto" w:fill="F2F2F2"/>
          </w:tcPr>
          <w:p w14:paraId="0773B8BA" w14:textId="77777777" w:rsidR="00C4444C" w:rsidRPr="0058349C" w:rsidRDefault="00C4444C" w:rsidP="00CF7694">
            <w:pPr>
              <w:spacing w:after="0" w:line="240" w:lineRule="auto"/>
              <w:rPr>
                <w:rFonts w:ascii="Garamond" w:eastAsia="Arial" w:hAnsi="Garamond"/>
                <w:b/>
                <w:sz w:val="18"/>
                <w:szCs w:val="18"/>
                <w:lang w:val="sq-AL"/>
              </w:rPr>
            </w:pPr>
          </w:p>
        </w:tc>
        <w:tc>
          <w:tcPr>
            <w:tcW w:w="3567" w:type="dxa"/>
            <w:shd w:val="clear" w:color="auto" w:fill="F2F2F2"/>
          </w:tcPr>
          <w:p w14:paraId="0773B8BB" w14:textId="77777777" w:rsidR="00C4444C" w:rsidRPr="0058349C" w:rsidRDefault="00C4444C" w:rsidP="00CF7694">
            <w:pPr>
              <w:spacing w:after="0" w:line="240" w:lineRule="auto"/>
              <w:rPr>
                <w:rFonts w:ascii="Garamond" w:eastAsia="Arial" w:hAnsi="Garamond" w:cs="Segoe UI"/>
                <w:b/>
                <w:bCs/>
                <w:sz w:val="18"/>
                <w:szCs w:val="18"/>
                <w:lang w:val="sq-AL"/>
              </w:rPr>
            </w:pPr>
            <w:r w:rsidRPr="0058349C">
              <w:rPr>
                <w:rFonts w:ascii="Garamond" w:hAnsi="Garamond"/>
                <w:b/>
                <w:bCs/>
                <w:sz w:val="18"/>
                <w:szCs w:val="18"/>
                <w:lang w:val="sq-AL"/>
              </w:rPr>
              <w:t>Mb</w:t>
            </w:r>
            <w:r w:rsidRPr="0058349C">
              <w:rPr>
                <w:rFonts w:ascii="Garamond" w:eastAsia="Arial" w:hAnsi="Garamond"/>
                <w:b/>
                <w:bCs/>
                <w:sz w:val="18"/>
                <w:szCs w:val="18"/>
                <w:lang w:val="sq-AL"/>
              </w:rPr>
              <w:t>ështetje për f</w:t>
            </w:r>
            <w:r w:rsidRPr="0058349C">
              <w:rPr>
                <w:rFonts w:ascii="Garamond" w:hAnsi="Garamond"/>
                <w:b/>
                <w:bCs/>
                <w:sz w:val="18"/>
                <w:szCs w:val="18"/>
                <w:lang w:val="sq-AL"/>
              </w:rPr>
              <w:t>erma demonstrimi</w:t>
            </w:r>
          </w:p>
        </w:tc>
        <w:tc>
          <w:tcPr>
            <w:tcW w:w="2526" w:type="dxa"/>
            <w:shd w:val="clear" w:color="auto" w:fill="F2F2F2"/>
          </w:tcPr>
          <w:p w14:paraId="0773B8BC" w14:textId="77777777" w:rsidR="00C4444C" w:rsidRPr="0058349C" w:rsidRDefault="00C4444C"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 xml:space="preserve">Numri i fermave të </w:t>
            </w:r>
            <w:r w:rsidRPr="0058349C">
              <w:rPr>
                <w:rFonts w:ascii="Garamond" w:eastAsia="Arial" w:hAnsi="Garamond" w:cs="Segoe UI"/>
                <w:sz w:val="18"/>
                <w:szCs w:val="18"/>
                <w:lang w:val="sq-AL"/>
              </w:rPr>
              <w:lastRenderedPageBreak/>
              <w:t>demonstrimit të ngritura deri n</w:t>
            </w:r>
            <w:r w:rsidRPr="0058349C">
              <w:rPr>
                <w:rFonts w:ascii="Garamond" w:hAnsi="Garamond"/>
                <w:bCs/>
                <w:sz w:val="18"/>
                <w:szCs w:val="18"/>
                <w:lang w:val="sq-AL"/>
              </w:rPr>
              <w:t>ë vitin 2024 arrin në 50, ndërsa deri në vitin 2027 në 150 ferma.</w:t>
            </w:r>
          </w:p>
        </w:tc>
        <w:tc>
          <w:tcPr>
            <w:tcW w:w="1419" w:type="dxa"/>
            <w:shd w:val="clear" w:color="auto" w:fill="F2F2F2"/>
            <w:vAlign w:val="center"/>
          </w:tcPr>
          <w:p w14:paraId="0773B8BD"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8BE"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8BF"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N:100,000</w:t>
            </w:r>
          </w:p>
        </w:tc>
        <w:tc>
          <w:tcPr>
            <w:tcW w:w="1289" w:type="dxa"/>
            <w:shd w:val="clear" w:color="auto" w:fill="F2F2F2"/>
            <w:vAlign w:val="center"/>
          </w:tcPr>
          <w:p w14:paraId="0773B8C0"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N:100,000</w:t>
            </w:r>
          </w:p>
        </w:tc>
        <w:tc>
          <w:tcPr>
            <w:tcW w:w="1134" w:type="dxa"/>
            <w:shd w:val="clear" w:color="auto" w:fill="E5F7CA"/>
            <w:vAlign w:val="center"/>
          </w:tcPr>
          <w:p w14:paraId="0773B8C1"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w:t>
            </w:r>
          </w:p>
        </w:tc>
        <w:tc>
          <w:tcPr>
            <w:tcW w:w="1275" w:type="dxa"/>
            <w:shd w:val="clear" w:color="auto" w:fill="E5F7CA"/>
            <w:vAlign w:val="center"/>
          </w:tcPr>
          <w:p w14:paraId="0773B8C2"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150</w:t>
            </w:r>
          </w:p>
        </w:tc>
      </w:tr>
      <w:tr w:rsidR="00C4444C" w:rsidRPr="0058349C" w14:paraId="0773B8CD" w14:textId="77777777" w:rsidTr="00E9489E">
        <w:trPr>
          <w:gridAfter w:val="1"/>
          <w:wAfter w:w="8" w:type="dxa"/>
          <w:trHeight w:val="20"/>
        </w:trPr>
        <w:tc>
          <w:tcPr>
            <w:tcW w:w="384" w:type="dxa"/>
            <w:shd w:val="clear" w:color="auto" w:fill="F2F2F2"/>
          </w:tcPr>
          <w:p w14:paraId="0773B8C4" w14:textId="77777777" w:rsidR="00C4444C" w:rsidRPr="0058349C" w:rsidRDefault="00C4444C" w:rsidP="00CF7694">
            <w:pPr>
              <w:spacing w:after="0" w:line="240" w:lineRule="auto"/>
              <w:rPr>
                <w:rFonts w:ascii="Garamond" w:eastAsia="Arial" w:hAnsi="Garamond"/>
                <w:b/>
                <w:sz w:val="18"/>
                <w:szCs w:val="18"/>
                <w:lang w:val="sq-AL"/>
              </w:rPr>
            </w:pPr>
          </w:p>
        </w:tc>
        <w:tc>
          <w:tcPr>
            <w:tcW w:w="3567" w:type="dxa"/>
            <w:shd w:val="clear" w:color="auto" w:fill="F2F2F2"/>
          </w:tcPr>
          <w:p w14:paraId="0773B8C5" w14:textId="77777777" w:rsidR="00C4444C" w:rsidRPr="0058349C" w:rsidRDefault="00C4444C" w:rsidP="00CF7694">
            <w:pPr>
              <w:spacing w:after="0" w:line="240" w:lineRule="auto"/>
              <w:rPr>
                <w:rFonts w:ascii="Garamond" w:eastAsia="Arial" w:hAnsi="Garamond" w:cs="Segoe UI"/>
                <w:b/>
                <w:bCs/>
                <w:sz w:val="18"/>
                <w:szCs w:val="18"/>
                <w:lang w:val="sq-AL"/>
              </w:rPr>
            </w:pPr>
            <w:r w:rsidRPr="0058349C">
              <w:rPr>
                <w:rFonts w:ascii="Garamond" w:hAnsi="Garamond"/>
                <w:b/>
                <w:bCs/>
                <w:sz w:val="18"/>
                <w:szCs w:val="18"/>
                <w:lang w:val="sq-AL"/>
              </w:rPr>
              <w:t>AT për marketing të drejtpërdrejtë dhe zinxhirë të shkurtër të furnizimit</w:t>
            </w:r>
          </w:p>
        </w:tc>
        <w:tc>
          <w:tcPr>
            <w:tcW w:w="2526" w:type="dxa"/>
            <w:shd w:val="clear" w:color="auto" w:fill="F2F2F2"/>
          </w:tcPr>
          <w:p w14:paraId="0773B8C6" w14:textId="319E4895" w:rsidR="00C4444C" w:rsidRPr="0058349C" w:rsidRDefault="00C4444C" w:rsidP="008873AA">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Numri i fermerëve dhe prodhuesve të vegjël të ushqimit</w:t>
            </w:r>
            <w:r w:rsidR="00CF7694" w:rsidRPr="0058349C">
              <w:rPr>
                <w:rFonts w:ascii="Garamond" w:eastAsia="Arial" w:hAnsi="Garamond" w:cs="Segoe UI"/>
                <w:sz w:val="18"/>
                <w:szCs w:val="18"/>
                <w:lang w:val="sq-AL"/>
              </w:rPr>
              <w:t xml:space="preserve"> </w:t>
            </w:r>
            <w:r w:rsidRPr="0058349C">
              <w:rPr>
                <w:rFonts w:ascii="Garamond" w:eastAsia="Arial" w:hAnsi="Garamond" w:cs="Segoe UI"/>
                <w:sz w:val="18"/>
                <w:szCs w:val="18"/>
                <w:lang w:val="sq-AL"/>
              </w:rPr>
              <w:t xml:space="preserve">të trajnuar në marketing </w:t>
            </w:r>
            <w:r w:rsidR="008873AA">
              <w:rPr>
                <w:rFonts w:ascii="Garamond" w:eastAsia="Arial" w:hAnsi="Garamond" w:cs="Segoe UI"/>
                <w:sz w:val="18"/>
                <w:szCs w:val="18"/>
                <w:lang w:val="sq-AL"/>
              </w:rPr>
              <w:t>dhe</w:t>
            </w:r>
            <w:r w:rsidRPr="0058349C">
              <w:rPr>
                <w:rFonts w:ascii="Garamond" w:eastAsia="Arial" w:hAnsi="Garamond" w:cs="Segoe UI"/>
                <w:sz w:val="18"/>
                <w:szCs w:val="18"/>
                <w:lang w:val="sq-AL"/>
              </w:rPr>
              <w:t xml:space="preserve"> komunikim mbi zinxhirët e shkurtër të</w:t>
            </w:r>
            <w:r w:rsidR="00CF7694" w:rsidRPr="0058349C">
              <w:rPr>
                <w:rFonts w:ascii="Garamond" w:eastAsia="Arial" w:hAnsi="Garamond" w:cs="Segoe UI"/>
                <w:sz w:val="18"/>
                <w:szCs w:val="18"/>
                <w:lang w:val="sq-AL"/>
              </w:rPr>
              <w:t xml:space="preserve"> </w:t>
            </w:r>
            <w:r w:rsidRPr="0058349C">
              <w:rPr>
                <w:rFonts w:ascii="Garamond" w:eastAsia="Arial" w:hAnsi="Garamond" w:cs="Segoe UI"/>
                <w:sz w:val="18"/>
                <w:szCs w:val="18"/>
                <w:lang w:val="sq-AL"/>
              </w:rPr>
              <w:t>furnizimit me ushqim (skemat në fermë dhe jashtë fermës), shitje drejt bujtinave do t</w:t>
            </w:r>
            <w:r w:rsidRPr="0058349C">
              <w:rPr>
                <w:rFonts w:ascii="Garamond" w:hAnsi="Garamond"/>
                <w:bCs/>
                <w:sz w:val="18"/>
                <w:szCs w:val="18"/>
                <w:lang w:val="sq-AL"/>
              </w:rPr>
              <w:t>ë arrijë në 100 deri në vitin 2024 dhe në 500 deri në vitin 2027.</w:t>
            </w:r>
          </w:p>
        </w:tc>
        <w:tc>
          <w:tcPr>
            <w:tcW w:w="1419" w:type="dxa"/>
            <w:shd w:val="clear" w:color="auto" w:fill="F2F2F2"/>
            <w:vAlign w:val="center"/>
          </w:tcPr>
          <w:p w14:paraId="0773B8C7"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8C8"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8C9"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N:250,000</w:t>
            </w:r>
          </w:p>
        </w:tc>
        <w:tc>
          <w:tcPr>
            <w:tcW w:w="1289" w:type="dxa"/>
            <w:shd w:val="clear" w:color="auto" w:fill="F2F2F2"/>
            <w:vAlign w:val="center"/>
          </w:tcPr>
          <w:p w14:paraId="0773B8CA"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N:250,000</w:t>
            </w:r>
          </w:p>
        </w:tc>
        <w:tc>
          <w:tcPr>
            <w:tcW w:w="1134" w:type="dxa"/>
            <w:shd w:val="clear" w:color="auto" w:fill="E5F7CA"/>
            <w:vAlign w:val="center"/>
          </w:tcPr>
          <w:p w14:paraId="0773B8CB"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c>
          <w:tcPr>
            <w:tcW w:w="1275" w:type="dxa"/>
            <w:shd w:val="clear" w:color="auto" w:fill="E5F7CA"/>
            <w:vAlign w:val="center"/>
          </w:tcPr>
          <w:p w14:paraId="0773B8CC"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500</w:t>
            </w:r>
          </w:p>
        </w:tc>
      </w:tr>
      <w:tr w:rsidR="00C4444C" w:rsidRPr="0058349C" w14:paraId="0773B8D8" w14:textId="77777777" w:rsidTr="00E9489E">
        <w:trPr>
          <w:gridAfter w:val="1"/>
          <w:wAfter w:w="8" w:type="dxa"/>
          <w:trHeight w:val="20"/>
        </w:trPr>
        <w:tc>
          <w:tcPr>
            <w:tcW w:w="384" w:type="dxa"/>
            <w:shd w:val="clear" w:color="auto" w:fill="F2F2F2"/>
          </w:tcPr>
          <w:p w14:paraId="0773B8CE" w14:textId="77777777" w:rsidR="00C4444C" w:rsidRPr="0058349C" w:rsidRDefault="00C4444C" w:rsidP="00CF7694">
            <w:pPr>
              <w:spacing w:after="0" w:line="240" w:lineRule="auto"/>
              <w:rPr>
                <w:rFonts w:ascii="Garamond" w:eastAsia="Arial" w:hAnsi="Garamond"/>
                <w:b/>
                <w:sz w:val="18"/>
                <w:szCs w:val="18"/>
                <w:lang w:val="sq-AL"/>
              </w:rPr>
            </w:pPr>
          </w:p>
        </w:tc>
        <w:tc>
          <w:tcPr>
            <w:tcW w:w="3567" w:type="dxa"/>
            <w:shd w:val="clear" w:color="auto" w:fill="F2F2F2"/>
          </w:tcPr>
          <w:p w14:paraId="0773B8CF" w14:textId="77777777" w:rsidR="00C4444C" w:rsidRPr="0058349C" w:rsidRDefault="00C4444C" w:rsidP="00CF7694">
            <w:pPr>
              <w:spacing w:after="0" w:line="240" w:lineRule="auto"/>
              <w:rPr>
                <w:rFonts w:ascii="Garamond" w:hAnsi="Garamond"/>
                <w:b/>
                <w:bCs/>
                <w:sz w:val="18"/>
                <w:szCs w:val="18"/>
                <w:lang w:val="sq-AL"/>
              </w:rPr>
            </w:pPr>
            <w:r w:rsidRPr="0058349C">
              <w:rPr>
                <w:rFonts w:ascii="Garamond" w:hAnsi="Garamond"/>
                <w:b/>
                <w:bCs/>
                <w:sz w:val="18"/>
                <w:szCs w:val="18"/>
                <w:lang w:val="sq-AL"/>
              </w:rPr>
              <w:t>AT për promovimin e bujqësisë organike</w:t>
            </w:r>
          </w:p>
          <w:p w14:paraId="0773B8D0" w14:textId="77777777" w:rsidR="00C4444C" w:rsidRPr="0058349C" w:rsidRDefault="00C4444C" w:rsidP="00CF7694">
            <w:pPr>
              <w:spacing w:after="0" w:line="240" w:lineRule="auto"/>
              <w:rPr>
                <w:rFonts w:ascii="Garamond" w:eastAsia="Arial" w:hAnsi="Garamond" w:cs="Segoe UI"/>
                <w:b/>
                <w:bCs/>
                <w:sz w:val="18"/>
                <w:szCs w:val="18"/>
                <w:lang w:val="sq-AL"/>
              </w:rPr>
            </w:pPr>
          </w:p>
        </w:tc>
        <w:tc>
          <w:tcPr>
            <w:tcW w:w="2526" w:type="dxa"/>
            <w:shd w:val="clear" w:color="auto" w:fill="F2F2F2"/>
          </w:tcPr>
          <w:p w14:paraId="0773B8D1" w14:textId="66628D11" w:rsidR="00C4444C" w:rsidRPr="0058349C" w:rsidRDefault="00C4444C"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Deri n</w:t>
            </w:r>
            <w:r w:rsidRPr="0058349C">
              <w:rPr>
                <w:rFonts w:ascii="Garamond" w:hAnsi="Garamond"/>
                <w:bCs/>
                <w:sz w:val="18"/>
                <w:szCs w:val="18"/>
                <w:lang w:val="sq-AL"/>
              </w:rPr>
              <w:t>ë vitin 2024 do të realizohet një fushatë</w:t>
            </w:r>
            <w:r w:rsidR="00CF7694" w:rsidRPr="0058349C">
              <w:rPr>
                <w:rFonts w:ascii="Garamond" w:hAnsi="Garamond"/>
                <w:bCs/>
                <w:sz w:val="18"/>
                <w:szCs w:val="18"/>
                <w:lang w:val="sq-AL"/>
              </w:rPr>
              <w:t xml:space="preserve"> </w:t>
            </w:r>
            <w:r w:rsidRPr="0058349C">
              <w:rPr>
                <w:rFonts w:ascii="Garamond" w:eastAsia="Arial" w:hAnsi="Garamond" w:cs="Segoe UI"/>
                <w:sz w:val="18"/>
                <w:szCs w:val="18"/>
                <w:lang w:val="sq-AL"/>
              </w:rPr>
              <w:t>promovimi për bujqësinë organike</w:t>
            </w:r>
          </w:p>
        </w:tc>
        <w:tc>
          <w:tcPr>
            <w:tcW w:w="1419" w:type="dxa"/>
            <w:shd w:val="clear" w:color="auto" w:fill="F2F2F2"/>
            <w:vAlign w:val="center"/>
          </w:tcPr>
          <w:p w14:paraId="0773B8D2"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8D3"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8D4"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N:250,000</w:t>
            </w:r>
          </w:p>
        </w:tc>
        <w:tc>
          <w:tcPr>
            <w:tcW w:w="1289" w:type="dxa"/>
            <w:shd w:val="clear" w:color="auto" w:fill="F2F2F2"/>
            <w:vAlign w:val="center"/>
          </w:tcPr>
          <w:p w14:paraId="0773B8D5"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N:250,000</w:t>
            </w:r>
          </w:p>
        </w:tc>
        <w:tc>
          <w:tcPr>
            <w:tcW w:w="1134" w:type="dxa"/>
            <w:shd w:val="clear" w:color="auto" w:fill="E5F7CA"/>
            <w:vAlign w:val="center"/>
          </w:tcPr>
          <w:p w14:paraId="0773B8D6"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w:t>
            </w:r>
          </w:p>
        </w:tc>
        <w:tc>
          <w:tcPr>
            <w:tcW w:w="1275" w:type="dxa"/>
            <w:shd w:val="clear" w:color="auto" w:fill="E5F7CA"/>
            <w:vAlign w:val="center"/>
          </w:tcPr>
          <w:p w14:paraId="0773B8D7"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w:t>
            </w:r>
          </w:p>
        </w:tc>
      </w:tr>
      <w:tr w:rsidR="00C4444C" w:rsidRPr="0058349C" w14:paraId="0773B8E2" w14:textId="77777777" w:rsidTr="00E9489E">
        <w:trPr>
          <w:gridAfter w:val="1"/>
          <w:wAfter w:w="8" w:type="dxa"/>
          <w:trHeight w:val="20"/>
        </w:trPr>
        <w:tc>
          <w:tcPr>
            <w:tcW w:w="384" w:type="dxa"/>
            <w:vMerge w:val="restart"/>
            <w:shd w:val="clear" w:color="auto" w:fill="F2F2F2"/>
          </w:tcPr>
          <w:p w14:paraId="0773B8D9" w14:textId="77777777" w:rsidR="00C4444C" w:rsidRPr="0058349C" w:rsidRDefault="00C4444C" w:rsidP="00CF7694">
            <w:pPr>
              <w:spacing w:after="0" w:line="240" w:lineRule="auto"/>
              <w:rPr>
                <w:rFonts w:ascii="Garamond" w:eastAsia="Arial" w:hAnsi="Garamond"/>
                <w:b/>
                <w:sz w:val="18"/>
                <w:szCs w:val="18"/>
                <w:lang w:val="sq-AL"/>
              </w:rPr>
            </w:pPr>
          </w:p>
        </w:tc>
        <w:tc>
          <w:tcPr>
            <w:tcW w:w="3567" w:type="dxa"/>
            <w:vMerge w:val="restart"/>
            <w:shd w:val="clear" w:color="auto" w:fill="F2F2F2"/>
          </w:tcPr>
          <w:p w14:paraId="0773B8DA" w14:textId="77777777" w:rsidR="00C4444C" w:rsidRPr="0058349C" w:rsidRDefault="00C4444C" w:rsidP="00CF7694">
            <w:pPr>
              <w:spacing w:after="0" w:line="240" w:lineRule="auto"/>
              <w:rPr>
                <w:rFonts w:ascii="Garamond" w:eastAsia="Arial" w:hAnsi="Garamond" w:cs="Segoe UI"/>
                <w:b/>
                <w:bCs/>
                <w:sz w:val="18"/>
                <w:szCs w:val="18"/>
                <w:lang w:val="sq-AL"/>
              </w:rPr>
            </w:pPr>
            <w:r w:rsidRPr="0058349C">
              <w:rPr>
                <w:rFonts w:ascii="Garamond" w:hAnsi="Garamond"/>
                <w:b/>
                <w:bCs/>
                <w:sz w:val="18"/>
                <w:szCs w:val="18"/>
                <w:lang w:val="sq-AL"/>
              </w:rPr>
              <w:t>AT për promovimin e agroturizmit/turizmit rural</w:t>
            </w:r>
          </w:p>
        </w:tc>
        <w:tc>
          <w:tcPr>
            <w:tcW w:w="2526" w:type="dxa"/>
            <w:shd w:val="clear" w:color="auto" w:fill="F2F2F2"/>
          </w:tcPr>
          <w:p w14:paraId="0773B8DB" w14:textId="7D0C1CA1" w:rsidR="00C4444C" w:rsidRPr="0058349C" w:rsidRDefault="00C4444C"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Niveli i zbatimit të një standardit të rishikuar të cilësisë për akomodimin p</w:t>
            </w:r>
            <w:r w:rsidRPr="0058349C">
              <w:rPr>
                <w:rFonts w:ascii="Garamond" w:hAnsi="Garamond"/>
                <w:bCs/>
                <w:sz w:val="18"/>
                <w:szCs w:val="18"/>
                <w:lang w:val="sq-AL"/>
              </w:rPr>
              <w:t>ër</w:t>
            </w:r>
            <w:r w:rsidR="00CF7694" w:rsidRPr="0058349C">
              <w:rPr>
                <w:rFonts w:ascii="Garamond" w:hAnsi="Garamond"/>
                <w:bCs/>
                <w:sz w:val="18"/>
                <w:szCs w:val="18"/>
                <w:lang w:val="sq-AL"/>
              </w:rPr>
              <w:t xml:space="preserve"> </w:t>
            </w:r>
            <w:r w:rsidRPr="0058349C">
              <w:rPr>
                <w:rFonts w:ascii="Garamond" w:eastAsia="Arial" w:hAnsi="Garamond" w:cs="Segoe UI"/>
                <w:sz w:val="18"/>
                <w:szCs w:val="18"/>
                <w:lang w:val="sq-AL"/>
              </w:rPr>
              <w:t>agrot</w:t>
            </w:r>
            <w:r w:rsidR="00A36DC4">
              <w:rPr>
                <w:rFonts w:ascii="Garamond" w:eastAsia="Arial" w:hAnsi="Garamond" w:cs="Segoe UI"/>
                <w:sz w:val="18"/>
                <w:szCs w:val="18"/>
                <w:lang w:val="sq-AL"/>
              </w:rPr>
              <w:t>urizmin</w:t>
            </w:r>
            <w:r w:rsidR="00797859">
              <w:rPr>
                <w:rFonts w:ascii="Garamond" w:eastAsia="Arial" w:hAnsi="Garamond" w:cs="Segoe UI"/>
                <w:sz w:val="18"/>
                <w:szCs w:val="18"/>
                <w:lang w:val="sq-AL"/>
              </w:rPr>
              <w:t>/</w:t>
            </w:r>
            <w:r w:rsidRPr="0058349C">
              <w:rPr>
                <w:rFonts w:ascii="Garamond" w:eastAsia="Arial" w:hAnsi="Garamond" w:cs="Segoe UI"/>
                <w:sz w:val="18"/>
                <w:szCs w:val="18"/>
                <w:lang w:val="sq-AL"/>
              </w:rPr>
              <w:t>turizmin rural do t</w:t>
            </w:r>
            <w:r w:rsidRPr="0058349C">
              <w:rPr>
                <w:rFonts w:ascii="Garamond" w:hAnsi="Garamond"/>
                <w:bCs/>
                <w:sz w:val="18"/>
                <w:szCs w:val="18"/>
                <w:lang w:val="sq-AL"/>
              </w:rPr>
              <w:t>ë jetë në masën 100%</w:t>
            </w:r>
            <w:r w:rsidR="00CF7694" w:rsidRPr="0058349C">
              <w:rPr>
                <w:rFonts w:ascii="Garamond" w:hAnsi="Garamond"/>
                <w:bCs/>
                <w:sz w:val="18"/>
                <w:szCs w:val="18"/>
                <w:lang w:val="sq-AL"/>
              </w:rPr>
              <w:t xml:space="preserve"> </w:t>
            </w:r>
            <w:r w:rsidRPr="0058349C">
              <w:rPr>
                <w:rFonts w:ascii="Garamond" w:hAnsi="Garamond"/>
                <w:bCs/>
                <w:sz w:val="18"/>
                <w:szCs w:val="18"/>
                <w:lang w:val="sq-AL"/>
              </w:rPr>
              <w:t>deri në vitin 2024</w:t>
            </w:r>
          </w:p>
        </w:tc>
        <w:tc>
          <w:tcPr>
            <w:tcW w:w="1419" w:type="dxa"/>
            <w:shd w:val="clear" w:color="auto" w:fill="F2F2F2"/>
            <w:vAlign w:val="center"/>
          </w:tcPr>
          <w:p w14:paraId="0773B8DC"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 xml:space="preserve"> (TAIEX ose projekte të tjera të vogla AT)</w:t>
            </w:r>
          </w:p>
        </w:tc>
        <w:tc>
          <w:tcPr>
            <w:tcW w:w="1288" w:type="dxa"/>
            <w:shd w:val="clear" w:color="auto" w:fill="F2F2F2"/>
            <w:vAlign w:val="center"/>
          </w:tcPr>
          <w:p w14:paraId="0773B8DD"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8DE"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8DF"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8E0"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c>
          <w:tcPr>
            <w:tcW w:w="1275" w:type="dxa"/>
            <w:shd w:val="clear" w:color="auto" w:fill="E5F7CA"/>
            <w:vAlign w:val="center"/>
          </w:tcPr>
          <w:p w14:paraId="0773B8E1"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C4444C" w:rsidRPr="0058349C" w14:paraId="0773B8EC" w14:textId="77777777" w:rsidTr="00E9489E">
        <w:trPr>
          <w:gridAfter w:val="1"/>
          <w:wAfter w:w="8" w:type="dxa"/>
          <w:trHeight w:val="20"/>
        </w:trPr>
        <w:tc>
          <w:tcPr>
            <w:tcW w:w="384" w:type="dxa"/>
            <w:vMerge/>
            <w:shd w:val="clear" w:color="auto" w:fill="F2F2F2"/>
          </w:tcPr>
          <w:p w14:paraId="0773B8E3" w14:textId="77777777" w:rsidR="00C4444C" w:rsidRPr="0058349C" w:rsidRDefault="00C4444C" w:rsidP="00CF7694">
            <w:pPr>
              <w:spacing w:after="0" w:line="240" w:lineRule="auto"/>
              <w:rPr>
                <w:rFonts w:ascii="Garamond" w:eastAsia="Arial" w:hAnsi="Garamond"/>
                <w:b/>
                <w:sz w:val="18"/>
                <w:szCs w:val="18"/>
                <w:lang w:val="sq-AL"/>
              </w:rPr>
            </w:pPr>
          </w:p>
        </w:tc>
        <w:tc>
          <w:tcPr>
            <w:tcW w:w="3567" w:type="dxa"/>
            <w:vMerge/>
            <w:shd w:val="clear" w:color="auto" w:fill="F2F2F2"/>
          </w:tcPr>
          <w:p w14:paraId="0773B8E4" w14:textId="77777777" w:rsidR="00C4444C" w:rsidRPr="0058349C" w:rsidRDefault="00C4444C" w:rsidP="00CF7694">
            <w:pPr>
              <w:spacing w:after="0" w:line="240" w:lineRule="auto"/>
              <w:rPr>
                <w:rFonts w:ascii="Garamond" w:hAnsi="Garamond"/>
                <w:b/>
                <w:bCs/>
                <w:sz w:val="18"/>
                <w:szCs w:val="18"/>
                <w:lang w:val="sq-AL"/>
              </w:rPr>
            </w:pPr>
          </w:p>
        </w:tc>
        <w:tc>
          <w:tcPr>
            <w:tcW w:w="2526" w:type="dxa"/>
            <w:shd w:val="clear" w:color="auto" w:fill="F2F2F2"/>
          </w:tcPr>
          <w:p w14:paraId="0773B8E5" w14:textId="7B952B03" w:rsidR="00C4444C" w:rsidRPr="0058349C" w:rsidRDefault="00C4444C"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Deri n</w:t>
            </w:r>
            <w:r w:rsidRPr="0058349C">
              <w:rPr>
                <w:rFonts w:ascii="Garamond" w:hAnsi="Garamond"/>
                <w:bCs/>
                <w:sz w:val="18"/>
                <w:szCs w:val="18"/>
                <w:lang w:val="sq-AL"/>
              </w:rPr>
              <w:t xml:space="preserve">ë vitin 2024 do të arrijë në 500 dhe deri në vitin 2027 në 1,000 </w:t>
            </w:r>
            <w:r w:rsidRPr="0058349C">
              <w:rPr>
                <w:rFonts w:ascii="Garamond" w:eastAsia="Arial" w:hAnsi="Garamond" w:cs="Segoe UI"/>
                <w:sz w:val="18"/>
                <w:szCs w:val="18"/>
                <w:lang w:val="sq-AL"/>
              </w:rPr>
              <w:t>numri i fermerëve, popullatës rurale dhe zyrtarëve</w:t>
            </w:r>
            <w:r w:rsidR="00CF7694" w:rsidRPr="0058349C">
              <w:rPr>
                <w:rFonts w:ascii="Garamond" w:eastAsia="Arial" w:hAnsi="Garamond" w:cs="Segoe UI"/>
                <w:sz w:val="18"/>
                <w:szCs w:val="18"/>
                <w:lang w:val="sq-AL"/>
              </w:rPr>
              <w:t xml:space="preserve"> </w:t>
            </w:r>
            <w:r w:rsidRPr="0058349C">
              <w:rPr>
                <w:rFonts w:ascii="Garamond" w:eastAsia="Arial" w:hAnsi="Garamond" w:cs="Segoe UI"/>
                <w:sz w:val="18"/>
                <w:szCs w:val="18"/>
                <w:lang w:val="sq-AL"/>
              </w:rPr>
              <w:t xml:space="preserve">të trajnuar për standardet e </w:t>
            </w:r>
            <w:r w:rsidR="00A36DC4">
              <w:rPr>
                <w:rFonts w:ascii="Garamond" w:eastAsia="Arial" w:hAnsi="Garamond" w:cs="Segoe UI"/>
                <w:sz w:val="18"/>
                <w:szCs w:val="18"/>
                <w:lang w:val="sq-AL"/>
              </w:rPr>
              <w:t>udhëtimit cilësor dhe të sigurt</w:t>
            </w:r>
            <w:r w:rsidRPr="0058349C">
              <w:rPr>
                <w:rFonts w:ascii="Garamond" w:eastAsia="Arial" w:hAnsi="Garamond" w:cs="Segoe UI"/>
                <w:sz w:val="18"/>
                <w:szCs w:val="18"/>
                <w:lang w:val="sq-AL"/>
              </w:rPr>
              <w:t xml:space="preserve"> </w:t>
            </w:r>
          </w:p>
        </w:tc>
        <w:tc>
          <w:tcPr>
            <w:tcW w:w="1419" w:type="dxa"/>
            <w:shd w:val="clear" w:color="auto" w:fill="F2F2F2"/>
            <w:vAlign w:val="center"/>
          </w:tcPr>
          <w:p w14:paraId="0773B8E6"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8E7"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8E8"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N:100,000</w:t>
            </w:r>
          </w:p>
        </w:tc>
        <w:tc>
          <w:tcPr>
            <w:tcW w:w="1289" w:type="dxa"/>
            <w:shd w:val="clear" w:color="auto" w:fill="F2F2F2"/>
            <w:vAlign w:val="center"/>
          </w:tcPr>
          <w:p w14:paraId="0773B8E9"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N:100,000</w:t>
            </w:r>
          </w:p>
        </w:tc>
        <w:tc>
          <w:tcPr>
            <w:tcW w:w="1134" w:type="dxa"/>
            <w:shd w:val="clear" w:color="auto" w:fill="E5F7CA"/>
            <w:vAlign w:val="center"/>
          </w:tcPr>
          <w:p w14:paraId="0773B8EA"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500</w:t>
            </w:r>
          </w:p>
        </w:tc>
        <w:tc>
          <w:tcPr>
            <w:tcW w:w="1275" w:type="dxa"/>
            <w:shd w:val="clear" w:color="auto" w:fill="E5F7CA"/>
            <w:vAlign w:val="center"/>
          </w:tcPr>
          <w:p w14:paraId="0773B8EB"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1,000</w:t>
            </w:r>
          </w:p>
        </w:tc>
      </w:tr>
      <w:tr w:rsidR="00C4444C" w:rsidRPr="0058349C" w14:paraId="0773B8F6" w14:textId="77777777" w:rsidTr="00E9489E">
        <w:trPr>
          <w:gridAfter w:val="1"/>
          <w:wAfter w:w="8" w:type="dxa"/>
          <w:trHeight w:val="20"/>
        </w:trPr>
        <w:tc>
          <w:tcPr>
            <w:tcW w:w="384" w:type="dxa"/>
            <w:shd w:val="clear" w:color="auto" w:fill="F2F2F2"/>
          </w:tcPr>
          <w:p w14:paraId="0773B8ED" w14:textId="77777777" w:rsidR="00C4444C" w:rsidRPr="0058349C" w:rsidRDefault="00C4444C" w:rsidP="00CF7694">
            <w:pPr>
              <w:spacing w:after="0" w:line="240" w:lineRule="auto"/>
              <w:rPr>
                <w:rFonts w:ascii="Garamond" w:eastAsia="Arial" w:hAnsi="Garamond"/>
                <w:b/>
                <w:sz w:val="18"/>
                <w:szCs w:val="18"/>
                <w:lang w:val="sq-AL"/>
              </w:rPr>
            </w:pPr>
          </w:p>
        </w:tc>
        <w:tc>
          <w:tcPr>
            <w:tcW w:w="3567" w:type="dxa"/>
            <w:shd w:val="clear" w:color="auto" w:fill="F2F2F2"/>
          </w:tcPr>
          <w:p w14:paraId="0773B8EE" w14:textId="77777777" w:rsidR="00C4444C" w:rsidRPr="0058349C" w:rsidRDefault="00C4444C" w:rsidP="00CF7694">
            <w:pPr>
              <w:spacing w:after="0" w:line="240" w:lineRule="auto"/>
              <w:rPr>
                <w:rFonts w:ascii="Garamond" w:eastAsia="Arial" w:hAnsi="Garamond" w:cs="Segoe UI"/>
                <w:b/>
                <w:bCs/>
                <w:sz w:val="18"/>
                <w:szCs w:val="18"/>
                <w:lang w:val="sq-AL"/>
              </w:rPr>
            </w:pPr>
            <w:r w:rsidRPr="0058349C">
              <w:rPr>
                <w:rFonts w:ascii="Garamond" w:hAnsi="Garamond"/>
                <w:b/>
                <w:bCs/>
                <w:sz w:val="18"/>
                <w:szCs w:val="18"/>
                <w:lang w:val="sq-AL"/>
              </w:rPr>
              <w:t>Mbështetje fillestare (start-up) për të rinjtë e diplomuar në sektorin e bujqësisë</w:t>
            </w:r>
          </w:p>
        </w:tc>
        <w:tc>
          <w:tcPr>
            <w:tcW w:w="2526" w:type="dxa"/>
            <w:shd w:val="clear" w:color="auto" w:fill="F2F2F2"/>
          </w:tcPr>
          <w:p w14:paraId="0773B8EF" w14:textId="601430F2" w:rsidR="00C4444C" w:rsidRPr="0058349C" w:rsidRDefault="00C4444C" w:rsidP="00A36DC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Deri n</w:t>
            </w:r>
            <w:r w:rsidRPr="0058349C">
              <w:rPr>
                <w:rFonts w:ascii="Garamond" w:hAnsi="Garamond"/>
                <w:bCs/>
                <w:sz w:val="18"/>
                <w:szCs w:val="18"/>
                <w:lang w:val="sq-AL"/>
              </w:rPr>
              <w:t>ë vitin 2024 do të arrijë n</w:t>
            </w:r>
            <w:r w:rsidR="00A36DC4">
              <w:rPr>
                <w:rFonts w:ascii="Garamond" w:hAnsi="Garamond"/>
                <w:bCs/>
                <w:sz w:val="18"/>
                <w:szCs w:val="18"/>
                <w:lang w:val="sq-AL"/>
              </w:rPr>
              <w:t>ë</w:t>
            </w:r>
            <w:r w:rsidRPr="0058349C">
              <w:rPr>
                <w:rFonts w:ascii="Garamond" w:hAnsi="Garamond"/>
                <w:bCs/>
                <w:sz w:val="18"/>
                <w:szCs w:val="18"/>
                <w:lang w:val="sq-AL"/>
              </w:rPr>
              <w:t xml:space="preserve"> 50 dhe deri në vitin 2027 në 300 </w:t>
            </w:r>
            <w:r w:rsidRPr="0058349C">
              <w:rPr>
                <w:rFonts w:ascii="Garamond" w:eastAsia="Arial" w:hAnsi="Garamond" w:cs="Segoe UI"/>
                <w:sz w:val="18"/>
                <w:szCs w:val="18"/>
                <w:lang w:val="sq-AL"/>
              </w:rPr>
              <w:t>numri i të rinjve të diplomuar të trajnuar për marrjen e grandeve për bujqësinë</w:t>
            </w:r>
          </w:p>
        </w:tc>
        <w:tc>
          <w:tcPr>
            <w:tcW w:w="1419" w:type="dxa"/>
            <w:shd w:val="clear" w:color="auto" w:fill="F2F2F2"/>
            <w:vAlign w:val="center"/>
          </w:tcPr>
          <w:p w14:paraId="0773B8F0"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8F1"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N:5,000</w:t>
            </w:r>
          </w:p>
        </w:tc>
        <w:tc>
          <w:tcPr>
            <w:tcW w:w="1288" w:type="dxa"/>
            <w:shd w:val="clear" w:color="auto" w:fill="F2F2F2"/>
            <w:vAlign w:val="center"/>
          </w:tcPr>
          <w:p w14:paraId="0773B8F2"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N:5,000</w:t>
            </w:r>
          </w:p>
        </w:tc>
        <w:tc>
          <w:tcPr>
            <w:tcW w:w="1289" w:type="dxa"/>
            <w:shd w:val="clear" w:color="auto" w:fill="F2F2F2"/>
            <w:vAlign w:val="center"/>
          </w:tcPr>
          <w:p w14:paraId="0773B8F3"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N:5,000</w:t>
            </w:r>
          </w:p>
        </w:tc>
        <w:tc>
          <w:tcPr>
            <w:tcW w:w="1134" w:type="dxa"/>
            <w:shd w:val="clear" w:color="auto" w:fill="E5F7CA"/>
            <w:vAlign w:val="center"/>
          </w:tcPr>
          <w:p w14:paraId="0773B8F4"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w:t>
            </w:r>
          </w:p>
        </w:tc>
        <w:tc>
          <w:tcPr>
            <w:tcW w:w="1275" w:type="dxa"/>
            <w:shd w:val="clear" w:color="auto" w:fill="E5F7CA"/>
            <w:vAlign w:val="center"/>
          </w:tcPr>
          <w:p w14:paraId="0773B8F5"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300</w:t>
            </w:r>
          </w:p>
        </w:tc>
      </w:tr>
      <w:tr w:rsidR="00C4444C" w:rsidRPr="0058349C" w14:paraId="0773B900" w14:textId="77777777" w:rsidTr="00E9489E">
        <w:trPr>
          <w:gridAfter w:val="1"/>
          <w:wAfter w:w="8" w:type="dxa"/>
          <w:trHeight w:val="20"/>
        </w:trPr>
        <w:tc>
          <w:tcPr>
            <w:tcW w:w="384" w:type="dxa"/>
            <w:shd w:val="clear" w:color="auto" w:fill="F2F2F2"/>
          </w:tcPr>
          <w:p w14:paraId="0773B8F7" w14:textId="77777777" w:rsidR="00C4444C" w:rsidRPr="0058349C" w:rsidRDefault="00C4444C" w:rsidP="00CF7694">
            <w:pPr>
              <w:spacing w:after="0" w:line="240" w:lineRule="auto"/>
              <w:rPr>
                <w:rFonts w:ascii="Garamond" w:eastAsia="Arial" w:hAnsi="Garamond"/>
                <w:b/>
                <w:sz w:val="18"/>
                <w:szCs w:val="18"/>
                <w:lang w:val="sq-AL"/>
              </w:rPr>
            </w:pPr>
          </w:p>
        </w:tc>
        <w:tc>
          <w:tcPr>
            <w:tcW w:w="3567" w:type="dxa"/>
            <w:shd w:val="clear" w:color="auto" w:fill="F2F2F2"/>
          </w:tcPr>
          <w:p w14:paraId="0773B8F8" w14:textId="77777777" w:rsidR="00C4444C" w:rsidRPr="0058349C" w:rsidRDefault="00C4444C" w:rsidP="00CF7694">
            <w:pPr>
              <w:spacing w:after="0" w:line="240" w:lineRule="auto"/>
              <w:rPr>
                <w:rFonts w:ascii="Garamond" w:eastAsia="Arial" w:hAnsi="Garamond" w:cs="Segoe UI"/>
                <w:b/>
                <w:bCs/>
                <w:sz w:val="18"/>
                <w:szCs w:val="18"/>
                <w:lang w:val="sq-AL"/>
              </w:rPr>
            </w:pPr>
            <w:r w:rsidRPr="0058349C">
              <w:rPr>
                <w:rFonts w:ascii="Garamond" w:hAnsi="Garamond"/>
                <w:b/>
                <w:bCs/>
                <w:sz w:val="18"/>
                <w:szCs w:val="18"/>
                <w:lang w:val="sq-AL"/>
              </w:rPr>
              <w:t>AT mbi mundësitë e bioekonomisë</w:t>
            </w:r>
          </w:p>
        </w:tc>
        <w:tc>
          <w:tcPr>
            <w:tcW w:w="2526" w:type="dxa"/>
            <w:shd w:val="clear" w:color="auto" w:fill="F2F2F2"/>
          </w:tcPr>
          <w:p w14:paraId="0773B8F9" w14:textId="7064B695" w:rsidR="00C4444C" w:rsidRPr="0058349C" w:rsidRDefault="00C4444C"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Deri n</w:t>
            </w:r>
            <w:r w:rsidRPr="0058349C">
              <w:rPr>
                <w:rFonts w:ascii="Garamond" w:hAnsi="Garamond"/>
                <w:bCs/>
                <w:sz w:val="18"/>
                <w:szCs w:val="18"/>
                <w:lang w:val="sq-AL"/>
              </w:rPr>
              <w:t xml:space="preserve">ë vitin 2024 do të arrijë në 10 </w:t>
            </w:r>
            <w:r w:rsidRPr="0058349C">
              <w:rPr>
                <w:rFonts w:ascii="Garamond" w:eastAsia="Arial" w:hAnsi="Garamond" w:cs="Segoe UI"/>
                <w:sz w:val="18"/>
                <w:szCs w:val="18"/>
                <w:lang w:val="sq-AL"/>
              </w:rPr>
              <w:t>numri i zyrtarëve të trajnuar për ngritjen e një platforme të njohurive shkencore, inovacionit dhe ndryshimit të teknologjive mbi proc</w:t>
            </w:r>
            <w:r w:rsidR="00A36DC4">
              <w:rPr>
                <w:rFonts w:ascii="Garamond" w:eastAsia="Arial" w:hAnsi="Garamond" w:cs="Segoe UI"/>
                <w:sz w:val="18"/>
                <w:szCs w:val="18"/>
                <w:lang w:val="sq-AL"/>
              </w:rPr>
              <w:t>eset e bazuara në ekonominë bio</w:t>
            </w:r>
            <w:r w:rsidRPr="0058349C">
              <w:rPr>
                <w:rFonts w:ascii="Garamond" w:eastAsia="Arial" w:hAnsi="Garamond" w:cs="Segoe UI"/>
                <w:sz w:val="18"/>
                <w:szCs w:val="18"/>
                <w:lang w:val="sq-AL"/>
              </w:rPr>
              <w:t>bujqësore dhe pyjore</w:t>
            </w:r>
          </w:p>
        </w:tc>
        <w:tc>
          <w:tcPr>
            <w:tcW w:w="1419" w:type="dxa"/>
            <w:shd w:val="clear" w:color="auto" w:fill="F2F2F2"/>
            <w:vAlign w:val="center"/>
          </w:tcPr>
          <w:p w14:paraId="0773B8FA"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E pazbatueshme - (TAIEX ose projekte të tjera të vogla AT)</w:t>
            </w:r>
          </w:p>
        </w:tc>
        <w:tc>
          <w:tcPr>
            <w:tcW w:w="1288" w:type="dxa"/>
            <w:shd w:val="clear" w:color="auto" w:fill="F2F2F2"/>
            <w:vAlign w:val="center"/>
          </w:tcPr>
          <w:p w14:paraId="0773B8FB"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8FC"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8FD"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8FE"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w:t>
            </w:r>
          </w:p>
        </w:tc>
        <w:tc>
          <w:tcPr>
            <w:tcW w:w="1275" w:type="dxa"/>
            <w:shd w:val="clear" w:color="auto" w:fill="E5F7CA"/>
            <w:vAlign w:val="center"/>
          </w:tcPr>
          <w:p w14:paraId="0773B8FF"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w:t>
            </w:r>
          </w:p>
        </w:tc>
      </w:tr>
      <w:tr w:rsidR="00C4444C" w:rsidRPr="0058349C" w14:paraId="0773B90A" w14:textId="77777777" w:rsidTr="00E9489E">
        <w:trPr>
          <w:gridAfter w:val="1"/>
          <w:wAfter w:w="8" w:type="dxa"/>
          <w:trHeight w:val="20"/>
        </w:trPr>
        <w:tc>
          <w:tcPr>
            <w:tcW w:w="384" w:type="dxa"/>
            <w:shd w:val="clear" w:color="auto" w:fill="F2F2F2"/>
          </w:tcPr>
          <w:p w14:paraId="0773B901" w14:textId="77777777" w:rsidR="00C4444C" w:rsidRPr="0058349C" w:rsidRDefault="00C4444C" w:rsidP="00CF7694">
            <w:pPr>
              <w:spacing w:after="0" w:line="240" w:lineRule="auto"/>
              <w:rPr>
                <w:rFonts w:ascii="Garamond" w:eastAsia="Arial" w:hAnsi="Garamond"/>
                <w:b/>
                <w:sz w:val="18"/>
                <w:szCs w:val="18"/>
                <w:lang w:val="sq-AL"/>
              </w:rPr>
            </w:pPr>
          </w:p>
        </w:tc>
        <w:tc>
          <w:tcPr>
            <w:tcW w:w="3567" w:type="dxa"/>
            <w:shd w:val="clear" w:color="auto" w:fill="F2F2F2"/>
          </w:tcPr>
          <w:p w14:paraId="0773B902" w14:textId="685202B1" w:rsidR="00C4444C" w:rsidRPr="0058349C" w:rsidRDefault="00C4444C" w:rsidP="00CF7694">
            <w:pPr>
              <w:spacing w:after="0" w:line="240" w:lineRule="auto"/>
              <w:rPr>
                <w:rFonts w:ascii="Garamond" w:eastAsia="Arial" w:hAnsi="Garamond" w:cs="Segoe UI"/>
                <w:b/>
                <w:bCs/>
                <w:sz w:val="18"/>
                <w:szCs w:val="18"/>
                <w:lang w:val="sq-AL"/>
              </w:rPr>
            </w:pPr>
            <w:r w:rsidRPr="0058349C">
              <w:rPr>
                <w:rFonts w:ascii="Garamond" w:hAnsi="Garamond"/>
                <w:b/>
                <w:bCs/>
                <w:sz w:val="18"/>
                <w:szCs w:val="18"/>
                <w:lang w:val="sq-AL"/>
              </w:rPr>
              <w:t xml:space="preserve">AT dhe kërkim shkencor mbi bioekonominë dhe ekonominë rrethore të bazuar në bio (biomasa nga bujqësi dhe </w:t>
            </w:r>
            <w:r w:rsidRPr="0058349C">
              <w:rPr>
                <w:rFonts w:ascii="Garamond" w:hAnsi="Garamond"/>
                <w:b/>
                <w:bCs/>
                <w:sz w:val="18"/>
                <w:szCs w:val="18"/>
                <w:lang w:val="sq-AL"/>
              </w:rPr>
              <w:lastRenderedPageBreak/>
              <w:t>pyjet, biokarburantet</w:t>
            </w:r>
            <w:r w:rsidR="00C259A4">
              <w:rPr>
                <w:rFonts w:ascii="Garamond" w:hAnsi="Garamond"/>
                <w:b/>
                <w:bCs/>
                <w:sz w:val="18"/>
                <w:szCs w:val="18"/>
                <w:lang w:val="sq-AL"/>
              </w:rPr>
              <w:t>)</w:t>
            </w:r>
          </w:p>
        </w:tc>
        <w:tc>
          <w:tcPr>
            <w:tcW w:w="2526" w:type="dxa"/>
            <w:shd w:val="clear" w:color="auto" w:fill="F2F2F2"/>
          </w:tcPr>
          <w:p w14:paraId="0773B903" w14:textId="2AD91DEB" w:rsidR="00C4444C" w:rsidRPr="0058349C" w:rsidRDefault="00C4444C" w:rsidP="00A36DC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lastRenderedPageBreak/>
              <w:t xml:space="preserve">Plani i </w:t>
            </w:r>
            <w:r w:rsidR="00A36DC4" w:rsidRPr="0058349C">
              <w:rPr>
                <w:rFonts w:ascii="Garamond" w:eastAsia="Arial" w:hAnsi="Garamond" w:cs="Segoe UI"/>
                <w:sz w:val="18"/>
                <w:szCs w:val="18"/>
                <w:lang w:val="sq-AL"/>
              </w:rPr>
              <w:t xml:space="preserve">veprimit </w:t>
            </w:r>
            <w:r w:rsidRPr="0058349C">
              <w:rPr>
                <w:rFonts w:ascii="Garamond" w:eastAsia="Arial" w:hAnsi="Garamond" w:cs="Segoe UI"/>
                <w:sz w:val="18"/>
                <w:szCs w:val="18"/>
                <w:lang w:val="sq-AL"/>
              </w:rPr>
              <w:t>për promovimin e bioekonomisë</w:t>
            </w:r>
            <w:r w:rsidR="00A36DC4">
              <w:rPr>
                <w:rFonts w:ascii="Garamond" w:eastAsia="Arial" w:hAnsi="Garamond" w:cs="Segoe UI"/>
                <w:sz w:val="18"/>
                <w:szCs w:val="18"/>
                <w:lang w:val="sq-AL"/>
              </w:rPr>
              <w:t>,</w:t>
            </w:r>
            <w:r w:rsidRPr="0058349C">
              <w:rPr>
                <w:rFonts w:ascii="Garamond" w:eastAsia="Arial" w:hAnsi="Garamond" w:cs="Segoe UI"/>
                <w:sz w:val="18"/>
                <w:szCs w:val="18"/>
                <w:lang w:val="sq-AL"/>
              </w:rPr>
              <w:t xml:space="preserve"> i përgatitur në masën 100% deri në vitin 2024</w:t>
            </w:r>
          </w:p>
        </w:tc>
        <w:tc>
          <w:tcPr>
            <w:tcW w:w="1419" w:type="dxa"/>
            <w:shd w:val="clear" w:color="auto" w:fill="F2F2F2"/>
            <w:vAlign w:val="center"/>
          </w:tcPr>
          <w:p w14:paraId="0773B904"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905"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8" w:type="dxa"/>
            <w:shd w:val="clear" w:color="auto" w:fill="F2F2F2"/>
            <w:vAlign w:val="center"/>
          </w:tcPr>
          <w:p w14:paraId="0773B906"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0</w:t>
            </w:r>
          </w:p>
        </w:tc>
        <w:tc>
          <w:tcPr>
            <w:tcW w:w="1289" w:type="dxa"/>
            <w:shd w:val="clear" w:color="auto" w:fill="F2F2F2"/>
            <w:vAlign w:val="center"/>
          </w:tcPr>
          <w:p w14:paraId="0773B907"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N:50,000</w:t>
            </w:r>
          </w:p>
        </w:tc>
        <w:tc>
          <w:tcPr>
            <w:tcW w:w="1134" w:type="dxa"/>
            <w:shd w:val="clear" w:color="auto" w:fill="E5F7CA"/>
            <w:vAlign w:val="center"/>
          </w:tcPr>
          <w:p w14:paraId="0773B908"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c>
          <w:tcPr>
            <w:tcW w:w="1275" w:type="dxa"/>
            <w:shd w:val="clear" w:color="auto" w:fill="E5F7CA"/>
            <w:vAlign w:val="center"/>
          </w:tcPr>
          <w:p w14:paraId="0773B909"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C4444C" w:rsidRPr="0058349C" w14:paraId="0773B914" w14:textId="77777777" w:rsidTr="00E9489E">
        <w:trPr>
          <w:gridAfter w:val="1"/>
          <w:wAfter w:w="8" w:type="dxa"/>
          <w:trHeight w:val="20"/>
        </w:trPr>
        <w:tc>
          <w:tcPr>
            <w:tcW w:w="384" w:type="dxa"/>
            <w:shd w:val="clear" w:color="auto" w:fill="F2F2F2"/>
          </w:tcPr>
          <w:p w14:paraId="0773B90B" w14:textId="77777777" w:rsidR="00C4444C" w:rsidRPr="0058349C" w:rsidRDefault="00C4444C" w:rsidP="00CF7694">
            <w:pPr>
              <w:spacing w:after="0" w:line="240" w:lineRule="auto"/>
              <w:rPr>
                <w:rFonts w:ascii="Garamond" w:eastAsia="Arial" w:hAnsi="Garamond"/>
                <w:b/>
                <w:sz w:val="18"/>
                <w:szCs w:val="18"/>
                <w:lang w:val="sq-AL"/>
              </w:rPr>
            </w:pPr>
          </w:p>
        </w:tc>
        <w:tc>
          <w:tcPr>
            <w:tcW w:w="3567" w:type="dxa"/>
            <w:shd w:val="clear" w:color="auto" w:fill="F2F2F2"/>
          </w:tcPr>
          <w:p w14:paraId="0773B90C" w14:textId="77777777" w:rsidR="00C4444C" w:rsidRPr="0058349C" w:rsidRDefault="00C4444C" w:rsidP="00CF7694">
            <w:pPr>
              <w:spacing w:after="0" w:line="240" w:lineRule="auto"/>
              <w:rPr>
                <w:rFonts w:ascii="Garamond" w:hAnsi="Garamond"/>
                <w:b/>
                <w:bCs/>
                <w:sz w:val="18"/>
                <w:szCs w:val="18"/>
                <w:lang w:val="sq-AL"/>
              </w:rPr>
            </w:pPr>
            <w:r w:rsidRPr="0058349C">
              <w:rPr>
                <w:rFonts w:ascii="Garamond" w:hAnsi="Garamond"/>
                <w:b/>
                <w:bCs/>
                <w:sz w:val="18"/>
                <w:szCs w:val="18"/>
                <w:lang w:val="sq-AL"/>
              </w:rPr>
              <w:t>Krijimi i një Qendre Kombëtare Kërkimore për Shkencat e Peshkimit në Shqipëri</w:t>
            </w:r>
          </w:p>
        </w:tc>
        <w:tc>
          <w:tcPr>
            <w:tcW w:w="2526" w:type="dxa"/>
            <w:shd w:val="clear" w:color="auto" w:fill="F2F2F2"/>
          </w:tcPr>
          <w:p w14:paraId="0773B90D" w14:textId="02C6C2A3" w:rsidR="00C4444C" w:rsidRPr="0058349C" w:rsidRDefault="00C4444C"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Deri në vitin 2027 do të ngrihet dhe jetë në funksion</w:t>
            </w:r>
            <w:r w:rsidR="00CF7694" w:rsidRPr="0058349C">
              <w:rPr>
                <w:rFonts w:ascii="Garamond" w:eastAsia="Arial" w:hAnsi="Garamond" w:cs="Segoe UI"/>
                <w:sz w:val="18"/>
                <w:szCs w:val="18"/>
                <w:lang w:val="sq-AL"/>
              </w:rPr>
              <w:t xml:space="preserve"> </w:t>
            </w:r>
            <w:r w:rsidRPr="0058349C">
              <w:rPr>
                <w:rFonts w:ascii="Garamond" w:eastAsia="Arial" w:hAnsi="Garamond" w:cs="Segoe UI"/>
                <w:sz w:val="18"/>
                <w:szCs w:val="18"/>
                <w:lang w:val="sq-AL"/>
              </w:rPr>
              <w:t>të plotë</w:t>
            </w:r>
            <w:r w:rsidR="00CF7694" w:rsidRPr="0058349C">
              <w:rPr>
                <w:rFonts w:ascii="Garamond" w:eastAsia="Arial" w:hAnsi="Garamond" w:cs="Segoe UI"/>
                <w:sz w:val="18"/>
                <w:szCs w:val="18"/>
                <w:lang w:val="sq-AL"/>
              </w:rPr>
              <w:t xml:space="preserve"> </w:t>
            </w:r>
            <w:r w:rsidRPr="0058349C">
              <w:rPr>
                <w:rFonts w:ascii="Garamond" w:eastAsia="Arial" w:hAnsi="Garamond" w:cs="Segoe UI"/>
                <w:sz w:val="18"/>
                <w:szCs w:val="18"/>
                <w:lang w:val="sq-AL"/>
              </w:rPr>
              <w:t>Qendra Kombëtare e Shkencave të Peshkimit.</w:t>
            </w:r>
          </w:p>
        </w:tc>
        <w:tc>
          <w:tcPr>
            <w:tcW w:w="1419" w:type="dxa"/>
            <w:shd w:val="clear" w:color="auto" w:fill="F2F2F2"/>
            <w:vAlign w:val="center"/>
          </w:tcPr>
          <w:p w14:paraId="0773B90E" w14:textId="2CEC9E14"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 xml:space="preserve"> </w:t>
            </w:r>
            <w:r w:rsidR="00A36DC4" w:rsidRPr="0058349C">
              <w:rPr>
                <w:rFonts w:ascii="Garamond" w:eastAsia="Arial" w:hAnsi="Garamond"/>
                <w:sz w:val="18"/>
                <w:szCs w:val="18"/>
                <w:lang w:val="sq-AL"/>
              </w:rPr>
              <w:t xml:space="preserve">Nevojitet </w:t>
            </w:r>
            <w:r w:rsidRPr="0058349C">
              <w:rPr>
                <w:rFonts w:ascii="Garamond" w:eastAsia="Arial" w:hAnsi="Garamond"/>
                <w:sz w:val="18"/>
                <w:szCs w:val="18"/>
                <w:lang w:val="sq-AL"/>
              </w:rPr>
              <w:t>një studim fizibiliteti</w:t>
            </w:r>
          </w:p>
        </w:tc>
        <w:tc>
          <w:tcPr>
            <w:tcW w:w="1288" w:type="dxa"/>
            <w:shd w:val="clear" w:color="auto" w:fill="F2F2F2"/>
            <w:vAlign w:val="center"/>
          </w:tcPr>
          <w:p w14:paraId="0773B90F"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910"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89" w:type="dxa"/>
            <w:shd w:val="clear" w:color="auto" w:fill="F2F2F2"/>
            <w:vAlign w:val="center"/>
          </w:tcPr>
          <w:p w14:paraId="0773B911"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134" w:type="dxa"/>
            <w:shd w:val="clear" w:color="auto" w:fill="E5F7CA"/>
            <w:vAlign w:val="center"/>
          </w:tcPr>
          <w:p w14:paraId="0773B912"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70%</w:t>
            </w:r>
          </w:p>
        </w:tc>
        <w:tc>
          <w:tcPr>
            <w:tcW w:w="1275" w:type="dxa"/>
            <w:shd w:val="clear" w:color="auto" w:fill="E5F7CA"/>
            <w:vAlign w:val="center"/>
          </w:tcPr>
          <w:p w14:paraId="0773B913"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C4444C" w:rsidRPr="0058349C" w14:paraId="0773B91E" w14:textId="77777777" w:rsidTr="00E9489E">
        <w:trPr>
          <w:gridAfter w:val="1"/>
          <w:wAfter w:w="8" w:type="dxa"/>
          <w:trHeight w:val="20"/>
        </w:trPr>
        <w:tc>
          <w:tcPr>
            <w:tcW w:w="384" w:type="dxa"/>
            <w:shd w:val="clear" w:color="auto" w:fill="F2F2F2"/>
          </w:tcPr>
          <w:p w14:paraId="0773B915" w14:textId="77777777" w:rsidR="00C4444C" w:rsidRPr="0058349C" w:rsidRDefault="00C4444C" w:rsidP="00CF7694">
            <w:pPr>
              <w:spacing w:after="0" w:line="240" w:lineRule="auto"/>
              <w:rPr>
                <w:rFonts w:ascii="Garamond" w:eastAsia="Arial" w:hAnsi="Garamond"/>
                <w:b/>
                <w:sz w:val="18"/>
                <w:szCs w:val="18"/>
                <w:lang w:val="sq-AL"/>
              </w:rPr>
            </w:pPr>
          </w:p>
        </w:tc>
        <w:tc>
          <w:tcPr>
            <w:tcW w:w="3567" w:type="dxa"/>
            <w:shd w:val="clear" w:color="auto" w:fill="F2F2F2"/>
          </w:tcPr>
          <w:p w14:paraId="0773B916" w14:textId="5688A086" w:rsidR="00C4444C" w:rsidRPr="0058349C" w:rsidRDefault="00C4444C" w:rsidP="00A36DC4">
            <w:pPr>
              <w:spacing w:after="0" w:line="240" w:lineRule="auto"/>
              <w:rPr>
                <w:rFonts w:ascii="Garamond" w:hAnsi="Garamond"/>
                <w:b/>
                <w:bCs/>
                <w:sz w:val="18"/>
                <w:szCs w:val="18"/>
                <w:lang w:val="sq-AL"/>
              </w:rPr>
            </w:pPr>
            <w:r w:rsidRPr="0058349C">
              <w:rPr>
                <w:rFonts w:ascii="Garamond" w:hAnsi="Garamond"/>
                <w:b/>
                <w:bCs/>
                <w:sz w:val="18"/>
                <w:szCs w:val="18"/>
                <w:lang w:val="sq-AL"/>
              </w:rPr>
              <w:t>Përgatitja e një plani veprimi për zbatimin e parashikimeve të A</w:t>
            </w:r>
            <w:r w:rsidR="00A36DC4">
              <w:rPr>
                <w:rFonts w:ascii="Garamond" w:hAnsi="Garamond"/>
                <w:b/>
                <w:bCs/>
                <w:sz w:val="18"/>
                <w:szCs w:val="18"/>
                <w:lang w:val="sq-AL"/>
              </w:rPr>
              <w:t>gj</w:t>
            </w:r>
            <w:r w:rsidRPr="0058349C">
              <w:rPr>
                <w:rFonts w:ascii="Garamond" w:hAnsi="Garamond"/>
                <w:b/>
                <w:bCs/>
                <w:sz w:val="18"/>
                <w:szCs w:val="18"/>
                <w:lang w:val="sq-AL"/>
              </w:rPr>
              <w:t>endës së Gjelbër të Ballkanit Perëndimor</w:t>
            </w:r>
          </w:p>
        </w:tc>
        <w:tc>
          <w:tcPr>
            <w:tcW w:w="2526" w:type="dxa"/>
            <w:shd w:val="clear" w:color="auto" w:fill="F2F2F2"/>
          </w:tcPr>
          <w:p w14:paraId="0773B917" w14:textId="562ED8C5" w:rsidR="00C4444C" w:rsidRPr="0058349C" w:rsidRDefault="00C4444C" w:rsidP="00A36DC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Deri në vitin 2024 do të përgatitet</w:t>
            </w:r>
            <w:r w:rsidR="00CF7694" w:rsidRPr="0058349C">
              <w:rPr>
                <w:rFonts w:ascii="Garamond" w:eastAsia="Arial" w:hAnsi="Garamond" w:cs="Segoe UI"/>
                <w:sz w:val="18"/>
                <w:szCs w:val="18"/>
                <w:lang w:val="sq-AL"/>
              </w:rPr>
              <w:t xml:space="preserve"> </w:t>
            </w:r>
            <w:r w:rsidRPr="0058349C">
              <w:rPr>
                <w:rFonts w:ascii="Garamond" w:eastAsia="Arial" w:hAnsi="Garamond" w:cs="Segoe UI"/>
                <w:sz w:val="18"/>
                <w:szCs w:val="18"/>
                <w:lang w:val="sq-AL"/>
              </w:rPr>
              <w:t>në masën 100%</w:t>
            </w:r>
            <w:r w:rsidR="00A36DC4">
              <w:rPr>
                <w:rFonts w:ascii="Garamond" w:eastAsia="Arial" w:hAnsi="Garamond" w:cs="Segoe UI"/>
                <w:sz w:val="18"/>
                <w:szCs w:val="18"/>
                <w:lang w:val="sq-AL"/>
              </w:rPr>
              <w:t>,</w:t>
            </w:r>
            <w:r w:rsidRPr="0058349C">
              <w:rPr>
                <w:rFonts w:ascii="Garamond" w:eastAsia="Arial" w:hAnsi="Garamond" w:cs="Segoe UI"/>
                <w:sz w:val="18"/>
                <w:szCs w:val="18"/>
                <w:lang w:val="sq-AL"/>
              </w:rPr>
              <w:t xml:space="preserve"> Plani i Veprimit për zbatimin e parashikimeve të A</w:t>
            </w:r>
            <w:r w:rsidR="00A36DC4">
              <w:rPr>
                <w:rFonts w:ascii="Garamond" w:eastAsia="Arial" w:hAnsi="Garamond" w:cs="Segoe UI"/>
                <w:sz w:val="18"/>
                <w:szCs w:val="18"/>
                <w:lang w:val="sq-AL"/>
              </w:rPr>
              <w:t>gj</w:t>
            </w:r>
            <w:r w:rsidRPr="0058349C">
              <w:rPr>
                <w:rFonts w:ascii="Garamond" w:eastAsia="Arial" w:hAnsi="Garamond" w:cs="Segoe UI"/>
                <w:sz w:val="18"/>
                <w:szCs w:val="18"/>
                <w:lang w:val="sq-AL"/>
              </w:rPr>
              <w:t>endës së Gjelbër të Ballkanit Perëndimor</w:t>
            </w:r>
          </w:p>
        </w:tc>
        <w:tc>
          <w:tcPr>
            <w:tcW w:w="1419" w:type="dxa"/>
            <w:shd w:val="clear" w:color="auto" w:fill="F2F2F2"/>
            <w:vAlign w:val="center"/>
          </w:tcPr>
          <w:p w14:paraId="0773B918"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919"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91A"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N:200,000</w:t>
            </w:r>
          </w:p>
        </w:tc>
        <w:tc>
          <w:tcPr>
            <w:tcW w:w="1289" w:type="dxa"/>
            <w:shd w:val="clear" w:color="auto" w:fill="F2F2F2"/>
            <w:vAlign w:val="center"/>
          </w:tcPr>
          <w:p w14:paraId="0773B91B"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134" w:type="dxa"/>
            <w:shd w:val="clear" w:color="auto" w:fill="E5F7CA"/>
            <w:vAlign w:val="center"/>
          </w:tcPr>
          <w:p w14:paraId="0773B91C"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c>
          <w:tcPr>
            <w:tcW w:w="1275" w:type="dxa"/>
            <w:shd w:val="clear" w:color="auto" w:fill="E5F7CA"/>
            <w:vAlign w:val="center"/>
          </w:tcPr>
          <w:p w14:paraId="0773B91D"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100%</w:t>
            </w:r>
          </w:p>
        </w:tc>
      </w:tr>
      <w:tr w:rsidR="00C4444C" w:rsidRPr="0058349C" w14:paraId="0773B928" w14:textId="77777777" w:rsidTr="00E9489E">
        <w:trPr>
          <w:gridAfter w:val="1"/>
          <w:wAfter w:w="8" w:type="dxa"/>
          <w:trHeight w:val="20"/>
        </w:trPr>
        <w:tc>
          <w:tcPr>
            <w:tcW w:w="384" w:type="dxa"/>
            <w:vMerge w:val="restart"/>
            <w:shd w:val="clear" w:color="auto" w:fill="F2F2F2"/>
          </w:tcPr>
          <w:p w14:paraId="0773B91F" w14:textId="77777777" w:rsidR="00C4444C" w:rsidRPr="0058349C" w:rsidRDefault="00C4444C" w:rsidP="00CF7694">
            <w:pPr>
              <w:spacing w:after="0" w:line="240" w:lineRule="auto"/>
              <w:rPr>
                <w:rFonts w:ascii="Garamond" w:eastAsia="Arial" w:hAnsi="Garamond"/>
                <w:b/>
                <w:sz w:val="18"/>
                <w:szCs w:val="18"/>
                <w:lang w:val="sq-AL"/>
              </w:rPr>
            </w:pPr>
          </w:p>
        </w:tc>
        <w:tc>
          <w:tcPr>
            <w:tcW w:w="3567" w:type="dxa"/>
            <w:vMerge w:val="restart"/>
            <w:shd w:val="clear" w:color="auto" w:fill="F2F2F2"/>
          </w:tcPr>
          <w:p w14:paraId="0773B920" w14:textId="77777777" w:rsidR="00C4444C" w:rsidRPr="0058349C" w:rsidRDefault="00C4444C" w:rsidP="00CF7694">
            <w:pPr>
              <w:spacing w:after="0" w:line="240" w:lineRule="auto"/>
              <w:rPr>
                <w:rFonts w:ascii="Garamond" w:eastAsia="Arial" w:hAnsi="Garamond" w:cs="Segoe UI"/>
                <w:b/>
                <w:bCs/>
                <w:sz w:val="18"/>
                <w:szCs w:val="18"/>
                <w:lang w:val="sq-AL"/>
              </w:rPr>
            </w:pPr>
            <w:r w:rsidRPr="0058349C">
              <w:rPr>
                <w:rFonts w:ascii="Garamond" w:hAnsi="Garamond"/>
                <w:b/>
                <w:bCs/>
                <w:sz w:val="18"/>
                <w:szCs w:val="18"/>
                <w:lang w:val="sq-AL"/>
              </w:rPr>
              <w:t>AT mbi iniciativat lokale</w:t>
            </w:r>
          </w:p>
        </w:tc>
        <w:tc>
          <w:tcPr>
            <w:tcW w:w="2526" w:type="dxa"/>
            <w:shd w:val="clear" w:color="auto" w:fill="F2F2F2"/>
          </w:tcPr>
          <w:p w14:paraId="0773B921" w14:textId="24CE9CEA" w:rsidR="00C4444C" w:rsidRPr="0058349C" w:rsidRDefault="00C4444C"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Deri në vitin 2024 janë trajnuar 10 persona që bëjnë pjesë</w:t>
            </w:r>
            <w:r w:rsidR="00CF7694" w:rsidRPr="0058349C">
              <w:rPr>
                <w:rFonts w:ascii="Garamond" w:eastAsia="Arial" w:hAnsi="Garamond" w:cs="Segoe UI"/>
                <w:sz w:val="18"/>
                <w:szCs w:val="18"/>
                <w:lang w:val="sq-AL"/>
              </w:rPr>
              <w:t xml:space="preserve"> </w:t>
            </w:r>
            <w:r w:rsidRPr="0058349C">
              <w:rPr>
                <w:rFonts w:ascii="Garamond" w:eastAsia="Arial" w:hAnsi="Garamond" w:cs="Segoe UI"/>
                <w:sz w:val="18"/>
                <w:szCs w:val="18"/>
                <w:lang w:val="sq-AL"/>
              </w:rPr>
              <w:t>në stafin e trajnuar të GVV-ve dhe anëtarë të rrjetit rural në çështjet financiare-administrative, menaxhuese dhe komunikuese</w:t>
            </w:r>
          </w:p>
        </w:tc>
        <w:tc>
          <w:tcPr>
            <w:tcW w:w="1419" w:type="dxa"/>
            <w:shd w:val="clear" w:color="auto" w:fill="F2F2F2"/>
            <w:vAlign w:val="center"/>
          </w:tcPr>
          <w:p w14:paraId="0773B922" w14:textId="77777777" w:rsidR="00C4444C" w:rsidRPr="0058349C" w:rsidRDefault="00C4444C" w:rsidP="00CF7694">
            <w:pPr>
              <w:spacing w:after="0" w:line="240" w:lineRule="auto"/>
              <w:jc w:val="center"/>
              <w:rPr>
                <w:rFonts w:ascii="Garamond" w:eastAsia="Arial" w:hAnsi="Garamond"/>
                <w:sz w:val="18"/>
                <w:szCs w:val="18"/>
                <w:lang w:val="sq-AL"/>
              </w:rPr>
            </w:pPr>
          </w:p>
        </w:tc>
        <w:tc>
          <w:tcPr>
            <w:tcW w:w="1288" w:type="dxa"/>
            <w:shd w:val="clear" w:color="auto" w:fill="F2F2F2"/>
            <w:vAlign w:val="center"/>
          </w:tcPr>
          <w:p w14:paraId="0773B923"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N:50,000</w:t>
            </w:r>
          </w:p>
        </w:tc>
        <w:tc>
          <w:tcPr>
            <w:tcW w:w="1288" w:type="dxa"/>
            <w:shd w:val="clear" w:color="auto" w:fill="F2F2F2"/>
            <w:vAlign w:val="center"/>
          </w:tcPr>
          <w:p w14:paraId="0773B924"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N:50,000</w:t>
            </w:r>
          </w:p>
        </w:tc>
        <w:tc>
          <w:tcPr>
            <w:tcW w:w="1289" w:type="dxa"/>
            <w:shd w:val="clear" w:color="auto" w:fill="F2F2F2"/>
            <w:vAlign w:val="center"/>
          </w:tcPr>
          <w:p w14:paraId="0773B925"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N:50,000</w:t>
            </w:r>
          </w:p>
        </w:tc>
        <w:tc>
          <w:tcPr>
            <w:tcW w:w="1134" w:type="dxa"/>
            <w:shd w:val="clear" w:color="auto" w:fill="E5F7CA"/>
            <w:vAlign w:val="center"/>
          </w:tcPr>
          <w:p w14:paraId="0773B926"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w:t>
            </w:r>
          </w:p>
        </w:tc>
        <w:tc>
          <w:tcPr>
            <w:tcW w:w="1275" w:type="dxa"/>
            <w:shd w:val="clear" w:color="auto" w:fill="E5F7CA"/>
            <w:vAlign w:val="center"/>
          </w:tcPr>
          <w:p w14:paraId="0773B927"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10</w:t>
            </w:r>
          </w:p>
        </w:tc>
      </w:tr>
      <w:tr w:rsidR="00C4444C" w:rsidRPr="0058349C" w14:paraId="0773B932" w14:textId="77777777" w:rsidTr="00E9489E">
        <w:trPr>
          <w:gridAfter w:val="1"/>
          <w:wAfter w:w="8" w:type="dxa"/>
          <w:trHeight w:val="20"/>
        </w:trPr>
        <w:tc>
          <w:tcPr>
            <w:tcW w:w="384" w:type="dxa"/>
            <w:vMerge/>
            <w:shd w:val="clear" w:color="auto" w:fill="F2F2F2"/>
          </w:tcPr>
          <w:p w14:paraId="0773B929" w14:textId="77777777" w:rsidR="00C4444C" w:rsidRPr="0058349C" w:rsidRDefault="00C4444C" w:rsidP="00CF7694">
            <w:pPr>
              <w:spacing w:after="0" w:line="240" w:lineRule="auto"/>
              <w:rPr>
                <w:rFonts w:ascii="Garamond" w:eastAsia="Arial" w:hAnsi="Garamond"/>
                <w:b/>
                <w:sz w:val="18"/>
                <w:szCs w:val="18"/>
                <w:lang w:val="sq-AL"/>
              </w:rPr>
            </w:pPr>
          </w:p>
        </w:tc>
        <w:tc>
          <w:tcPr>
            <w:tcW w:w="3567" w:type="dxa"/>
            <w:vMerge/>
            <w:shd w:val="clear" w:color="auto" w:fill="F2F2F2"/>
          </w:tcPr>
          <w:p w14:paraId="0773B92A" w14:textId="77777777" w:rsidR="00C4444C" w:rsidRPr="0058349C" w:rsidRDefault="00C4444C" w:rsidP="00CF7694">
            <w:pPr>
              <w:spacing w:after="0" w:line="240" w:lineRule="auto"/>
              <w:rPr>
                <w:rFonts w:ascii="Garamond" w:hAnsi="Garamond"/>
                <w:b/>
                <w:bCs/>
                <w:sz w:val="18"/>
                <w:szCs w:val="18"/>
                <w:lang w:val="sq-AL"/>
              </w:rPr>
            </w:pPr>
          </w:p>
        </w:tc>
        <w:tc>
          <w:tcPr>
            <w:tcW w:w="2526" w:type="dxa"/>
            <w:shd w:val="clear" w:color="auto" w:fill="F2F2F2"/>
          </w:tcPr>
          <w:p w14:paraId="0773B92B" w14:textId="77777777" w:rsidR="00C4444C" w:rsidRPr="0058349C" w:rsidRDefault="00C4444C" w:rsidP="00CF7694">
            <w:pPr>
              <w:spacing w:after="0" w:line="240" w:lineRule="auto"/>
              <w:rPr>
                <w:rFonts w:ascii="Garamond" w:eastAsia="Arial" w:hAnsi="Garamond" w:cs="Segoe UI"/>
                <w:sz w:val="18"/>
                <w:szCs w:val="18"/>
                <w:lang w:val="sq-AL"/>
              </w:rPr>
            </w:pPr>
            <w:r w:rsidRPr="0058349C">
              <w:rPr>
                <w:rFonts w:ascii="Garamond" w:eastAsia="Arial" w:hAnsi="Garamond" w:cs="Segoe UI"/>
                <w:sz w:val="18"/>
                <w:szCs w:val="18"/>
                <w:lang w:val="sq-AL"/>
              </w:rPr>
              <w:t>Numri i stafit të Rrjetit Rural dhe MBZHR të trajnuar në lidhje rrjetet rurale do të arrijë në 50 deri në vitin 2024</w:t>
            </w:r>
          </w:p>
        </w:tc>
        <w:tc>
          <w:tcPr>
            <w:tcW w:w="1419" w:type="dxa"/>
            <w:shd w:val="clear" w:color="auto" w:fill="F2F2F2"/>
            <w:vAlign w:val="center"/>
          </w:tcPr>
          <w:p w14:paraId="0773B92C"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(TAIEX ose projekte të tjera të vogla AT)</w:t>
            </w:r>
          </w:p>
        </w:tc>
        <w:tc>
          <w:tcPr>
            <w:tcW w:w="1288" w:type="dxa"/>
            <w:shd w:val="clear" w:color="auto" w:fill="F2F2F2"/>
            <w:vAlign w:val="center"/>
          </w:tcPr>
          <w:p w14:paraId="0773B92D"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8" w:type="dxa"/>
            <w:shd w:val="clear" w:color="auto" w:fill="F2F2F2"/>
            <w:vAlign w:val="center"/>
          </w:tcPr>
          <w:p w14:paraId="0773B92E"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289" w:type="dxa"/>
            <w:shd w:val="clear" w:color="auto" w:fill="F2F2F2"/>
            <w:vAlign w:val="center"/>
          </w:tcPr>
          <w:p w14:paraId="0773B92F"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w:t>
            </w:r>
          </w:p>
        </w:tc>
        <w:tc>
          <w:tcPr>
            <w:tcW w:w="1134" w:type="dxa"/>
            <w:shd w:val="clear" w:color="auto" w:fill="E5F7CA"/>
            <w:vAlign w:val="center"/>
          </w:tcPr>
          <w:p w14:paraId="0773B930"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w:t>
            </w:r>
          </w:p>
        </w:tc>
        <w:tc>
          <w:tcPr>
            <w:tcW w:w="1275" w:type="dxa"/>
            <w:shd w:val="clear" w:color="auto" w:fill="E5F7CA"/>
            <w:vAlign w:val="center"/>
          </w:tcPr>
          <w:p w14:paraId="0773B931" w14:textId="77777777" w:rsidR="00C4444C" w:rsidRPr="0058349C" w:rsidRDefault="00C4444C" w:rsidP="00CF7694">
            <w:pPr>
              <w:spacing w:after="0" w:line="240" w:lineRule="auto"/>
              <w:jc w:val="center"/>
              <w:rPr>
                <w:rFonts w:ascii="Garamond" w:eastAsia="Arial" w:hAnsi="Garamond"/>
                <w:sz w:val="18"/>
                <w:szCs w:val="18"/>
                <w:lang w:val="sq-AL"/>
              </w:rPr>
            </w:pPr>
            <w:r w:rsidRPr="0058349C">
              <w:rPr>
                <w:rFonts w:ascii="Garamond" w:eastAsia="Arial" w:hAnsi="Garamond"/>
                <w:sz w:val="18"/>
                <w:szCs w:val="18"/>
                <w:lang w:val="sq-AL"/>
              </w:rPr>
              <w:t>50</w:t>
            </w:r>
          </w:p>
        </w:tc>
      </w:tr>
    </w:tbl>
    <w:p w14:paraId="0773B933" w14:textId="77777777" w:rsidR="00C63F02" w:rsidRPr="0058349C" w:rsidRDefault="00C63F02" w:rsidP="00C54AEA">
      <w:pPr>
        <w:pStyle w:val="TEKSTIIII"/>
        <w:rPr>
          <w:lang w:val="sq-AL"/>
        </w:rPr>
      </w:pPr>
    </w:p>
    <w:p w14:paraId="0773B934" w14:textId="77777777" w:rsidR="00486153" w:rsidRPr="0058349C" w:rsidRDefault="00486153" w:rsidP="001964F3">
      <w:pPr>
        <w:pStyle w:val="TEKSTIIII"/>
        <w:rPr>
          <w:b/>
          <w:lang w:val="sq-AL"/>
        </w:rPr>
      </w:pPr>
    </w:p>
    <w:p w14:paraId="0773B935" w14:textId="4D774A8C" w:rsidR="00D246AE" w:rsidRPr="0058349C" w:rsidRDefault="001964F3" w:rsidP="001964F3">
      <w:pPr>
        <w:pStyle w:val="TEKSTIIII"/>
        <w:rPr>
          <w:b/>
          <w:lang w:val="sq-AL"/>
        </w:rPr>
      </w:pPr>
      <w:bookmarkStart w:id="99" w:name="_Toc99708180"/>
      <w:bookmarkStart w:id="100" w:name="_Toc103838843"/>
      <w:r w:rsidRPr="0058349C">
        <w:rPr>
          <w:b/>
          <w:lang w:val="sq-AL"/>
        </w:rPr>
        <w:t xml:space="preserve">6.2 </w:t>
      </w:r>
      <w:r w:rsidR="00D246AE" w:rsidRPr="0058349C">
        <w:rPr>
          <w:b/>
          <w:lang w:val="sq-AL"/>
        </w:rPr>
        <w:t>Pla</w:t>
      </w:r>
      <w:r w:rsidR="00A36DC4">
        <w:rPr>
          <w:b/>
          <w:lang w:val="sq-AL"/>
        </w:rPr>
        <w:t>ni i Veprimit i MBZHR-së 2022–</w:t>
      </w:r>
      <w:r w:rsidR="00D246AE" w:rsidRPr="0058349C">
        <w:rPr>
          <w:b/>
          <w:lang w:val="sq-AL"/>
        </w:rPr>
        <w:t>2024 për përgatitjen dhe zbatimin e ndërhyrjeve</w:t>
      </w:r>
      <w:bookmarkEnd w:id="99"/>
      <w:bookmarkEnd w:id="100"/>
    </w:p>
    <w:p w14:paraId="0773B936" w14:textId="46694C32" w:rsidR="00D246AE" w:rsidRPr="0058349C" w:rsidRDefault="00D246AE" w:rsidP="00A36DC4">
      <w:pPr>
        <w:pStyle w:val="TEKSTIIII"/>
        <w:rPr>
          <w:b/>
          <w:lang w:val="sq-AL"/>
        </w:rPr>
      </w:pPr>
      <w:r w:rsidRPr="0058349C">
        <w:rPr>
          <w:b/>
          <w:lang w:val="sq-AL"/>
        </w:rPr>
        <w:t>Plani i Veprimit paraqet një vështrim të përgjithshëm për tr</w:t>
      </w:r>
      <w:r w:rsidR="00A36DC4">
        <w:rPr>
          <w:b/>
          <w:lang w:val="sq-AL"/>
        </w:rPr>
        <w:t>i vitet e para të zbatimit 2022</w:t>
      </w:r>
      <w:r w:rsidRPr="0058349C">
        <w:rPr>
          <w:b/>
          <w:lang w:val="sq-AL"/>
        </w:rPr>
        <w:t>–2024 të SBZHRP-së</w:t>
      </w:r>
      <w:r w:rsidR="00A36DC4">
        <w:rPr>
          <w:b/>
          <w:lang w:val="sq-AL"/>
        </w:rPr>
        <w:t>,</w:t>
      </w:r>
      <w:r w:rsidRPr="0058349C">
        <w:rPr>
          <w:b/>
          <w:lang w:val="sq-AL"/>
        </w:rPr>
        <w:t xml:space="preserve"> mbi veprimet që do të ndërmerren nën drejtimin e institucionit përgjegjës për përgatitjen dhe zbatimin e mekanizmit të ndërhyrjes të përshkruar në kapitullin 4.</w:t>
      </w:r>
    </w:p>
    <w:p w14:paraId="560C6EF8" w14:textId="77777777" w:rsidR="00A36DC4" w:rsidRDefault="00A36DC4" w:rsidP="00A36DC4">
      <w:pPr>
        <w:pStyle w:val="TEKSTIIII"/>
        <w:ind w:firstLine="0"/>
        <w:rPr>
          <w:b/>
          <w:lang w:val="sq-AL"/>
        </w:rPr>
      </w:pPr>
      <w:bookmarkStart w:id="101" w:name="_Toc103777369"/>
      <w:bookmarkStart w:id="102" w:name="_Toc99708278"/>
    </w:p>
    <w:p w14:paraId="0773B938" w14:textId="4F7A54A6" w:rsidR="001964F3" w:rsidRPr="006C4D90" w:rsidRDefault="00A36DC4" w:rsidP="00A36DC4">
      <w:pPr>
        <w:pStyle w:val="TEKSTIIII"/>
        <w:ind w:firstLine="0"/>
        <w:jc w:val="center"/>
        <w:rPr>
          <w:b/>
          <w:i/>
          <w:iCs/>
          <w:sz w:val="20"/>
          <w:szCs w:val="20"/>
          <w:lang w:val="sq-AL"/>
        </w:rPr>
      </w:pPr>
      <w:r w:rsidRPr="006C4D90">
        <w:rPr>
          <w:b/>
          <w:i/>
          <w:iCs/>
          <w:sz w:val="20"/>
          <w:szCs w:val="20"/>
          <w:lang w:val="sq-AL"/>
        </w:rPr>
        <w:t>Tabela 6</w:t>
      </w:r>
      <w:r w:rsidRPr="006C4D90">
        <w:rPr>
          <w:b/>
          <w:i/>
          <w:iCs/>
          <w:sz w:val="20"/>
          <w:szCs w:val="20"/>
          <w:lang w:val="sq-AL"/>
        </w:rPr>
        <w:noBreakHyphen/>
        <w:t xml:space="preserve">2: </w:t>
      </w:r>
      <w:r w:rsidR="00D246AE" w:rsidRPr="006C4D90">
        <w:rPr>
          <w:bCs/>
          <w:i/>
          <w:iCs/>
          <w:sz w:val="20"/>
          <w:szCs w:val="20"/>
          <w:lang w:val="sq-AL"/>
        </w:rPr>
        <w:t xml:space="preserve">Plani i Veprimit </w:t>
      </w:r>
      <w:r w:rsidRPr="006C4D90">
        <w:rPr>
          <w:bCs/>
          <w:i/>
          <w:iCs/>
          <w:sz w:val="20"/>
          <w:szCs w:val="20"/>
          <w:lang w:val="sq-AL"/>
        </w:rPr>
        <w:t>i MBZHR-së për periudhën 2022–</w:t>
      </w:r>
      <w:r w:rsidR="00D246AE" w:rsidRPr="006C4D90">
        <w:rPr>
          <w:bCs/>
          <w:i/>
          <w:iCs/>
          <w:sz w:val="20"/>
          <w:szCs w:val="20"/>
          <w:lang w:val="sq-AL"/>
        </w:rPr>
        <w:t>2024</w:t>
      </w:r>
      <w:bookmarkEnd w:id="101"/>
      <w:bookmarkEnd w:id="102"/>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8"/>
        <w:gridCol w:w="4041"/>
        <w:gridCol w:w="5730"/>
        <w:gridCol w:w="828"/>
        <w:gridCol w:w="956"/>
        <w:gridCol w:w="956"/>
      </w:tblGrid>
      <w:tr w:rsidR="00F10122" w:rsidRPr="00412B2B" w14:paraId="0773B93F" w14:textId="77777777" w:rsidTr="000727D2">
        <w:trPr>
          <w:trHeight w:val="20"/>
          <w:tblHeader/>
        </w:trPr>
        <w:tc>
          <w:tcPr>
            <w:tcW w:w="601" w:type="pct"/>
            <w:shd w:val="clear" w:color="auto" w:fill="E5F7CA"/>
            <w:vAlign w:val="center"/>
          </w:tcPr>
          <w:p w14:paraId="0773B939" w14:textId="77777777" w:rsidR="00F10122" w:rsidRPr="00412B2B" w:rsidRDefault="00F10122" w:rsidP="00F10122">
            <w:pPr>
              <w:pStyle w:val="Table1"/>
              <w:jc w:val="center"/>
              <w:rPr>
                <w:rFonts w:ascii="Garamond" w:hAnsi="Garamond"/>
                <w:sz w:val="18"/>
                <w:szCs w:val="18"/>
              </w:rPr>
            </w:pPr>
            <w:r w:rsidRPr="00412B2B">
              <w:rPr>
                <w:rFonts w:ascii="Garamond" w:hAnsi="Garamond"/>
                <w:b/>
                <w:sz w:val="18"/>
                <w:szCs w:val="18"/>
              </w:rPr>
              <w:t xml:space="preserve">Institucioni lider </w:t>
            </w:r>
          </w:p>
        </w:tc>
        <w:tc>
          <w:tcPr>
            <w:tcW w:w="1421" w:type="pct"/>
            <w:shd w:val="clear" w:color="auto" w:fill="E5F7CA"/>
            <w:vAlign w:val="center"/>
          </w:tcPr>
          <w:p w14:paraId="0773B93A" w14:textId="77777777" w:rsidR="00F10122" w:rsidRPr="00412B2B" w:rsidRDefault="00F10122" w:rsidP="00F10122">
            <w:pPr>
              <w:pStyle w:val="Table1"/>
              <w:jc w:val="center"/>
              <w:rPr>
                <w:rFonts w:ascii="Garamond" w:hAnsi="Garamond"/>
                <w:sz w:val="18"/>
                <w:szCs w:val="18"/>
              </w:rPr>
            </w:pPr>
            <w:r w:rsidRPr="00412B2B">
              <w:rPr>
                <w:rFonts w:ascii="Garamond" w:hAnsi="Garamond"/>
                <w:b/>
                <w:sz w:val="18"/>
                <w:szCs w:val="18"/>
              </w:rPr>
              <w:t xml:space="preserve">Mekanizmat e ndërhyrjes </w:t>
            </w:r>
          </w:p>
        </w:tc>
        <w:tc>
          <w:tcPr>
            <w:tcW w:w="2015" w:type="pct"/>
            <w:shd w:val="clear" w:color="auto" w:fill="E5F7CA"/>
            <w:vAlign w:val="center"/>
          </w:tcPr>
          <w:p w14:paraId="0773B93B" w14:textId="77777777" w:rsidR="00F10122" w:rsidRPr="00412B2B" w:rsidRDefault="00F10122" w:rsidP="00F10122">
            <w:pPr>
              <w:pStyle w:val="Table1"/>
              <w:jc w:val="center"/>
              <w:rPr>
                <w:rFonts w:ascii="Garamond" w:hAnsi="Garamond"/>
                <w:sz w:val="18"/>
                <w:szCs w:val="18"/>
              </w:rPr>
            </w:pPr>
            <w:r w:rsidRPr="00412B2B">
              <w:rPr>
                <w:rFonts w:ascii="Garamond" w:hAnsi="Garamond"/>
                <w:b/>
                <w:sz w:val="18"/>
                <w:szCs w:val="18"/>
              </w:rPr>
              <w:t xml:space="preserve">Veprimet </w:t>
            </w:r>
          </w:p>
        </w:tc>
        <w:tc>
          <w:tcPr>
            <w:tcW w:w="291" w:type="pct"/>
            <w:shd w:val="clear" w:color="auto" w:fill="E5F7CA"/>
            <w:vAlign w:val="center"/>
          </w:tcPr>
          <w:p w14:paraId="0773B93C"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2022</w:t>
            </w:r>
          </w:p>
        </w:tc>
        <w:tc>
          <w:tcPr>
            <w:tcW w:w="336" w:type="pct"/>
            <w:shd w:val="clear" w:color="auto" w:fill="E5F7CA"/>
            <w:vAlign w:val="center"/>
          </w:tcPr>
          <w:p w14:paraId="0773B93D"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2023</w:t>
            </w:r>
          </w:p>
        </w:tc>
        <w:tc>
          <w:tcPr>
            <w:tcW w:w="336" w:type="pct"/>
            <w:shd w:val="clear" w:color="auto" w:fill="E5F7CA"/>
            <w:vAlign w:val="center"/>
          </w:tcPr>
          <w:p w14:paraId="0773B93E"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2024</w:t>
            </w:r>
          </w:p>
        </w:tc>
      </w:tr>
      <w:tr w:rsidR="00F10122" w:rsidRPr="00412B2B" w14:paraId="0773B946" w14:textId="77777777" w:rsidTr="006C4D90">
        <w:trPr>
          <w:trHeight w:val="491"/>
        </w:trPr>
        <w:tc>
          <w:tcPr>
            <w:tcW w:w="601" w:type="pct"/>
            <w:vMerge w:val="restart"/>
            <w:shd w:val="clear" w:color="auto" w:fill="auto"/>
            <w:vAlign w:val="center"/>
          </w:tcPr>
          <w:p w14:paraId="0773B940" w14:textId="77777777"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t>MBZHR</w:t>
            </w:r>
          </w:p>
        </w:tc>
        <w:tc>
          <w:tcPr>
            <w:tcW w:w="1421" w:type="pct"/>
            <w:vMerge w:val="restart"/>
            <w:shd w:val="clear" w:color="auto" w:fill="auto"/>
            <w:vAlign w:val="center"/>
          </w:tcPr>
          <w:p w14:paraId="0773B941" w14:textId="45382953"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Mbështetje për të ardhurat p</w:t>
            </w:r>
            <w:r w:rsidRPr="00412B2B">
              <w:rPr>
                <w:rFonts w:ascii="Garamond" w:hAnsi="Garamond"/>
                <w:sz w:val="18"/>
                <w:szCs w:val="18"/>
              </w:rPr>
              <w:t xml:space="preserve">ër një periudhë </w:t>
            </w:r>
            <w:r w:rsidRPr="00412B2B">
              <w:rPr>
                <w:rFonts w:ascii="Garamond" w:eastAsia="Calibri" w:hAnsi="Garamond"/>
                <w:bCs/>
                <w:sz w:val="18"/>
                <w:szCs w:val="18"/>
              </w:rPr>
              <w:t>kalimtare për sektorët e orientuar nga tregu (perime, fruta dhe ullinj</w:t>
            </w:r>
            <w:r w:rsidR="00C259A4">
              <w:rPr>
                <w:rFonts w:ascii="Garamond" w:eastAsia="Calibri" w:hAnsi="Garamond"/>
                <w:bCs/>
                <w:sz w:val="18"/>
                <w:szCs w:val="18"/>
              </w:rPr>
              <w:t>)</w:t>
            </w:r>
          </w:p>
        </w:tc>
        <w:tc>
          <w:tcPr>
            <w:tcW w:w="2015" w:type="pct"/>
            <w:shd w:val="clear" w:color="auto" w:fill="auto"/>
          </w:tcPr>
          <w:p w14:paraId="0773B942" w14:textId="77777777" w:rsidR="00F10122" w:rsidRPr="00412B2B" w:rsidRDefault="00F10122" w:rsidP="00F10122">
            <w:pPr>
              <w:pStyle w:val="Table1"/>
              <w:rPr>
                <w:rFonts w:ascii="Garamond" w:hAnsi="Garamond"/>
                <w:sz w:val="18"/>
                <w:szCs w:val="18"/>
              </w:rPr>
            </w:pPr>
            <w:r w:rsidRPr="00412B2B">
              <w:rPr>
                <w:rFonts w:ascii="Garamond" w:hAnsi="Garamond"/>
                <w:sz w:val="18"/>
                <w:szCs w:val="18"/>
              </w:rPr>
              <w:t>Përcaktimi i sasisë së mbështetjes për ha dhe/ose ton; përgatitja dhe miratimi i kritereve të përfitimit</w:t>
            </w:r>
          </w:p>
        </w:tc>
        <w:tc>
          <w:tcPr>
            <w:tcW w:w="291" w:type="pct"/>
            <w:shd w:val="clear" w:color="auto" w:fill="auto"/>
            <w:vAlign w:val="center"/>
          </w:tcPr>
          <w:p w14:paraId="0773B943"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944"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45"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94D" w14:textId="77777777" w:rsidTr="000727D2">
        <w:trPr>
          <w:trHeight w:val="20"/>
        </w:trPr>
        <w:tc>
          <w:tcPr>
            <w:tcW w:w="601" w:type="pct"/>
            <w:vMerge/>
            <w:shd w:val="clear" w:color="auto" w:fill="auto"/>
            <w:vAlign w:val="center"/>
          </w:tcPr>
          <w:p w14:paraId="0773B947" w14:textId="77777777" w:rsidR="00F10122" w:rsidRPr="00412B2B" w:rsidRDefault="00F10122" w:rsidP="00F10122">
            <w:pPr>
              <w:pStyle w:val="Table1"/>
              <w:jc w:val="center"/>
              <w:rPr>
                <w:rFonts w:ascii="Garamond" w:eastAsia="Calibri" w:hAnsi="Garamond"/>
                <w:bCs/>
                <w:sz w:val="18"/>
                <w:szCs w:val="18"/>
              </w:rPr>
            </w:pPr>
          </w:p>
        </w:tc>
        <w:tc>
          <w:tcPr>
            <w:tcW w:w="1421" w:type="pct"/>
            <w:vMerge/>
            <w:shd w:val="clear" w:color="auto" w:fill="auto"/>
            <w:vAlign w:val="center"/>
          </w:tcPr>
          <w:p w14:paraId="0773B948" w14:textId="77777777" w:rsidR="00F10122" w:rsidRPr="00412B2B" w:rsidRDefault="00F10122" w:rsidP="00F10122">
            <w:pPr>
              <w:pStyle w:val="Table1"/>
              <w:rPr>
                <w:rFonts w:ascii="Garamond" w:eastAsia="Calibri" w:hAnsi="Garamond"/>
                <w:bCs/>
                <w:sz w:val="18"/>
                <w:szCs w:val="18"/>
              </w:rPr>
            </w:pPr>
          </w:p>
        </w:tc>
        <w:tc>
          <w:tcPr>
            <w:tcW w:w="2015" w:type="pct"/>
            <w:shd w:val="clear" w:color="auto" w:fill="auto"/>
          </w:tcPr>
          <w:p w14:paraId="0773B949" w14:textId="66155C7B" w:rsidR="00F10122" w:rsidRPr="00412B2B" w:rsidRDefault="00F10122" w:rsidP="006C4D90">
            <w:pPr>
              <w:pStyle w:val="Table1"/>
              <w:rPr>
                <w:rFonts w:ascii="Garamond" w:hAnsi="Garamond"/>
                <w:sz w:val="18"/>
                <w:szCs w:val="18"/>
              </w:rPr>
            </w:pPr>
            <w:r w:rsidRPr="00412B2B">
              <w:rPr>
                <w:rFonts w:ascii="Garamond" w:hAnsi="Garamond"/>
                <w:sz w:val="18"/>
                <w:szCs w:val="18"/>
              </w:rPr>
              <w:t>Planifikimi i</w:t>
            </w:r>
            <w:r w:rsidR="00CF7694" w:rsidRPr="00412B2B">
              <w:rPr>
                <w:rFonts w:ascii="Garamond" w:hAnsi="Garamond"/>
                <w:sz w:val="18"/>
                <w:szCs w:val="18"/>
              </w:rPr>
              <w:t xml:space="preserve"> </w:t>
            </w:r>
            <w:r w:rsidRPr="00412B2B">
              <w:rPr>
                <w:rFonts w:ascii="Garamond" w:hAnsi="Garamond"/>
                <w:sz w:val="18"/>
                <w:szCs w:val="18"/>
              </w:rPr>
              <w:t xml:space="preserve">buxhetit kombëtar </w:t>
            </w:r>
            <w:r w:rsidR="00797859" w:rsidRPr="00412B2B">
              <w:rPr>
                <w:rFonts w:ascii="Garamond" w:hAnsi="Garamond"/>
                <w:sz w:val="18"/>
                <w:szCs w:val="18"/>
              </w:rPr>
              <w:t>/</w:t>
            </w:r>
            <w:r w:rsidRPr="00412B2B">
              <w:rPr>
                <w:rFonts w:ascii="Garamond" w:hAnsi="Garamond"/>
                <w:sz w:val="18"/>
                <w:szCs w:val="18"/>
              </w:rPr>
              <w:t>buxhetit afatmesëm për 2025</w:t>
            </w:r>
            <w:r w:rsidR="006C4D90" w:rsidRPr="00412B2B">
              <w:rPr>
                <w:rFonts w:ascii="Garamond" w:hAnsi="Garamond"/>
                <w:sz w:val="18"/>
                <w:szCs w:val="18"/>
              </w:rPr>
              <w:t>–</w:t>
            </w:r>
            <w:r w:rsidRPr="00412B2B">
              <w:rPr>
                <w:rFonts w:ascii="Garamond" w:hAnsi="Garamond"/>
                <w:sz w:val="18"/>
                <w:szCs w:val="18"/>
              </w:rPr>
              <w:t>2027</w:t>
            </w:r>
          </w:p>
        </w:tc>
        <w:tc>
          <w:tcPr>
            <w:tcW w:w="291" w:type="pct"/>
            <w:shd w:val="clear" w:color="auto" w:fill="auto"/>
            <w:vAlign w:val="center"/>
          </w:tcPr>
          <w:p w14:paraId="0773B94A"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94B"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94C"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954" w14:textId="77777777" w:rsidTr="000727D2">
        <w:trPr>
          <w:trHeight w:val="20"/>
        </w:trPr>
        <w:tc>
          <w:tcPr>
            <w:tcW w:w="601" w:type="pct"/>
            <w:vMerge w:val="restart"/>
            <w:shd w:val="clear" w:color="auto" w:fill="auto"/>
            <w:vAlign w:val="center"/>
          </w:tcPr>
          <w:p w14:paraId="0773B94E" w14:textId="77777777"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t>AZHBR</w:t>
            </w:r>
          </w:p>
        </w:tc>
        <w:tc>
          <w:tcPr>
            <w:tcW w:w="1421" w:type="pct"/>
            <w:vMerge/>
            <w:shd w:val="clear" w:color="auto" w:fill="auto"/>
            <w:vAlign w:val="center"/>
          </w:tcPr>
          <w:p w14:paraId="0773B94F" w14:textId="77777777" w:rsidR="00F10122" w:rsidRPr="00412B2B" w:rsidRDefault="00F10122" w:rsidP="00F10122">
            <w:pPr>
              <w:pStyle w:val="Table1"/>
              <w:rPr>
                <w:rFonts w:ascii="Garamond" w:eastAsia="Calibri" w:hAnsi="Garamond"/>
                <w:bCs/>
                <w:sz w:val="18"/>
                <w:szCs w:val="18"/>
              </w:rPr>
            </w:pPr>
          </w:p>
        </w:tc>
        <w:tc>
          <w:tcPr>
            <w:tcW w:w="2015" w:type="pct"/>
            <w:shd w:val="clear" w:color="auto" w:fill="auto"/>
          </w:tcPr>
          <w:p w14:paraId="0773B950" w14:textId="19EBFF94" w:rsidR="00F10122" w:rsidRPr="00412B2B" w:rsidRDefault="00F10122" w:rsidP="00F10122">
            <w:pPr>
              <w:pStyle w:val="Table1"/>
              <w:rPr>
                <w:rFonts w:ascii="Garamond" w:hAnsi="Garamond"/>
                <w:sz w:val="18"/>
                <w:szCs w:val="18"/>
              </w:rPr>
            </w:pPr>
            <w:r w:rsidRPr="00412B2B">
              <w:rPr>
                <w:rFonts w:ascii="Garamond" w:hAnsi="Garamond"/>
                <w:sz w:val="18"/>
                <w:szCs w:val="18"/>
              </w:rPr>
              <w:t>Përgatitja e modelit të kërkesës për pagesë të vetme dhe të procedu</w:t>
            </w:r>
            <w:r w:rsidR="006C4D90" w:rsidRPr="00412B2B">
              <w:rPr>
                <w:rFonts w:ascii="Garamond" w:hAnsi="Garamond"/>
                <w:sz w:val="18"/>
                <w:szCs w:val="18"/>
              </w:rPr>
              <w:t>rave të zbatimit (të gjitha tipa</w:t>
            </w:r>
            <w:r w:rsidRPr="00412B2B">
              <w:rPr>
                <w:rFonts w:ascii="Garamond" w:hAnsi="Garamond"/>
                <w:sz w:val="18"/>
                <w:szCs w:val="18"/>
              </w:rPr>
              <w:t>t e pagesave</w:t>
            </w:r>
            <w:r w:rsidR="00CF7694" w:rsidRPr="00412B2B">
              <w:rPr>
                <w:rFonts w:ascii="Garamond" w:hAnsi="Garamond"/>
                <w:sz w:val="18"/>
                <w:szCs w:val="18"/>
              </w:rPr>
              <w:t xml:space="preserve"> </w:t>
            </w:r>
            <w:r w:rsidRPr="00412B2B">
              <w:rPr>
                <w:rFonts w:ascii="Garamond" w:hAnsi="Garamond"/>
                <w:sz w:val="18"/>
                <w:szCs w:val="18"/>
              </w:rPr>
              <w:t xml:space="preserve">të </w:t>
            </w:r>
            <w:r w:rsidR="00BB3769" w:rsidRPr="00412B2B">
              <w:rPr>
                <w:rFonts w:ascii="Garamond" w:hAnsi="Garamond"/>
                <w:sz w:val="18"/>
                <w:szCs w:val="18"/>
              </w:rPr>
              <w:t xml:space="preserve">shtyllës </w:t>
            </w:r>
            <w:r w:rsidRPr="00412B2B">
              <w:rPr>
                <w:rFonts w:ascii="Garamond" w:hAnsi="Garamond"/>
                <w:sz w:val="18"/>
                <w:szCs w:val="18"/>
              </w:rPr>
              <w:t>I duhet të jenë pjesë e një skeme pagese të vetme, e nisur në fillim të çdo viti</w:t>
            </w:r>
            <w:r w:rsidR="00C259A4">
              <w:rPr>
                <w:rFonts w:ascii="Garamond" w:hAnsi="Garamond"/>
                <w:sz w:val="18"/>
                <w:szCs w:val="18"/>
              </w:rPr>
              <w:t>)</w:t>
            </w:r>
          </w:p>
        </w:tc>
        <w:tc>
          <w:tcPr>
            <w:tcW w:w="291" w:type="pct"/>
            <w:shd w:val="clear" w:color="auto" w:fill="auto"/>
            <w:vAlign w:val="center"/>
          </w:tcPr>
          <w:p w14:paraId="0773B951"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52"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53"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95B" w14:textId="77777777" w:rsidTr="000727D2">
        <w:trPr>
          <w:trHeight w:val="20"/>
        </w:trPr>
        <w:tc>
          <w:tcPr>
            <w:tcW w:w="601" w:type="pct"/>
            <w:vMerge/>
            <w:shd w:val="clear" w:color="auto" w:fill="auto"/>
            <w:vAlign w:val="center"/>
          </w:tcPr>
          <w:p w14:paraId="0773B955" w14:textId="77777777" w:rsidR="00F10122" w:rsidRPr="00412B2B" w:rsidRDefault="00F10122" w:rsidP="00F10122">
            <w:pPr>
              <w:pStyle w:val="Table1"/>
              <w:jc w:val="center"/>
              <w:rPr>
                <w:rFonts w:ascii="Garamond" w:eastAsia="Calibri" w:hAnsi="Garamond"/>
                <w:bCs/>
                <w:sz w:val="18"/>
                <w:szCs w:val="18"/>
              </w:rPr>
            </w:pPr>
          </w:p>
        </w:tc>
        <w:tc>
          <w:tcPr>
            <w:tcW w:w="1421" w:type="pct"/>
            <w:vMerge/>
            <w:shd w:val="clear" w:color="auto" w:fill="auto"/>
            <w:vAlign w:val="center"/>
          </w:tcPr>
          <w:p w14:paraId="0773B956" w14:textId="77777777" w:rsidR="00F10122" w:rsidRPr="00412B2B" w:rsidRDefault="00F10122" w:rsidP="00F10122">
            <w:pPr>
              <w:pStyle w:val="Table1"/>
              <w:rPr>
                <w:rFonts w:ascii="Garamond" w:eastAsia="Calibri" w:hAnsi="Garamond"/>
                <w:bCs/>
                <w:sz w:val="18"/>
                <w:szCs w:val="18"/>
              </w:rPr>
            </w:pPr>
          </w:p>
        </w:tc>
        <w:tc>
          <w:tcPr>
            <w:tcW w:w="2015" w:type="pct"/>
            <w:shd w:val="clear" w:color="auto" w:fill="auto"/>
          </w:tcPr>
          <w:p w14:paraId="0773B957" w14:textId="77777777" w:rsidR="00F10122" w:rsidRPr="00412B2B" w:rsidRDefault="00F10122" w:rsidP="00F10122">
            <w:pPr>
              <w:pStyle w:val="Table1"/>
              <w:rPr>
                <w:rFonts w:ascii="Garamond" w:hAnsi="Garamond"/>
                <w:sz w:val="18"/>
                <w:szCs w:val="18"/>
              </w:rPr>
            </w:pPr>
            <w:r w:rsidRPr="00412B2B">
              <w:rPr>
                <w:rFonts w:ascii="Garamond" w:hAnsi="Garamond"/>
                <w:sz w:val="18"/>
                <w:szCs w:val="18"/>
              </w:rPr>
              <w:t>Zgjerimi i sistemit TI të AZHBR-së</w:t>
            </w:r>
          </w:p>
        </w:tc>
        <w:tc>
          <w:tcPr>
            <w:tcW w:w="291" w:type="pct"/>
            <w:shd w:val="clear" w:color="auto" w:fill="auto"/>
            <w:vAlign w:val="center"/>
          </w:tcPr>
          <w:p w14:paraId="0773B958"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959"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5A"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96B" w14:textId="77777777" w:rsidTr="000727D2">
        <w:trPr>
          <w:trHeight w:val="20"/>
        </w:trPr>
        <w:tc>
          <w:tcPr>
            <w:tcW w:w="601" w:type="pct"/>
            <w:shd w:val="clear" w:color="auto" w:fill="auto"/>
            <w:vAlign w:val="center"/>
          </w:tcPr>
          <w:p w14:paraId="0773B95C" w14:textId="77777777"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t>AZHBR</w:t>
            </w:r>
          </w:p>
        </w:tc>
        <w:tc>
          <w:tcPr>
            <w:tcW w:w="1421" w:type="pct"/>
            <w:shd w:val="clear" w:color="auto" w:fill="auto"/>
            <w:vAlign w:val="center"/>
          </w:tcPr>
          <w:p w14:paraId="0773B95D" w14:textId="32B58578"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 xml:space="preserve">Mbështetje për të ardhurat e fermës për SBSH </w:t>
            </w:r>
            <w:r w:rsidR="00797859" w:rsidRPr="00412B2B">
              <w:rPr>
                <w:rFonts w:ascii="Garamond" w:eastAsia="Calibri" w:hAnsi="Garamond"/>
                <w:bCs/>
                <w:sz w:val="18"/>
                <w:szCs w:val="18"/>
              </w:rPr>
              <w:t>/</w:t>
            </w:r>
            <w:r w:rsidRPr="00412B2B">
              <w:rPr>
                <w:rFonts w:ascii="Garamond" w:eastAsia="Calibri" w:hAnsi="Garamond"/>
                <w:bCs/>
                <w:sz w:val="18"/>
                <w:szCs w:val="18"/>
              </w:rPr>
              <w:t>ferma</w:t>
            </w:r>
            <w:r w:rsidR="00CF7694" w:rsidRPr="00412B2B">
              <w:rPr>
                <w:rFonts w:ascii="Garamond" w:eastAsia="Calibri" w:hAnsi="Garamond"/>
                <w:bCs/>
                <w:sz w:val="18"/>
                <w:szCs w:val="18"/>
              </w:rPr>
              <w:t xml:space="preserve"> </w:t>
            </w:r>
          </w:p>
        </w:tc>
        <w:tc>
          <w:tcPr>
            <w:tcW w:w="2015" w:type="pct"/>
            <w:shd w:val="clear" w:color="auto" w:fill="auto"/>
          </w:tcPr>
          <w:p w14:paraId="0773B95E" w14:textId="77777777" w:rsidR="00F10122" w:rsidRPr="00412B2B" w:rsidRDefault="00F10122" w:rsidP="00F10122">
            <w:pPr>
              <w:pStyle w:val="Table1"/>
              <w:ind w:hanging="89"/>
              <w:rPr>
                <w:rFonts w:ascii="Garamond" w:hAnsi="Garamond"/>
                <w:sz w:val="18"/>
                <w:szCs w:val="18"/>
              </w:rPr>
            </w:pPr>
            <w:r w:rsidRPr="00412B2B">
              <w:rPr>
                <w:rFonts w:ascii="Garamond" w:hAnsi="Garamond"/>
                <w:sz w:val="18"/>
                <w:szCs w:val="18"/>
              </w:rPr>
              <w:t xml:space="preserve">Zbatimi vjetor si zakonisht edhe për masat e tjera të nisura </w:t>
            </w:r>
          </w:p>
          <w:p w14:paraId="0773B95F" w14:textId="77777777" w:rsidR="00F10122" w:rsidRPr="00412B2B" w:rsidRDefault="00F10122" w:rsidP="00F10122">
            <w:pPr>
              <w:pStyle w:val="Table1"/>
              <w:numPr>
                <w:ilvl w:val="0"/>
                <w:numId w:val="27"/>
              </w:numPr>
              <w:ind w:left="288" w:hanging="144"/>
              <w:rPr>
                <w:rFonts w:ascii="Garamond" w:hAnsi="Garamond"/>
                <w:sz w:val="18"/>
                <w:szCs w:val="18"/>
              </w:rPr>
            </w:pPr>
            <w:r w:rsidRPr="00412B2B">
              <w:rPr>
                <w:rFonts w:ascii="Garamond" w:hAnsi="Garamond"/>
                <w:sz w:val="18"/>
                <w:szCs w:val="18"/>
              </w:rPr>
              <w:t>Konsolidimi i sistemit të TI nëpërmjet:</w:t>
            </w:r>
          </w:p>
          <w:p w14:paraId="0773B960" w14:textId="7DD56691" w:rsidR="00F10122" w:rsidRPr="00412B2B" w:rsidRDefault="00F10122" w:rsidP="00F10122">
            <w:pPr>
              <w:pStyle w:val="Table1"/>
              <w:numPr>
                <w:ilvl w:val="0"/>
                <w:numId w:val="27"/>
              </w:numPr>
              <w:ind w:left="288" w:hanging="144"/>
              <w:rPr>
                <w:rFonts w:ascii="Garamond" w:hAnsi="Garamond"/>
                <w:sz w:val="18"/>
                <w:szCs w:val="18"/>
              </w:rPr>
            </w:pPr>
            <w:r w:rsidRPr="00412B2B">
              <w:rPr>
                <w:rFonts w:ascii="Garamond" w:hAnsi="Garamond"/>
                <w:sz w:val="18"/>
                <w:szCs w:val="18"/>
              </w:rPr>
              <w:t>Zhv</w:t>
            </w:r>
            <w:r w:rsidR="00BB3769" w:rsidRPr="00412B2B">
              <w:rPr>
                <w:rFonts w:ascii="Garamond" w:hAnsi="Garamond"/>
                <w:sz w:val="18"/>
                <w:szCs w:val="18"/>
              </w:rPr>
              <w:t>illimit të Regjistrit të Fermës;</w:t>
            </w:r>
          </w:p>
          <w:p w14:paraId="0773B961" w14:textId="12DE3F12" w:rsidR="00F10122" w:rsidRPr="00412B2B" w:rsidRDefault="00F10122" w:rsidP="00BB3769">
            <w:pPr>
              <w:pStyle w:val="Table1"/>
              <w:numPr>
                <w:ilvl w:val="0"/>
                <w:numId w:val="27"/>
              </w:numPr>
              <w:ind w:left="288" w:hanging="144"/>
              <w:rPr>
                <w:rFonts w:ascii="Garamond" w:hAnsi="Garamond"/>
                <w:sz w:val="18"/>
                <w:szCs w:val="18"/>
              </w:rPr>
            </w:pPr>
            <w:r w:rsidRPr="00412B2B">
              <w:rPr>
                <w:rFonts w:ascii="Garamond" w:hAnsi="Garamond"/>
                <w:sz w:val="18"/>
                <w:szCs w:val="18"/>
              </w:rPr>
              <w:t>Zhvillimit të SIPT (LPIS)</w:t>
            </w:r>
            <w:r w:rsidR="00BB3769" w:rsidRPr="00412B2B">
              <w:rPr>
                <w:rFonts w:ascii="Garamond" w:hAnsi="Garamond"/>
                <w:sz w:val="18"/>
                <w:szCs w:val="18"/>
              </w:rPr>
              <w:t>;</w:t>
            </w:r>
          </w:p>
          <w:p w14:paraId="0773B962" w14:textId="1EC070A5" w:rsidR="00F10122" w:rsidRPr="00412B2B" w:rsidRDefault="00F10122" w:rsidP="00BB3769">
            <w:pPr>
              <w:pStyle w:val="Table1"/>
              <w:numPr>
                <w:ilvl w:val="0"/>
                <w:numId w:val="27"/>
              </w:numPr>
              <w:ind w:left="288" w:hanging="144"/>
              <w:rPr>
                <w:rFonts w:ascii="Garamond" w:hAnsi="Garamond"/>
                <w:sz w:val="18"/>
                <w:szCs w:val="18"/>
              </w:rPr>
            </w:pPr>
            <w:r w:rsidRPr="00412B2B">
              <w:rPr>
                <w:rFonts w:ascii="Garamond" w:hAnsi="Garamond"/>
                <w:sz w:val="18"/>
                <w:szCs w:val="18"/>
              </w:rPr>
              <w:t>Përgatitjes së procedurave të kontrollit për KMBM</w:t>
            </w:r>
            <w:r w:rsidR="00BB3769" w:rsidRPr="00412B2B">
              <w:rPr>
                <w:rFonts w:ascii="Garamond" w:hAnsi="Garamond"/>
                <w:sz w:val="18"/>
                <w:szCs w:val="18"/>
              </w:rPr>
              <w:t>;</w:t>
            </w:r>
          </w:p>
          <w:p w14:paraId="0773B963" w14:textId="5018479C" w:rsidR="00F10122" w:rsidRPr="00412B2B" w:rsidRDefault="00F10122" w:rsidP="00BB3769">
            <w:pPr>
              <w:pStyle w:val="Table1"/>
              <w:numPr>
                <w:ilvl w:val="0"/>
                <w:numId w:val="27"/>
              </w:numPr>
              <w:ind w:left="288" w:hanging="144"/>
              <w:rPr>
                <w:rFonts w:ascii="Garamond" w:hAnsi="Garamond"/>
                <w:sz w:val="18"/>
                <w:szCs w:val="18"/>
              </w:rPr>
            </w:pPr>
            <w:r w:rsidRPr="00412B2B">
              <w:rPr>
                <w:rFonts w:ascii="Garamond" w:hAnsi="Garamond"/>
                <w:sz w:val="18"/>
                <w:szCs w:val="18"/>
              </w:rPr>
              <w:lastRenderedPageBreak/>
              <w:t>Rishikimit të përllogaritjes</w:t>
            </w:r>
            <w:r w:rsidR="00CF7694" w:rsidRPr="00412B2B">
              <w:rPr>
                <w:rFonts w:ascii="Garamond" w:hAnsi="Garamond"/>
                <w:sz w:val="18"/>
                <w:szCs w:val="18"/>
              </w:rPr>
              <w:t xml:space="preserve"> </w:t>
            </w:r>
            <w:r w:rsidR="00797859" w:rsidRPr="00412B2B">
              <w:rPr>
                <w:rFonts w:ascii="Garamond" w:hAnsi="Garamond"/>
                <w:sz w:val="18"/>
                <w:szCs w:val="18"/>
              </w:rPr>
              <w:t>/</w:t>
            </w:r>
            <w:r w:rsidRPr="00412B2B">
              <w:rPr>
                <w:rFonts w:ascii="Garamond" w:hAnsi="Garamond"/>
                <w:sz w:val="18"/>
                <w:szCs w:val="18"/>
              </w:rPr>
              <w:t>kompensimit të pagesave për bujqësinë organike duke përfshirë kostot vjetore të inspektimit dhe certifikimit</w:t>
            </w:r>
            <w:r w:rsidR="00BB3769" w:rsidRPr="00412B2B">
              <w:rPr>
                <w:rFonts w:ascii="Garamond" w:hAnsi="Garamond"/>
                <w:sz w:val="18"/>
                <w:szCs w:val="18"/>
              </w:rPr>
              <w:t>;</w:t>
            </w:r>
          </w:p>
          <w:p w14:paraId="0773B964" w14:textId="45E617C2" w:rsidR="00F10122" w:rsidRPr="00412B2B" w:rsidRDefault="00F10122" w:rsidP="00BB3769">
            <w:pPr>
              <w:pStyle w:val="Table1"/>
              <w:numPr>
                <w:ilvl w:val="0"/>
                <w:numId w:val="27"/>
              </w:numPr>
              <w:ind w:left="288" w:hanging="144"/>
              <w:rPr>
                <w:rFonts w:ascii="Garamond" w:hAnsi="Garamond"/>
                <w:sz w:val="18"/>
                <w:szCs w:val="18"/>
              </w:rPr>
            </w:pPr>
            <w:r w:rsidRPr="00412B2B">
              <w:rPr>
                <w:rFonts w:ascii="Garamond" w:hAnsi="Garamond"/>
                <w:sz w:val="18"/>
                <w:szCs w:val="18"/>
              </w:rPr>
              <w:t>Përgatitja e udhëzuesve</w:t>
            </w:r>
            <w:r w:rsidR="00CF7694" w:rsidRPr="00412B2B">
              <w:rPr>
                <w:rFonts w:ascii="Garamond" w:hAnsi="Garamond"/>
                <w:sz w:val="18"/>
                <w:szCs w:val="18"/>
              </w:rPr>
              <w:t xml:space="preserve"> </w:t>
            </w:r>
            <w:r w:rsidRPr="00412B2B">
              <w:rPr>
                <w:rFonts w:ascii="Garamond" w:hAnsi="Garamond"/>
                <w:sz w:val="18"/>
                <w:szCs w:val="18"/>
              </w:rPr>
              <w:t xml:space="preserve">ose </w:t>
            </w:r>
            <w:r w:rsidR="00BB3769" w:rsidRPr="00412B2B">
              <w:rPr>
                <w:rFonts w:ascii="Garamond" w:hAnsi="Garamond"/>
                <w:sz w:val="18"/>
                <w:szCs w:val="18"/>
              </w:rPr>
              <w:t xml:space="preserve">e </w:t>
            </w:r>
            <w:r w:rsidRPr="00412B2B">
              <w:rPr>
                <w:rFonts w:ascii="Garamond" w:hAnsi="Garamond"/>
                <w:sz w:val="18"/>
                <w:szCs w:val="18"/>
              </w:rPr>
              <w:t>procedurave për përditësimin e bazës së të dhënave</w:t>
            </w:r>
            <w:r w:rsidR="00CF7694" w:rsidRPr="00412B2B">
              <w:rPr>
                <w:rFonts w:ascii="Garamond" w:hAnsi="Garamond"/>
                <w:sz w:val="18"/>
                <w:szCs w:val="18"/>
              </w:rPr>
              <w:t xml:space="preserve"> </w:t>
            </w:r>
            <w:r w:rsidRPr="00412B2B">
              <w:rPr>
                <w:rFonts w:ascii="Garamond" w:hAnsi="Garamond"/>
                <w:sz w:val="18"/>
                <w:szCs w:val="18"/>
              </w:rPr>
              <w:t>të çmimeve të referencës</w:t>
            </w:r>
            <w:r w:rsidR="00BB3769" w:rsidRPr="00412B2B">
              <w:rPr>
                <w:rFonts w:ascii="Garamond" w:hAnsi="Garamond"/>
                <w:sz w:val="18"/>
                <w:szCs w:val="18"/>
              </w:rPr>
              <w:t>;</w:t>
            </w:r>
          </w:p>
          <w:p w14:paraId="0773B965" w14:textId="19D3F90F" w:rsidR="00F10122" w:rsidRPr="00412B2B" w:rsidRDefault="00F10122" w:rsidP="00BB3769">
            <w:pPr>
              <w:pStyle w:val="Table1"/>
              <w:numPr>
                <w:ilvl w:val="0"/>
                <w:numId w:val="27"/>
              </w:numPr>
              <w:ind w:left="288" w:hanging="144"/>
              <w:rPr>
                <w:rFonts w:ascii="Garamond" w:hAnsi="Garamond"/>
                <w:sz w:val="18"/>
                <w:szCs w:val="18"/>
              </w:rPr>
            </w:pPr>
            <w:r w:rsidRPr="00412B2B">
              <w:rPr>
                <w:rFonts w:ascii="Garamond" w:hAnsi="Garamond"/>
                <w:sz w:val="18"/>
                <w:szCs w:val="18"/>
              </w:rPr>
              <w:t xml:space="preserve">Kalimi drejt pagesave plotësisht të ndara </w:t>
            </w:r>
            <w:r w:rsidRPr="00412B2B">
              <w:rPr>
                <w:rFonts w:ascii="Garamond" w:hAnsi="Garamond"/>
                <w:i/>
                <w:iCs/>
                <w:sz w:val="18"/>
                <w:szCs w:val="18"/>
              </w:rPr>
              <w:t>(decoupled)</w:t>
            </w:r>
            <w:r w:rsidRPr="00412B2B">
              <w:rPr>
                <w:rFonts w:ascii="Garamond" w:hAnsi="Garamond"/>
                <w:sz w:val="18"/>
                <w:szCs w:val="18"/>
              </w:rPr>
              <w:t xml:space="preserve"> (për ha)</w:t>
            </w:r>
            <w:r w:rsidR="00BB3769" w:rsidRPr="00412B2B">
              <w:rPr>
                <w:rFonts w:ascii="Garamond" w:hAnsi="Garamond"/>
                <w:sz w:val="18"/>
                <w:szCs w:val="18"/>
              </w:rPr>
              <w:t>;</w:t>
            </w:r>
          </w:p>
          <w:p w14:paraId="0773B967" w14:textId="0091A099" w:rsidR="00F10122" w:rsidRPr="00412B2B" w:rsidRDefault="00F10122" w:rsidP="00820D0C">
            <w:pPr>
              <w:pStyle w:val="Table1"/>
              <w:numPr>
                <w:ilvl w:val="0"/>
                <w:numId w:val="27"/>
              </w:numPr>
              <w:ind w:left="288" w:hanging="144"/>
              <w:rPr>
                <w:rFonts w:ascii="Garamond" w:hAnsi="Garamond"/>
                <w:sz w:val="18"/>
                <w:szCs w:val="18"/>
              </w:rPr>
            </w:pPr>
            <w:r w:rsidRPr="00412B2B">
              <w:rPr>
                <w:rFonts w:ascii="Garamond" w:hAnsi="Garamond"/>
                <w:sz w:val="18"/>
                <w:szCs w:val="18"/>
              </w:rPr>
              <w:t>Konsolidimi i procedurave dhe i sistemit TI për</w:t>
            </w:r>
            <w:r w:rsidR="00CF7694" w:rsidRPr="00412B2B">
              <w:rPr>
                <w:rFonts w:ascii="Garamond" w:hAnsi="Garamond"/>
                <w:sz w:val="18"/>
                <w:szCs w:val="18"/>
              </w:rPr>
              <w:t xml:space="preserve"> </w:t>
            </w:r>
            <w:r w:rsidRPr="00412B2B">
              <w:rPr>
                <w:rFonts w:ascii="Garamond" w:hAnsi="Garamond"/>
                <w:sz w:val="18"/>
                <w:szCs w:val="18"/>
              </w:rPr>
              <w:t xml:space="preserve">aplikimet </w:t>
            </w:r>
            <w:r w:rsidRPr="00412B2B">
              <w:rPr>
                <w:rFonts w:ascii="Garamond" w:hAnsi="Garamond"/>
                <w:i/>
                <w:iCs/>
                <w:sz w:val="18"/>
                <w:szCs w:val="18"/>
              </w:rPr>
              <w:t>online.</w:t>
            </w:r>
          </w:p>
        </w:tc>
        <w:tc>
          <w:tcPr>
            <w:tcW w:w="291" w:type="pct"/>
            <w:shd w:val="clear" w:color="auto" w:fill="auto"/>
            <w:vAlign w:val="center"/>
          </w:tcPr>
          <w:p w14:paraId="0773B968"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lastRenderedPageBreak/>
              <w:t>x</w:t>
            </w:r>
          </w:p>
        </w:tc>
        <w:tc>
          <w:tcPr>
            <w:tcW w:w="336" w:type="pct"/>
            <w:shd w:val="clear" w:color="auto" w:fill="auto"/>
            <w:vAlign w:val="center"/>
          </w:tcPr>
          <w:p w14:paraId="0773B969"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6A"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975" w14:textId="77777777" w:rsidTr="000727D2">
        <w:trPr>
          <w:trHeight w:val="20"/>
        </w:trPr>
        <w:tc>
          <w:tcPr>
            <w:tcW w:w="601" w:type="pct"/>
            <w:shd w:val="clear" w:color="auto" w:fill="auto"/>
            <w:vAlign w:val="center"/>
          </w:tcPr>
          <w:p w14:paraId="0773B96C" w14:textId="77777777"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lastRenderedPageBreak/>
              <w:t>AZHBR</w:t>
            </w:r>
          </w:p>
        </w:tc>
        <w:tc>
          <w:tcPr>
            <w:tcW w:w="1421" w:type="pct"/>
            <w:shd w:val="clear" w:color="auto" w:fill="auto"/>
            <w:vAlign w:val="center"/>
          </w:tcPr>
          <w:p w14:paraId="0773B96D" w14:textId="77777777"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Mbështetje për ardhurat e fermës për fermat e kafshëve</w:t>
            </w:r>
          </w:p>
        </w:tc>
        <w:tc>
          <w:tcPr>
            <w:tcW w:w="2015" w:type="pct"/>
            <w:shd w:val="clear" w:color="auto" w:fill="auto"/>
          </w:tcPr>
          <w:p w14:paraId="0773B96E" w14:textId="77777777" w:rsidR="00F10122" w:rsidRPr="00412B2B" w:rsidRDefault="00F10122" w:rsidP="00F10122">
            <w:pPr>
              <w:pStyle w:val="Table1"/>
              <w:ind w:hanging="89"/>
              <w:rPr>
                <w:rFonts w:ascii="Garamond" w:hAnsi="Garamond"/>
                <w:sz w:val="18"/>
                <w:szCs w:val="18"/>
              </w:rPr>
            </w:pPr>
            <w:r w:rsidRPr="00412B2B">
              <w:rPr>
                <w:rFonts w:ascii="Garamond" w:hAnsi="Garamond"/>
                <w:sz w:val="18"/>
                <w:szCs w:val="18"/>
              </w:rPr>
              <w:t>Konsolidimi i sistemit të TI-së nëpërmjet :</w:t>
            </w:r>
          </w:p>
          <w:p w14:paraId="0773B96F" w14:textId="77777777" w:rsidR="00F10122" w:rsidRPr="00412B2B" w:rsidRDefault="00F10122" w:rsidP="00F10122">
            <w:pPr>
              <w:pStyle w:val="Table1"/>
              <w:numPr>
                <w:ilvl w:val="0"/>
                <w:numId w:val="18"/>
              </w:numPr>
              <w:ind w:hanging="89"/>
              <w:rPr>
                <w:rFonts w:ascii="Garamond" w:hAnsi="Garamond"/>
                <w:sz w:val="18"/>
                <w:szCs w:val="18"/>
              </w:rPr>
            </w:pPr>
            <w:r w:rsidRPr="00412B2B">
              <w:rPr>
                <w:rFonts w:ascii="Garamond" w:hAnsi="Garamond"/>
                <w:sz w:val="18"/>
                <w:szCs w:val="18"/>
              </w:rPr>
              <w:t>Zhvillimit të Regjistrit të Fermave,</w:t>
            </w:r>
          </w:p>
          <w:p w14:paraId="0773B970" w14:textId="101C5609" w:rsidR="00F10122" w:rsidRPr="00412B2B" w:rsidRDefault="00F10122" w:rsidP="00820D0C">
            <w:pPr>
              <w:pStyle w:val="Table1"/>
              <w:numPr>
                <w:ilvl w:val="0"/>
                <w:numId w:val="18"/>
              </w:numPr>
              <w:ind w:hanging="89"/>
              <w:rPr>
                <w:rFonts w:ascii="Garamond" w:hAnsi="Garamond"/>
                <w:sz w:val="18"/>
                <w:szCs w:val="18"/>
              </w:rPr>
            </w:pPr>
            <w:r w:rsidRPr="00412B2B">
              <w:rPr>
                <w:rFonts w:ascii="Garamond" w:hAnsi="Garamond"/>
                <w:sz w:val="18"/>
                <w:szCs w:val="18"/>
              </w:rPr>
              <w:t>Lidhjes së sistemit TI</w:t>
            </w:r>
            <w:r w:rsidR="00CF7694" w:rsidRPr="00412B2B">
              <w:rPr>
                <w:rFonts w:ascii="Garamond" w:hAnsi="Garamond"/>
                <w:sz w:val="18"/>
                <w:szCs w:val="18"/>
              </w:rPr>
              <w:t xml:space="preserve"> </w:t>
            </w:r>
            <w:r w:rsidRPr="00412B2B">
              <w:rPr>
                <w:rFonts w:ascii="Garamond" w:hAnsi="Garamond"/>
                <w:sz w:val="18"/>
                <w:szCs w:val="18"/>
              </w:rPr>
              <w:t>të AZHBR</w:t>
            </w:r>
            <w:r w:rsidR="00820D0C" w:rsidRPr="00412B2B">
              <w:rPr>
                <w:rFonts w:ascii="Garamond" w:hAnsi="Garamond"/>
                <w:sz w:val="18"/>
                <w:szCs w:val="18"/>
              </w:rPr>
              <w:t>-së</w:t>
            </w:r>
            <w:r w:rsidRPr="00412B2B">
              <w:rPr>
                <w:rFonts w:ascii="Garamond" w:hAnsi="Garamond"/>
                <w:sz w:val="18"/>
                <w:szCs w:val="18"/>
              </w:rPr>
              <w:t xml:space="preserve"> me sistemin RUDA dhe zhvillimi i kontrolleve administrative për numrin e kafshëve</w:t>
            </w:r>
            <w:r w:rsidR="00820D0C" w:rsidRPr="00412B2B">
              <w:rPr>
                <w:rFonts w:ascii="Garamond" w:hAnsi="Garamond"/>
                <w:sz w:val="18"/>
                <w:szCs w:val="18"/>
              </w:rPr>
              <w:t>;</w:t>
            </w:r>
          </w:p>
          <w:p w14:paraId="0773B971" w14:textId="2A1D4E1E" w:rsidR="00F10122" w:rsidRPr="00412B2B" w:rsidRDefault="00F10122" w:rsidP="00F10122">
            <w:pPr>
              <w:pStyle w:val="Table1"/>
              <w:numPr>
                <w:ilvl w:val="0"/>
                <w:numId w:val="18"/>
              </w:numPr>
              <w:ind w:hanging="89"/>
              <w:rPr>
                <w:rFonts w:ascii="Garamond" w:hAnsi="Garamond"/>
                <w:sz w:val="18"/>
                <w:szCs w:val="18"/>
              </w:rPr>
            </w:pPr>
            <w:r w:rsidRPr="00412B2B">
              <w:rPr>
                <w:rFonts w:ascii="Garamond" w:hAnsi="Garamond"/>
                <w:sz w:val="18"/>
                <w:szCs w:val="18"/>
              </w:rPr>
              <w:t>Pagesa për krerë të kafshëve</w:t>
            </w:r>
            <w:r w:rsidR="00820D0C" w:rsidRPr="00412B2B">
              <w:rPr>
                <w:rFonts w:ascii="Garamond" w:hAnsi="Garamond"/>
                <w:sz w:val="18"/>
                <w:szCs w:val="18"/>
              </w:rPr>
              <w:t>.</w:t>
            </w:r>
          </w:p>
        </w:tc>
        <w:tc>
          <w:tcPr>
            <w:tcW w:w="291" w:type="pct"/>
            <w:shd w:val="clear" w:color="auto" w:fill="auto"/>
            <w:vAlign w:val="center"/>
          </w:tcPr>
          <w:p w14:paraId="0773B972"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73"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74"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97C" w14:textId="77777777" w:rsidTr="000727D2">
        <w:trPr>
          <w:trHeight w:val="20"/>
        </w:trPr>
        <w:tc>
          <w:tcPr>
            <w:tcW w:w="601" w:type="pct"/>
            <w:vMerge w:val="restart"/>
            <w:shd w:val="clear" w:color="auto" w:fill="auto"/>
            <w:vAlign w:val="center"/>
          </w:tcPr>
          <w:p w14:paraId="0773B976" w14:textId="79DC016A" w:rsidR="00F10122" w:rsidRPr="00412B2B" w:rsidRDefault="00F10122" w:rsidP="00F10122">
            <w:pPr>
              <w:pStyle w:val="Table1"/>
              <w:jc w:val="center"/>
              <w:rPr>
                <w:rFonts w:ascii="Garamond" w:hAnsi="Garamond" w:cs="Segoe UI"/>
                <w:b/>
                <w:bCs/>
                <w:sz w:val="18"/>
                <w:szCs w:val="18"/>
              </w:rPr>
            </w:pPr>
            <w:r w:rsidRPr="00412B2B">
              <w:rPr>
                <w:rFonts w:ascii="Garamond" w:hAnsi="Garamond" w:cs="Segoe UI"/>
                <w:b/>
                <w:bCs/>
                <w:sz w:val="18"/>
                <w:szCs w:val="18"/>
              </w:rPr>
              <w:t>MBZHR</w:t>
            </w:r>
            <w:r w:rsidR="00CF7694" w:rsidRPr="00412B2B">
              <w:rPr>
                <w:rFonts w:ascii="Garamond" w:hAnsi="Garamond" w:cs="Segoe UI"/>
                <w:b/>
                <w:bCs/>
                <w:sz w:val="18"/>
                <w:szCs w:val="18"/>
              </w:rPr>
              <w:t xml:space="preserve"> </w:t>
            </w:r>
            <w:r w:rsidRPr="00412B2B">
              <w:rPr>
                <w:rFonts w:ascii="Garamond" w:hAnsi="Garamond" w:cs="Segoe UI"/>
                <w:b/>
                <w:bCs/>
                <w:sz w:val="18"/>
                <w:szCs w:val="18"/>
              </w:rPr>
              <w:t>Drejtoria</w:t>
            </w:r>
            <w:r w:rsidRPr="00412B2B">
              <w:rPr>
                <w:rFonts w:ascii="Garamond" w:hAnsi="Garamond"/>
                <w:sz w:val="18"/>
                <w:szCs w:val="18"/>
              </w:rPr>
              <w:t xml:space="preserve"> e</w:t>
            </w:r>
            <w:r w:rsidRPr="00412B2B">
              <w:rPr>
                <w:rFonts w:ascii="Garamond" w:hAnsi="Garamond" w:cs="Segoe UI"/>
                <w:b/>
                <w:bCs/>
                <w:sz w:val="18"/>
                <w:szCs w:val="18"/>
              </w:rPr>
              <w:t xml:space="preserve"> Politikave </w:t>
            </w:r>
          </w:p>
        </w:tc>
        <w:tc>
          <w:tcPr>
            <w:tcW w:w="1421" w:type="pct"/>
            <w:vMerge w:val="restart"/>
            <w:shd w:val="clear" w:color="auto" w:fill="auto"/>
            <w:vAlign w:val="center"/>
          </w:tcPr>
          <w:p w14:paraId="0773B977" w14:textId="77777777"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Skema e Sigurimeve Bujqësore</w:t>
            </w:r>
          </w:p>
        </w:tc>
        <w:tc>
          <w:tcPr>
            <w:tcW w:w="2015" w:type="pct"/>
            <w:shd w:val="clear" w:color="auto" w:fill="auto"/>
          </w:tcPr>
          <w:p w14:paraId="0773B978" w14:textId="7AA3FF9A" w:rsidR="00F10122" w:rsidRPr="00412B2B" w:rsidRDefault="00F10122" w:rsidP="00F10122">
            <w:pPr>
              <w:pStyle w:val="Table1"/>
              <w:rPr>
                <w:rFonts w:ascii="Garamond" w:hAnsi="Garamond"/>
                <w:sz w:val="18"/>
                <w:szCs w:val="18"/>
              </w:rPr>
            </w:pPr>
            <w:r w:rsidRPr="00412B2B">
              <w:rPr>
                <w:rFonts w:ascii="Garamond" w:hAnsi="Garamond"/>
                <w:sz w:val="18"/>
                <w:szCs w:val="18"/>
              </w:rPr>
              <w:t>Diskutimi</w:t>
            </w:r>
            <w:r w:rsidR="00CF7694" w:rsidRPr="00412B2B">
              <w:rPr>
                <w:rFonts w:ascii="Garamond" w:hAnsi="Garamond"/>
                <w:sz w:val="18"/>
                <w:szCs w:val="18"/>
              </w:rPr>
              <w:t xml:space="preserve"> </w:t>
            </w:r>
            <w:r w:rsidRPr="00412B2B">
              <w:rPr>
                <w:rFonts w:ascii="Garamond" w:hAnsi="Garamond"/>
                <w:sz w:val="18"/>
                <w:szCs w:val="18"/>
              </w:rPr>
              <w:t>me organizatat e fermerëve dhe kompanitë e sigurimeve për skemën më të përshtatshme</w:t>
            </w:r>
          </w:p>
        </w:tc>
        <w:tc>
          <w:tcPr>
            <w:tcW w:w="291" w:type="pct"/>
            <w:shd w:val="clear" w:color="auto" w:fill="auto"/>
            <w:vAlign w:val="center"/>
          </w:tcPr>
          <w:p w14:paraId="0773B979"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97A"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7B" w14:textId="77777777" w:rsidR="00F10122" w:rsidRPr="00412B2B" w:rsidRDefault="00F10122" w:rsidP="00F10122">
            <w:pPr>
              <w:pStyle w:val="Table1"/>
              <w:jc w:val="center"/>
              <w:rPr>
                <w:rFonts w:ascii="Garamond" w:hAnsi="Garamond"/>
                <w:b/>
                <w:sz w:val="18"/>
                <w:szCs w:val="18"/>
              </w:rPr>
            </w:pPr>
          </w:p>
        </w:tc>
      </w:tr>
      <w:tr w:rsidR="00F10122" w:rsidRPr="00412B2B" w14:paraId="0773B983" w14:textId="77777777" w:rsidTr="000727D2">
        <w:trPr>
          <w:trHeight w:val="20"/>
        </w:trPr>
        <w:tc>
          <w:tcPr>
            <w:tcW w:w="601" w:type="pct"/>
            <w:vMerge/>
            <w:shd w:val="clear" w:color="auto" w:fill="auto"/>
            <w:vAlign w:val="center"/>
          </w:tcPr>
          <w:p w14:paraId="0773B97D" w14:textId="77777777" w:rsidR="00F10122" w:rsidRPr="00412B2B" w:rsidRDefault="00F10122" w:rsidP="00F10122">
            <w:pPr>
              <w:pStyle w:val="Table1"/>
              <w:jc w:val="center"/>
              <w:rPr>
                <w:rFonts w:ascii="Garamond" w:hAnsi="Garamond" w:cs="Segoe UI"/>
                <w:b/>
                <w:bCs/>
                <w:sz w:val="18"/>
                <w:szCs w:val="18"/>
              </w:rPr>
            </w:pPr>
          </w:p>
        </w:tc>
        <w:tc>
          <w:tcPr>
            <w:tcW w:w="1421" w:type="pct"/>
            <w:vMerge/>
            <w:shd w:val="clear" w:color="auto" w:fill="auto"/>
            <w:vAlign w:val="center"/>
          </w:tcPr>
          <w:p w14:paraId="0773B97E" w14:textId="77777777" w:rsidR="00F10122" w:rsidRPr="00412B2B" w:rsidRDefault="00F10122" w:rsidP="00F10122">
            <w:pPr>
              <w:pStyle w:val="Table1"/>
              <w:rPr>
                <w:rFonts w:ascii="Garamond" w:eastAsia="Calibri" w:hAnsi="Garamond"/>
                <w:bCs/>
                <w:sz w:val="18"/>
                <w:szCs w:val="18"/>
              </w:rPr>
            </w:pPr>
          </w:p>
        </w:tc>
        <w:tc>
          <w:tcPr>
            <w:tcW w:w="2015" w:type="pct"/>
            <w:shd w:val="clear" w:color="auto" w:fill="auto"/>
          </w:tcPr>
          <w:p w14:paraId="0773B97F" w14:textId="5510A558" w:rsidR="00F10122" w:rsidRPr="00412B2B" w:rsidRDefault="00F10122" w:rsidP="00F10122">
            <w:pPr>
              <w:pStyle w:val="Table1"/>
              <w:rPr>
                <w:rFonts w:ascii="Garamond" w:hAnsi="Garamond"/>
                <w:sz w:val="18"/>
                <w:szCs w:val="18"/>
              </w:rPr>
            </w:pPr>
            <w:r w:rsidRPr="00412B2B">
              <w:rPr>
                <w:rFonts w:ascii="Garamond" w:hAnsi="Garamond"/>
                <w:sz w:val="18"/>
                <w:szCs w:val="18"/>
              </w:rPr>
              <w:t>Përcaktimi i sasisë së mbështetjes për ha dhe/ose ton; përgatitja dhe miratimi i kritereve të përfitimit</w:t>
            </w:r>
          </w:p>
        </w:tc>
        <w:tc>
          <w:tcPr>
            <w:tcW w:w="291" w:type="pct"/>
            <w:shd w:val="clear" w:color="auto" w:fill="auto"/>
            <w:vAlign w:val="center"/>
          </w:tcPr>
          <w:p w14:paraId="0773B980"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981"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82"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98A" w14:textId="77777777" w:rsidTr="000727D2">
        <w:trPr>
          <w:trHeight w:val="20"/>
        </w:trPr>
        <w:tc>
          <w:tcPr>
            <w:tcW w:w="601" w:type="pct"/>
            <w:vMerge/>
            <w:shd w:val="clear" w:color="auto" w:fill="auto"/>
            <w:vAlign w:val="center"/>
          </w:tcPr>
          <w:p w14:paraId="0773B984" w14:textId="77777777" w:rsidR="00F10122" w:rsidRPr="00412B2B" w:rsidRDefault="00F10122" w:rsidP="00F10122">
            <w:pPr>
              <w:pStyle w:val="Table1"/>
              <w:jc w:val="center"/>
              <w:rPr>
                <w:rFonts w:ascii="Garamond" w:hAnsi="Garamond" w:cs="Segoe UI"/>
                <w:b/>
                <w:bCs/>
                <w:sz w:val="18"/>
                <w:szCs w:val="18"/>
              </w:rPr>
            </w:pPr>
          </w:p>
        </w:tc>
        <w:tc>
          <w:tcPr>
            <w:tcW w:w="1421" w:type="pct"/>
            <w:vMerge/>
            <w:shd w:val="clear" w:color="auto" w:fill="auto"/>
            <w:vAlign w:val="center"/>
          </w:tcPr>
          <w:p w14:paraId="0773B985" w14:textId="77777777" w:rsidR="00F10122" w:rsidRPr="00412B2B" w:rsidRDefault="00F10122" w:rsidP="00F10122">
            <w:pPr>
              <w:pStyle w:val="Table1"/>
              <w:rPr>
                <w:rFonts w:ascii="Garamond" w:eastAsia="Calibri" w:hAnsi="Garamond"/>
                <w:bCs/>
                <w:sz w:val="18"/>
                <w:szCs w:val="18"/>
              </w:rPr>
            </w:pPr>
          </w:p>
        </w:tc>
        <w:tc>
          <w:tcPr>
            <w:tcW w:w="2015" w:type="pct"/>
            <w:shd w:val="clear" w:color="auto" w:fill="auto"/>
          </w:tcPr>
          <w:p w14:paraId="0773B986" w14:textId="3F08F0F4" w:rsidR="00F10122" w:rsidRPr="00412B2B" w:rsidRDefault="00820D0C" w:rsidP="00F10122">
            <w:pPr>
              <w:pStyle w:val="Table1"/>
              <w:rPr>
                <w:rFonts w:ascii="Garamond" w:hAnsi="Garamond"/>
                <w:sz w:val="18"/>
                <w:szCs w:val="18"/>
              </w:rPr>
            </w:pPr>
            <w:r w:rsidRPr="00412B2B">
              <w:rPr>
                <w:rFonts w:ascii="Garamond" w:hAnsi="Garamond"/>
                <w:sz w:val="18"/>
                <w:szCs w:val="18"/>
              </w:rPr>
              <w:t>Planifikimi i buxhetit kombëtar</w:t>
            </w:r>
            <w:r w:rsidR="00797859" w:rsidRPr="00412B2B">
              <w:rPr>
                <w:rFonts w:ascii="Garamond" w:hAnsi="Garamond"/>
                <w:sz w:val="18"/>
                <w:szCs w:val="18"/>
              </w:rPr>
              <w:t>/</w:t>
            </w:r>
            <w:r w:rsidRPr="00412B2B">
              <w:rPr>
                <w:rFonts w:ascii="Garamond" w:hAnsi="Garamond"/>
                <w:sz w:val="18"/>
                <w:szCs w:val="18"/>
              </w:rPr>
              <w:t>buxhetit afatmesëm për 2025–</w:t>
            </w:r>
            <w:r w:rsidR="00F10122" w:rsidRPr="00412B2B">
              <w:rPr>
                <w:rFonts w:ascii="Garamond" w:hAnsi="Garamond"/>
                <w:sz w:val="18"/>
                <w:szCs w:val="18"/>
              </w:rPr>
              <w:t>2027</w:t>
            </w:r>
          </w:p>
        </w:tc>
        <w:tc>
          <w:tcPr>
            <w:tcW w:w="291" w:type="pct"/>
            <w:shd w:val="clear" w:color="auto" w:fill="auto"/>
            <w:vAlign w:val="center"/>
          </w:tcPr>
          <w:p w14:paraId="0773B987"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988"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989"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991" w14:textId="77777777" w:rsidTr="000727D2">
        <w:trPr>
          <w:trHeight w:val="20"/>
        </w:trPr>
        <w:tc>
          <w:tcPr>
            <w:tcW w:w="601" w:type="pct"/>
            <w:vMerge w:val="restart"/>
            <w:shd w:val="clear" w:color="auto" w:fill="auto"/>
            <w:vAlign w:val="center"/>
          </w:tcPr>
          <w:p w14:paraId="0773B98B" w14:textId="77777777" w:rsidR="00F10122" w:rsidRPr="00412B2B" w:rsidRDefault="00F10122" w:rsidP="00F10122">
            <w:pPr>
              <w:pStyle w:val="Table1"/>
              <w:jc w:val="center"/>
              <w:rPr>
                <w:rFonts w:ascii="Garamond" w:hAnsi="Garamond" w:cs="Segoe UI"/>
                <w:b/>
                <w:bCs/>
                <w:sz w:val="18"/>
                <w:szCs w:val="18"/>
              </w:rPr>
            </w:pPr>
            <w:r w:rsidRPr="00412B2B">
              <w:rPr>
                <w:rFonts w:ascii="Garamond" w:hAnsi="Garamond" w:cs="Segoe UI"/>
                <w:b/>
                <w:bCs/>
                <w:sz w:val="18"/>
                <w:szCs w:val="18"/>
              </w:rPr>
              <w:t>AZHBR</w:t>
            </w:r>
          </w:p>
        </w:tc>
        <w:tc>
          <w:tcPr>
            <w:tcW w:w="1421" w:type="pct"/>
            <w:vMerge/>
            <w:shd w:val="clear" w:color="auto" w:fill="auto"/>
            <w:vAlign w:val="center"/>
          </w:tcPr>
          <w:p w14:paraId="0773B98C" w14:textId="77777777" w:rsidR="00F10122" w:rsidRPr="00412B2B" w:rsidRDefault="00F10122" w:rsidP="00F10122">
            <w:pPr>
              <w:pStyle w:val="Table1"/>
              <w:rPr>
                <w:rFonts w:ascii="Garamond" w:eastAsia="Calibri" w:hAnsi="Garamond"/>
                <w:bCs/>
                <w:sz w:val="18"/>
                <w:szCs w:val="18"/>
              </w:rPr>
            </w:pPr>
          </w:p>
        </w:tc>
        <w:tc>
          <w:tcPr>
            <w:tcW w:w="2015" w:type="pct"/>
            <w:shd w:val="clear" w:color="auto" w:fill="auto"/>
          </w:tcPr>
          <w:p w14:paraId="0773B98D" w14:textId="77777777" w:rsidR="00F10122" w:rsidRPr="00412B2B" w:rsidRDefault="00F10122" w:rsidP="00F10122">
            <w:pPr>
              <w:pStyle w:val="Table1"/>
              <w:rPr>
                <w:rFonts w:ascii="Garamond" w:hAnsi="Garamond"/>
                <w:sz w:val="18"/>
                <w:szCs w:val="18"/>
              </w:rPr>
            </w:pPr>
            <w:r w:rsidRPr="00412B2B">
              <w:rPr>
                <w:rFonts w:ascii="Garamond" w:hAnsi="Garamond"/>
                <w:sz w:val="18"/>
                <w:szCs w:val="18"/>
              </w:rPr>
              <w:t>Përgatitja e modelit të kërkesës për pagesën dhe procedurat e zbatimit</w:t>
            </w:r>
          </w:p>
        </w:tc>
        <w:tc>
          <w:tcPr>
            <w:tcW w:w="291" w:type="pct"/>
            <w:shd w:val="clear" w:color="auto" w:fill="auto"/>
            <w:vAlign w:val="center"/>
          </w:tcPr>
          <w:p w14:paraId="0773B98E"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98F"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90"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998" w14:textId="77777777" w:rsidTr="000727D2">
        <w:trPr>
          <w:trHeight w:val="20"/>
        </w:trPr>
        <w:tc>
          <w:tcPr>
            <w:tcW w:w="601" w:type="pct"/>
            <w:vMerge/>
            <w:shd w:val="clear" w:color="auto" w:fill="auto"/>
            <w:vAlign w:val="center"/>
          </w:tcPr>
          <w:p w14:paraId="0773B992" w14:textId="77777777" w:rsidR="00F10122" w:rsidRPr="00412B2B" w:rsidRDefault="00F10122" w:rsidP="00F10122">
            <w:pPr>
              <w:pStyle w:val="Table1"/>
              <w:jc w:val="center"/>
              <w:rPr>
                <w:rFonts w:ascii="Garamond" w:hAnsi="Garamond" w:cs="Segoe UI"/>
                <w:b/>
                <w:bCs/>
                <w:sz w:val="18"/>
                <w:szCs w:val="18"/>
              </w:rPr>
            </w:pPr>
          </w:p>
        </w:tc>
        <w:tc>
          <w:tcPr>
            <w:tcW w:w="1421" w:type="pct"/>
            <w:vMerge/>
            <w:shd w:val="clear" w:color="auto" w:fill="auto"/>
            <w:vAlign w:val="center"/>
          </w:tcPr>
          <w:p w14:paraId="0773B993" w14:textId="77777777" w:rsidR="00F10122" w:rsidRPr="00412B2B" w:rsidRDefault="00F10122" w:rsidP="00F10122">
            <w:pPr>
              <w:pStyle w:val="Table1"/>
              <w:rPr>
                <w:rFonts w:ascii="Garamond" w:eastAsia="Calibri" w:hAnsi="Garamond"/>
                <w:bCs/>
                <w:sz w:val="18"/>
                <w:szCs w:val="18"/>
              </w:rPr>
            </w:pPr>
          </w:p>
        </w:tc>
        <w:tc>
          <w:tcPr>
            <w:tcW w:w="2015" w:type="pct"/>
            <w:shd w:val="clear" w:color="auto" w:fill="auto"/>
          </w:tcPr>
          <w:p w14:paraId="0773B994" w14:textId="15C91098" w:rsidR="00F10122" w:rsidRPr="00412B2B" w:rsidRDefault="00F10122" w:rsidP="00F10122">
            <w:pPr>
              <w:pStyle w:val="Table1"/>
              <w:rPr>
                <w:rFonts w:ascii="Garamond" w:hAnsi="Garamond"/>
                <w:sz w:val="18"/>
                <w:szCs w:val="18"/>
              </w:rPr>
            </w:pPr>
            <w:r w:rsidRPr="00412B2B">
              <w:rPr>
                <w:rFonts w:ascii="Garamond" w:hAnsi="Garamond"/>
                <w:sz w:val="18"/>
                <w:szCs w:val="18"/>
              </w:rPr>
              <w:t>Përgatitja e sistemit TI të AZHBR-së</w:t>
            </w:r>
            <w:r w:rsidR="00CF7694" w:rsidRPr="00412B2B">
              <w:rPr>
                <w:rFonts w:ascii="Garamond" w:hAnsi="Garamond"/>
                <w:sz w:val="18"/>
                <w:szCs w:val="18"/>
              </w:rPr>
              <w:t xml:space="preserve"> </w:t>
            </w:r>
          </w:p>
        </w:tc>
        <w:tc>
          <w:tcPr>
            <w:tcW w:w="291" w:type="pct"/>
            <w:shd w:val="clear" w:color="auto" w:fill="auto"/>
            <w:vAlign w:val="center"/>
          </w:tcPr>
          <w:p w14:paraId="0773B995"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996"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97"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99F" w14:textId="77777777" w:rsidTr="000727D2">
        <w:trPr>
          <w:trHeight w:val="20"/>
        </w:trPr>
        <w:tc>
          <w:tcPr>
            <w:tcW w:w="601" w:type="pct"/>
            <w:shd w:val="clear" w:color="auto" w:fill="auto"/>
            <w:vAlign w:val="center"/>
          </w:tcPr>
          <w:p w14:paraId="0773B999" w14:textId="5AA77EEB" w:rsidR="00F10122" w:rsidRPr="00412B2B" w:rsidRDefault="00F10122" w:rsidP="00F10122">
            <w:pPr>
              <w:pStyle w:val="Table1"/>
              <w:jc w:val="center"/>
              <w:rPr>
                <w:rFonts w:ascii="Garamond" w:eastAsia="Calibri" w:hAnsi="Garamond"/>
                <w:bCs/>
                <w:sz w:val="18"/>
                <w:szCs w:val="18"/>
              </w:rPr>
            </w:pPr>
            <w:r w:rsidRPr="00412B2B">
              <w:rPr>
                <w:rFonts w:ascii="Garamond" w:hAnsi="Garamond" w:cs="Segoe UI"/>
                <w:b/>
                <w:bCs/>
                <w:sz w:val="18"/>
                <w:szCs w:val="18"/>
              </w:rPr>
              <w:t>Drejtorit</w:t>
            </w:r>
            <w:r w:rsidRPr="00412B2B">
              <w:rPr>
                <w:rFonts w:ascii="Garamond" w:hAnsi="Garamond"/>
                <w:b/>
                <w:bCs/>
                <w:sz w:val="18"/>
                <w:szCs w:val="18"/>
              </w:rPr>
              <w:t>ë e</w:t>
            </w:r>
            <w:r w:rsidR="00CF7694" w:rsidRPr="00412B2B">
              <w:rPr>
                <w:rFonts w:ascii="Garamond" w:eastAsia="Calibri" w:hAnsi="Garamond"/>
                <w:b/>
                <w:bCs/>
                <w:sz w:val="18"/>
                <w:szCs w:val="18"/>
              </w:rPr>
              <w:t xml:space="preserve"> </w:t>
            </w:r>
            <w:r w:rsidR="001D6BB6" w:rsidRPr="00412B2B">
              <w:rPr>
                <w:rFonts w:ascii="Garamond" w:eastAsia="Calibri" w:hAnsi="Garamond"/>
                <w:b/>
                <w:bCs/>
                <w:sz w:val="18"/>
                <w:szCs w:val="18"/>
              </w:rPr>
              <w:t xml:space="preserve">politikave </w:t>
            </w:r>
            <w:r w:rsidRPr="00412B2B">
              <w:rPr>
                <w:rFonts w:ascii="Garamond" w:eastAsia="Calibri" w:hAnsi="Garamond"/>
                <w:b/>
                <w:bCs/>
                <w:sz w:val="18"/>
                <w:szCs w:val="18"/>
              </w:rPr>
              <w:t>MBZHR</w:t>
            </w:r>
          </w:p>
        </w:tc>
        <w:tc>
          <w:tcPr>
            <w:tcW w:w="1421" w:type="pct"/>
            <w:shd w:val="clear" w:color="auto" w:fill="auto"/>
            <w:vAlign w:val="center"/>
          </w:tcPr>
          <w:p w14:paraId="0773B99A" w14:textId="77777777"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Kompensimi për naftën në bujqësi</w:t>
            </w:r>
          </w:p>
        </w:tc>
        <w:tc>
          <w:tcPr>
            <w:tcW w:w="2015" w:type="pct"/>
            <w:shd w:val="clear" w:color="auto" w:fill="auto"/>
          </w:tcPr>
          <w:p w14:paraId="0773B99B" w14:textId="6AE53692" w:rsidR="00F10122" w:rsidRPr="00412B2B" w:rsidRDefault="00F10122" w:rsidP="00F10122">
            <w:pPr>
              <w:pStyle w:val="Table1"/>
              <w:rPr>
                <w:rFonts w:ascii="Garamond" w:hAnsi="Garamond"/>
                <w:sz w:val="18"/>
                <w:szCs w:val="18"/>
              </w:rPr>
            </w:pPr>
            <w:r w:rsidRPr="00412B2B">
              <w:rPr>
                <w:rFonts w:ascii="Garamond" w:hAnsi="Garamond"/>
                <w:sz w:val="18"/>
                <w:szCs w:val="18"/>
              </w:rPr>
              <w:t>Monitorim i skem</w:t>
            </w:r>
            <w:r w:rsidRPr="00412B2B">
              <w:rPr>
                <w:rFonts w:ascii="Garamond" w:hAnsi="Garamond"/>
                <w:bCs/>
                <w:sz w:val="18"/>
                <w:szCs w:val="18"/>
              </w:rPr>
              <w:t>ë</w:t>
            </w:r>
            <w:r w:rsidRPr="00412B2B">
              <w:rPr>
                <w:rFonts w:ascii="Garamond" w:hAnsi="Garamond"/>
                <w:sz w:val="18"/>
                <w:szCs w:val="18"/>
              </w:rPr>
              <w:t xml:space="preserve">s dhe vazhdimi </w:t>
            </w:r>
            <w:r w:rsidR="00797859" w:rsidRPr="00412B2B">
              <w:rPr>
                <w:rFonts w:ascii="Garamond" w:hAnsi="Garamond"/>
                <w:sz w:val="18"/>
                <w:szCs w:val="18"/>
              </w:rPr>
              <w:t>/</w:t>
            </w:r>
            <w:r w:rsidRPr="00412B2B">
              <w:rPr>
                <w:rFonts w:ascii="Garamond" w:hAnsi="Garamond"/>
                <w:sz w:val="18"/>
                <w:szCs w:val="18"/>
              </w:rPr>
              <w:t>p</w:t>
            </w:r>
            <w:r w:rsidRPr="00412B2B">
              <w:rPr>
                <w:rFonts w:ascii="Garamond" w:hAnsi="Garamond"/>
                <w:bCs/>
                <w:sz w:val="18"/>
                <w:szCs w:val="18"/>
              </w:rPr>
              <w:t>ë</w:t>
            </w:r>
            <w:r w:rsidRPr="00412B2B">
              <w:rPr>
                <w:rFonts w:ascii="Garamond" w:hAnsi="Garamond"/>
                <w:sz w:val="18"/>
                <w:szCs w:val="18"/>
              </w:rPr>
              <w:t>rmir</w:t>
            </w:r>
            <w:r w:rsidRPr="00412B2B">
              <w:rPr>
                <w:rFonts w:ascii="Garamond" w:hAnsi="Garamond"/>
                <w:bCs/>
                <w:sz w:val="18"/>
                <w:szCs w:val="18"/>
              </w:rPr>
              <w:t>ë</w:t>
            </w:r>
            <w:r w:rsidRPr="00412B2B">
              <w:rPr>
                <w:rFonts w:ascii="Garamond" w:hAnsi="Garamond"/>
                <w:sz w:val="18"/>
                <w:szCs w:val="18"/>
              </w:rPr>
              <w:t>simi i saj</w:t>
            </w:r>
            <w:r w:rsidRPr="00412B2B" w:rsidDel="0008312C">
              <w:rPr>
                <w:rFonts w:ascii="Garamond" w:hAnsi="Garamond"/>
                <w:sz w:val="18"/>
                <w:szCs w:val="18"/>
              </w:rPr>
              <w:t xml:space="preserve"> </w:t>
            </w:r>
          </w:p>
        </w:tc>
        <w:tc>
          <w:tcPr>
            <w:tcW w:w="291" w:type="pct"/>
            <w:shd w:val="clear" w:color="auto" w:fill="auto"/>
            <w:vAlign w:val="center"/>
          </w:tcPr>
          <w:p w14:paraId="0773B99C"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9D"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9E"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9A8" w14:textId="77777777" w:rsidTr="000727D2">
        <w:trPr>
          <w:trHeight w:val="20"/>
        </w:trPr>
        <w:tc>
          <w:tcPr>
            <w:tcW w:w="601" w:type="pct"/>
            <w:shd w:val="clear" w:color="auto" w:fill="auto"/>
            <w:vAlign w:val="center"/>
          </w:tcPr>
          <w:p w14:paraId="0773B9A0" w14:textId="381371FB"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t>AM IPARD</w:t>
            </w:r>
            <w:r w:rsidR="00CF7694" w:rsidRPr="00412B2B">
              <w:rPr>
                <w:rFonts w:ascii="Garamond" w:eastAsia="Calibri" w:hAnsi="Garamond"/>
                <w:b/>
                <w:bCs/>
                <w:sz w:val="18"/>
                <w:szCs w:val="18"/>
              </w:rPr>
              <w:t xml:space="preserve"> </w:t>
            </w:r>
            <w:r w:rsidRPr="00412B2B">
              <w:rPr>
                <w:rFonts w:ascii="Garamond" w:eastAsia="Calibri" w:hAnsi="Garamond"/>
                <w:b/>
                <w:bCs/>
                <w:sz w:val="18"/>
                <w:szCs w:val="18"/>
              </w:rPr>
              <w:t>MBZHR</w:t>
            </w:r>
          </w:p>
        </w:tc>
        <w:tc>
          <w:tcPr>
            <w:tcW w:w="1421" w:type="pct"/>
            <w:shd w:val="clear" w:color="auto" w:fill="auto"/>
            <w:vAlign w:val="center"/>
          </w:tcPr>
          <w:p w14:paraId="0773B9A1" w14:textId="77777777"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Masat IPARD III: M1, M3, M7, M9</w:t>
            </w:r>
          </w:p>
        </w:tc>
        <w:tc>
          <w:tcPr>
            <w:tcW w:w="2015" w:type="pct"/>
            <w:shd w:val="clear" w:color="auto" w:fill="auto"/>
          </w:tcPr>
          <w:p w14:paraId="0773B9A2" w14:textId="44F4DFC9" w:rsidR="00F10122" w:rsidRPr="00412B2B" w:rsidRDefault="00F10122" w:rsidP="00F10122">
            <w:pPr>
              <w:pStyle w:val="Table1"/>
              <w:numPr>
                <w:ilvl w:val="0"/>
                <w:numId w:val="18"/>
              </w:numPr>
              <w:ind w:left="288" w:hanging="144"/>
              <w:rPr>
                <w:rFonts w:ascii="Garamond" w:hAnsi="Garamond"/>
                <w:sz w:val="18"/>
                <w:szCs w:val="18"/>
              </w:rPr>
            </w:pPr>
            <w:r w:rsidRPr="00412B2B">
              <w:rPr>
                <w:rFonts w:ascii="Garamond" w:hAnsi="Garamond"/>
                <w:sz w:val="18"/>
                <w:szCs w:val="18"/>
              </w:rPr>
              <w:t xml:space="preserve">Rishikimi nëse është e nevojshme i </w:t>
            </w:r>
            <w:r w:rsidR="001D6BB6" w:rsidRPr="00412B2B">
              <w:rPr>
                <w:rFonts w:ascii="Garamond" w:hAnsi="Garamond"/>
                <w:sz w:val="18"/>
                <w:szCs w:val="18"/>
              </w:rPr>
              <w:t xml:space="preserve">udhëzuesit për aplikantët </w:t>
            </w:r>
            <w:r w:rsidRPr="00412B2B">
              <w:rPr>
                <w:rFonts w:ascii="Garamond" w:hAnsi="Garamond"/>
                <w:sz w:val="18"/>
                <w:szCs w:val="18"/>
              </w:rPr>
              <w:t>dhe procedurat e vlerësimit</w:t>
            </w:r>
          </w:p>
          <w:p w14:paraId="0773B9A3" w14:textId="77777777" w:rsidR="00F10122" w:rsidRPr="00412B2B" w:rsidRDefault="00F10122" w:rsidP="00F10122">
            <w:pPr>
              <w:pStyle w:val="Table1"/>
              <w:numPr>
                <w:ilvl w:val="0"/>
                <w:numId w:val="18"/>
              </w:numPr>
              <w:ind w:left="288" w:hanging="144"/>
              <w:rPr>
                <w:rFonts w:ascii="Garamond" w:hAnsi="Garamond"/>
                <w:sz w:val="18"/>
                <w:szCs w:val="18"/>
              </w:rPr>
            </w:pPr>
            <w:r w:rsidRPr="00412B2B">
              <w:rPr>
                <w:rFonts w:ascii="Garamond" w:hAnsi="Garamond"/>
                <w:sz w:val="18"/>
                <w:szCs w:val="18"/>
              </w:rPr>
              <w:t>Përgatitja e ToR dhe procedurës së prokurimit sipas M9</w:t>
            </w:r>
          </w:p>
          <w:p w14:paraId="1D5DA568" w14:textId="77777777" w:rsidR="001D6BB6" w:rsidRPr="00412B2B" w:rsidRDefault="00F10122" w:rsidP="00F10122">
            <w:pPr>
              <w:pStyle w:val="Table1"/>
              <w:numPr>
                <w:ilvl w:val="0"/>
                <w:numId w:val="18"/>
              </w:numPr>
              <w:ind w:left="288" w:hanging="144"/>
              <w:rPr>
                <w:rFonts w:ascii="Garamond" w:hAnsi="Garamond"/>
                <w:sz w:val="18"/>
                <w:szCs w:val="18"/>
              </w:rPr>
            </w:pPr>
            <w:r w:rsidRPr="00412B2B">
              <w:rPr>
                <w:rFonts w:ascii="Garamond" w:hAnsi="Garamond"/>
                <w:sz w:val="18"/>
                <w:szCs w:val="18"/>
              </w:rPr>
              <w:t>Përgatitja e raporteve për Kom</w:t>
            </w:r>
            <w:r w:rsidR="001D6BB6" w:rsidRPr="00412B2B">
              <w:rPr>
                <w:rFonts w:ascii="Garamond" w:hAnsi="Garamond"/>
                <w:sz w:val="18"/>
                <w:szCs w:val="18"/>
              </w:rPr>
              <w:t>itetin e Monitorimit IPARD III;</w:t>
            </w:r>
          </w:p>
          <w:p w14:paraId="0773B9A4" w14:textId="77EEB514" w:rsidR="00F10122" w:rsidRPr="00412B2B" w:rsidRDefault="00F10122" w:rsidP="00F10122">
            <w:pPr>
              <w:pStyle w:val="Table1"/>
              <w:numPr>
                <w:ilvl w:val="0"/>
                <w:numId w:val="18"/>
              </w:numPr>
              <w:ind w:left="288" w:hanging="144"/>
              <w:rPr>
                <w:rFonts w:ascii="Garamond" w:hAnsi="Garamond"/>
                <w:sz w:val="18"/>
                <w:szCs w:val="18"/>
              </w:rPr>
            </w:pPr>
            <w:r w:rsidRPr="00412B2B">
              <w:rPr>
                <w:rFonts w:ascii="Garamond" w:hAnsi="Garamond"/>
                <w:sz w:val="18"/>
                <w:szCs w:val="18"/>
              </w:rPr>
              <w:t xml:space="preserve">Komisionin Evropian, NIPAC dhe NAO mbi progresin në përdorimit të fondeve, </w:t>
            </w:r>
            <w:r w:rsidRPr="00412B2B">
              <w:rPr>
                <w:rFonts w:ascii="Garamond" w:hAnsi="Garamond"/>
                <w:i/>
                <w:iCs/>
                <w:sz w:val="18"/>
                <w:szCs w:val="18"/>
              </w:rPr>
              <w:t>output</w:t>
            </w:r>
            <w:r w:rsidR="001D6BB6" w:rsidRPr="00412B2B">
              <w:rPr>
                <w:rFonts w:ascii="Garamond" w:hAnsi="Garamond"/>
                <w:i/>
                <w:iCs/>
                <w:sz w:val="18"/>
                <w:szCs w:val="18"/>
              </w:rPr>
              <w:t>-</w:t>
            </w:r>
            <w:r w:rsidRPr="00412B2B">
              <w:rPr>
                <w:rFonts w:ascii="Garamond" w:hAnsi="Garamond"/>
                <w:sz w:val="18"/>
                <w:szCs w:val="18"/>
              </w:rPr>
              <w:t>et dhe rezultatet.</w:t>
            </w:r>
          </w:p>
        </w:tc>
        <w:tc>
          <w:tcPr>
            <w:tcW w:w="291" w:type="pct"/>
            <w:shd w:val="clear" w:color="auto" w:fill="auto"/>
            <w:vAlign w:val="center"/>
          </w:tcPr>
          <w:p w14:paraId="0773B9A5"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A6"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A7"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9B0" w14:textId="77777777" w:rsidTr="000727D2">
        <w:trPr>
          <w:trHeight w:val="20"/>
        </w:trPr>
        <w:tc>
          <w:tcPr>
            <w:tcW w:w="601" w:type="pct"/>
            <w:shd w:val="clear" w:color="auto" w:fill="auto"/>
            <w:vAlign w:val="center"/>
          </w:tcPr>
          <w:p w14:paraId="0773B9A9" w14:textId="5D08867E"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t>AM IPARD</w:t>
            </w:r>
            <w:r w:rsidR="00CF7694" w:rsidRPr="00412B2B">
              <w:rPr>
                <w:rFonts w:ascii="Garamond" w:eastAsia="Calibri" w:hAnsi="Garamond"/>
                <w:b/>
                <w:bCs/>
                <w:sz w:val="18"/>
                <w:szCs w:val="18"/>
              </w:rPr>
              <w:t xml:space="preserve"> </w:t>
            </w:r>
            <w:r w:rsidRPr="00412B2B">
              <w:rPr>
                <w:rFonts w:ascii="Garamond" w:eastAsia="Calibri" w:hAnsi="Garamond"/>
                <w:b/>
                <w:bCs/>
                <w:sz w:val="18"/>
                <w:szCs w:val="18"/>
              </w:rPr>
              <w:t>MBZHR</w:t>
            </w:r>
          </w:p>
          <w:p w14:paraId="0773B9AA" w14:textId="77777777"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t>+ AZHBR</w:t>
            </w:r>
          </w:p>
        </w:tc>
        <w:tc>
          <w:tcPr>
            <w:tcW w:w="1421" w:type="pct"/>
            <w:shd w:val="clear" w:color="auto" w:fill="auto"/>
            <w:vAlign w:val="center"/>
          </w:tcPr>
          <w:p w14:paraId="0773B9AB" w14:textId="77777777"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Masat IPARD III: M4, M5, M6, M10, M11</w:t>
            </w:r>
          </w:p>
        </w:tc>
        <w:tc>
          <w:tcPr>
            <w:tcW w:w="2015" w:type="pct"/>
            <w:shd w:val="clear" w:color="auto" w:fill="auto"/>
          </w:tcPr>
          <w:p w14:paraId="0773B9AC" w14:textId="77777777" w:rsidR="00F10122" w:rsidRPr="00412B2B" w:rsidRDefault="00F10122" w:rsidP="00F10122">
            <w:pPr>
              <w:pStyle w:val="Table1"/>
              <w:rPr>
                <w:rFonts w:ascii="Garamond" w:hAnsi="Garamond"/>
                <w:sz w:val="18"/>
                <w:szCs w:val="18"/>
              </w:rPr>
            </w:pPr>
            <w:r w:rsidRPr="00412B2B">
              <w:rPr>
                <w:rFonts w:ascii="Garamond" w:hAnsi="Garamond"/>
                <w:sz w:val="18"/>
                <w:szCs w:val="18"/>
              </w:rPr>
              <w:t xml:space="preserve">Përgatitja për akreditim dhe marrja e besueshmërisë </w:t>
            </w:r>
            <w:r w:rsidRPr="00412B2B">
              <w:rPr>
                <w:rFonts w:ascii="Garamond" w:hAnsi="Garamond"/>
                <w:i/>
                <w:iCs/>
                <w:sz w:val="18"/>
                <w:szCs w:val="18"/>
              </w:rPr>
              <w:t>(entrustment)</w:t>
            </w:r>
          </w:p>
        </w:tc>
        <w:tc>
          <w:tcPr>
            <w:tcW w:w="291" w:type="pct"/>
            <w:shd w:val="clear" w:color="auto" w:fill="auto"/>
            <w:vAlign w:val="center"/>
          </w:tcPr>
          <w:p w14:paraId="0773B9AD"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AE"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AF"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9BE" w14:textId="77777777" w:rsidTr="000727D2">
        <w:trPr>
          <w:trHeight w:val="20"/>
        </w:trPr>
        <w:tc>
          <w:tcPr>
            <w:tcW w:w="601" w:type="pct"/>
            <w:shd w:val="clear" w:color="auto" w:fill="auto"/>
            <w:vAlign w:val="center"/>
          </w:tcPr>
          <w:p w14:paraId="0773B9B1" w14:textId="2B1C8796"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t>AM IPARD</w:t>
            </w:r>
            <w:r w:rsidR="00CF7694" w:rsidRPr="00412B2B">
              <w:rPr>
                <w:rFonts w:ascii="Garamond" w:eastAsia="Calibri" w:hAnsi="Garamond"/>
                <w:b/>
                <w:bCs/>
                <w:sz w:val="18"/>
                <w:szCs w:val="18"/>
              </w:rPr>
              <w:t xml:space="preserve"> </w:t>
            </w:r>
            <w:r w:rsidRPr="00412B2B">
              <w:rPr>
                <w:rFonts w:ascii="Garamond" w:eastAsia="Calibri" w:hAnsi="Garamond"/>
                <w:b/>
                <w:bCs/>
                <w:sz w:val="18"/>
                <w:szCs w:val="18"/>
              </w:rPr>
              <w:t>MBZHR</w:t>
            </w:r>
          </w:p>
          <w:p w14:paraId="0773B9B2" w14:textId="77777777"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t>+</w:t>
            </w:r>
          </w:p>
          <w:p w14:paraId="0773B9B3" w14:textId="77777777"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t>AZHBR</w:t>
            </w:r>
          </w:p>
        </w:tc>
        <w:tc>
          <w:tcPr>
            <w:tcW w:w="1421" w:type="pct"/>
            <w:shd w:val="clear" w:color="auto" w:fill="auto"/>
            <w:vAlign w:val="center"/>
          </w:tcPr>
          <w:p w14:paraId="0773B9B4" w14:textId="77777777"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Zbatimi i qasjes LEADER</w:t>
            </w:r>
          </w:p>
        </w:tc>
        <w:tc>
          <w:tcPr>
            <w:tcW w:w="2015" w:type="pct"/>
            <w:shd w:val="clear" w:color="auto" w:fill="auto"/>
          </w:tcPr>
          <w:p w14:paraId="0773B9B5" w14:textId="5444D668" w:rsidR="00F10122" w:rsidRPr="00412B2B" w:rsidRDefault="00F10122" w:rsidP="00F10122">
            <w:pPr>
              <w:pStyle w:val="Table1"/>
              <w:numPr>
                <w:ilvl w:val="0"/>
                <w:numId w:val="18"/>
              </w:numPr>
              <w:ind w:left="271" w:hanging="180"/>
              <w:rPr>
                <w:rFonts w:ascii="Garamond" w:hAnsi="Garamond"/>
                <w:sz w:val="18"/>
                <w:szCs w:val="18"/>
              </w:rPr>
            </w:pPr>
            <w:r w:rsidRPr="00412B2B">
              <w:rPr>
                <w:rFonts w:ascii="Garamond" w:hAnsi="Garamond"/>
                <w:sz w:val="18"/>
                <w:szCs w:val="18"/>
              </w:rPr>
              <w:t>Miratimi</w:t>
            </w:r>
            <w:r w:rsidR="00CF7694" w:rsidRPr="00412B2B">
              <w:rPr>
                <w:rFonts w:ascii="Garamond" w:hAnsi="Garamond"/>
                <w:sz w:val="18"/>
                <w:szCs w:val="18"/>
              </w:rPr>
              <w:t xml:space="preserve"> </w:t>
            </w:r>
            <w:r w:rsidRPr="00412B2B">
              <w:rPr>
                <w:rFonts w:ascii="Garamond" w:hAnsi="Garamond"/>
                <w:sz w:val="18"/>
                <w:szCs w:val="18"/>
              </w:rPr>
              <w:t>i ligjit</w:t>
            </w:r>
            <w:r w:rsidR="00CF7694" w:rsidRPr="00412B2B">
              <w:rPr>
                <w:rFonts w:ascii="Garamond" w:hAnsi="Garamond"/>
                <w:sz w:val="18"/>
                <w:szCs w:val="18"/>
              </w:rPr>
              <w:t xml:space="preserve"> </w:t>
            </w:r>
            <w:r w:rsidRPr="00412B2B">
              <w:rPr>
                <w:rFonts w:ascii="Garamond" w:hAnsi="Garamond"/>
                <w:sz w:val="18"/>
                <w:szCs w:val="18"/>
              </w:rPr>
              <w:t>për GVV-të</w:t>
            </w:r>
          </w:p>
          <w:p w14:paraId="0773B9B6" w14:textId="3087A7B1" w:rsidR="00F10122" w:rsidRPr="00412B2B" w:rsidRDefault="00F10122" w:rsidP="00F10122">
            <w:pPr>
              <w:pStyle w:val="Table1"/>
              <w:numPr>
                <w:ilvl w:val="0"/>
                <w:numId w:val="18"/>
              </w:numPr>
              <w:ind w:left="271" w:hanging="180"/>
              <w:rPr>
                <w:rFonts w:ascii="Garamond" w:hAnsi="Garamond"/>
                <w:sz w:val="18"/>
                <w:szCs w:val="18"/>
              </w:rPr>
            </w:pPr>
            <w:r w:rsidRPr="00412B2B">
              <w:rPr>
                <w:rFonts w:ascii="Garamond" w:hAnsi="Garamond"/>
                <w:sz w:val="18"/>
                <w:szCs w:val="18"/>
              </w:rPr>
              <w:t>Përgatitja e SZHL</w:t>
            </w:r>
            <w:r w:rsidR="0015763C" w:rsidRPr="00412B2B">
              <w:rPr>
                <w:rFonts w:ascii="Garamond" w:hAnsi="Garamond"/>
                <w:sz w:val="18"/>
                <w:szCs w:val="18"/>
              </w:rPr>
              <w:t>-ve</w:t>
            </w:r>
            <w:r w:rsidRPr="00412B2B">
              <w:rPr>
                <w:rFonts w:ascii="Garamond" w:hAnsi="Garamond"/>
                <w:sz w:val="18"/>
                <w:szCs w:val="18"/>
              </w:rPr>
              <w:t xml:space="preserve"> dhe përzgjedhja e GVV-ve</w:t>
            </w:r>
          </w:p>
          <w:p w14:paraId="0773B9B7" w14:textId="77777777" w:rsidR="00F10122" w:rsidRPr="00412B2B" w:rsidRDefault="00F10122" w:rsidP="00F10122">
            <w:pPr>
              <w:pStyle w:val="Table1"/>
              <w:numPr>
                <w:ilvl w:val="0"/>
                <w:numId w:val="18"/>
              </w:numPr>
              <w:ind w:left="271" w:hanging="180"/>
              <w:rPr>
                <w:rFonts w:ascii="Garamond" w:hAnsi="Garamond"/>
                <w:sz w:val="18"/>
                <w:szCs w:val="18"/>
              </w:rPr>
            </w:pPr>
            <w:r w:rsidRPr="00412B2B">
              <w:rPr>
                <w:rFonts w:ascii="Garamond" w:hAnsi="Garamond"/>
                <w:sz w:val="18"/>
                <w:szCs w:val="18"/>
              </w:rPr>
              <w:t>Përzgjedhja e GVV-ve (përfshirë GVV-të e reja) duhet të fillojë sa më shpejt për të mundësuar financimin paraprak.</w:t>
            </w:r>
          </w:p>
          <w:p w14:paraId="0773B9B8" w14:textId="5F38EF91" w:rsidR="00F10122" w:rsidRPr="00412B2B" w:rsidRDefault="00F10122" w:rsidP="0015763C">
            <w:pPr>
              <w:pStyle w:val="Table1"/>
              <w:numPr>
                <w:ilvl w:val="0"/>
                <w:numId w:val="18"/>
              </w:numPr>
              <w:ind w:left="271" w:hanging="180"/>
              <w:rPr>
                <w:rFonts w:ascii="Garamond" w:hAnsi="Garamond"/>
                <w:sz w:val="18"/>
                <w:szCs w:val="18"/>
              </w:rPr>
            </w:pPr>
            <w:r w:rsidRPr="00412B2B">
              <w:rPr>
                <w:rFonts w:ascii="Garamond" w:hAnsi="Garamond"/>
                <w:sz w:val="18"/>
                <w:szCs w:val="18"/>
              </w:rPr>
              <w:t>Përgatitja e SZHL-ve duhet të bëhen sipas një modeli të miratuar. Për të gjitha SZHL-të e paraqitura sipas modelit, pagesat duhet të konsiderohen të shpenzuara siç duhet dhe të mos rimerren përsëri.</w:t>
            </w:r>
          </w:p>
          <w:p w14:paraId="0773B9B9" w14:textId="6FE244C6" w:rsidR="00F10122" w:rsidRPr="00412B2B" w:rsidRDefault="00F10122" w:rsidP="00F10122">
            <w:pPr>
              <w:pStyle w:val="Table1"/>
              <w:numPr>
                <w:ilvl w:val="0"/>
                <w:numId w:val="18"/>
              </w:numPr>
              <w:ind w:left="271" w:hanging="180"/>
              <w:rPr>
                <w:rFonts w:ascii="Garamond" w:hAnsi="Garamond"/>
                <w:sz w:val="18"/>
                <w:szCs w:val="18"/>
              </w:rPr>
            </w:pPr>
            <w:r w:rsidRPr="00412B2B">
              <w:rPr>
                <w:rFonts w:ascii="Garamond" w:hAnsi="Garamond"/>
                <w:sz w:val="18"/>
                <w:szCs w:val="18"/>
              </w:rPr>
              <w:t>Kostot e funksionimit (kostot operacionale) për</w:t>
            </w:r>
            <w:r w:rsidR="00CF7694" w:rsidRPr="00412B2B">
              <w:rPr>
                <w:rFonts w:ascii="Garamond" w:hAnsi="Garamond"/>
                <w:sz w:val="18"/>
                <w:szCs w:val="18"/>
              </w:rPr>
              <w:t xml:space="preserve"> </w:t>
            </w:r>
            <w:r w:rsidRPr="00412B2B">
              <w:rPr>
                <w:rFonts w:ascii="Garamond" w:hAnsi="Garamond"/>
                <w:sz w:val="18"/>
                <w:szCs w:val="18"/>
              </w:rPr>
              <w:t>funksionimin e GVV-ve dhe SZHL-në e përgatitur duhet të sigurohen sa më shpejt që të jetë e mundur.</w:t>
            </w:r>
          </w:p>
          <w:p w14:paraId="0773B9BA" w14:textId="567541EF" w:rsidR="00F10122" w:rsidRPr="00412B2B" w:rsidRDefault="00F10122" w:rsidP="00F10122">
            <w:pPr>
              <w:pStyle w:val="Table1"/>
              <w:numPr>
                <w:ilvl w:val="0"/>
                <w:numId w:val="18"/>
              </w:numPr>
              <w:ind w:left="271" w:hanging="180"/>
              <w:rPr>
                <w:rFonts w:ascii="Garamond" w:hAnsi="Garamond"/>
                <w:sz w:val="18"/>
                <w:szCs w:val="18"/>
              </w:rPr>
            </w:pPr>
            <w:r w:rsidRPr="00412B2B">
              <w:rPr>
                <w:rFonts w:ascii="Garamond" w:hAnsi="Garamond"/>
                <w:sz w:val="18"/>
                <w:szCs w:val="18"/>
              </w:rPr>
              <w:t>Duhet të zbatohet një sistem për të rimbursuar në kohë kostot e</w:t>
            </w:r>
            <w:r w:rsidR="00CF7694" w:rsidRPr="00412B2B">
              <w:rPr>
                <w:rFonts w:ascii="Garamond" w:hAnsi="Garamond"/>
                <w:sz w:val="18"/>
                <w:szCs w:val="18"/>
              </w:rPr>
              <w:t xml:space="preserve"> </w:t>
            </w:r>
            <w:r w:rsidRPr="00412B2B">
              <w:rPr>
                <w:rFonts w:ascii="Garamond" w:hAnsi="Garamond"/>
                <w:sz w:val="18"/>
                <w:szCs w:val="18"/>
              </w:rPr>
              <w:t>aktiviteteve të funksionimit të GVV-ve.</w:t>
            </w:r>
          </w:p>
        </w:tc>
        <w:tc>
          <w:tcPr>
            <w:tcW w:w="291" w:type="pct"/>
            <w:shd w:val="clear" w:color="auto" w:fill="auto"/>
            <w:vAlign w:val="center"/>
          </w:tcPr>
          <w:p w14:paraId="0773B9BB"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BC"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BD" w14:textId="77777777" w:rsidR="00F10122" w:rsidRPr="00412B2B" w:rsidRDefault="00F10122" w:rsidP="00F10122">
            <w:pPr>
              <w:pStyle w:val="Table1"/>
              <w:jc w:val="center"/>
              <w:rPr>
                <w:rFonts w:ascii="Garamond" w:hAnsi="Garamond"/>
                <w:b/>
                <w:sz w:val="18"/>
                <w:szCs w:val="18"/>
              </w:rPr>
            </w:pPr>
          </w:p>
        </w:tc>
      </w:tr>
      <w:tr w:rsidR="00F10122" w:rsidRPr="00412B2B" w14:paraId="0773B9CF" w14:textId="77777777" w:rsidTr="000727D2">
        <w:trPr>
          <w:trHeight w:val="20"/>
        </w:trPr>
        <w:tc>
          <w:tcPr>
            <w:tcW w:w="601" w:type="pct"/>
            <w:tcBorders>
              <w:bottom w:val="single" w:sz="4" w:space="0" w:color="auto"/>
            </w:tcBorders>
            <w:shd w:val="clear" w:color="auto" w:fill="auto"/>
            <w:vAlign w:val="center"/>
          </w:tcPr>
          <w:p w14:paraId="0773B9BF" w14:textId="77777777"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lastRenderedPageBreak/>
              <w:t>AM IPARD MBZHR</w:t>
            </w:r>
          </w:p>
          <w:p w14:paraId="0773B9C0" w14:textId="77777777" w:rsidR="00F10122" w:rsidRPr="00412B2B" w:rsidRDefault="00F10122" w:rsidP="00F10122">
            <w:pPr>
              <w:pStyle w:val="Table1"/>
              <w:jc w:val="center"/>
              <w:rPr>
                <w:rFonts w:ascii="Garamond" w:eastAsia="Calibri" w:hAnsi="Garamond"/>
                <w:bCs/>
                <w:sz w:val="18"/>
                <w:szCs w:val="18"/>
              </w:rPr>
            </w:pPr>
          </w:p>
        </w:tc>
        <w:tc>
          <w:tcPr>
            <w:tcW w:w="1421" w:type="pct"/>
            <w:shd w:val="clear" w:color="auto" w:fill="auto"/>
            <w:vAlign w:val="center"/>
          </w:tcPr>
          <w:p w14:paraId="0773B9C1" w14:textId="03176346" w:rsidR="00F10122" w:rsidRPr="00412B2B" w:rsidRDefault="00BB3769" w:rsidP="00F10122">
            <w:pPr>
              <w:pStyle w:val="Table1"/>
              <w:rPr>
                <w:rFonts w:ascii="Garamond" w:eastAsia="Calibri" w:hAnsi="Garamond"/>
                <w:bCs/>
                <w:sz w:val="18"/>
                <w:szCs w:val="18"/>
              </w:rPr>
            </w:pPr>
            <w:r w:rsidRPr="00412B2B">
              <w:rPr>
                <w:rFonts w:ascii="Garamond" w:eastAsia="Calibri" w:hAnsi="Garamond"/>
                <w:bCs/>
                <w:sz w:val="18"/>
                <w:szCs w:val="18"/>
              </w:rPr>
              <w:t>Reflektim</w:t>
            </w:r>
            <w:r w:rsidR="00797859" w:rsidRPr="00412B2B">
              <w:rPr>
                <w:rFonts w:ascii="Garamond" w:eastAsia="Calibri" w:hAnsi="Garamond"/>
                <w:bCs/>
                <w:sz w:val="18"/>
                <w:szCs w:val="18"/>
              </w:rPr>
              <w:t>/</w:t>
            </w:r>
            <w:r w:rsidR="00F10122" w:rsidRPr="00412B2B">
              <w:rPr>
                <w:rFonts w:ascii="Garamond" w:eastAsia="Calibri" w:hAnsi="Garamond"/>
                <w:bCs/>
                <w:sz w:val="18"/>
                <w:szCs w:val="18"/>
              </w:rPr>
              <w:t>analiza dhe konsultime për</w:t>
            </w:r>
            <w:r w:rsidR="00CF7694" w:rsidRPr="00412B2B">
              <w:rPr>
                <w:rFonts w:ascii="Garamond" w:eastAsia="Calibri" w:hAnsi="Garamond"/>
                <w:bCs/>
                <w:sz w:val="18"/>
                <w:szCs w:val="18"/>
              </w:rPr>
              <w:t xml:space="preserve"> </w:t>
            </w:r>
            <w:r w:rsidR="00F10122" w:rsidRPr="00412B2B">
              <w:rPr>
                <w:rFonts w:ascii="Garamond" w:eastAsia="Calibri" w:hAnsi="Garamond"/>
                <w:bCs/>
                <w:sz w:val="18"/>
                <w:szCs w:val="18"/>
              </w:rPr>
              <w:t>përgatitjen për masa të reja (alternative) të IPARD</w:t>
            </w:r>
            <w:r w:rsidR="00820D0C" w:rsidRPr="00412B2B">
              <w:rPr>
                <w:rFonts w:ascii="Garamond" w:eastAsia="Calibri" w:hAnsi="Garamond"/>
                <w:bCs/>
                <w:sz w:val="18"/>
                <w:szCs w:val="18"/>
              </w:rPr>
              <w:t>-së</w:t>
            </w:r>
            <w:r w:rsidR="00F10122" w:rsidRPr="00412B2B">
              <w:rPr>
                <w:rFonts w:ascii="Garamond" w:eastAsia="Calibri" w:hAnsi="Garamond"/>
                <w:bCs/>
                <w:sz w:val="18"/>
                <w:szCs w:val="18"/>
              </w:rPr>
              <w:t>:</w:t>
            </w:r>
          </w:p>
          <w:p w14:paraId="0773B9C2" w14:textId="77777777" w:rsidR="00F10122" w:rsidRPr="00412B2B" w:rsidRDefault="00F10122" w:rsidP="00F10122">
            <w:pPr>
              <w:pStyle w:val="Table1"/>
              <w:numPr>
                <w:ilvl w:val="0"/>
                <w:numId w:val="28"/>
              </w:numPr>
              <w:ind w:left="288" w:hanging="144"/>
              <w:rPr>
                <w:rFonts w:ascii="Garamond" w:eastAsia="Calibri" w:hAnsi="Garamond"/>
                <w:bCs/>
                <w:sz w:val="18"/>
                <w:szCs w:val="18"/>
              </w:rPr>
            </w:pPr>
            <w:r w:rsidRPr="00412B2B">
              <w:rPr>
                <w:rFonts w:ascii="Garamond" w:eastAsia="Calibri" w:hAnsi="Garamond"/>
                <w:bCs/>
                <w:sz w:val="18"/>
                <w:szCs w:val="18"/>
              </w:rPr>
              <w:t>Ngritja e SNJIB/AKIS</w:t>
            </w:r>
          </w:p>
          <w:p w14:paraId="0773B9C3" w14:textId="77777777" w:rsidR="00F10122" w:rsidRPr="00412B2B" w:rsidRDefault="00F10122" w:rsidP="00F10122">
            <w:pPr>
              <w:pStyle w:val="Table1"/>
              <w:numPr>
                <w:ilvl w:val="0"/>
                <w:numId w:val="28"/>
              </w:numPr>
              <w:ind w:left="288" w:hanging="144"/>
              <w:rPr>
                <w:rFonts w:ascii="Garamond" w:eastAsia="Calibri" w:hAnsi="Garamond"/>
                <w:bCs/>
                <w:sz w:val="18"/>
                <w:szCs w:val="18"/>
              </w:rPr>
            </w:pPr>
            <w:r w:rsidRPr="00412B2B">
              <w:rPr>
                <w:rFonts w:ascii="Garamond" w:eastAsia="Calibri" w:hAnsi="Garamond"/>
                <w:bCs/>
                <w:sz w:val="18"/>
                <w:szCs w:val="18"/>
              </w:rPr>
              <w:t>Grupet e prodhuesve të ullinjve, frutave dhe perimeve (M2)</w:t>
            </w:r>
          </w:p>
          <w:p w14:paraId="0773B9C4" w14:textId="77777777" w:rsidR="00F10122" w:rsidRPr="00412B2B" w:rsidRDefault="00F10122" w:rsidP="00F10122">
            <w:pPr>
              <w:pStyle w:val="Table1"/>
              <w:numPr>
                <w:ilvl w:val="0"/>
                <w:numId w:val="28"/>
              </w:numPr>
              <w:ind w:left="288" w:hanging="144"/>
              <w:rPr>
                <w:rFonts w:ascii="Garamond" w:eastAsia="Calibri" w:hAnsi="Garamond"/>
                <w:bCs/>
                <w:sz w:val="18"/>
                <w:szCs w:val="18"/>
              </w:rPr>
            </w:pPr>
            <w:r w:rsidRPr="00412B2B">
              <w:rPr>
                <w:rFonts w:ascii="Garamond" w:eastAsia="Calibri" w:hAnsi="Garamond"/>
                <w:bCs/>
                <w:sz w:val="18"/>
                <w:szCs w:val="18"/>
              </w:rPr>
              <w:t>Menaxhimi i gjerë i kullotave (nën M4)</w:t>
            </w:r>
          </w:p>
          <w:p w14:paraId="0773B9C6" w14:textId="352CFA5E" w:rsidR="00F10122" w:rsidRPr="00412B2B" w:rsidRDefault="00F10122" w:rsidP="00094145">
            <w:pPr>
              <w:pStyle w:val="Table1"/>
              <w:numPr>
                <w:ilvl w:val="0"/>
                <w:numId w:val="28"/>
              </w:numPr>
              <w:ind w:left="288" w:hanging="144"/>
              <w:rPr>
                <w:rFonts w:ascii="Garamond" w:eastAsia="Calibri" w:hAnsi="Garamond"/>
                <w:bCs/>
                <w:sz w:val="18"/>
                <w:szCs w:val="18"/>
              </w:rPr>
            </w:pPr>
            <w:r w:rsidRPr="00412B2B">
              <w:rPr>
                <w:rFonts w:ascii="Garamond" w:eastAsia="Calibri" w:hAnsi="Garamond"/>
                <w:bCs/>
                <w:sz w:val="18"/>
                <w:szCs w:val="18"/>
              </w:rPr>
              <w:t>Instrumentet financiare (M12) </w:t>
            </w:r>
          </w:p>
        </w:tc>
        <w:tc>
          <w:tcPr>
            <w:tcW w:w="2015" w:type="pct"/>
            <w:shd w:val="clear" w:color="auto" w:fill="auto"/>
          </w:tcPr>
          <w:p w14:paraId="0773B9C7" w14:textId="264B6558" w:rsidR="00F10122" w:rsidRPr="00412B2B" w:rsidRDefault="00F10122" w:rsidP="00F10122">
            <w:pPr>
              <w:pStyle w:val="Table1"/>
              <w:numPr>
                <w:ilvl w:val="0"/>
                <w:numId w:val="18"/>
              </w:numPr>
              <w:ind w:left="271" w:hanging="180"/>
              <w:rPr>
                <w:rFonts w:ascii="Garamond" w:hAnsi="Garamond"/>
                <w:sz w:val="18"/>
                <w:szCs w:val="18"/>
              </w:rPr>
            </w:pPr>
            <w:r w:rsidRPr="00412B2B">
              <w:rPr>
                <w:rFonts w:ascii="Garamond" w:hAnsi="Garamond"/>
                <w:sz w:val="18"/>
                <w:szCs w:val="18"/>
              </w:rPr>
              <w:t>Konsolidimi i ligjit për organizatat e prodhuesve</w:t>
            </w:r>
            <w:r w:rsidR="0015763C" w:rsidRPr="00412B2B">
              <w:rPr>
                <w:rFonts w:ascii="Garamond" w:hAnsi="Garamond"/>
                <w:sz w:val="18"/>
                <w:szCs w:val="18"/>
              </w:rPr>
              <w:t>;</w:t>
            </w:r>
          </w:p>
          <w:p w14:paraId="0773B9C8" w14:textId="5D5225EB" w:rsidR="00F10122" w:rsidRPr="00412B2B" w:rsidRDefault="00F10122" w:rsidP="00F10122">
            <w:pPr>
              <w:pStyle w:val="Table1"/>
              <w:numPr>
                <w:ilvl w:val="0"/>
                <w:numId w:val="18"/>
              </w:numPr>
              <w:ind w:left="271" w:hanging="180"/>
              <w:rPr>
                <w:rFonts w:ascii="Garamond" w:hAnsi="Garamond"/>
                <w:sz w:val="18"/>
                <w:szCs w:val="18"/>
              </w:rPr>
            </w:pPr>
            <w:r w:rsidRPr="00412B2B">
              <w:rPr>
                <w:rFonts w:ascii="Garamond" w:hAnsi="Garamond"/>
                <w:sz w:val="18"/>
                <w:szCs w:val="18"/>
              </w:rPr>
              <w:t xml:space="preserve">Adresimi i tregut informal të frutave dhe </w:t>
            </w:r>
            <w:r w:rsidR="0015763C" w:rsidRPr="00412B2B">
              <w:rPr>
                <w:rFonts w:ascii="Garamond" w:hAnsi="Garamond"/>
                <w:sz w:val="18"/>
                <w:szCs w:val="18"/>
              </w:rPr>
              <w:t xml:space="preserve">të </w:t>
            </w:r>
            <w:r w:rsidRPr="00412B2B">
              <w:rPr>
                <w:rFonts w:ascii="Garamond" w:hAnsi="Garamond"/>
                <w:sz w:val="18"/>
                <w:szCs w:val="18"/>
              </w:rPr>
              <w:t>perimeve</w:t>
            </w:r>
            <w:r w:rsidR="0015763C" w:rsidRPr="00412B2B">
              <w:rPr>
                <w:rFonts w:ascii="Garamond" w:hAnsi="Garamond"/>
                <w:sz w:val="18"/>
                <w:szCs w:val="18"/>
              </w:rPr>
              <w:t>;</w:t>
            </w:r>
          </w:p>
          <w:p w14:paraId="0773B9C9" w14:textId="4589E68C" w:rsidR="00F10122" w:rsidRPr="00412B2B" w:rsidRDefault="00F10122" w:rsidP="00094145">
            <w:pPr>
              <w:pStyle w:val="Table1"/>
              <w:numPr>
                <w:ilvl w:val="0"/>
                <w:numId w:val="18"/>
              </w:numPr>
              <w:ind w:left="271" w:hanging="180"/>
              <w:rPr>
                <w:rFonts w:ascii="Garamond" w:hAnsi="Garamond"/>
                <w:sz w:val="18"/>
                <w:szCs w:val="18"/>
              </w:rPr>
            </w:pPr>
            <w:r w:rsidRPr="00412B2B">
              <w:rPr>
                <w:rFonts w:ascii="Garamond" w:hAnsi="Garamond"/>
                <w:sz w:val="18"/>
                <w:szCs w:val="18"/>
              </w:rPr>
              <w:t>Praktikat tradicionale të menaxhimit të kullotave të promovuara sipas një skeme agromjedisore</w:t>
            </w:r>
            <w:r w:rsidR="00031EDD" w:rsidRPr="00412B2B">
              <w:rPr>
                <w:rFonts w:ascii="Garamond" w:hAnsi="Garamond"/>
                <w:sz w:val="18"/>
                <w:szCs w:val="18"/>
              </w:rPr>
              <w:t>;</w:t>
            </w:r>
          </w:p>
          <w:p w14:paraId="0773B9CA" w14:textId="7F842D1B" w:rsidR="00F10122" w:rsidRPr="00412B2B" w:rsidRDefault="00F10122" w:rsidP="00031EDD">
            <w:pPr>
              <w:pStyle w:val="Table1"/>
              <w:numPr>
                <w:ilvl w:val="0"/>
                <w:numId w:val="18"/>
              </w:numPr>
              <w:ind w:left="271" w:hanging="180"/>
              <w:rPr>
                <w:rFonts w:ascii="Garamond" w:hAnsi="Garamond"/>
                <w:sz w:val="18"/>
                <w:szCs w:val="18"/>
              </w:rPr>
            </w:pPr>
            <w:r w:rsidRPr="00412B2B">
              <w:rPr>
                <w:rFonts w:ascii="Garamond" w:hAnsi="Garamond"/>
                <w:sz w:val="18"/>
                <w:szCs w:val="18"/>
              </w:rPr>
              <w:t>Promovimi</w:t>
            </w:r>
            <w:r w:rsidR="00CF7694" w:rsidRPr="00412B2B">
              <w:rPr>
                <w:rFonts w:ascii="Garamond" w:hAnsi="Garamond"/>
                <w:sz w:val="18"/>
                <w:szCs w:val="18"/>
              </w:rPr>
              <w:t xml:space="preserve"> </w:t>
            </w:r>
            <w:r w:rsidRPr="00412B2B">
              <w:rPr>
                <w:rFonts w:ascii="Garamond" w:hAnsi="Garamond"/>
                <w:sz w:val="18"/>
                <w:szCs w:val="18"/>
              </w:rPr>
              <w:t>një skeme kreditimi (me normë interesi të subvencionuar)</w:t>
            </w:r>
            <w:r w:rsidR="00031EDD" w:rsidRPr="00412B2B">
              <w:rPr>
                <w:rFonts w:ascii="Garamond" w:hAnsi="Garamond"/>
                <w:sz w:val="18"/>
                <w:szCs w:val="18"/>
              </w:rPr>
              <w:t>;</w:t>
            </w:r>
          </w:p>
          <w:p w14:paraId="0773B9CB" w14:textId="198DAA9D" w:rsidR="00F10122" w:rsidRPr="00412B2B" w:rsidRDefault="00F10122" w:rsidP="00F10122">
            <w:pPr>
              <w:pStyle w:val="Table1"/>
              <w:numPr>
                <w:ilvl w:val="0"/>
                <w:numId w:val="18"/>
              </w:numPr>
              <w:ind w:left="271" w:hanging="180"/>
              <w:rPr>
                <w:rFonts w:ascii="Garamond" w:hAnsi="Garamond"/>
                <w:sz w:val="18"/>
                <w:szCs w:val="18"/>
              </w:rPr>
            </w:pPr>
            <w:r w:rsidRPr="00412B2B">
              <w:rPr>
                <w:rFonts w:ascii="Garamond" w:hAnsi="Garamond"/>
                <w:sz w:val="18"/>
                <w:szCs w:val="18"/>
              </w:rPr>
              <w:t>Analizat studimore përkatëse dhe mbledhja e evidencave (të dhënave) si bazë për hartimin e masave të reja dhe ngritjes së kapaciteteve për zbatimin e tyre</w:t>
            </w:r>
            <w:r w:rsidR="00094145" w:rsidRPr="00412B2B">
              <w:rPr>
                <w:rFonts w:ascii="Garamond" w:hAnsi="Garamond"/>
                <w:sz w:val="18"/>
                <w:szCs w:val="18"/>
              </w:rPr>
              <w:t>.</w:t>
            </w:r>
          </w:p>
        </w:tc>
        <w:tc>
          <w:tcPr>
            <w:tcW w:w="291" w:type="pct"/>
            <w:shd w:val="clear" w:color="auto" w:fill="auto"/>
            <w:vAlign w:val="center"/>
          </w:tcPr>
          <w:p w14:paraId="0773B9CC"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CD"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CE"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9D6" w14:textId="77777777" w:rsidTr="000727D2">
        <w:trPr>
          <w:trHeight w:val="20"/>
        </w:trPr>
        <w:tc>
          <w:tcPr>
            <w:tcW w:w="601" w:type="pct"/>
            <w:vMerge w:val="restart"/>
            <w:tcBorders>
              <w:bottom w:val="nil"/>
            </w:tcBorders>
            <w:shd w:val="clear" w:color="auto" w:fill="auto"/>
            <w:vAlign w:val="center"/>
          </w:tcPr>
          <w:p w14:paraId="0773B9D0" w14:textId="77777777"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t>MBZHR Drejtoria e Politikave</w:t>
            </w:r>
          </w:p>
        </w:tc>
        <w:tc>
          <w:tcPr>
            <w:tcW w:w="1421" w:type="pct"/>
            <w:vMerge w:val="restart"/>
            <w:shd w:val="clear" w:color="auto" w:fill="auto"/>
            <w:vAlign w:val="center"/>
          </w:tcPr>
          <w:p w14:paraId="0773B9D1" w14:textId="5C766AB3"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Grand për fermerët e rinj</w:t>
            </w:r>
            <w:r w:rsidR="00CF7694" w:rsidRPr="00412B2B">
              <w:rPr>
                <w:rFonts w:ascii="Garamond" w:eastAsia="Calibri" w:hAnsi="Garamond"/>
                <w:bCs/>
                <w:sz w:val="18"/>
                <w:szCs w:val="18"/>
              </w:rPr>
              <w:t xml:space="preserve"> </w:t>
            </w:r>
          </w:p>
        </w:tc>
        <w:tc>
          <w:tcPr>
            <w:tcW w:w="2015" w:type="pct"/>
            <w:shd w:val="clear" w:color="auto" w:fill="auto"/>
          </w:tcPr>
          <w:p w14:paraId="0773B9D2" w14:textId="77777777" w:rsidR="00F10122" w:rsidRPr="00412B2B" w:rsidRDefault="00F10122" w:rsidP="00F10122">
            <w:pPr>
              <w:pStyle w:val="Table1"/>
              <w:rPr>
                <w:rFonts w:ascii="Garamond" w:hAnsi="Garamond"/>
                <w:sz w:val="18"/>
                <w:szCs w:val="18"/>
              </w:rPr>
            </w:pPr>
            <w:r w:rsidRPr="00412B2B">
              <w:rPr>
                <w:rFonts w:ascii="Garamond" w:hAnsi="Garamond"/>
                <w:sz w:val="18"/>
                <w:szCs w:val="18"/>
              </w:rPr>
              <w:t>Përgatitja e një mase të re për fermerët e rinj me buxhetin kombëtar. Përcaktimi i fondit të mbështetjes dhe miratimi i kritereve të përfitimit</w:t>
            </w:r>
          </w:p>
        </w:tc>
        <w:tc>
          <w:tcPr>
            <w:tcW w:w="291" w:type="pct"/>
            <w:shd w:val="clear" w:color="auto" w:fill="auto"/>
            <w:vAlign w:val="center"/>
          </w:tcPr>
          <w:p w14:paraId="0773B9D3"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D4"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D5" w14:textId="77777777" w:rsidR="00F10122" w:rsidRPr="00412B2B" w:rsidRDefault="00F10122" w:rsidP="00F10122">
            <w:pPr>
              <w:pStyle w:val="Table1"/>
              <w:jc w:val="center"/>
              <w:rPr>
                <w:rFonts w:ascii="Garamond" w:hAnsi="Garamond"/>
                <w:b/>
                <w:sz w:val="18"/>
                <w:szCs w:val="18"/>
              </w:rPr>
            </w:pPr>
          </w:p>
        </w:tc>
      </w:tr>
      <w:tr w:rsidR="00F10122" w:rsidRPr="00412B2B" w14:paraId="0773B9DD" w14:textId="77777777" w:rsidTr="000727D2">
        <w:trPr>
          <w:trHeight w:val="20"/>
        </w:trPr>
        <w:tc>
          <w:tcPr>
            <w:tcW w:w="601" w:type="pct"/>
            <w:vMerge/>
            <w:tcBorders>
              <w:bottom w:val="nil"/>
            </w:tcBorders>
            <w:shd w:val="clear" w:color="auto" w:fill="auto"/>
            <w:vAlign w:val="center"/>
          </w:tcPr>
          <w:p w14:paraId="0773B9D7" w14:textId="77777777" w:rsidR="00F10122" w:rsidRPr="00412B2B" w:rsidRDefault="00F10122" w:rsidP="00F10122">
            <w:pPr>
              <w:pStyle w:val="Table1"/>
              <w:jc w:val="center"/>
              <w:rPr>
                <w:rFonts w:ascii="Garamond" w:eastAsia="Calibri" w:hAnsi="Garamond"/>
                <w:bCs/>
                <w:sz w:val="18"/>
                <w:szCs w:val="18"/>
              </w:rPr>
            </w:pPr>
          </w:p>
        </w:tc>
        <w:tc>
          <w:tcPr>
            <w:tcW w:w="1421" w:type="pct"/>
            <w:vMerge/>
            <w:shd w:val="clear" w:color="auto" w:fill="auto"/>
            <w:vAlign w:val="center"/>
          </w:tcPr>
          <w:p w14:paraId="0773B9D8" w14:textId="77777777" w:rsidR="00F10122" w:rsidRPr="00412B2B" w:rsidRDefault="00F10122" w:rsidP="00F10122">
            <w:pPr>
              <w:pStyle w:val="Table1"/>
              <w:rPr>
                <w:rFonts w:ascii="Garamond" w:eastAsia="Calibri" w:hAnsi="Garamond"/>
                <w:bCs/>
                <w:sz w:val="18"/>
                <w:szCs w:val="18"/>
              </w:rPr>
            </w:pPr>
          </w:p>
        </w:tc>
        <w:tc>
          <w:tcPr>
            <w:tcW w:w="2015" w:type="pct"/>
            <w:shd w:val="clear" w:color="auto" w:fill="auto"/>
          </w:tcPr>
          <w:p w14:paraId="0773B9D9" w14:textId="107CBDE4" w:rsidR="00F10122" w:rsidRPr="00412B2B" w:rsidRDefault="00F10122" w:rsidP="00F10122">
            <w:pPr>
              <w:pStyle w:val="Table1"/>
              <w:rPr>
                <w:rFonts w:ascii="Garamond" w:hAnsi="Garamond"/>
                <w:sz w:val="18"/>
                <w:szCs w:val="18"/>
              </w:rPr>
            </w:pPr>
            <w:r w:rsidRPr="00412B2B">
              <w:rPr>
                <w:rFonts w:ascii="Garamond" w:hAnsi="Garamond"/>
                <w:sz w:val="18"/>
                <w:szCs w:val="18"/>
              </w:rPr>
              <w:t xml:space="preserve">Planifikimi i buxhetit kombëtar </w:t>
            </w:r>
            <w:r w:rsidR="00797859" w:rsidRPr="00412B2B">
              <w:rPr>
                <w:rFonts w:ascii="Garamond" w:hAnsi="Garamond"/>
                <w:sz w:val="18"/>
                <w:szCs w:val="18"/>
              </w:rPr>
              <w:t>/</w:t>
            </w:r>
            <w:r w:rsidR="00031EDD" w:rsidRPr="00412B2B">
              <w:rPr>
                <w:rFonts w:ascii="Garamond" w:hAnsi="Garamond"/>
                <w:sz w:val="18"/>
                <w:szCs w:val="18"/>
              </w:rPr>
              <w:t>buxhetit afatmesëm 2025–</w:t>
            </w:r>
            <w:r w:rsidRPr="00412B2B">
              <w:rPr>
                <w:rFonts w:ascii="Garamond" w:hAnsi="Garamond"/>
                <w:sz w:val="18"/>
                <w:szCs w:val="18"/>
              </w:rPr>
              <w:t>2027 për këtë masë mbështetëse</w:t>
            </w:r>
          </w:p>
        </w:tc>
        <w:tc>
          <w:tcPr>
            <w:tcW w:w="291" w:type="pct"/>
            <w:shd w:val="clear" w:color="auto" w:fill="auto"/>
            <w:vAlign w:val="center"/>
          </w:tcPr>
          <w:p w14:paraId="0773B9DA"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9DB"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9DC"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9E4" w14:textId="77777777" w:rsidTr="000727D2">
        <w:trPr>
          <w:trHeight w:val="20"/>
        </w:trPr>
        <w:tc>
          <w:tcPr>
            <w:tcW w:w="601" w:type="pct"/>
            <w:vMerge w:val="restart"/>
            <w:tcBorders>
              <w:top w:val="nil"/>
            </w:tcBorders>
            <w:shd w:val="clear" w:color="auto" w:fill="auto"/>
            <w:vAlign w:val="center"/>
          </w:tcPr>
          <w:p w14:paraId="0773B9DE" w14:textId="77777777"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t>AZHBR</w:t>
            </w:r>
          </w:p>
        </w:tc>
        <w:tc>
          <w:tcPr>
            <w:tcW w:w="1421" w:type="pct"/>
            <w:vMerge/>
            <w:shd w:val="clear" w:color="auto" w:fill="auto"/>
            <w:vAlign w:val="center"/>
          </w:tcPr>
          <w:p w14:paraId="0773B9DF" w14:textId="77777777" w:rsidR="00F10122" w:rsidRPr="00412B2B" w:rsidRDefault="00F10122" w:rsidP="00F10122">
            <w:pPr>
              <w:pStyle w:val="Table1"/>
              <w:rPr>
                <w:rFonts w:ascii="Garamond" w:eastAsia="Calibri" w:hAnsi="Garamond"/>
                <w:bCs/>
                <w:sz w:val="18"/>
                <w:szCs w:val="18"/>
              </w:rPr>
            </w:pPr>
          </w:p>
        </w:tc>
        <w:tc>
          <w:tcPr>
            <w:tcW w:w="2015" w:type="pct"/>
            <w:shd w:val="clear" w:color="auto" w:fill="auto"/>
          </w:tcPr>
          <w:p w14:paraId="0773B9E0" w14:textId="0B992EE4" w:rsidR="00F10122" w:rsidRPr="00412B2B" w:rsidRDefault="00F10122" w:rsidP="00F10122">
            <w:pPr>
              <w:pStyle w:val="Table1"/>
              <w:rPr>
                <w:rFonts w:ascii="Garamond" w:hAnsi="Garamond"/>
                <w:sz w:val="18"/>
                <w:szCs w:val="18"/>
              </w:rPr>
            </w:pPr>
            <w:r w:rsidRPr="00412B2B">
              <w:rPr>
                <w:rFonts w:ascii="Garamond" w:hAnsi="Garamond"/>
                <w:sz w:val="18"/>
                <w:szCs w:val="18"/>
              </w:rPr>
              <w:t xml:space="preserve">Përgatitja e </w:t>
            </w:r>
            <w:r w:rsidR="00031EDD" w:rsidRPr="00412B2B">
              <w:rPr>
                <w:rFonts w:ascii="Garamond" w:hAnsi="Garamond"/>
                <w:sz w:val="18"/>
                <w:szCs w:val="18"/>
              </w:rPr>
              <w:t xml:space="preserve">udhëzuesit për aplikantët </w:t>
            </w:r>
            <w:r w:rsidRPr="00412B2B">
              <w:rPr>
                <w:rFonts w:ascii="Garamond" w:hAnsi="Garamond"/>
                <w:sz w:val="18"/>
                <w:szCs w:val="18"/>
              </w:rPr>
              <w:t>dhe procedurat e zbatimit</w:t>
            </w:r>
          </w:p>
        </w:tc>
        <w:tc>
          <w:tcPr>
            <w:tcW w:w="291" w:type="pct"/>
            <w:shd w:val="clear" w:color="auto" w:fill="auto"/>
            <w:vAlign w:val="center"/>
          </w:tcPr>
          <w:p w14:paraId="0773B9E1"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9E2"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9E3"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9EB" w14:textId="77777777" w:rsidTr="000727D2">
        <w:trPr>
          <w:trHeight w:val="20"/>
        </w:trPr>
        <w:tc>
          <w:tcPr>
            <w:tcW w:w="601" w:type="pct"/>
            <w:vMerge/>
            <w:shd w:val="clear" w:color="auto" w:fill="auto"/>
            <w:vAlign w:val="center"/>
          </w:tcPr>
          <w:p w14:paraId="0773B9E5" w14:textId="77777777" w:rsidR="00F10122" w:rsidRPr="00412B2B" w:rsidRDefault="00F10122" w:rsidP="00F10122">
            <w:pPr>
              <w:pStyle w:val="Table1"/>
              <w:jc w:val="center"/>
              <w:rPr>
                <w:rFonts w:ascii="Garamond" w:eastAsia="Calibri" w:hAnsi="Garamond"/>
                <w:bCs/>
                <w:sz w:val="18"/>
                <w:szCs w:val="18"/>
              </w:rPr>
            </w:pPr>
          </w:p>
        </w:tc>
        <w:tc>
          <w:tcPr>
            <w:tcW w:w="1421" w:type="pct"/>
            <w:vMerge/>
            <w:shd w:val="clear" w:color="auto" w:fill="auto"/>
            <w:vAlign w:val="center"/>
          </w:tcPr>
          <w:p w14:paraId="0773B9E6" w14:textId="77777777" w:rsidR="00F10122" w:rsidRPr="00412B2B" w:rsidRDefault="00F10122" w:rsidP="00F10122">
            <w:pPr>
              <w:pStyle w:val="Table1"/>
              <w:rPr>
                <w:rFonts w:ascii="Garamond" w:eastAsia="Calibri" w:hAnsi="Garamond"/>
                <w:bCs/>
                <w:sz w:val="18"/>
                <w:szCs w:val="18"/>
              </w:rPr>
            </w:pPr>
          </w:p>
        </w:tc>
        <w:tc>
          <w:tcPr>
            <w:tcW w:w="2015" w:type="pct"/>
            <w:shd w:val="clear" w:color="auto" w:fill="auto"/>
          </w:tcPr>
          <w:p w14:paraId="0773B9E7" w14:textId="77777777" w:rsidR="00F10122" w:rsidRPr="00412B2B" w:rsidRDefault="00F10122" w:rsidP="00F10122">
            <w:pPr>
              <w:pStyle w:val="Table1"/>
              <w:rPr>
                <w:rFonts w:ascii="Garamond" w:hAnsi="Garamond"/>
                <w:sz w:val="18"/>
                <w:szCs w:val="18"/>
              </w:rPr>
            </w:pPr>
            <w:r w:rsidRPr="00412B2B">
              <w:rPr>
                <w:rFonts w:ascii="Garamond" w:hAnsi="Garamond"/>
                <w:sz w:val="18"/>
                <w:szCs w:val="18"/>
              </w:rPr>
              <w:t>Përgatitja e sistemit TI të AZHBR-së</w:t>
            </w:r>
          </w:p>
        </w:tc>
        <w:tc>
          <w:tcPr>
            <w:tcW w:w="291" w:type="pct"/>
            <w:shd w:val="clear" w:color="auto" w:fill="auto"/>
            <w:vAlign w:val="center"/>
          </w:tcPr>
          <w:p w14:paraId="0773B9E8"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9E9"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9EA"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9F4" w14:textId="77777777" w:rsidTr="000727D2">
        <w:trPr>
          <w:trHeight w:val="20"/>
        </w:trPr>
        <w:tc>
          <w:tcPr>
            <w:tcW w:w="601" w:type="pct"/>
            <w:vMerge w:val="restart"/>
            <w:shd w:val="clear" w:color="auto" w:fill="auto"/>
            <w:vAlign w:val="center"/>
          </w:tcPr>
          <w:p w14:paraId="0773B9EC" w14:textId="77777777"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t>MBZHR Drejtoria e Politikave</w:t>
            </w:r>
          </w:p>
          <w:p w14:paraId="0773B9ED" w14:textId="77777777" w:rsidR="00F10122" w:rsidRPr="00412B2B" w:rsidRDefault="00F10122" w:rsidP="00F10122">
            <w:pPr>
              <w:pStyle w:val="Table1"/>
              <w:jc w:val="center"/>
              <w:rPr>
                <w:rFonts w:ascii="Garamond" w:eastAsia="Calibri" w:hAnsi="Garamond"/>
                <w:bCs/>
                <w:sz w:val="18"/>
                <w:szCs w:val="18"/>
              </w:rPr>
            </w:pPr>
          </w:p>
          <w:p w14:paraId="0773B9EE" w14:textId="77777777"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t xml:space="preserve">AZHBR </w:t>
            </w:r>
          </w:p>
        </w:tc>
        <w:tc>
          <w:tcPr>
            <w:tcW w:w="1421" w:type="pct"/>
            <w:vMerge w:val="restart"/>
            <w:shd w:val="clear" w:color="auto" w:fill="auto"/>
            <w:vAlign w:val="center"/>
          </w:tcPr>
          <w:p w14:paraId="0773B9EF" w14:textId="45E82E7E"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Skema e cilësisë së qumështit dhe skemat eko</w:t>
            </w:r>
            <w:r w:rsidR="00CF7694" w:rsidRPr="00412B2B">
              <w:rPr>
                <w:rFonts w:ascii="Garamond" w:eastAsia="Calibri" w:hAnsi="Garamond"/>
                <w:bCs/>
                <w:sz w:val="18"/>
                <w:szCs w:val="18"/>
              </w:rPr>
              <w:t xml:space="preserve"> </w:t>
            </w:r>
          </w:p>
        </w:tc>
        <w:tc>
          <w:tcPr>
            <w:tcW w:w="2015" w:type="pct"/>
            <w:shd w:val="clear" w:color="auto" w:fill="auto"/>
          </w:tcPr>
          <w:p w14:paraId="0773B9F0" w14:textId="77777777" w:rsidR="00F10122" w:rsidRPr="00412B2B" w:rsidRDefault="00F10122" w:rsidP="00F10122">
            <w:pPr>
              <w:pStyle w:val="Table1"/>
              <w:rPr>
                <w:rFonts w:ascii="Garamond" w:hAnsi="Garamond"/>
                <w:sz w:val="18"/>
                <w:szCs w:val="18"/>
              </w:rPr>
            </w:pPr>
            <w:r w:rsidRPr="00412B2B">
              <w:rPr>
                <w:rFonts w:ascii="Garamond" w:hAnsi="Garamond"/>
                <w:sz w:val="18"/>
                <w:szCs w:val="18"/>
              </w:rPr>
              <w:t>Diskutim me organizatat e fermerëve për skemën më të përshtatshme</w:t>
            </w:r>
          </w:p>
        </w:tc>
        <w:tc>
          <w:tcPr>
            <w:tcW w:w="291" w:type="pct"/>
            <w:shd w:val="clear" w:color="auto" w:fill="auto"/>
            <w:vAlign w:val="center"/>
          </w:tcPr>
          <w:p w14:paraId="0773B9F1"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F2"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F3" w14:textId="77777777" w:rsidR="00F10122" w:rsidRPr="00412B2B" w:rsidRDefault="00F10122" w:rsidP="00F10122">
            <w:pPr>
              <w:pStyle w:val="Table1"/>
              <w:jc w:val="center"/>
              <w:rPr>
                <w:rFonts w:ascii="Garamond" w:hAnsi="Garamond"/>
                <w:b/>
                <w:sz w:val="18"/>
                <w:szCs w:val="18"/>
              </w:rPr>
            </w:pPr>
          </w:p>
        </w:tc>
      </w:tr>
      <w:tr w:rsidR="00F10122" w:rsidRPr="00412B2B" w14:paraId="0773B9FB" w14:textId="77777777" w:rsidTr="000727D2">
        <w:trPr>
          <w:trHeight w:val="20"/>
        </w:trPr>
        <w:tc>
          <w:tcPr>
            <w:tcW w:w="601" w:type="pct"/>
            <w:vMerge/>
            <w:shd w:val="clear" w:color="auto" w:fill="auto"/>
            <w:vAlign w:val="center"/>
          </w:tcPr>
          <w:p w14:paraId="0773B9F5" w14:textId="77777777" w:rsidR="00F10122" w:rsidRPr="00412B2B" w:rsidRDefault="00F10122" w:rsidP="00F10122">
            <w:pPr>
              <w:pStyle w:val="Table1"/>
              <w:jc w:val="center"/>
              <w:rPr>
                <w:rFonts w:ascii="Garamond" w:eastAsia="Calibri" w:hAnsi="Garamond"/>
                <w:bCs/>
                <w:sz w:val="18"/>
                <w:szCs w:val="18"/>
              </w:rPr>
            </w:pPr>
          </w:p>
        </w:tc>
        <w:tc>
          <w:tcPr>
            <w:tcW w:w="1421" w:type="pct"/>
            <w:vMerge/>
            <w:shd w:val="clear" w:color="auto" w:fill="auto"/>
            <w:vAlign w:val="center"/>
          </w:tcPr>
          <w:p w14:paraId="0773B9F6" w14:textId="77777777" w:rsidR="00F10122" w:rsidRPr="00412B2B" w:rsidRDefault="00F10122" w:rsidP="00F10122">
            <w:pPr>
              <w:pStyle w:val="Table1"/>
              <w:rPr>
                <w:rFonts w:ascii="Garamond" w:eastAsia="Calibri" w:hAnsi="Garamond"/>
                <w:bCs/>
                <w:sz w:val="18"/>
                <w:szCs w:val="18"/>
              </w:rPr>
            </w:pPr>
          </w:p>
        </w:tc>
        <w:tc>
          <w:tcPr>
            <w:tcW w:w="2015" w:type="pct"/>
            <w:shd w:val="clear" w:color="auto" w:fill="auto"/>
          </w:tcPr>
          <w:p w14:paraId="0773B9F7" w14:textId="77777777" w:rsidR="00F10122" w:rsidRPr="00412B2B" w:rsidRDefault="00F10122" w:rsidP="00F10122">
            <w:pPr>
              <w:pStyle w:val="Table1"/>
              <w:rPr>
                <w:rFonts w:ascii="Garamond" w:hAnsi="Garamond"/>
                <w:sz w:val="18"/>
                <w:szCs w:val="18"/>
              </w:rPr>
            </w:pPr>
            <w:r w:rsidRPr="00412B2B">
              <w:rPr>
                <w:rFonts w:ascii="Garamond" w:hAnsi="Garamond"/>
                <w:sz w:val="18"/>
                <w:szCs w:val="18"/>
              </w:rPr>
              <w:t>Përcaktimi i sasisë së mbështetjes për ha dhe/ose ton; përgatitja dhe miratimi i kritereve të përfitimit</w:t>
            </w:r>
          </w:p>
        </w:tc>
        <w:tc>
          <w:tcPr>
            <w:tcW w:w="291" w:type="pct"/>
            <w:shd w:val="clear" w:color="auto" w:fill="auto"/>
            <w:vAlign w:val="center"/>
          </w:tcPr>
          <w:p w14:paraId="0773B9F8"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9F9"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9FA"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A02" w14:textId="77777777" w:rsidTr="000727D2">
        <w:trPr>
          <w:trHeight w:val="20"/>
        </w:trPr>
        <w:tc>
          <w:tcPr>
            <w:tcW w:w="601" w:type="pct"/>
            <w:vMerge/>
            <w:shd w:val="clear" w:color="auto" w:fill="auto"/>
            <w:vAlign w:val="center"/>
          </w:tcPr>
          <w:p w14:paraId="0773B9FC" w14:textId="77777777" w:rsidR="00F10122" w:rsidRPr="00412B2B" w:rsidRDefault="00F10122" w:rsidP="00F10122">
            <w:pPr>
              <w:pStyle w:val="Table1"/>
              <w:jc w:val="center"/>
              <w:rPr>
                <w:rFonts w:ascii="Garamond" w:eastAsia="Calibri" w:hAnsi="Garamond"/>
                <w:bCs/>
                <w:sz w:val="18"/>
                <w:szCs w:val="18"/>
              </w:rPr>
            </w:pPr>
          </w:p>
        </w:tc>
        <w:tc>
          <w:tcPr>
            <w:tcW w:w="1421" w:type="pct"/>
            <w:vMerge/>
            <w:shd w:val="clear" w:color="auto" w:fill="auto"/>
            <w:vAlign w:val="center"/>
          </w:tcPr>
          <w:p w14:paraId="0773B9FD" w14:textId="77777777" w:rsidR="00F10122" w:rsidRPr="00412B2B" w:rsidRDefault="00F10122" w:rsidP="00F10122">
            <w:pPr>
              <w:pStyle w:val="Table1"/>
              <w:rPr>
                <w:rFonts w:ascii="Garamond" w:eastAsia="Calibri" w:hAnsi="Garamond"/>
                <w:bCs/>
                <w:sz w:val="18"/>
                <w:szCs w:val="18"/>
              </w:rPr>
            </w:pPr>
          </w:p>
        </w:tc>
        <w:tc>
          <w:tcPr>
            <w:tcW w:w="2015" w:type="pct"/>
            <w:shd w:val="clear" w:color="auto" w:fill="auto"/>
          </w:tcPr>
          <w:p w14:paraId="0773B9FE" w14:textId="1718EE58" w:rsidR="00F10122" w:rsidRPr="00412B2B" w:rsidRDefault="00F10122" w:rsidP="00F10122">
            <w:pPr>
              <w:pStyle w:val="Table1"/>
              <w:rPr>
                <w:rFonts w:ascii="Garamond" w:hAnsi="Garamond"/>
                <w:sz w:val="18"/>
                <w:szCs w:val="18"/>
              </w:rPr>
            </w:pPr>
            <w:r w:rsidRPr="00412B2B">
              <w:rPr>
                <w:rFonts w:ascii="Garamond" w:hAnsi="Garamond"/>
                <w:sz w:val="18"/>
                <w:szCs w:val="18"/>
              </w:rPr>
              <w:t xml:space="preserve">Planifikimi i buxhetit kombëtar </w:t>
            </w:r>
            <w:r w:rsidR="00797859" w:rsidRPr="00412B2B">
              <w:rPr>
                <w:rFonts w:ascii="Garamond" w:hAnsi="Garamond"/>
                <w:sz w:val="18"/>
                <w:szCs w:val="18"/>
              </w:rPr>
              <w:t>/</w:t>
            </w:r>
            <w:r w:rsidRPr="00412B2B">
              <w:rPr>
                <w:rFonts w:ascii="Garamond" w:hAnsi="Garamond"/>
                <w:sz w:val="18"/>
                <w:szCs w:val="18"/>
              </w:rPr>
              <w:t>buxhetit afatmesëm</w:t>
            </w:r>
            <w:r w:rsidR="00CF7694" w:rsidRPr="00412B2B">
              <w:rPr>
                <w:rFonts w:ascii="Garamond" w:hAnsi="Garamond"/>
                <w:sz w:val="18"/>
                <w:szCs w:val="18"/>
              </w:rPr>
              <w:t xml:space="preserve"> </w:t>
            </w:r>
            <w:r w:rsidR="00031EDD" w:rsidRPr="00412B2B">
              <w:rPr>
                <w:rFonts w:ascii="Garamond" w:hAnsi="Garamond"/>
                <w:sz w:val="18"/>
                <w:szCs w:val="18"/>
              </w:rPr>
              <w:t>2025–</w:t>
            </w:r>
            <w:r w:rsidRPr="00412B2B">
              <w:rPr>
                <w:rFonts w:ascii="Garamond" w:hAnsi="Garamond"/>
                <w:sz w:val="18"/>
                <w:szCs w:val="18"/>
              </w:rPr>
              <w:t>2027</w:t>
            </w:r>
          </w:p>
        </w:tc>
        <w:tc>
          <w:tcPr>
            <w:tcW w:w="291" w:type="pct"/>
            <w:shd w:val="clear" w:color="auto" w:fill="auto"/>
            <w:vAlign w:val="center"/>
          </w:tcPr>
          <w:p w14:paraId="0773B9FF"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A00"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A01"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A09" w14:textId="77777777" w:rsidTr="000727D2">
        <w:trPr>
          <w:trHeight w:val="20"/>
        </w:trPr>
        <w:tc>
          <w:tcPr>
            <w:tcW w:w="601" w:type="pct"/>
            <w:vMerge/>
            <w:shd w:val="clear" w:color="auto" w:fill="auto"/>
            <w:vAlign w:val="center"/>
          </w:tcPr>
          <w:p w14:paraId="0773BA03" w14:textId="77777777" w:rsidR="00F10122" w:rsidRPr="00412B2B" w:rsidRDefault="00F10122" w:rsidP="00F10122">
            <w:pPr>
              <w:pStyle w:val="Table1"/>
              <w:jc w:val="center"/>
              <w:rPr>
                <w:rFonts w:ascii="Garamond" w:eastAsia="Calibri" w:hAnsi="Garamond"/>
                <w:bCs/>
                <w:sz w:val="18"/>
                <w:szCs w:val="18"/>
              </w:rPr>
            </w:pPr>
          </w:p>
        </w:tc>
        <w:tc>
          <w:tcPr>
            <w:tcW w:w="1421" w:type="pct"/>
            <w:vMerge/>
            <w:shd w:val="clear" w:color="auto" w:fill="auto"/>
            <w:vAlign w:val="center"/>
          </w:tcPr>
          <w:p w14:paraId="0773BA04" w14:textId="77777777" w:rsidR="00F10122" w:rsidRPr="00412B2B" w:rsidRDefault="00F10122" w:rsidP="00F10122">
            <w:pPr>
              <w:pStyle w:val="Table1"/>
              <w:rPr>
                <w:rFonts w:ascii="Garamond" w:eastAsia="Calibri" w:hAnsi="Garamond"/>
                <w:bCs/>
                <w:sz w:val="18"/>
                <w:szCs w:val="18"/>
              </w:rPr>
            </w:pPr>
          </w:p>
        </w:tc>
        <w:tc>
          <w:tcPr>
            <w:tcW w:w="2015" w:type="pct"/>
            <w:shd w:val="clear" w:color="auto" w:fill="auto"/>
          </w:tcPr>
          <w:p w14:paraId="0773BA05" w14:textId="77777777" w:rsidR="00F10122" w:rsidRPr="00412B2B" w:rsidRDefault="00F10122" w:rsidP="00F10122">
            <w:pPr>
              <w:pStyle w:val="Table1"/>
              <w:rPr>
                <w:rFonts w:ascii="Garamond" w:hAnsi="Garamond"/>
                <w:sz w:val="18"/>
                <w:szCs w:val="18"/>
              </w:rPr>
            </w:pPr>
            <w:r w:rsidRPr="00412B2B">
              <w:rPr>
                <w:rFonts w:ascii="Garamond" w:hAnsi="Garamond"/>
                <w:sz w:val="18"/>
                <w:szCs w:val="18"/>
              </w:rPr>
              <w:t>Përgatitja e modelit të kërkesës për pagesë dhe procedurat e zbatimit</w:t>
            </w:r>
          </w:p>
        </w:tc>
        <w:tc>
          <w:tcPr>
            <w:tcW w:w="291" w:type="pct"/>
            <w:shd w:val="clear" w:color="auto" w:fill="auto"/>
            <w:vAlign w:val="center"/>
          </w:tcPr>
          <w:p w14:paraId="0773BA06"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A07"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A08"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A10" w14:textId="77777777" w:rsidTr="000727D2">
        <w:trPr>
          <w:trHeight w:val="20"/>
        </w:trPr>
        <w:tc>
          <w:tcPr>
            <w:tcW w:w="601" w:type="pct"/>
            <w:vMerge/>
            <w:shd w:val="clear" w:color="auto" w:fill="auto"/>
            <w:vAlign w:val="center"/>
          </w:tcPr>
          <w:p w14:paraId="0773BA0A" w14:textId="77777777" w:rsidR="00F10122" w:rsidRPr="00412B2B" w:rsidRDefault="00F10122" w:rsidP="00F10122">
            <w:pPr>
              <w:pStyle w:val="Table1"/>
              <w:jc w:val="center"/>
              <w:rPr>
                <w:rFonts w:ascii="Garamond" w:eastAsia="Calibri" w:hAnsi="Garamond"/>
                <w:bCs/>
                <w:sz w:val="18"/>
                <w:szCs w:val="18"/>
              </w:rPr>
            </w:pPr>
          </w:p>
        </w:tc>
        <w:tc>
          <w:tcPr>
            <w:tcW w:w="1421" w:type="pct"/>
            <w:vMerge/>
            <w:shd w:val="clear" w:color="auto" w:fill="auto"/>
            <w:vAlign w:val="center"/>
          </w:tcPr>
          <w:p w14:paraId="0773BA0B" w14:textId="77777777" w:rsidR="00F10122" w:rsidRPr="00412B2B" w:rsidRDefault="00F10122" w:rsidP="00F10122">
            <w:pPr>
              <w:pStyle w:val="Table1"/>
              <w:rPr>
                <w:rFonts w:ascii="Garamond" w:eastAsia="Calibri" w:hAnsi="Garamond"/>
                <w:bCs/>
                <w:sz w:val="18"/>
                <w:szCs w:val="18"/>
              </w:rPr>
            </w:pPr>
          </w:p>
        </w:tc>
        <w:tc>
          <w:tcPr>
            <w:tcW w:w="2015" w:type="pct"/>
            <w:shd w:val="clear" w:color="auto" w:fill="auto"/>
          </w:tcPr>
          <w:p w14:paraId="0773BA0C" w14:textId="77777777" w:rsidR="00F10122" w:rsidRPr="00412B2B" w:rsidRDefault="00F10122" w:rsidP="00F10122">
            <w:pPr>
              <w:pStyle w:val="Table1"/>
              <w:rPr>
                <w:rFonts w:ascii="Garamond" w:hAnsi="Garamond"/>
                <w:sz w:val="18"/>
                <w:szCs w:val="18"/>
              </w:rPr>
            </w:pPr>
            <w:r w:rsidRPr="00412B2B">
              <w:rPr>
                <w:rFonts w:ascii="Garamond" w:hAnsi="Garamond"/>
                <w:sz w:val="18"/>
                <w:szCs w:val="18"/>
              </w:rPr>
              <w:t>Përgatitja e sistemit TI të AZHBR-së</w:t>
            </w:r>
          </w:p>
        </w:tc>
        <w:tc>
          <w:tcPr>
            <w:tcW w:w="291" w:type="pct"/>
            <w:shd w:val="clear" w:color="auto" w:fill="auto"/>
            <w:vAlign w:val="center"/>
          </w:tcPr>
          <w:p w14:paraId="0773BA0D"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A0E"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A0F"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A19" w14:textId="77777777" w:rsidTr="000727D2">
        <w:trPr>
          <w:trHeight w:val="20"/>
        </w:trPr>
        <w:tc>
          <w:tcPr>
            <w:tcW w:w="601" w:type="pct"/>
            <w:vMerge w:val="restart"/>
            <w:shd w:val="clear" w:color="auto" w:fill="auto"/>
            <w:vAlign w:val="center"/>
          </w:tcPr>
          <w:p w14:paraId="0773BA11" w14:textId="77777777"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t>MBZHR Drejtoria e Politikave</w:t>
            </w:r>
          </w:p>
          <w:p w14:paraId="0773BA12" w14:textId="77777777"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t>AM IPARD</w:t>
            </w:r>
          </w:p>
        </w:tc>
        <w:tc>
          <w:tcPr>
            <w:tcW w:w="1421" w:type="pct"/>
            <w:vMerge w:val="restart"/>
            <w:shd w:val="clear" w:color="auto" w:fill="auto"/>
            <w:vAlign w:val="center"/>
          </w:tcPr>
          <w:p w14:paraId="0773BA13" w14:textId="77777777"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AT për të dhënat statistikore për treguesit bazë të sektorit</w:t>
            </w:r>
          </w:p>
          <w:p w14:paraId="0773BA14" w14:textId="77777777"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AT për të dhënat statistikore për treguesit bazë mjedisor</w:t>
            </w:r>
          </w:p>
        </w:tc>
        <w:tc>
          <w:tcPr>
            <w:tcW w:w="2015" w:type="pct"/>
            <w:shd w:val="clear" w:color="auto" w:fill="auto"/>
          </w:tcPr>
          <w:p w14:paraId="0773BA15" w14:textId="62013FB4" w:rsidR="00F10122" w:rsidRPr="00412B2B" w:rsidRDefault="00F10122" w:rsidP="00F10122">
            <w:pPr>
              <w:pStyle w:val="Table1"/>
              <w:rPr>
                <w:rFonts w:ascii="Garamond" w:hAnsi="Garamond"/>
                <w:sz w:val="18"/>
                <w:szCs w:val="18"/>
              </w:rPr>
            </w:pPr>
            <w:r w:rsidRPr="00412B2B">
              <w:rPr>
                <w:rFonts w:ascii="Garamond" w:hAnsi="Garamond"/>
                <w:sz w:val="18"/>
                <w:szCs w:val="18"/>
              </w:rPr>
              <w:t>Përgatitja e</w:t>
            </w:r>
            <w:r w:rsidR="00CF7694" w:rsidRPr="00412B2B">
              <w:rPr>
                <w:rFonts w:ascii="Garamond" w:hAnsi="Garamond"/>
                <w:sz w:val="18"/>
                <w:szCs w:val="18"/>
              </w:rPr>
              <w:t xml:space="preserve"> </w:t>
            </w:r>
            <w:r w:rsidR="00031EDD" w:rsidRPr="00412B2B">
              <w:rPr>
                <w:rFonts w:ascii="Garamond" w:hAnsi="Garamond"/>
                <w:sz w:val="18"/>
                <w:szCs w:val="18"/>
              </w:rPr>
              <w:t>termave të referencës</w:t>
            </w:r>
            <w:r w:rsidR="00031EDD" w:rsidRPr="00412B2B" w:rsidDel="00E71E4B">
              <w:rPr>
                <w:rFonts w:ascii="Garamond" w:hAnsi="Garamond"/>
                <w:sz w:val="18"/>
                <w:szCs w:val="18"/>
              </w:rPr>
              <w:t xml:space="preserve"> </w:t>
            </w:r>
            <w:r w:rsidRPr="00412B2B">
              <w:rPr>
                <w:rFonts w:ascii="Garamond" w:hAnsi="Garamond"/>
                <w:sz w:val="18"/>
                <w:szCs w:val="18"/>
              </w:rPr>
              <w:t>dhe buxhetit</w:t>
            </w:r>
          </w:p>
        </w:tc>
        <w:tc>
          <w:tcPr>
            <w:tcW w:w="291" w:type="pct"/>
            <w:shd w:val="clear" w:color="auto" w:fill="auto"/>
            <w:vAlign w:val="center"/>
          </w:tcPr>
          <w:p w14:paraId="0773BA16"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A17"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A18" w14:textId="77777777" w:rsidR="00F10122" w:rsidRPr="00412B2B" w:rsidRDefault="00F10122" w:rsidP="00F10122">
            <w:pPr>
              <w:pStyle w:val="Table1"/>
              <w:jc w:val="center"/>
              <w:rPr>
                <w:rFonts w:ascii="Garamond" w:hAnsi="Garamond"/>
                <w:b/>
                <w:sz w:val="18"/>
                <w:szCs w:val="18"/>
              </w:rPr>
            </w:pPr>
          </w:p>
        </w:tc>
      </w:tr>
      <w:tr w:rsidR="00F10122" w:rsidRPr="00412B2B" w14:paraId="0773BA20" w14:textId="77777777" w:rsidTr="000727D2">
        <w:trPr>
          <w:trHeight w:val="20"/>
        </w:trPr>
        <w:tc>
          <w:tcPr>
            <w:tcW w:w="601" w:type="pct"/>
            <w:vMerge/>
            <w:shd w:val="clear" w:color="auto" w:fill="auto"/>
            <w:vAlign w:val="center"/>
          </w:tcPr>
          <w:p w14:paraId="0773BA1A" w14:textId="77777777" w:rsidR="00F10122" w:rsidRPr="00412B2B" w:rsidRDefault="00F10122" w:rsidP="00F10122">
            <w:pPr>
              <w:pStyle w:val="Table1"/>
              <w:jc w:val="center"/>
              <w:rPr>
                <w:rFonts w:ascii="Garamond" w:eastAsia="Calibri" w:hAnsi="Garamond"/>
                <w:bCs/>
                <w:sz w:val="18"/>
                <w:szCs w:val="18"/>
              </w:rPr>
            </w:pPr>
          </w:p>
        </w:tc>
        <w:tc>
          <w:tcPr>
            <w:tcW w:w="1421" w:type="pct"/>
            <w:vMerge/>
            <w:shd w:val="clear" w:color="auto" w:fill="auto"/>
            <w:vAlign w:val="center"/>
          </w:tcPr>
          <w:p w14:paraId="0773BA1B" w14:textId="77777777" w:rsidR="00F10122" w:rsidRPr="00412B2B" w:rsidRDefault="00F10122" w:rsidP="00F10122">
            <w:pPr>
              <w:pStyle w:val="Table1"/>
              <w:rPr>
                <w:rFonts w:ascii="Garamond" w:eastAsia="Calibri" w:hAnsi="Garamond"/>
                <w:bCs/>
                <w:sz w:val="18"/>
                <w:szCs w:val="18"/>
              </w:rPr>
            </w:pPr>
          </w:p>
        </w:tc>
        <w:tc>
          <w:tcPr>
            <w:tcW w:w="2015" w:type="pct"/>
            <w:shd w:val="clear" w:color="auto" w:fill="auto"/>
          </w:tcPr>
          <w:p w14:paraId="0773BA1C" w14:textId="0018D718" w:rsidR="00F10122" w:rsidRPr="00412B2B" w:rsidRDefault="00F10122" w:rsidP="00F10122">
            <w:pPr>
              <w:pStyle w:val="Table1"/>
              <w:rPr>
                <w:rFonts w:ascii="Garamond" w:hAnsi="Garamond"/>
                <w:sz w:val="18"/>
                <w:szCs w:val="18"/>
              </w:rPr>
            </w:pPr>
            <w:r w:rsidRPr="00412B2B">
              <w:rPr>
                <w:rFonts w:ascii="Garamond" w:hAnsi="Garamond"/>
                <w:sz w:val="18"/>
                <w:szCs w:val="18"/>
              </w:rPr>
              <w:t>Hapja e tenderit n</w:t>
            </w:r>
            <w:r w:rsidR="00031EDD" w:rsidRPr="00412B2B">
              <w:rPr>
                <w:rFonts w:ascii="Garamond" w:hAnsi="Garamond"/>
                <w:sz w:val="18"/>
                <w:szCs w:val="18"/>
              </w:rPr>
              <w:t>ë kuadër të masës AT në masën 9</w:t>
            </w:r>
            <w:r w:rsidRPr="00412B2B">
              <w:rPr>
                <w:rFonts w:ascii="Garamond" w:hAnsi="Garamond"/>
                <w:sz w:val="18"/>
                <w:szCs w:val="18"/>
              </w:rPr>
              <w:t xml:space="preserve"> të IPARD</w:t>
            </w:r>
            <w:r w:rsidR="00031EDD" w:rsidRPr="00412B2B">
              <w:rPr>
                <w:rFonts w:ascii="Garamond" w:hAnsi="Garamond"/>
                <w:sz w:val="18"/>
                <w:szCs w:val="18"/>
              </w:rPr>
              <w:t>-së</w:t>
            </w:r>
          </w:p>
        </w:tc>
        <w:tc>
          <w:tcPr>
            <w:tcW w:w="291" w:type="pct"/>
            <w:shd w:val="clear" w:color="auto" w:fill="auto"/>
            <w:vAlign w:val="center"/>
          </w:tcPr>
          <w:p w14:paraId="0773BA1D"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A1E"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A1F"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A27" w14:textId="77777777" w:rsidTr="000727D2">
        <w:trPr>
          <w:trHeight w:val="20"/>
        </w:trPr>
        <w:tc>
          <w:tcPr>
            <w:tcW w:w="601" w:type="pct"/>
            <w:vMerge/>
            <w:shd w:val="clear" w:color="auto" w:fill="auto"/>
            <w:vAlign w:val="center"/>
          </w:tcPr>
          <w:p w14:paraId="0773BA21" w14:textId="77777777" w:rsidR="00F10122" w:rsidRPr="00412B2B" w:rsidRDefault="00F10122" w:rsidP="00F10122">
            <w:pPr>
              <w:pStyle w:val="Table1"/>
              <w:jc w:val="center"/>
              <w:rPr>
                <w:rFonts w:ascii="Garamond" w:eastAsia="Calibri" w:hAnsi="Garamond"/>
                <w:bCs/>
                <w:sz w:val="18"/>
                <w:szCs w:val="18"/>
              </w:rPr>
            </w:pPr>
          </w:p>
        </w:tc>
        <w:tc>
          <w:tcPr>
            <w:tcW w:w="1421" w:type="pct"/>
            <w:vMerge/>
            <w:shd w:val="clear" w:color="auto" w:fill="auto"/>
            <w:vAlign w:val="center"/>
          </w:tcPr>
          <w:p w14:paraId="0773BA22" w14:textId="77777777" w:rsidR="00F10122" w:rsidRPr="00412B2B" w:rsidRDefault="00F10122" w:rsidP="00F10122">
            <w:pPr>
              <w:pStyle w:val="Table1"/>
              <w:rPr>
                <w:rFonts w:ascii="Garamond" w:eastAsia="Calibri" w:hAnsi="Garamond"/>
                <w:bCs/>
                <w:sz w:val="18"/>
                <w:szCs w:val="18"/>
              </w:rPr>
            </w:pPr>
          </w:p>
        </w:tc>
        <w:tc>
          <w:tcPr>
            <w:tcW w:w="2015" w:type="pct"/>
            <w:shd w:val="clear" w:color="auto" w:fill="auto"/>
          </w:tcPr>
          <w:p w14:paraId="0773BA23" w14:textId="77777777" w:rsidR="00F10122" w:rsidRPr="00412B2B" w:rsidRDefault="00F10122" w:rsidP="00F10122">
            <w:pPr>
              <w:pStyle w:val="Table1"/>
              <w:rPr>
                <w:rFonts w:ascii="Garamond" w:hAnsi="Garamond"/>
                <w:sz w:val="18"/>
                <w:szCs w:val="18"/>
              </w:rPr>
            </w:pPr>
            <w:r w:rsidRPr="00412B2B">
              <w:rPr>
                <w:rFonts w:ascii="Garamond" w:hAnsi="Garamond"/>
                <w:sz w:val="18"/>
                <w:szCs w:val="18"/>
              </w:rPr>
              <w:t>Menaxhimi i zbatimit të projektit</w:t>
            </w:r>
          </w:p>
        </w:tc>
        <w:tc>
          <w:tcPr>
            <w:tcW w:w="291" w:type="pct"/>
            <w:shd w:val="clear" w:color="auto" w:fill="auto"/>
            <w:vAlign w:val="center"/>
          </w:tcPr>
          <w:p w14:paraId="0773BA24"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A25"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A26"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A2E" w14:textId="77777777" w:rsidTr="000727D2">
        <w:trPr>
          <w:trHeight w:val="20"/>
        </w:trPr>
        <w:tc>
          <w:tcPr>
            <w:tcW w:w="601" w:type="pct"/>
            <w:shd w:val="clear" w:color="auto" w:fill="auto"/>
            <w:vAlign w:val="center"/>
          </w:tcPr>
          <w:p w14:paraId="0773BA28" w14:textId="77777777"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t xml:space="preserve">MBZHR </w:t>
            </w:r>
          </w:p>
        </w:tc>
        <w:tc>
          <w:tcPr>
            <w:tcW w:w="1421" w:type="pct"/>
            <w:shd w:val="clear" w:color="auto" w:fill="auto"/>
            <w:vAlign w:val="center"/>
          </w:tcPr>
          <w:p w14:paraId="0773BA29" w14:textId="77777777"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Grande për rehabilitimin e sistemeve të ujitjes dhe kullimit</w:t>
            </w:r>
          </w:p>
        </w:tc>
        <w:tc>
          <w:tcPr>
            <w:tcW w:w="2015" w:type="pct"/>
            <w:shd w:val="clear" w:color="auto" w:fill="auto"/>
          </w:tcPr>
          <w:p w14:paraId="0773BA2A" w14:textId="2C86F1BB" w:rsidR="00F10122" w:rsidRPr="00412B2B" w:rsidRDefault="00F10122" w:rsidP="00F10122">
            <w:pPr>
              <w:pStyle w:val="Table1"/>
              <w:rPr>
                <w:rFonts w:ascii="Garamond" w:hAnsi="Garamond"/>
                <w:sz w:val="18"/>
                <w:szCs w:val="18"/>
              </w:rPr>
            </w:pPr>
            <w:r w:rsidRPr="00412B2B">
              <w:rPr>
                <w:rFonts w:ascii="Garamond" w:hAnsi="Garamond"/>
                <w:sz w:val="18"/>
                <w:szCs w:val="18"/>
              </w:rPr>
              <w:t>Përditësimi i planit të veprimit për investimet në bujqësi bazuar në buxhetin në dispozicion dhe monit</w:t>
            </w:r>
            <w:r w:rsidR="00031EDD" w:rsidRPr="00412B2B">
              <w:rPr>
                <w:rFonts w:ascii="Garamond" w:hAnsi="Garamond"/>
                <w:sz w:val="18"/>
                <w:szCs w:val="18"/>
              </w:rPr>
              <w:t>orimi i investimeve të MBZHR-së</w:t>
            </w:r>
          </w:p>
        </w:tc>
        <w:tc>
          <w:tcPr>
            <w:tcW w:w="291" w:type="pct"/>
            <w:shd w:val="clear" w:color="auto" w:fill="auto"/>
            <w:vAlign w:val="center"/>
          </w:tcPr>
          <w:p w14:paraId="0773BA2B"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A2C"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A2D"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A4A" w14:textId="77777777" w:rsidTr="000727D2">
        <w:trPr>
          <w:trHeight w:val="20"/>
        </w:trPr>
        <w:tc>
          <w:tcPr>
            <w:tcW w:w="601" w:type="pct"/>
            <w:shd w:val="clear" w:color="auto" w:fill="auto"/>
            <w:vAlign w:val="center"/>
          </w:tcPr>
          <w:p w14:paraId="0773BA2F" w14:textId="77777777" w:rsidR="00F10122" w:rsidRPr="00412B2B" w:rsidRDefault="00F10122" w:rsidP="00F10122">
            <w:pPr>
              <w:pStyle w:val="Table1"/>
              <w:jc w:val="center"/>
              <w:rPr>
                <w:rFonts w:ascii="Garamond" w:eastAsia="Calibri" w:hAnsi="Garamond"/>
                <w:b/>
                <w:bCs/>
                <w:sz w:val="18"/>
                <w:szCs w:val="18"/>
              </w:rPr>
            </w:pPr>
            <w:r w:rsidRPr="00412B2B">
              <w:rPr>
                <w:rFonts w:ascii="Garamond" w:eastAsia="Calibri" w:hAnsi="Garamond"/>
                <w:b/>
                <w:bCs/>
                <w:sz w:val="18"/>
                <w:szCs w:val="18"/>
              </w:rPr>
              <w:t>Drejtoria e Politikave MBZHR, Drejtoria për Bashkëpunim Ndërkombëtar në bashkëpunim të ngushtë me Drejtoritë e tjera Teknike përkatëse</w:t>
            </w:r>
          </w:p>
        </w:tc>
        <w:tc>
          <w:tcPr>
            <w:tcW w:w="1421" w:type="pct"/>
            <w:shd w:val="clear" w:color="auto" w:fill="auto"/>
          </w:tcPr>
          <w:p w14:paraId="0773BA30" w14:textId="77777777" w:rsidR="00F10122" w:rsidRPr="00412B2B" w:rsidRDefault="00F10122" w:rsidP="00F10122">
            <w:pPr>
              <w:pStyle w:val="Table1"/>
              <w:rPr>
                <w:rFonts w:ascii="Garamond" w:eastAsia="Calibri" w:hAnsi="Garamond"/>
                <w:sz w:val="18"/>
                <w:szCs w:val="18"/>
              </w:rPr>
            </w:pPr>
            <w:r w:rsidRPr="00412B2B">
              <w:rPr>
                <w:rFonts w:ascii="Garamond" w:eastAsia="Calibri" w:hAnsi="Garamond"/>
                <w:sz w:val="18"/>
                <w:szCs w:val="18"/>
              </w:rPr>
              <w:t>Mbështetje me AT:</w:t>
            </w:r>
          </w:p>
          <w:p w14:paraId="0773BA31" w14:textId="77777777" w:rsidR="00F10122" w:rsidRPr="00412B2B" w:rsidRDefault="00F10122" w:rsidP="00F10122">
            <w:pPr>
              <w:pStyle w:val="Table1"/>
              <w:numPr>
                <w:ilvl w:val="0"/>
                <w:numId w:val="25"/>
              </w:numPr>
              <w:ind w:left="260" w:hanging="260"/>
              <w:rPr>
                <w:rFonts w:ascii="Garamond" w:eastAsia="Calibri" w:hAnsi="Garamond"/>
                <w:sz w:val="18"/>
                <w:szCs w:val="18"/>
              </w:rPr>
            </w:pPr>
            <w:r w:rsidRPr="00412B2B">
              <w:rPr>
                <w:rFonts w:ascii="Garamond" w:eastAsia="Calibri" w:hAnsi="Garamond"/>
                <w:sz w:val="18"/>
                <w:szCs w:val="18"/>
              </w:rPr>
              <w:t>AT për ngritjen e një njësie të analizës ekonomike</w:t>
            </w:r>
          </w:p>
          <w:p w14:paraId="0773BA32" w14:textId="6AD700EE" w:rsidR="00F10122" w:rsidRPr="00412B2B" w:rsidRDefault="00F10122" w:rsidP="00F10122">
            <w:pPr>
              <w:pStyle w:val="Table1"/>
              <w:numPr>
                <w:ilvl w:val="0"/>
                <w:numId w:val="25"/>
              </w:numPr>
              <w:ind w:left="260" w:hanging="260"/>
              <w:rPr>
                <w:rFonts w:ascii="Garamond" w:eastAsia="Calibri" w:hAnsi="Garamond"/>
                <w:sz w:val="18"/>
                <w:szCs w:val="18"/>
              </w:rPr>
            </w:pPr>
            <w:r w:rsidRPr="00412B2B">
              <w:rPr>
                <w:rFonts w:ascii="Garamond" w:eastAsia="Calibri" w:hAnsi="Garamond"/>
                <w:sz w:val="18"/>
                <w:szCs w:val="18"/>
              </w:rPr>
              <w:t>AT për zbatimin e KMBM-ve</w:t>
            </w:r>
            <w:r w:rsidR="00094145" w:rsidRPr="00412B2B">
              <w:rPr>
                <w:rFonts w:ascii="Garamond" w:eastAsia="Calibri" w:hAnsi="Garamond"/>
                <w:sz w:val="18"/>
                <w:szCs w:val="18"/>
              </w:rPr>
              <w:t>;</w:t>
            </w:r>
          </w:p>
          <w:p w14:paraId="0773BA33" w14:textId="68A9374E" w:rsidR="00F10122" w:rsidRPr="00412B2B" w:rsidRDefault="00F10122" w:rsidP="00094145">
            <w:pPr>
              <w:pStyle w:val="Table1"/>
              <w:numPr>
                <w:ilvl w:val="0"/>
                <w:numId w:val="25"/>
              </w:numPr>
              <w:ind w:left="260" w:hanging="260"/>
              <w:rPr>
                <w:rFonts w:ascii="Garamond" w:eastAsia="Calibri" w:hAnsi="Garamond"/>
                <w:sz w:val="18"/>
                <w:szCs w:val="18"/>
              </w:rPr>
            </w:pPr>
            <w:r w:rsidRPr="00412B2B">
              <w:rPr>
                <w:rFonts w:ascii="Garamond" w:eastAsia="Calibri" w:hAnsi="Garamond"/>
                <w:sz w:val="18"/>
                <w:szCs w:val="18"/>
              </w:rPr>
              <w:t>AT për hartimin e Kodit të Praktikave të Mira Bujqësore për parandalimin dhe reduktimin e ndotjes me nitrate të shkaktuar nga bujqësia dhe për Reduktimin e Emetimeve të Amoniakut</w:t>
            </w:r>
            <w:r w:rsidR="00094145" w:rsidRPr="00412B2B">
              <w:rPr>
                <w:rFonts w:ascii="Garamond" w:eastAsia="Calibri" w:hAnsi="Garamond"/>
                <w:sz w:val="18"/>
                <w:szCs w:val="18"/>
              </w:rPr>
              <w:t>;</w:t>
            </w:r>
          </w:p>
          <w:p w14:paraId="0773BA34" w14:textId="77777777" w:rsidR="00F10122" w:rsidRPr="00412B2B" w:rsidRDefault="00F10122" w:rsidP="00F10122">
            <w:pPr>
              <w:pStyle w:val="Table1"/>
              <w:numPr>
                <w:ilvl w:val="0"/>
                <w:numId w:val="25"/>
              </w:numPr>
              <w:ind w:left="260" w:hanging="260"/>
              <w:rPr>
                <w:rFonts w:ascii="Garamond" w:eastAsia="Calibri" w:hAnsi="Garamond"/>
                <w:sz w:val="18"/>
                <w:szCs w:val="18"/>
              </w:rPr>
            </w:pPr>
            <w:r w:rsidRPr="00412B2B">
              <w:rPr>
                <w:rFonts w:ascii="Garamond" w:eastAsia="Calibri" w:hAnsi="Garamond"/>
                <w:sz w:val="18"/>
                <w:szCs w:val="18"/>
              </w:rPr>
              <w:t>AT për grande për sistemet kolektive të menaxhimit të plehut organik - projekt pilot</w:t>
            </w:r>
          </w:p>
          <w:p w14:paraId="0773BA35" w14:textId="40744185" w:rsidR="00F10122" w:rsidRPr="00412B2B" w:rsidRDefault="00F10122" w:rsidP="00094145">
            <w:pPr>
              <w:pStyle w:val="Table1"/>
              <w:numPr>
                <w:ilvl w:val="0"/>
                <w:numId w:val="25"/>
              </w:numPr>
              <w:ind w:left="260" w:hanging="260"/>
              <w:rPr>
                <w:rFonts w:ascii="Garamond" w:eastAsia="Calibri" w:hAnsi="Garamond"/>
                <w:sz w:val="18"/>
                <w:szCs w:val="18"/>
              </w:rPr>
            </w:pPr>
            <w:r w:rsidRPr="00412B2B">
              <w:rPr>
                <w:rFonts w:ascii="Garamond" w:eastAsia="Calibri" w:hAnsi="Garamond"/>
                <w:sz w:val="18"/>
                <w:szCs w:val="18"/>
              </w:rPr>
              <w:t>Përgatitja e Planit të Veprimit për zbatimin e parashikimeve të Agjendës së Gjelbër të Vendeve të Ballkanit Perëndimor</w:t>
            </w:r>
            <w:r w:rsidR="00CF7694" w:rsidRPr="00412B2B">
              <w:rPr>
                <w:rFonts w:ascii="Garamond" w:eastAsia="Arial" w:hAnsi="Garamond"/>
                <w:b/>
                <w:bCs/>
                <w:sz w:val="18"/>
                <w:szCs w:val="18"/>
              </w:rPr>
              <w:t xml:space="preserve"> </w:t>
            </w:r>
            <w:r w:rsidRPr="00412B2B">
              <w:rPr>
                <w:rFonts w:ascii="Garamond" w:eastAsia="Calibri" w:hAnsi="Garamond"/>
                <w:sz w:val="18"/>
                <w:szCs w:val="18"/>
              </w:rPr>
              <w:t>(AGJVBP)</w:t>
            </w:r>
            <w:r w:rsidR="00094145" w:rsidRPr="00412B2B">
              <w:rPr>
                <w:rFonts w:ascii="Garamond" w:eastAsia="Calibri" w:hAnsi="Garamond"/>
                <w:sz w:val="18"/>
                <w:szCs w:val="18"/>
              </w:rPr>
              <w:t>;</w:t>
            </w:r>
          </w:p>
          <w:p w14:paraId="0773BA36" w14:textId="77777777" w:rsidR="00F10122" w:rsidRPr="00412B2B" w:rsidRDefault="00F10122" w:rsidP="00F10122">
            <w:pPr>
              <w:pStyle w:val="Table1"/>
              <w:numPr>
                <w:ilvl w:val="0"/>
                <w:numId w:val="25"/>
              </w:numPr>
              <w:ind w:left="260" w:hanging="260"/>
              <w:rPr>
                <w:rFonts w:ascii="Garamond" w:eastAsia="Calibri" w:hAnsi="Garamond"/>
                <w:sz w:val="18"/>
                <w:szCs w:val="18"/>
              </w:rPr>
            </w:pPr>
            <w:r w:rsidRPr="00412B2B">
              <w:rPr>
                <w:rFonts w:ascii="Garamond" w:eastAsia="Calibri" w:hAnsi="Garamond"/>
                <w:sz w:val="18"/>
                <w:szCs w:val="18"/>
              </w:rPr>
              <w:t>AT për konsolidimin e kapaciteteve institucionale për menaxhimin e sistemeve të ujitjes dhe kullimit</w:t>
            </w:r>
          </w:p>
          <w:p w14:paraId="0773BA37" w14:textId="47026E85" w:rsidR="00F10122" w:rsidRPr="00412B2B" w:rsidRDefault="00F10122" w:rsidP="00F10122">
            <w:pPr>
              <w:pStyle w:val="Table1"/>
              <w:numPr>
                <w:ilvl w:val="0"/>
                <w:numId w:val="25"/>
              </w:numPr>
              <w:ind w:left="260" w:hanging="260"/>
              <w:rPr>
                <w:rFonts w:ascii="Garamond" w:eastAsia="Calibri" w:hAnsi="Garamond"/>
                <w:sz w:val="18"/>
                <w:szCs w:val="18"/>
              </w:rPr>
            </w:pPr>
            <w:r w:rsidRPr="00412B2B">
              <w:rPr>
                <w:rFonts w:ascii="Garamond" w:eastAsia="Calibri" w:hAnsi="Garamond"/>
                <w:sz w:val="18"/>
                <w:szCs w:val="18"/>
              </w:rPr>
              <w:t>AT për skemat e cilësisë</w:t>
            </w:r>
            <w:r w:rsidR="00094145" w:rsidRPr="00412B2B">
              <w:rPr>
                <w:rFonts w:ascii="Garamond" w:eastAsia="Calibri" w:hAnsi="Garamond"/>
                <w:sz w:val="18"/>
                <w:szCs w:val="18"/>
              </w:rPr>
              <w:t>;</w:t>
            </w:r>
          </w:p>
          <w:p w14:paraId="0773BA38" w14:textId="4356D10A" w:rsidR="00F10122" w:rsidRPr="00412B2B" w:rsidRDefault="00F10122" w:rsidP="00F10122">
            <w:pPr>
              <w:pStyle w:val="Table1"/>
              <w:numPr>
                <w:ilvl w:val="0"/>
                <w:numId w:val="25"/>
              </w:numPr>
              <w:ind w:left="260" w:hanging="260"/>
              <w:rPr>
                <w:rFonts w:ascii="Garamond" w:eastAsia="Calibri" w:hAnsi="Garamond"/>
                <w:sz w:val="18"/>
                <w:szCs w:val="18"/>
              </w:rPr>
            </w:pPr>
            <w:r w:rsidRPr="00412B2B">
              <w:rPr>
                <w:rFonts w:ascii="Garamond" w:eastAsia="Calibri" w:hAnsi="Garamond"/>
                <w:sz w:val="18"/>
                <w:szCs w:val="18"/>
              </w:rPr>
              <w:lastRenderedPageBreak/>
              <w:t>AT për Skemat Ekologjike– projekt pilot</w:t>
            </w:r>
            <w:r w:rsidR="00094145" w:rsidRPr="00412B2B">
              <w:rPr>
                <w:rFonts w:ascii="Garamond" w:eastAsia="Calibri" w:hAnsi="Garamond"/>
                <w:sz w:val="18"/>
                <w:szCs w:val="18"/>
              </w:rPr>
              <w:t>;</w:t>
            </w:r>
          </w:p>
          <w:p w14:paraId="0773BA39" w14:textId="749E359C" w:rsidR="00F10122" w:rsidRPr="00412B2B" w:rsidRDefault="00F10122" w:rsidP="00F10122">
            <w:pPr>
              <w:pStyle w:val="Table1"/>
              <w:numPr>
                <w:ilvl w:val="0"/>
                <w:numId w:val="25"/>
              </w:numPr>
              <w:ind w:left="260" w:hanging="260"/>
              <w:rPr>
                <w:rFonts w:ascii="Garamond" w:eastAsia="Calibri" w:hAnsi="Garamond"/>
                <w:sz w:val="18"/>
                <w:szCs w:val="18"/>
              </w:rPr>
            </w:pPr>
            <w:r w:rsidRPr="00412B2B">
              <w:rPr>
                <w:rFonts w:ascii="Garamond" w:eastAsia="Calibri" w:hAnsi="Garamond"/>
                <w:sz w:val="18"/>
                <w:szCs w:val="18"/>
              </w:rPr>
              <w:t>AT për menaxhimin ekstensiv të kullotave – projekt pilot</w:t>
            </w:r>
            <w:r w:rsidR="00094145" w:rsidRPr="00412B2B">
              <w:rPr>
                <w:rFonts w:ascii="Garamond" w:eastAsia="Calibri" w:hAnsi="Garamond"/>
                <w:sz w:val="18"/>
                <w:szCs w:val="18"/>
              </w:rPr>
              <w:t>;</w:t>
            </w:r>
          </w:p>
          <w:p w14:paraId="0773BA3A" w14:textId="747B9EB9" w:rsidR="00F10122" w:rsidRPr="00412B2B" w:rsidRDefault="00F10122" w:rsidP="00F10122">
            <w:pPr>
              <w:pStyle w:val="Table1"/>
              <w:numPr>
                <w:ilvl w:val="0"/>
                <w:numId w:val="25"/>
              </w:numPr>
              <w:ind w:left="260" w:hanging="260"/>
              <w:rPr>
                <w:rFonts w:ascii="Garamond" w:eastAsia="Calibri" w:hAnsi="Garamond"/>
                <w:sz w:val="18"/>
                <w:szCs w:val="18"/>
              </w:rPr>
            </w:pPr>
            <w:r w:rsidRPr="00412B2B">
              <w:rPr>
                <w:rFonts w:ascii="Garamond" w:eastAsia="Calibri" w:hAnsi="Garamond"/>
                <w:sz w:val="18"/>
                <w:szCs w:val="18"/>
              </w:rPr>
              <w:t>Kontratat e shërbimeve për ofrimin e këshillave për fermerët dhe zhvillimin rural dhe fermat demonstruese</w:t>
            </w:r>
            <w:r w:rsidR="00094145" w:rsidRPr="00412B2B">
              <w:rPr>
                <w:rFonts w:ascii="Garamond" w:eastAsia="Calibri" w:hAnsi="Garamond"/>
                <w:sz w:val="18"/>
                <w:szCs w:val="18"/>
              </w:rPr>
              <w:t>;</w:t>
            </w:r>
          </w:p>
          <w:p w14:paraId="0773BA3B" w14:textId="4585258E" w:rsidR="00F10122" w:rsidRPr="00412B2B" w:rsidRDefault="00F10122" w:rsidP="00F10122">
            <w:pPr>
              <w:pStyle w:val="Table1"/>
              <w:numPr>
                <w:ilvl w:val="0"/>
                <w:numId w:val="25"/>
              </w:numPr>
              <w:ind w:left="260" w:hanging="260"/>
              <w:rPr>
                <w:rFonts w:ascii="Garamond" w:eastAsia="Calibri" w:hAnsi="Garamond"/>
                <w:sz w:val="18"/>
                <w:szCs w:val="18"/>
              </w:rPr>
            </w:pPr>
            <w:r w:rsidRPr="00412B2B">
              <w:rPr>
                <w:rFonts w:ascii="Garamond" w:eastAsia="Calibri" w:hAnsi="Garamond"/>
                <w:sz w:val="18"/>
                <w:szCs w:val="18"/>
              </w:rPr>
              <w:t>AT për Global GAP dhe HACCP</w:t>
            </w:r>
            <w:r w:rsidR="00094145" w:rsidRPr="00412B2B">
              <w:rPr>
                <w:rFonts w:ascii="Garamond" w:eastAsia="Calibri" w:hAnsi="Garamond"/>
                <w:sz w:val="18"/>
                <w:szCs w:val="18"/>
              </w:rPr>
              <w:t>;</w:t>
            </w:r>
          </w:p>
          <w:p w14:paraId="0773BA3C" w14:textId="1FFE864A" w:rsidR="00F10122" w:rsidRPr="00412B2B" w:rsidRDefault="00F10122" w:rsidP="00F10122">
            <w:pPr>
              <w:pStyle w:val="Table1"/>
              <w:numPr>
                <w:ilvl w:val="0"/>
                <w:numId w:val="25"/>
              </w:numPr>
              <w:ind w:left="260" w:hanging="260"/>
              <w:rPr>
                <w:rFonts w:ascii="Garamond" w:eastAsia="Calibri" w:hAnsi="Garamond"/>
                <w:sz w:val="18"/>
                <w:szCs w:val="18"/>
              </w:rPr>
            </w:pPr>
            <w:r w:rsidRPr="00412B2B">
              <w:rPr>
                <w:rFonts w:ascii="Garamond" w:eastAsia="Calibri" w:hAnsi="Garamond"/>
                <w:sz w:val="18"/>
                <w:szCs w:val="18"/>
              </w:rPr>
              <w:t>AT mbi iniciativat lokale</w:t>
            </w:r>
            <w:r w:rsidR="00094145" w:rsidRPr="00412B2B">
              <w:rPr>
                <w:rFonts w:ascii="Garamond" w:eastAsia="Calibri" w:hAnsi="Garamond"/>
                <w:sz w:val="18"/>
                <w:szCs w:val="18"/>
              </w:rPr>
              <w:t>;</w:t>
            </w:r>
          </w:p>
          <w:p w14:paraId="0773BA3D" w14:textId="77777777" w:rsidR="00F10122" w:rsidRPr="00412B2B" w:rsidRDefault="00F10122" w:rsidP="00F10122">
            <w:pPr>
              <w:pStyle w:val="Table1"/>
              <w:numPr>
                <w:ilvl w:val="0"/>
                <w:numId w:val="25"/>
              </w:numPr>
              <w:ind w:left="260" w:hanging="260"/>
              <w:rPr>
                <w:rFonts w:ascii="Garamond" w:eastAsia="Calibri" w:hAnsi="Garamond"/>
                <w:sz w:val="18"/>
                <w:szCs w:val="18"/>
              </w:rPr>
            </w:pPr>
            <w:r w:rsidRPr="00412B2B">
              <w:rPr>
                <w:rFonts w:ascii="Garamond" w:eastAsia="Calibri" w:hAnsi="Garamond"/>
                <w:sz w:val="18"/>
                <w:szCs w:val="18"/>
              </w:rPr>
              <w:t>AT për promovimin e agroturizmit/turizmit rural</w:t>
            </w:r>
          </w:p>
          <w:p w14:paraId="0773BA3E" w14:textId="02728639" w:rsidR="00F10122" w:rsidRPr="00412B2B" w:rsidRDefault="00F10122" w:rsidP="00F10122">
            <w:pPr>
              <w:pStyle w:val="Table1"/>
              <w:numPr>
                <w:ilvl w:val="0"/>
                <w:numId w:val="25"/>
              </w:numPr>
              <w:ind w:left="260" w:hanging="260"/>
              <w:rPr>
                <w:rFonts w:ascii="Garamond" w:eastAsia="Calibri" w:hAnsi="Garamond"/>
                <w:sz w:val="18"/>
                <w:szCs w:val="18"/>
              </w:rPr>
            </w:pPr>
            <w:r w:rsidRPr="00412B2B">
              <w:rPr>
                <w:rFonts w:ascii="Garamond" w:eastAsia="Calibri" w:hAnsi="Garamond"/>
                <w:sz w:val="18"/>
                <w:szCs w:val="18"/>
              </w:rPr>
              <w:t>AT për marketing të drejtpërdrejtë dhe zinxhirë të shkurtër të furnizimit</w:t>
            </w:r>
            <w:r w:rsidR="00094145" w:rsidRPr="00412B2B">
              <w:rPr>
                <w:rFonts w:ascii="Garamond" w:eastAsia="Calibri" w:hAnsi="Garamond"/>
                <w:sz w:val="18"/>
                <w:szCs w:val="18"/>
              </w:rPr>
              <w:t>;</w:t>
            </w:r>
          </w:p>
          <w:p w14:paraId="0773BA3F" w14:textId="7E93FB2A" w:rsidR="00F10122" w:rsidRPr="00412B2B" w:rsidRDefault="00F10122" w:rsidP="00F10122">
            <w:pPr>
              <w:pStyle w:val="Table1"/>
              <w:numPr>
                <w:ilvl w:val="0"/>
                <w:numId w:val="25"/>
              </w:numPr>
              <w:ind w:left="260" w:hanging="260"/>
              <w:rPr>
                <w:rFonts w:ascii="Garamond" w:eastAsia="Calibri" w:hAnsi="Garamond"/>
                <w:sz w:val="18"/>
                <w:szCs w:val="18"/>
              </w:rPr>
            </w:pPr>
            <w:r w:rsidRPr="00412B2B">
              <w:rPr>
                <w:rFonts w:ascii="Garamond" w:eastAsia="Calibri" w:hAnsi="Garamond"/>
                <w:sz w:val="18"/>
                <w:szCs w:val="18"/>
              </w:rPr>
              <w:t xml:space="preserve">Grandet për </w:t>
            </w:r>
            <w:r w:rsidRPr="00412B2B">
              <w:rPr>
                <w:rFonts w:ascii="Garamond" w:eastAsia="Calibri" w:hAnsi="Garamond"/>
                <w:i/>
                <w:iCs/>
                <w:sz w:val="18"/>
                <w:szCs w:val="18"/>
              </w:rPr>
              <w:t>start-up</w:t>
            </w:r>
            <w:r w:rsidRPr="00412B2B">
              <w:rPr>
                <w:rFonts w:ascii="Garamond" w:eastAsia="Calibri" w:hAnsi="Garamond"/>
                <w:sz w:val="18"/>
                <w:szCs w:val="18"/>
              </w:rPr>
              <w:t>-et për të rinjtë e diplomuar në sektorin e bujqësisë</w:t>
            </w:r>
            <w:r w:rsidR="00094145" w:rsidRPr="00412B2B">
              <w:rPr>
                <w:rFonts w:ascii="Garamond" w:eastAsia="Calibri" w:hAnsi="Garamond"/>
                <w:sz w:val="18"/>
                <w:szCs w:val="18"/>
              </w:rPr>
              <w:t>;</w:t>
            </w:r>
          </w:p>
          <w:p w14:paraId="0773BA40" w14:textId="0E177EE3" w:rsidR="00F10122" w:rsidRPr="00412B2B" w:rsidRDefault="00F10122" w:rsidP="00F10122">
            <w:pPr>
              <w:pStyle w:val="Table1"/>
              <w:numPr>
                <w:ilvl w:val="0"/>
                <w:numId w:val="25"/>
              </w:numPr>
              <w:ind w:left="260" w:hanging="260"/>
              <w:rPr>
                <w:rFonts w:ascii="Garamond" w:eastAsia="Calibri" w:hAnsi="Garamond"/>
                <w:sz w:val="18"/>
                <w:szCs w:val="18"/>
              </w:rPr>
            </w:pPr>
            <w:r w:rsidRPr="00412B2B">
              <w:rPr>
                <w:rFonts w:ascii="Garamond" w:eastAsia="Calibri" w:hAnsi="Garamond"/>
                <w:sz w:val="18"/>
                <w:szCs w:val="18"/>
              </w:rPr>
              <w:t>Studim parafizibiliteti i rrjetit rrugor pyjor</w:t>
            </w:r>
            <w:r w:rsidR="00094145" w:rsidRPr="00412B2B">
              <w:rPr>
                <w:rFonts w:ascii="Garamond" w:eastAsia="Calibri" w:hAnsi="Garamond"/>
                <w:sz w:val="18"/>
                <w:szCs w:val="18"/>
              </w:rPr>
              <w:t>;</w:t>
            </w:r>
          </w:p>
          <w:p w14:paraId="0773BA41" w14:textId="366B81FD" w:rsidR="00F10122" w:rsidRPr="00412B2B" w:rsidRDefault="00F10122" w:rsidP="00F10122">
            <w:pPr>
              <w:pStyle w:val="Table1"/>
              <w:numPr>
                <w:ilvl w:val="0"/>
                <w:numId w:val="25"/>
              </w:numPr>
              <w:ind w:left="260" w:hanging="260"/>
              <w:rPr>
                <w:rFonts w:ascii="Garamond" w:eastAsia="Calibri" w:hAnsi="Garamond"/>
                <w:sz w:val="18"/>
                <w:szCs w:val="18"/>
              </w:rPr>
            </w:pPr>
            <w:r w:rsidRPr="00412B2B">
              <w:rPr>
                <w:rFonts w:ascii="Garamond" w:eastAsia="Calibri" w:hAnsi="Garamond"/>
                <w:sz w:val="18"/>
                <w:szCs w:val="18"/>
              </w:rPr>
              <w:t>AT mbi mundësitë e bioekonomisë</w:t>
            </w:r>
            <w:r w:rsidR="00094145" w:rsidRPr="00412B2B">
              <w:rPr>
                <w:rFonts w:ascii="Garamond" w:eastAsia="Calibri" w:hAnsi="Garamond"/>
                <w:sz w:val="18"/>
                <w:szCs w:val="18"/>
              </w:rPr>
              <w:t>;</w:t>
            </w:r>
          </w:p>
          <w:p w14:paraId="0773BA42" w14:textId="2C66E442" w:rsidR="00F10122" w:rsidRPr="00412B2B" w:rsidRDefault="00F10122" w:rsidP="00F10122">
            <w:pPr>
              <w:pStyle w:val="Table1"/>
              <w:numPr>
                <w:ilvl w:val="0"/>
                <w:numId w:val="25"/>
              </w:numPr>
              <w:ind w:left="260" w:hanging="260"/>
              <w:rPr>
                <w:rFonts w:ascii="Garamond" w:eastAsia="Calibri" w:hAnsi="Garamond"/>
                <w:sz w:val="18"/>
                <w:szCs w:val="18"/>
              </w:rPr>
            </w:pPr>
            <w:r w:rsidRPr="00412B2B">
              <w:rPr>
                <w:rFonts w:ascii="Garamond" w:eastAsia="Calibri" w:hAnsi="Garamond"/>
                <w:sz w:val="18"/>
                <w:szCs w:val="18"/>
              </w:rPr>
              <w:t>AT dhe kërkime mbi bioekonominë dhe ekonominë rrethore të bazuar në bio (biomasë nga buj</w:t>
            </w:r>
            <w:r w:rsidR="00094145" w:rsidRPr="00412B2B">
              <w:rPr>
                <w:rFonts w:ascii="Garamond" w:eastAsia="Calibri" w:hAnsi="Garamond"/>
                <w:sz w:val="18"/>
                <w:szCs w:val="18"/>
              </w:rPr>
              <w:t>qësia dhe pyjet, biokarburantet</w:t>
            </w:r>
            <w:r w:rsidRPr="00412B2B">
              <w:rPr>
                <w:rFonts w:ascii="Garamond" w:eastAsia="Calibri" w:hAnsi="Garamond"/>
                <w:sz w:val="18"/>
                <w:szCs w:val="18"/>
              </w:rPr>
              <w:t>)</w:t>
            </w:r>
            <w:r w:rsidR="00094145" w:rsidRPr="00412B2B">
              <w:rPr>
                <w:rFonts w:ascii="Garamond" w:eastAsia="Calibri" w:hAnsi="Garamond"/>
                <w:sz w:val="18"/>
                <w:szCs w:val="18"/>
              </w:rPr>
              <w:t>.</w:t>
            </w:r>
          </w:p>
        </w:tc>
        <w:tc>
          <w:tcPr>
            <w:tcW w:w="2015" w:type="pct"/>
            <w:shd w:val="clear" w:color="auto" w:fill="auto"/>
            <w:vAlign w:val="center"/>
          </w:tcPr>
          <w:p w14:paraId="0773BA43" w14:textId="1759AF19" w:rsidR="00F10122" w:rsidRPr="00412B2B" w:rsidRDefault="00F10122" w:rsidP="00F10122">
            <w:pPr>
              <w:pStyle w:val="Table1"/>
              <w:rPr>
                <w:rFonts w:ascii="Garamond" w:eastAsia="Calibri" w:hAnsi="Garamond"/>
                <w:sz w:val="18"/>
                <w:szCs w:val="18"/>
              </w:rPr>
            </w:pPr>
            <w:r w:rsidRPr="00412B2B">
              <w:rPr>
                <w:rFonts w:ascii="Garamond" w:eastAsia="Calibri" w:hAnsi="Garamond"/>
                <w:sz w:val="18"/>
                <w:szCs w:val="18"/>
              </w:rPr>
              <w:lastRenderedPageBreak/>
              <w:t>Diskutim me donatorët e mundshëm për</w:t>
            </w:r>
            <w:r w:rsidR="00CF7694" w:rsidRPr="00412B2B">
              <w:rPr>
                <w:rFonts w:ascii="Garamond" w:eastAsia="Calibri" w:hAnsi="Garamond"/>
                <w:sz w:val="18"/>
                <w:szCs w:val="18"/>
              </w:rPr>
              <w:t xml:space="preserve"> </w:t>
            </w:r>
            <w:r w:rsidRPr="00412B2B">
              <w:rPr>
                <w:rFonts w:ascii="Garamond" w:eastAsia="Calibri" w:hAnsi="Garamond"/>
                <w:sz w:val="18"/>
                <w:szCs w:val="18"/>
              </w:rPr>
              <w:t>mbështetje financiare/projekte në koherencë me nevojat e ndërhyrjeve dhe mekanizmin e zbatimit të tyre.</w:t>
            </w:r>
          </w:p>
          <w:p w14:paraId="0773BA44" w14:textId="77777777" w:rsidR="00F10122" w:rsidRPr="00412B2B" w:rsidRDefault="00F10122" w:rsidP="00F10122">
            <w:pPr>
              <w:pStyle w:val="Table1"/>
              <w:rPr>
                <w:rFonts w:ascii="Garamond" w:eastAsia="Calibri" w:hAnsi="Garamond"/>
                <w:sz w:val="18"/>
                <w:szCs w:val="18"/>
              </w:rPr>
            </w:pPr>
          </w:p>
          <w:p w14:paraId="0773BA45" w14:textId="0D0CF8C3" w:rsidR="00F10122" w:rsidRPr="00412B2B" w:rsidRDefault="00F10122" w:rsidP="00F10122">
            <w:pPr>
              <w:pStyle w:val="Table1"/>
              <w:rPr>
                <w:rFonts w:ascii="Garamond" w:eastAsia="Calibri" w:hAnsi="Garamond"/>
                <w:sz w:val="18"/>
                <w:szCs w:val="18"/>
              </w:rPr>
            </w:pPr>
            <w:r w:rsidRPr="00412B2B">
              <w:rPr>
                <w:rFonts w:ascii="Garamond" w:eastAsia="Calibri" w:hAnsi="Garamond"/>
                <w:sz w:val="18"/>
                <w:szCs w:val="18"/>
              </w:rPr>
              <w:t xml:space="preserve">Emërimi i stafit të çdo </w:t>
            </w:r>
            <w:r w:rsidR="00031EDD" w:rsidRPr="00412B2B">
              <w:rPr>
                <w:rFonts w:ascii="Garamond" w:eastAsia="Calibri" w:hAnsi="Garamond"/>
                <w:sz w:val="18"/>
                <w:szCs w:val="18"/>
              </w:rPr>
              <w:t xml:space="preserve">drejtorie </w:t>
            </w:r>
            <w:r w:rsidRPr="00412B2B">
              <w:rPr>
                <w:rFonts w:ascii="Garamond" w:eastAsia="Calibri" w:hAnsi="Garamond"/>
                <w:sz w:val="18"/>
                <w:szCs w:val="18"/>
              </w:rPr>
              <w:t>përgjegjëse për nevojat për AT</w:t>
            </w:r>
          </w:p>
          <w:p w14:paraId="0773BA46" w14:textId="77777777" w:rsidR="00F10122" w:rsidRPr="00412B2B" w:rsidRDefault="00F10122" w:rsidP="00F10122">
            <w:pPr>
              <w:pStyle w:val="Table1"/>
              <w:rPr>
                <w:rFonts w:ascii="Garamond" w:eastAsia="Calibri" w:hAnsi="Garamond"/>
                <w:sz w:val="18"/>
                <w:szCs w:val="18"/>
              </w:rPr>
            </w:pPr>
            <w:r w:rsidRPr="00412B2B">
              <w:rPr>
                <w:rFonts w:ascii="Garamond" w:eastAsia="Calibri" w:hAnsi="Garamond"/>
                <w:sz w:val="18"/>
                <w:szCs w:val="18"/>
              </w:rPr>
              <w:t>Përgatitja e ToR për mbështetjen e planifikuar të AT</w:t>
            </w:r>
          </w:p>
        </w:tc>
        <w:tc>
          <w:tcPr>
            <w:tcW w:w="291" w:type="pct"/>
            <w:shd w:val="clear" w:color="auto" w:fill="auto"/>
            <w:vAlign w:val="center"/>
          </w:tcPr>
          <w:p w14:paraId="0773BA47" w14:textId="77777777" w:rsidR="00F10122" w:rsidRPr="00412B2B" w:rsidRDefault="00F10122" w:rsidP="00F10122">
            <w:pPr>
              <w:pStyle w:val="Table1"/>
              <w:jc w:val="center"/>
              <w:rPr>
                <w:rFonts w:ascii="Garamond" w:eastAsia="Calibri" w:hAnsi="Garamond"/>
                <w:b/>
                <w:bCs/>
                <w:sz w:val="18"/>
                <w:szCs w:val="18"/>
              </w:rPr>
            </w:pPr>
            <w:r w:rsidRPr="00412B2B">
              <w:rPr>
                <w:rFonts w:ascii="Garamond" w:eastAsia="Calibri" w:hAnsi="Garamond"/>
                <w:b/>
                <w:bCs/>
                <w:sz w:val="18"/>
                <w:szCs w:val="18"/>
              </w:rPr>
              <w:t>x</w:t>
            </w:r>
          </w:p>
        </w:tc>
        <w:tc>
          <w:tcPr>
            <w:tcW w:w="336" w:type="pct"/>
            <w:shd w:val="clear" w:color="auto" w:fill="auto"/>
            <w:vAlign w:val="center"/>
          </w:tcPr>
          <w:p w14:paraId="0773BA48" w14:textId="77777777" w:rsidR="00F10122" w:rsidRPr="00412B2B" w:rsidRDefault="00F10122" w:rsidP="00F10122">
            <w:pPr>
              <w:pStyle w:val="Table1"/>
              <w:jc w:val="center"/>
              <w:rPr>
                <w:rFonts w:ascii="Garamond" w:eastAsia="Calibri" w:hAnsi="Garamond"/>
                <w:b/>
                <w:bCs/>
                <w:sz w:val="18"/>
                <w:szCs w:val="18"/>
              </w:rPr>
            </w:pPr>
            <w:r w:rsidRPr="00412B2B">
              <w:rPr>
                <w:rFonts w:ascii="Garamond" w:eastAsia="Calibri" w:hAnsi="Garamond"/>
                <w:b/>
                <w:bCs/>
                <w:sz w:val="18"/>
                <w:szCs w:val="18"/>
              </w:rPr>
              <w:t>x</w:t>
            </w:r>
          </w:p>
        </w:tc>
        <w:tc>
          <w:tcPr>
            <w:tcW w:w="336" w:type="pct"/>
            <w:shd w:val="clear" w:color="auto" w:fill="auto"/>
            <w:vAlign w:val="center"/>
          </w:tcPr>
          <w:p w14:paraId="0773BA49" w14:textId="77777777" w:rsidR="00F10122" w:rsidRPr="00412B2B" w:rsidRDefault="00F10122" w:rsidP="00F10122">
            <w:pPr>
              <w:pStyle w:val="Table1"/>
              <w:jc w:val="center"/>
              <w:rPr>
                <w:rFonts w:ascii="Garamond" w:eastAsia="Calibri" w:hAnsi="Garamond"/>
                <w:b/>
                <w:bCs/>
                <w:sz w:val="18"/>
                <w:szCs w:val="18"/>
              </w:rPr>
            </w:pPr>
            <w:r w:rsidRPr="00412B2B">
              <w:rPr>
                <w:rFonts w:ascii="Garamond" w:eastAsia="Calibri" w:hAnsi="Garamond"/>
                <w:b/>
                <w:bCs/>
                <w:sz w:val="18"/>
                <w:szCs w:val="18"/>
              </w:rPr>
              <w:t>x</w:t>
            </w:r>
          </w:p>
        </w:tc>
      </w:tr>
      <w:tr w:rsidR="00F10122" w:rsidRPr="00412B2B" w14:paraId="0773BA5E" w14:textId="77777777" w:rsidTr="006C3F14">
        <w:trPr>
          <w:trHeight w:val="20"/>
        </w:trPr>
        <w:tc>
          <w:tcPr>
            <w:tcW w:w="601" w:type="pct"/>
            <w:shd w:val="clear" w:color="auto" w:fill="auto"/>
            <w:vAlign w:val="center"/>
          </w:tcPr>
          <w:p w14:paraId="0773BA4B" w14:textId="77777777" w:rsidR="00F10122" w:rsidRPr="00412B2B" w:rsidRDefault="00F10122" w:rsidP="00F10122">
            <w:pPr>
              <w:pStyle w:val="Table1"/>
              <w:jc w:val="center"/>
              <w:rPr>
                <w:rFonts w:ascii="Garamond" w:eastAsia="Calibri" w:hAnsi="Garamond"/>
                <w:bCs/>
                <w:sz w:val="18"/>
                <w:szCs w:val="18"/>
              </w:rPr>
            </w:pPr>
          </w:p>
          <w:p w14:paraId="0773BA4C" w14:textId="77777777" w:rsidR="00F10122" w:rsidRPr="00412B2B" w:rsidRDefault="00F10122" w:rsidP="00F10122">
            <w:pPr>
              <w:pStyle w:val="Table1"/>
              <w:jc w:val="center"/>
              <w:rPr>
                <w:rFonts w:ascii="Garamond" w:eastAsia="Calibri" w:hAnsi="Garamond"/>
                <w:bCs/>
                <w:sz w:val="18"/>
                <w:szCs w:val="18"/>
              </w:rPr>
            </w:pPr>
          </w:p>
          <w:p w14:paraId="0773BA4D" w14:textId="669F11FE"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t>Drejtoria e Politikave MBZHR, AZHBR,</w:t>
            </w:r>
            <w:r w:rsidR="00CF7694" w:rsidRPr="00412B2B">
              <w:rPr>
                <w:rFonts w:ascii="Garamond" w:eastAsia="Calibri" w:hAnsi="Garamond"/>
                <w:b/>
                <w:bCs/>
                <w:sz w:val="18"/>
                <w:szCs w:val="18"/>
              </w:rPr>
              <w:t xml:space="preserve"> </w:t>
            </w:r>
            <w:r w:rsidRPr="00412B2B">
              <w:rPr>
                <w:rFonts w:ascii="Garamond" w:eastAsia="Calibri" w:hAnsi="Garamond"/>
                <w:b/>
                <w:bCs/>
                <w:sz w:val="18"/>
                <w:szCs w:val="18"/>
              </w:rPr>
              <w:t xml:space="preserve">AM IPARD </w:t>
            </w:r>
          </w:p>
        </w:tc>
        <w:tc>
          <w:tcPr>
            <w:tcW w:w="1421" w:type="pct"/>
            <w:shd w:val="clear" w:color="auto" w:fill="auto"/>
          </w:tcPr>
          <w:p w14:paraId="0773BA4E" w14:textId="48204F3E" w:rsidR="00F10122" w:rsidRPr="00412B2B" w:rsidRDefault="00F10122" w:rsidP="006C3F14">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Projektet</w:t>
            </w:r>
            <w:r w:rsidR="00CF7694" w:rsidRPr="00412B2B">
              <w:rPr>
                <w:rFonts w:ascii="Garamond" w:eastAsia="Calibri" w:hAnsi="Garamond"/>
                <w:bCs/>
                <w:sz w:val="18"/>
                <w:szCs w:val="18"/>
              </w:rPr>
              <w:t xml:space="preserve"> </w:t>
            </w:r>
            <w:r w:rsidRPr="00412B2B">
              <w:rPr>
                <w:rFonts w:ascii="Garamond" w:eastAsia="Calibri" w:hAnsi="Garamond"/>
                <w:bCs/>
                <w:sz w:val="18"/>
                <w:szCs w:val="18"/>
              </w:rPr>
              <w:t xml:space="preserve">AT për përafrimin e legjislacionit të BE-së </w:t>
            </w:r>
            <w:r w:rsidR="006C3F14" w:rsidRPr="00412B2B">
              <w:rPr>
                <w:rFonts w:ascii="Garamond" w:eastAsia="Calibri" w:hAnsi="Garamond"/>
                <w:bCs/>
                <w:sz w:val="18"/>
                <w:szCs w:val="18"/>
              </w:rPr>
              <w:t>me</w:t>
            </w:r>
            <w:r w:rsidRPr="00412B2B">
              <w:rPr>
                <w:rFonts w:ascii="Garamond" w:eastAsia="Calibri" w:hAnsi="Garamond"/>
                <w:bCs/>
                <w:sz w:val="18"/>
                <w:szCs w:val="18"/>
              </w:rPr>
              <w:t xml:space="preserve"> </w:t>
            </w:r>
            <w:r w:rsidR="006C3F14" w:rsidRPr="00412B2B">
              <w:rPr>
                <w:rFonts w:ascii="Garamond" w:eastAsia="Calibri" w:hAnsi="Garamond"/>
                <w:bCs/>
                <w:sz w:val="18"/>
                <w:szCs w:val="18"/>
              </w:rPr>
              <w:t xml:space="preserve">kapitullin </w:t>
            </w:r>
            <w:r w:rsidRPr="00412B2B">
              <w:rPr>
                <w:rFonts w:ascii="Garamond" w:eastAsia="Calibri" w:hAnsi="Garamond"/>
                <w:bCs/>
                <w:sz w:val="18"/>
                <w:szCs w:val="18"/>
              </w:rPr>
              <w:t>11</w:t>
            </w:r>
            <w:r w:rsidR="006C3F14" w:rsidRPr="00412B2B">
              <w:rPr>
                <w:rFonts w:ascii="Garamond" w:eastAsia="Calibri" w:hAnsi="Garamond"/>
                <w:bCs/>
                <w:sz w:val="18"/>
                <w:szCs w:val="18"/>
              </w:rPr>
              <w:t>;</w:t>
            </w:r>
          </w:p>
          <w:p w14:paraId="0773BA4F" w14:textId="42242700" w:rsidR="00F10122" w:rsidRPr="00412B2B" w:rsidRDefault="00F10122" w:rsidP="00F10122">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Krijimi i FADN</w:t>
            </w:r>
            <w:r w:rsidR="00CF7694" w:rsidRPr="00412B2B">
              <w:rPr>
                <w:rFonts w:ascii="Garamond" w:eastAsia="Calibri" w:hAnsi="Garamond"/>
                <w:bCs/>
                <w:sz w:val="18"/>
                <w:szCs w:val="18"/>
              </w:rPr>
              <w:t xml:space="preserve"> </w:t>
            </w:r>
            <w:r w:rsidRPr="00412B2B">
              <w:rPr>
                <w:rFonts w:ascii="Garamond" w:eastAsia="Calibri" w:hAnsi="Garamond"/>
                <w:bCs/>
                <w:sz w:val="18"/>
                <w:szCs w:val="18"/>
              </w:rPr>
              <w:t>dhe një njësie n</w:t>
            </w:r>
            <w:r w:rsidRPr="00412B2B">
              <w:rPr>
                <w:rFonts w:ascii="Garamond" w:hAnsi="Garamond"/>
                <w:sz w:val="18"/>
                <w:szCs w:val="18"/>
              </w:rPr>
              <w:t xml:space="preserve">ë </w:t>
            </w:r>
            <w:r w:rsidRPr="00412B2B">
              <w:rPr>
                <w:rFonts w:ascii="Garamond" w:eastAsia="Calibri" w:hAnsi="Garamond"/>
                <w:bCs/>
                <w:sz w:val="18"/>
                <w:szCs w:val="18"/>
              </w:rPr>
              <w:t>MBZHR për analiza ekonomike;</w:t>
            </w:r>
          </w:p>
          <w:p w14:paraId="0773BA50" w14:textId="1A8CCB00" w:rsidR="00F10122" w:rsidRPr="00412B2B" w:rsidRDefault="00F10122" w:rsidP="006C3F14">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Zbatimi</w:t>
            </w:r>
            <w:r w:rsidR="00CF7694" w:rsidRPr="00412B2B">
              <w:rPr>
                <w:rFonts w:ascii="Garamond" w:eastAsia="Calibri" w:hAnsi="Garamond"/>
                <w:bCs/>
                <w:sz w:val="18"/>
                <w:szCs w:val="18"/>
              </w:rPr>
              <w:t xml:space="preserve"> </w:t>
            </w:r>
            <w:r w:rsidRPr="00412B2B">
              <w:rPr>
                <w:rFonts w:ascii="Garamond" w:eastAsia="Calibri" w:hAnsi="Garamond"/>
                <w:bCs/>
                <w:sz w:val="18"/>
                <w:szCs w:val="18"/>
              </w:rPr>
              <w:t xml:space="preserve">ndërpërputhshmërisë </w:t>
            </w:r>
            <w:r w:rsidRPr="00412B2B">
              <w:rPr>
                <w:rFonts w:ascii="Garamond" w:eastAsia="Calibri" w:hAnsi="Garamond"/>
                <w:bCs/>
                <w:i/>
                <w:iCs/>
                <w:sz w:val="18"/>
                <w:szCs w:val="18"/>
              </w:rPr>
              <w:t>(cross compliance)</w:t>
            </w:r>
            <w:r w:rsidR="00CF7694" w:rsidRPr="00412B2B">
              <w:rPr>
                <w:rFonts w:ascii="Garamond" w:eastAsia="Calibri" w:hAnsi="Garamond"/>
                <w:bCs/>
                <w:sz w:val="18"/>
                <w:szCs w:val="18"/>
              </w:rPr>
              <w:t xml:space="preserve"> </w:t>
            </w:r>
            <w:r w:rsidRPr="00412B2B">
              <w:rPr>
                <w:rFonts w:ascii="Garamond" w:eastAsia="Calibri" w:hAnsi="Garamond"/>
                <w:bCs/>
                <w:sz w:val="18"/>
                <w:szCs w:val="18"/>
              </w:rPr>
              <w:t>(KMBM si hap i parë);</w:t>
            </w:r>
          </w:p>
          <w:p w14:paraId="0773BA51" w14:textId="42F5E784" w:rsidR="00F10122" w:rsidRPr="00412B2B" w:rsidRDefault="00F10122" w:rsidP="00F10122">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Përfshirja e SHKF (me fokus në KMBM) në SHKKB, dhe forcimi i mëtejshëm i njësisë përkatëse për zbatimin e SNJIB</w:t>
            </w:r>
            <w:r w:rsidR="00797859" w:rsidRPr="00412B2B">
              <w:rPr>
                <w:rFonts w:ascii="Garamond" w:eastAsia="Calibri" w:hAnsi="Garamond"/>
                <w:bCs/>
                <w:sz w:val="18"/>
                <w:szCs w:val="18"/>
              </w:rPr>
              <w:t>/</w:t>
            </w:r>
            <w:r w:rsidRPr="00412B2B">
              <w:rPr>
                <w:rFonts w:ascii="Garamond" w:eastAsia="Calibri" w:hAnsi="Garamond"/>
                <w:bCs/>
                <w:sz w:val="18"/>
                <w:szCs w:val="18"/>
              </w:rPr>
              <w:t>AKIS;</w:t>
            </w:r>
          </w:p>
          <w:p w14:paraId="0773BA52" w14:textId="77777777" w:rsidR="00F10122" w:rsidRPr="00412B2B" w:rsidRDefault="00F10122" w:rsidP="00F10122">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Konsolidimi i Regjistrit të Fermës (përfshirë lidhjen e tij TI me bazat e tjera të të dhënave);</w:t>
            </w:r>
          </w:p>
          <w:p w14:paraId="0773BA53" w14:textId="64C99145" w:rsidR="00F10122" w:rsidRPr="00412B2B" w:rsidRDefault="00F10122" w:rsidP="006C3F14">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Zhvillimi i mëtejshëm i SIAK (IACS), përfshirë zhvillimin e SIPT</w:t>
            </w:r>
            <w:r w:rsidR="006C3F14" w:rsidRPr="00412B2B">
              <w:rPr>
                <w:rFonts w:ascii="Garamond" w:eastAsia="Calibri" w:hAnsi="Garamond"/>
                <w:bCs/>
                <w:sz w:val="18"/>
                <w:szCs w:val="18"/>
              </w:rPr>
              <w:t>-së</w:t>
            </w:r>
            <w:r w:rsidRPr="00412B2B">
              <w:rPr>
                <w:rFonts w:ascii="Garamond" w:eastAsia="Calibri" w:hAnsi="Garamond"/>
                <w:bCs/>
                <w:sz w:val="18"/>
                <w:szCs w:val="18"/>
              </w:rPr>
              <w:t>/LPIS</w:t>
            </w:r>
            <w:r w:rsidR="006C3F14" w:rsidRPr="00412B2B">
              <w:rPr>
                <w:rFonts w:ascii="Garamond" w:eastAsia="Calibri" w:hAnsi="Garamond"/>
                <w:bCs/>
                <w:sz w:val="18"/>
                <w:szCs w:val="18"/>
              </w:rPr>
              <w:t>-së;</w:t>
            </w:r>
          </w:p>
          <w:p w14:paraId="0773BA54" w14:textId="77777777" w:rsidR="00F10122" w:rsidRPr="00412B2B" w:rsidRDefault="00F10122" w:rsidP="00F10122">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Sistemet e TI-së duhet të forcohen drejt një SIAK (IACS) të plotë, lidhjet me bazat e tjera të të dhënave kombëtare për të lejuar kontrolle të kryqëzuara;</w:t>
            </w:r>
          </w:p>
          <w:p w14:paraId="0773BA55" w14:textId="2DD6D5FC" w:rsidR="00F10122" w:rsidRPr="00412B2B" w:rsidRDefault="00F10122" w:rsidP="00F10122">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Përditësimi i legjislacionit për bujqësinë organike, verërat dhe OP dhe rritja e kapaciteteve (stafeve) të MBZHR</w:t>
            </w:r>
            <w:r w:rsidR="006C3F14" w:rsidRPr="00412B2B">
              <w:rPr>
                <w:rFonts w:ascii="Garamond" w:eastAsia="Calibri" w:hAnsi="Garamond"/>
                <w:bCs/>
                <w:sz w:val="18"/>
                <w:szCs w:val="18"/>
              </w:rPr>
              <w:t>-së;</w:t>
            </w:r>
          </w:p>
          <w:p w14:paraId="0773BA56" w14:textId="77777777" w:rsidR="00F10122" w:rsidRPr="00412B2B" w:rsidRDefault="00F10122" w:rsidP="00F10122">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AT duhet të konsolidojë njësinë e asistencës teknike për IPARD III;</w:t>
            </w:r>
          </w:p>
          <w:p w14:paraId="0773BA57" w14:textId="140C6EC6" w:rsidR="00F10122" w:rsidRPr="00412B2B" w:rsidRDefault="00F10122" w:rsidP="00F10122">
            <w:pPr>
              <w:pStyle w:val="Table1"/>
              <w:numPr>
                <w:ilvl w:val="0"/>
                <w:numId w:val="26"/>
              </w:numPr>
              <w:ind w:left="170" w:hanging="170"/>
              <w:rPr>
                <w:rFonts w:ascii="Garamond" w:hAnsi="Garamond"/>
                <w:sz w:val="18"/>
                <w:szCs w:val="18"/>
              </w:rPr>
            </w:pPr>
            <w:r w:rsidRPr="00412B2B">
              <w:rPr>
                <w:rFonts w:ascii="Garamond" w:eastAsia="Calibri" w:hAnsi="Garamond"/>
                <w:bCs/>
                <w:sz w:val="18"/>
                <w:szCs w:val="18"/>
              </w:rPr>
              <w:t>Të fillohet me</w:t>
            </w:r>
            <w:r w:rsidR="006C3F14" w:rsidRPr="00412B2B">
              <w:rPr>
                <w:rFonts w:ascii="Garamond" w:eastAsia="Calibri" w:hAnsi="Garamond"/>
                <w:bCs/>
                <w:sz w:val="18"/>
                <w:szCs w:val="18"/>
              </w:rPr>
              <w:t xml:space="preserve"> përdorimin e kostove standarde</w:t>
            </w:r>
            <w:r w:rsidR="00797859" w:rsidRPr="00412B2B">
              <w:rPr>
                <w:rFonts w:ascii="Garamond" w:eastAsia="Calibri" w:hAnsi="Garamond"/>
                <w:bCs/>
                <w:sz w:val="18"/>
                <w:szCs w:val="18"/>
              </w:rPr>
              <w:t>/</w:t>
            </w:r>
            <w:r w:rsidR="006C3F14" w:rsidRPr="00412B2B">
              <w:rPr>
                <w:rFonts w:ascii="Garamond" w:eastAsia="Calibri" w:hAnsi="Garamond"/>
                <w:bCs/>
                <w:sz w:val="18"/>
                <w:szCs w:val="18"/>
              </w:rPr>
              <w:t xml:space="preserve"> </w:t>
            </w:r>
            <w:r w:rsidRPr="00412B2B">
              <w:rPr>
                <w:rFonts w:ascii="Garamond" w:eastAsia="Calibri" w:hAnsi="Garamond"/>
                <w:bCs/>
                <w:sz w:val="18"/>
                <w:szCs w:val="18"/>
              </w:rPr>
              <w:lastRenderedPageBreak/>
              <w:t>konfigurimin dhe të përdoret një bazë të dhënash çmimesh</w:t>
            </w:r>
            <w:r w:rsidR="00CF7694" w:rsidRPr="00412B2B">
              <w:rPr>
                <w:rFonts w:ascii="Garamond" w:eastAsia="Calibri" w:hAnsi="Garamond"/>
                <w:bCs/>
                <w:sz w:val="18"/>
                <w:szCs w:val="18"/>
              </w:rPr>
              <w:t xml:space="preserve"> </w:t>
            </w:r>
            <w:r w:rsidRPr="00412B2B">
              <w:rPr>
                <w:rFonts w:ascii="Garamond" w:eastAsia="Calibri" w:hAnsi="Garamond"/>
                <w:bCs/>
                <w:sz w:val="18"/>
                <w:szCs w:val="18"/>
              </w:rPr>
              <w:t>referencë</w:t>
            </w:r>
            <w:r w:rsidRPr="00412B2B">
              <w:rPr>
                <w:rFonts w:ascii="Garamond" w:eastAsia="Arial Narrow" w:hAnsi="Garamond"/>
                <w:sz w:val="18"/>
                <w:szCs w:val="18"/>
              </w:rPr>
              <w:t>.</w:t>
            </w:r>
          </w:p>
        </w:tc>
        <w:tc>
          <w:tcPr>
            <w:tcW w:w="2015" w:type="pct"/>
            <w:shd w:val="clear" w:color="auto" w:fill="auto"/>
            <w:vAlign w:val="center"/>
          </w:tcPr>
          <w:p w14:paraId="0773BA58" w14:textId="654AFE42" w:rsidR="00F10122" w:rsidRPr="00412B2B" w:rsidRDefault="00F10122" w:rsidP="006C3F14">
            <w:pPr>
              <w:spacing w:after="0" w:line="240" w:lineRule="auto"/>
              <w:rPr>
                <w:rFonts w:ascii="Garamond" w:hAnsi="Garamond"/>
                <w:sz w:val="18"/>
                <w:szCs w:val="18"/>
                <w:lang w:val="sq-AL"/>
              </w:rPr>
            </w:pPr>
            <w:r w:rsidRPr="00412B2B">
              <w:rPr>
                <w:rFonts w:ascii="Garamond" w:hAnsi="Garamond"/>
                <w:sz w:val="18"/>
                <w:szCs w:val="18"/>
                <w:lang w:val="sq-AL"/>
              </w:rPr>
              <w:lastRenderedPageBreak/>
              <w:t>Identifikimi i mbështetjes më të përshtatshme me</w:t>
            </w:r>
            <w:r w:rsidR="00CF7694" w:rsidRPr="00412B2B">
              <w:rPr>
                <w:rFonts w:ascii="Garamond" w:hAnsi="Garamond"/>
                <w:sz w:val="18"/>
                <w:szCs w:val="18"/>
                <w:lang w:val="sq-AL"/>
              </w:rPr>
              <w:t xml:space="preserve"> </w:t>
            </w:r>
            <w:r w:rsidRPr="00412B2B">
              <w:rPr>
                <w:rFonts w:ascii="Garamond" w:hAnsi="Garamond"/>
                <w:sz w:val="18"/>
                <w:szCs w:val="18"/>
                <w:lang w:val="sq-AL"/>
              </w:rPr>
              <w:t>AT (TAIEX, IPA III, Donatorët) dhe përgatitja e kërkesave</w:t>
            </w:r>
            <w:r w:rsidR="006C3F14" w:rsidRPr="00412B2B">
              <w:rPr>
                <w:rFonts w:ascii="Garamond" w:hAnsi="Garamond"/>
                <w:sz w:val="18"/>
                <w:szCs w:val="18"/>
                <w:lang w:val="sq-AL"/>
              </w:rPr>
              <w:t>.</w:t>
            </w:r>
          </w:p>
          <w:p w14:paraId="0773BA59" w14:textId="77777777" w:rsidR="00F10122" w:rsidRPr="00412B2B" w:rsidRDefault="00F10122" w:rsidP="006C3F14">
            <w:pPr>
              <w:spacing w:after="0" w:line="240" w:lineRule="auto"/>
              <w:rPr>
                <w:rFonts w:ascii="Garamond" w:hAnsi="Garamond"/>
                <w:sz w:val="18"/>
                <w:szCs w:val="18"/>
                <w:lang w:val="sq-AL"/>
              </w:rPr>
            </w:pPr>
          </w:p>
          <w:p w14:paraId="0773BA5A" w14:textId="158A8F86" w:rsidR="00F10122" w:rsidRPr="00412B2B" w:rsidRDefault="00F10122" w:rsidP="006C3F14">
            <w:pPr>
              <w:spacing w:after="0" w:line="240" w:lineRule="auto"/>
              <w:rPr>
                <w:sz w:val="18"/>
                <w:szCs w:val="18"/>
              </w:rPr>
            </w:pPr>
            <w:r w:rsidRPr="00412B2B">
              <w:rPr>
                <w:rFonts w:ascii="Garamond" w:hAnsi="Garamond"/>
                <w:sz w:val="18"/>
                <w:szCs w:val="18"/>
                <w:lang w:val="sq-AL"/>
              </w:rPr>
              <w:t>MBZHR dhe AZHBR duhet të planifikojnë</w:t>
            </w:r>
            <w:r w:rsidR="00CF7694" w:rsidRPr="00412B2B">
              <w:rPr>
                <w:rFonts w:ascii="Garamond" w:hAnsi="Garamond"/>
                <w:sz w:val="18"/>
                <w:szCs w:val="18"/>
                <w:lang w:val="sq-AL"/>
              </w:rPr>
              <w:t xml:space="preserve"> </w:t>
            </w:r>
            <w:r w:rsidRPr="00412B2B">
              <w:rPr>
                <w:rFonts w:ascii="Garamond" w:hAnsi="Garamond"/>
                <w:sz w:val="18"/>
                <w:szCs w:val="18"/>
                <w:lang w:val="sq-AL"/>
              </w:rPr>
              <w:t>burime të mjaftueshme njerëzore shtesë për ndërhyrjet e reja.</w:t>
            </w:r>
          </w:p>
        </w:tc>
        <w:tc>
          <w:tcPr>
            <w:tcW w:w="291" w:type="pct"/>
            <w:shd w:val="clear" w:color="auto" w:fill="auto"/>
            <w:vAlign w:val="center"/>
          </w:tcPr>
          <w:p w14:paraId="0773BA5B"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A5C"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A5D"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A72" w14:textId="77777777" w:rsidTr="000727D2">
        <w:trPr>
          <w:trHeight w:val="20"/>
        </w:trPr>
        <w:tc>
          <w:tcPr>
            <w:tcW w:w="601" w:type="pct"/>
            <w:shd w:val="clear" w:color="auto" w:fill="auto"/>
            <w:vAlign w:val="center"/>
          </w:tcPr>
          <w:p w14:paraId="0773BA5F" w14:textId="77777777" w:rsidR="00F10122" w:rsidRPr="00412B2B" w:rsidRDefault="00F10122" w:rsidP="00F10122">
            <w:pPr>
              <w:pStyle w:val="Table1"/>
              <w:jc w:val="center"/>
              <w:rPr>
                <w:rFonts w:ascii="Garamond" w:eastAsia="Calibri" w:hAnsi="Garamond"/>
                <w:bCs/>
                <w:sz w:val="18"/>
                <w:szCs w:val="18"/>
              </w:rPr>
            </w:pPr>
            <w:r w:rsidRPr="00412B2B">
              <w:rPr>
                <w:rFonts w:ascii="Garamond" w:eastAsia="Calibri" w:hAnsi="Garamond"/>
                <w:b/>
                <w:bCs/>
                <w:sz w:val="18"/>
                <w:szCs w:val="18"/>
              </w:rPr>
              <w:lastRenderedPageBreak/>
              <w:t>MBZHR dhe agjencitë e varësisë</w:t>
            </w:r>
          </w:p>
        </w:tc>
        <w:tc>
          <w:tcPr>
            <w:tcW w:w="1421" w:type="pct"/>
            <w:shd w:val="clear" w:color="auto" w:fill="auto"/>
          </w:tcPr>
          <w:p w14:paraId="0773BA60" w14:textId="7D5A9033" w:rsidR="00F10122" w:rsidRPr="00412B2B" w:rsidRDefault="00F10122" w:rsidP="00D81B97">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Projekte</w:t>
            </w:r>
            <w:r w:rsidR="00CF7694" w:rsidRPr="00412B2B">
              <w:rPr>
                <w:rFonts w:ascii="Garamond" w:eastAsia="Calibri" w:hAnsi="Garamond"/>
                <w:bCs/>
                <w:sz w:val="18"/>
                <w:szCs w:val="18"/>
              </w:rPr>
              <w:t xml:space="preserve"> </w:t>
            </w:r>
            <w:r w:rsidRPr="00412B2B">
              <w:rPr>
                <w:rFonts w:ascii="Garamond" w:eastAsia="Calibri" w:hAnsi="Garamond"/>
                <w:bCs/>
                <w:sz w:val="18"/>
                <w:szCs w:val="18"/>
              </w:rPr>
              <w:t xml:space="preserve">AT për përafrimin e legjislacionit të BE-së </w:t>
            </w:r>
            <w:r w:rsidR="00D81B97" w:rsidRPr="00412B2B">
              <w:rPr>
                <w:rFonts w:ascii="Garamond" w:eastAsia="Calibri" w:hAnsi="Garamond"/>
                <w:bCs/>
                <w:sz w:val="18"/>
                <w:szCs w:val="18"/>
              </w:rPr>
              <w:t>me</w:t>
            </w:r>
            <w:r w:rsidRPr="00412B2B">
              <w:rPr>
                <w:rFonts w:ascii="Garamond" w:eastAsia="Calibri" w:hAnsi="Garamond"/>
                <w:bCs/>
                <w:sz w:val="18"/>
                <w:szCs w:val="18"/>
              </w:rPr>
              <w:t xml:space="preserve"> </w:t>
            </w:r>
            <w:r w:rsidR="00D81B97" w:rsidRPr="00412B2B">
              <w:rPr>
                <w:rFonts w:ascii="Garamond" w:eastAsia="Calibri" w:hAnsi="Garamond"/>
                <w:bCs/>
                <w:sz w:val="18"/>
                <w:szCs w:val="18"/>
              </w:rPr>
              <w:t xml:space="preserve">kapitullin </w:t>
            </w:r>
            <w:r w:rsidRPr="00412B2B">
              <w:rPr>
                <w:rFonts w:ascii="Garamond" w:eastAsia="Calibri" w:hAnsi="Garamond"/>
                <w:bCs/>
                <w:sz w:val="18"/>
                <w:szCs w:val="18"/>
              </w:rPr>
              <w:t>12</w:t>
            </w:r>
          </w:p>
          <w:p w14:paraId="0773BA61" w14:textId="77777777" w:rsidR="00F10122" w:rsidRPr="00412B2B" w:rsidRDefault="00F10122" w:rsidP="00F10122">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Përditësimi dhe përmirësimi i mëtejshëm i bazës së të dhënave të Regjistrit të Kafshëve, sigurimi i një lidhjeje të mirë me bazat e tjera të të dhënave dhe përditësimi i bazës ligjore përkatëse;</w:t>
            </w:r>
          </w:p>
          <w:p w14:paraId="0773BA62" w14:textId="3D873E05" w:rsidR="00F10122" w:rsidRPr="00412B2B" w:rsidRDefault="00F10122" w:rsidP="00F10122">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Përgatitja e planeve të veprimit për boshllëqet institucionale</w:t>
            </w:r>
            <w:r w:rsidR="00CC2C0E" w:rsidRPr="00412B2B">
              <w:rPr>
                <w:rFonts w:ascii="Garamond" w:eastAsia="Calibri" w:hAnsi="Garamond"/>
                <w:bCs/>
                <w:sz w:val="18"/>
                <w:szCs w:val="18"/>
              </w:rPr>
              <w:t>,</w:t>
            </w:r>
            <w:r w:rsidRPr="00412B2B">
              <w:rPr>
                <w:rFonts w:ascii="Garamond" w:eastAsia="Calibri" w:hAnsi="Garamond"/>
                <w:bCs/>
                <w:sz w:val="18"/>
                <w:szCs w:val="18"/>
              </w:rPr>
              <w:t xml:space="preserve"> në lidhje me ushqimin e kafshëve, gjurmueshmërinë e nënprodukteve shtazore (mishi dhe produktet e qumështit), konsolidimin e mëtejshëm të programeve të kontrollit të sëmundjeve të kafshëve (plani i monitorimit për sëmundjet e kafshëve dhe për nënproduktet</w:t>
            </w:r>
            <w:r w:rsidR="00797859" w:rsidRPr="00412B2B">
              <w:rPr>
                <w:rFonts w:ascii="Garamond" w:eastAsia="Calibri" w:hAnsi="Garamond"/>
                <w:bCs/>
                <w:sz w:val="18"/>
                <w:szCs w:val="18"/>
              </w:rPr>
              <w:t>/</w:t>
            </w:r>
            <w:r w:rsidRPr="00412B2B">
              <w:rPr>
                <w:rFonts w:ascii="Garamond" w:eastAsia="Calibri" w:hAnsi="Garamond"/>
                <w:bCs/>
                <w:sz w:val="18"/>
                <w:szCs w:val="18"/>
              </w:rPr>
              <w:t>vlerësimi i riskut për fermat dhe për operatorët e biznesit) etj.;</w:t>
            </w:r>
          </w:p>
          <w:p w14:paraId="0773BA63" w14:textId="77777777" w:rsidR="00F10122" w:rsidRPr="00412B2B" w:rsidRDefault="00F10122" w:rsidP="00F10122">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Përmirësimi i të gjitha procedurave të kontrollit, logjistikës së nevojshme për kontrollet (përfshirë laboratorët e specializuar) dhe bazat e të dhënave përkatëse;</w:t>
            </w:r>
          </w:p>
          <w:p w14:paraId="0773BA64" w14:textId="77777777" w:rsidR="00F10122" w:rsidRPr="00412B2B" w:rsidRDefault="00F10122" w:rsidP="00F10122">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Bashkëpunimi ndërkufitar për parandalimin e sëmundjeve endemike rajonale dhe për sëmundjet e reja/shpërthimet e reja;</w:t>
            </w:r>
          </w:p>
          <w:p w14:paraId="0773BA65" w14:textId="3D52F950" w:rsidR="00F10122" w:rsidRPr="00412B2B" w:rsidRDefault="00F10122" w:rsidP="00F10122">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Përdorimi i pesticideve në nivel ferme dhe monitorimi</w:t>
            </w:r>
            <w:r w:rsidR="00CF7694" w:rsidRPr="00412B2B">
              <w:rPr>
                <w:rFonts w:ascii="Garamond" w:eastAsia="Calibri" w:hAnsi="Garamond"/>
                <w:bCs/>
                <w:sz w:val="18"/>
                <w:szCs w:val="18"/>
              </w:rPr>
              <w:t xml:space="preserve"> </w:t>
            </w:r>
            <w:r w:rsidRPr="00412B2B">
              <w:rPr>
                <w:rFonts w:ascii="Garamond" w:eastAsia="Calibri" w:hAnsi="Garamond"/>
                <w:bCs/>
                <w:sz w:val="18"/>
                <w:szCs w:val="18"/>
              </w:rPr>
              <w:t>i mbetjeve të pesticideve në produktet bimore;</w:t>
            </w:r>
          </w:p>
          <w:p w14:paraId="0773BA66" w14:textId="77777777" w:rsidR="00F10122" w:rsidRPr="00412B2B" w:rsidRDefault="00F10122" w:rsidP="00F10122">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Unifikimi i procedurave të ndryshme të regjistrimit të inputeve bujqësore;</w:t>
            </w:r>
          </w:p>
          <w:p w14:paraId="0773BA67" w14:textId="77777777" w:rsidR="00F10122" w:rsidRPr="00412B2B" w:rsidRDefault="00F10122" w:rsidP="00F10122">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Monitorimi i standardeve të sigurisë ushqimore për fabrikat e agropërpunimit;</w:t>
            </w:r>
          </w:p>
          <w:p w14:paraId="0773BA68" w14:textId="5D2708AF" w:rsidR="00F10122" w:rsidRPr="00412B2B" w:rsidRDefault="00F10122" w:rsidP="00F10122">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Fuqizimi i laboratorëve në fushën e</w:t>
            </w:r>
            <w:r w:rsidR="00CF7694" w:rsidRPr="00412B2B">
              <w:rPr>
                <w:rFonts w:ascii="Garamond" w:eastAsia="Calibri" w:hAnsi="Garamond"/>
                <w:bCs/>
                <w:sz w:val="18"/>
                <w:szCs w:val="18"/>
              </w:rPr>
              <w:t xml:space="preserve"> </w:t>
            </w:r>
            <w:r w:rsidRPr="00412B2B">
              <w:rPr>
                <w:rFonts w:ascii="Garamond" w:eastAsia="Calibri" w:hAnsi="Garamond"/>
                <w:bCs/>
                <w:sz w:val="18"/>
                <w:szCs w:val="18"/>
              </w:rPr>
              <w:t>sigurisë ushqimore, shëndetit të kafshëve dhe mbrojtjes së bimëve</w:t>
            </w:r>
            <w:r w:rsidR="00CC2C0E" w:rsidRPr="00412B2B">
              <w:rPr>
                <w:rFonts w:ascii="Garamond" w:eastAsia="Calibri" w:hAnsi="Garamond"/>
                <w:bCs/>
                <w:sz w:val="18"/>
                <w:szCs w:val="18"/>
              </w:rPr>
              <w:t>;</w:t>
            </w:r>
          </w:p>
          <w:p w14:paraId="0773BA69" w14:textId="08631B9D" w:rsidR="00F10122" w:rsidRPr="00412B2B" w:rsidRDefault="00F10122" w:rsidP="00F10122">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Hartimi i një plani veprimi për përmirësimin e cilësisë së qumështit</w:t>
            </w:r>
            <w:r w:rsidR="00CC2C0E" w:rsidRPr="00412B2B">
              <w:rPr>
                <w:rFonts w:ascii="Garamond" w:eastAsia="Calibri" w:hAnsi="Garamond"/>
                <w:bCs/>
                <w:sz w:val="18"/>
                <w:szCs w:val="18"/>
              </w:rPr>
              <w:t>;</w:t>
            </w:r>
          </w:p>
          <w:p w14:paraId="0773BA6A" w14:textId="77777777" w:rsidR="00F10122" w:rsidRPr="00412B2B" w:rsidRDefault="00F10122" w:rsidP="00F10122">
            <w:pPr>
              <w:pStyle w:val="Table1"/>
              <w:keepNext/>
              <w:numPr>
                <w:ilvl w:val="0"/>
                <w:numId w:val="26"/>
              </w:numPr>
              <w:ind w:left="170" w:hanging="170"/>
              <w:rPr>
                <w:rFonts w:ascii="Garamond" w:eastAsia="Calibri" w:hAnsi="Garamond"/>
                <w:bCs/>
                <w:sz w:val="18"/>
                <w:szCs w:val="18"/>
              </w:rPr>
            </w:pPr>
            <w:r w:rsidRPr="00412B2B">
              <w:rPr>
                <w:rFonts w:ascii="Garamond" w:eastAsia="Calibri" w:hAnsi="Garamond"/>
                <w:bCs/>
                <w:sz w:val="18"/>
                <w:szCs w:val="18"/>
              </w:rPr>
              <w:t>Këshillim për negociatat me BE-në.</w:t>
            </w:r>
          </w:p>
        </w:tc>
        <w:tc>
          <w:tcPr>
            <w:tcW w:w="2015" w:type="pct"/>
            <w:shd w:val="clear" w:color="auto" w:fill="auto"/>
            <w:vAlign w:val="center"/>
          </w:tcPr>
          <w:p w14:paraId="0773BA6B" w14:textId="09092769" w:rsidR="00F10122" w:rsidRPr="00412B2B" w:rsidRDefault="00F10122" w:rsidP="006C3F14">
            <w:pPr>
              <w:pStyle w:val="Table1"/>
              <w:jc w:val="both"/>
              <w:rPr>
                <w:rFonts w:ascii="Garamond" w:hAnsi="Garamond"/>
                <w:sz w:val="18"/>
                <w:szCs w:val="18"/>
              </w:rPr>
            </w:pPr>
            <w:r w:rsidRPr="00412B2B">
              <w:rPr>
                <w:rFonts w:ascii="Garamond" w:hAnsi="Garamond"/>
                <w:sz w:val="18"/>
                <w:szCs w:val="18"/>
              </w:rPr>
              <w:t>Identifikimi i mbështetjes më të përshtatshme me</w:t>
            </w:r>
            <w:r w:rsidR="00CF7694" w:rsidRPr="00412B2B">
              <w:rPr>
                <w:rFonts w:ascii="Garamond" w:hAnsi="Garamond"/>
                <w:sz w:val="18"/>
                <w:szCs w:val="18"/>
              </w:rPr>
              <w:t xml:space="preserve"> </w:t>
            </w:r>
            <w:r w:rsidRPr="00412B2B">
              <w:rPr>
                <w:rFonts w:ascii="Garamond" w:hAnsi="Garamond"/>
                <w:sz w:val="18"/>
                <w:szCs w:val="18"/>
              </w:rPr>
              <w:t>AT (TAIEX, IPA III, Donatorët) dhe përgatitja e kërkesave.</w:t>
            </w:r>
          </w:p>
          <w:p w14:paraId="0773BA6D" w14:textId="38471B5C" w:rsidR="00F10122" w:rsidRPr="00412B2B" w:rsidRDefault="00F10122" w:rsidP="00F10122">
            <w:pPr>
              <w:pStyle w:val="Table1"/>
              <w:jc w:val="both"/>
              <w:rPr>
                <w:rFonts w:ascii="Garamond" w:hAnsi="Garamond"/>
                <w:sz w:val="18"/>
                <w:szCs w:val="18"/>
              </w:rPr>
            </w:pPr>
            <w:r w:rsidRPr="00412B2B">
              <w:rPr>
                <w:rFonts w:ascii="Garamond" w:hAnsi="Garamond"/>
                <w:sz w:val="18"/>
                <w:szCs w:val="18"/>
              </w:rPr>
              <w:t>MBZHR dhe agjencitë e varësisë duhet të planifikojnë burime të mjaftueshme njerëzore shtesë për ndërhyrjet</w:t>
            </w:r>
            <w:r w:rsidR="00CF7694" w:rsidRPr="00412B2B">
              <w:rPr>
                <w:rFonts w:ascii="Garamond" w:hAnsi="Garamond"/>
                <w:sz w:val="18"/>
                <w:szCs w:val="18"/>
              </w:rPr>
              <w:t xml:space="preserve"> </w:t>
            </w:r>
            <w:r w:rsidRPr="00412B2B">
              <w:rPr>
                <w:rFonts w:ascii="Garamond" w:hAnsi="Garamond"/>
                <w:sz w:val="18"/>
                <w:szCs w:val="18"/>
              </w:rPr>
              <w:t>e reja.</w:t>
            </w:r>
          </w:p>
        </w:tc>
        <w:tc>
          <w:tcPr>
            <w:tcW w:w="291" w:type="pct"/>
            <w:shd w:val="clear" w:color="auto" w:fill="auto"/>
            <w:vAlign w:val="center"/>
          </w:tcPr>
          <w:p w14:paraId="0773BA6E"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A6F"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p w14:paraId="0773BA70"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A71"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A79" w14:textId="77777777" w:rsidTr="000727D2">
        <w:trPr>
          <w:trHeight w:val="20"/>
        </w:trPr>
        <w:tc>
          <w:tcPr>
            <w:tcW w:w="601" w:type="pct"/>
            <w:vMerge w:val="restart"/>
            <w:shd w:val="clear" w:color="auto" w:fill="auto"/>
            <w:vAlign w:val="center"/>
          </w:tcPr>
          <w:p w14:paraId="0773BA73" w14:textId="52FD8696" w:rsidR="00F10122" w:rsidRPr="00412B2B" w:rsidRDefault="00F10122" w:rsidP="00F10122">
            <w:pPr>
              <w:pStyle w:val="Table1"/>
              <w:jc w:val="center"/>
              <w:rPr>
                <w:rFonts w:ascii="Garamond" w:eastAsia="Arial Narrow" w:hAnsi="Garamond" w:cs="Arial Narrow"/>
                <w:b/>
                <w:bCs/>
                <w:sz w:val="18"/>
                <w:szCs w:val="18"/>
              </w:rPr>
            </w:pPr>
            <w:r w:rsidRPr="00412B2B">
              <w:rPr>
                <w:rFonts w:ascii="Garamond" w:eastAsia="Arial Narrow" w:hAnsi="Garamond" w:cs="Arial Narrow"/>
                <w:b/>
                <w:bCs/>
                <w:sz w:val="18"/>
                <w:szCs w:val="18"/>
              </w:rPr>
              <w:t>MBZHR</w:t>
            </w:r>
            <w:r w:rsidR="00CF7694" w:rsidRPr="00412B2B">
              <w:rPr>
                <w:rFonts w:ascii="Garamond" w:eastAsia="Arial Narrow" w:hAnsi="Garamond" w:cs="Arial Narrow"/>
                <w:b/>
                <w:bCs/>
                <w:sz w:val="18"/>
                <w:szCs w:val="18"/>
              </w:rPr>
              <w:t xml:space="preserve"> </w:t>
            </w:r>
            <w:r w:rsidRPr="00412B2B">
              <w:rPr>
                <w:rFonts w:ascii="Garamond" w:eastAsia="Arial Narrow" w:hAnsi="Garamond" w:cs="Arial Narrow"/>
                <w:b/>
                <w:bCs/>
                <w:sz w:val="18"/>
                <w:szCs w:val="18"/>
              </w:rPr>
              <w:t>DP e</w:t>
            </w:r>
            <w:r w:rsidR="00CF7694" w:rsidRPr="00412B2B">
              <w:rPr>
                <w:rFonts w:ascii="Garamond" w:eastAsia="Arial Narrow" w:hAnsi="Garamond" w:cs="Arial Narrow"/>
                <w:b/>
                <w:bCs/>
                <w:sz w:val="18"/>
                <w:szCs w:val="18"/>
              </w:rPr>
              <w:t xml:space="preserve"> </w:t>
            </w:r>
            <w:r w:rsidRPr="00412B2B">
              <w:rPr>
                <w:rFonts w:ascii="Garamond" w:eastAsia="Arial Narrow" w:hAnsi="Garamond" w:cs="Arial Narrow"/>
                <w:b/>
                <w:bCs/>
                <w:sz w:val="18"/>
                <w:szCs w:val="18"/>
              </w:rPr>
              <w:t xml:space="preserve">Peshkimit dhe </w:t>
            </w:r>
            <w:r w:rsidR="00CC2C0E" w:rsidRPr="00412B2B">
              <w:rPr>
                <w:rFonts w:ascii="Garamond" w:eastAsia="Arial Narrow" w:hAnsi="Garamond" w:cs="Arial Narrow"/>
                <w:b/>
                <w:bCs/>
                <w:sz w:val="18"/>
                <w:szCs w:val="18"/>
              </w:rPr>
              <w:t>Akuakultur</w:t>
            </w:r>
            <w:r w:rsidR="00CC2C0E" w:rsidRPr="00412B2B">
              <w:rPr>
                <w:rFonts w:ascii="Garamond" w:eastAsia="Calibri" w:hAnsi="Garamond"/>
                <w:b/>
                <w:bCs/>
                <w:sz w:val="18"/>
                <w:szCs w:val="18"/>
              </w:rPr>
              <w:t>ës</w:t>
            </w:r>
          </w:p>
        </w:tc>
        <w:tc>
          <w:tcPr>
            <w:tcW w:w="1421" w:type="pct"/>
            <w:shd w:val="clear" w:color="auto" w:fill="auto"/>
          </w:tcPr>
          <w:p w14:paraId="0773BA74" w14:textId="77777777"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Grandet për rinovimin e flotës së peshkimit, pa rritur sforcot e peshkimit</w:t>
            </w:r>
          </w:p>
        </w:tc>
        <w:tc>
          <w:tcPr>
            <w:tcW w:w="2015" w:type="pct"/>
            <w:shd w:val="clear" w:color="auto" w:fill="auto"/>
          </w:tcPr>
          <w:p w14:paraId="0773BA75" w14:textId="77777777" w:rsidR="00F10122" w:rsidRPr="00412B2B" w:rsidRDefault="00F10122" w:rsidP="00F10122">
            <w:pPr>
              <w:pStyle w:val="Table1"/>
              <w:rPr>
                <w:rFonts w:ascii="Garamond" w:hAnsi="Garamond"/>
                <w:sz w:val="18"/>
                <w:szCs w:val="18"/>
              </w:rPr>
            </w:pPr>
            <w:r w:rsidRPr="00412B2B">
              <w:rPr>
                <w:rFonts w:ascii="Garamond" w:hAnsi="Garamond"/>
                <w:sz w:val="18"/>
                <w:szCs w:val="18"/>
              </w:rPr>
              <w:t>Sigurimi i një procesi zbatimi operacional dhe transparent të buxhetit të alokuar</w:t>
            </w:r>
          </w:p>
        </w:tc>
        <w:tc>
          <w:tcPr>
            <w:tcW w:w="291" w:type="pct"/>
            <w:shd w:val="clear" w:color="auto" w:fill="auto"/>
            <w:vAlign w:val="center"/>
          </w:tcPr>
          <w:p w14:paraId="0773BA76"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A77"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A78"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A81" w14:textId="77777777" w:rsidTr="000727D2">
        <w:trPr>
          <w:trHeight w:val="20"/>
        </w:trPr>
        <w:tc>
          <w:tcPr>
            <w:tcW w:w="601" w:type="pct"/>
            <w:vMerge/>
            <w:shd w:val="clear" w:color="auto" w:fill="auto"/>
            <w:vAlign w:val="center"/>
          </w:tcPr>
          <w:p w14:paraId="0773BA7A" w14:textId="77777777" w:rsidR="00F10122" w:rsidRPr="00412B2B" w:rsidRDefault="00F10122" w:rsidP="00F10122">
            <w:pPr>
              <w:pStyle w:val="Table1"/>
              <w:jc w:val="center"/>
              <w:rPr>
                <w:rFonts w:ascii="Garamond" w:eastAsia="Arial Narrow" w:hAnsi="Garamond" w:cs="Arial Narrow"/>
                <w:b/>
                <w:bCs/>
                <w:sz w:val="18"/>
                <w:szCs w:val="18"/>
              </w:rPr>
            </w:pPr>
          </w:p>
        </w:tc>
        <w:tc>
          <w:tcPr>
            <w:tcW w:w="1421" w:type="pct"/>
            <w:shd w:val="clear" w:color="auto" w:fill="auto"/>
          </w:tcPr>
          <w:p w14:paraId="0773BA7B" w14:textId="77777777"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Investime për përmirësimin e kapacitetit ankorues të anijeve të peshkimit</w:t>
            </w:r>
          </w:p>
        </w:tc>
        <w:tc>
          <w:tcPr>
            <w:tcW w:w="2015" w:type="pct"/>
            <w:vMerge w:val="restart"/>
            <w:shd w:val="clear" w:color="auto" w:fill="auto"/>
            <w:vAlign w:val="center"/>
          </w:tcPr>
          <w:p w14:paraId="0773BA7C" w14:textId="0A880D11" w:rsidR="00F10122" w:rsidRPr="00412B2B" w:rsidRDefault="00F10122" w:rsidP="00F10122">
            <w:pPr>
              <w:pStyle w:val="Table1"/>
              <w:rPr>
                <w:rFonts w:ascii="Garamond" w:hAnsi="Garamond"/>
                <w:sz w:val="18"/>
                <w:szCs w:val="18"/>
              </w:rPr>
            </w:pPr>
            <w:r w:rsidRPr="00412B2B">
              <w:rPr>
                <w:rFonts w:ascii="Garamond" w:hAnsi="Garamond"/>
                <w:sz w:val="18"/>
                <w:szCs w:val="18"/>
              </w:rPr>
              <w:t>Sigurimi i një procesi zbatimi operacional dhe transparent të buxhetit</w:t>
            </w:r>
            <w:r w:rsidR="00CF7694" w:rsidRPr="00412B2B">
              <w:rPr>
                <w:rFonts w:ascii="Garamond" w:hAnsi="Garamond"/>
                <w:sz w:val="18"/>
                <w:szCs w:val="18"/>
              </w:rPr>
              <w:t xml:space="preserve"> </w:t>
            </w:r>
            <w:r w:rsidRPr="00412B2B">
              <w:rPr>
                <w:rFonts w:ascii="Garamond" w:hAnsi="Garamond"/>
                <w:sz w:val="18"/>
                <w:szCs w:val="18"/>
              </w:rPr>
              <w:t>të alokuar</w:t>
            </w:r>
          </w:p>
          <w:p w14:paraId="0773BA7D" w14:textId="25324E88" w:rsidR="00F10122" w:rsidRPr="00412B2B" w:rsidRDefault="00F10122" w:rsidP="00F10122">
            <w:pPr>
              <w:pStyle w:val="Table1"/>
              <w:rPr>
                <w:rFonts w:ascii="Garamond" w:hAnsi="Garamond"/>
                <w:sz w:val="18"/>
                <w:szCs w:val="18"/>
              </w:rPr>
            </w:pPr>
            <w:r w:rsidRPr="00412B2B">
              <w:rPr>
                <w:rFonts w:ascii="Garamond" w:hAnsi="Garamond"/>
                <w:sz w:val="18"/>
                <w:szCs w:val="18"/>
              </w:rPr>
              <w:t>Diskutim me donatorët potencial</w:t>
            </w:r>
            <w:r w:rsidR="00504EFE" w:rsidRPr="00412B2B">
              <w:rPr>
                <w:rFonts w:ascii="Garamond" w:hAnsi="Garamond"/>
                <w:sz w:val="18"/>
                <w:szCs w:val="18"/>
              </w:rPr>
              <w:t>ë</w:t>
            </w:r>
            <w:r w:rsidRPr="00412B2B">
              <w:rPr>
                <w:rFonts w:ascii="Garamond" w:hAnsi="Garamond"/>
                <w:sz w:val="18"/>
                <w:szCs w:val="18"/>
              </w:rPr>
              <w:t xml:space="preserve"> për</w:t>
            </w:r>
            <w:r w:rsidR="00CF7694" w:rsidRPr="00412B2B">
              <w:rPr>
                <w:rFonts w:ascii="Garamond" w:hAnsi="Garamond"/>
                <w:sz w:val="18"/>
                <w:szCs w:val="18"/>
              </w:rPr>
              <w:t xml:space="preserve"> </w:t>
            </w:r>
            <w:r w:rsidR="009F203D">
              <w:rPr>
                <w:rFonts w:ascii="Garamond" w:hAnsi="Garamond"/>
                <w:sz w:val="18"/>
                <w:szCs w:val="18"/>
              </w:rPr>
              <w:t>mbështetje financiare</w:t>
            </w:r>
            <w:r w:rsidRPr="00412B2B">
              <w:rPr>
                <w:rFonts w:ascii="Garamond" w:hAnsi="Garamond"/>
                <w:sz w:val="18"/>
                <w:szCs w:val="18"/>
              </w:rPr>
              <w:t>.</w:t>
            </w:r>
          </w:p>
        </w:tc>
        <w:tc>
          <w:tcPr>
            <w:tcW w:w="291" w:type="pct"/>
            <w:shd w:val="clear" w:color="auto" w:fill="auto"/>
            <w:vAlign w:val="center"/>
          </w:tcPr>
          <w:p w14:paraId="0773BA7E"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A7F"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A80" w14:textId="77777777" w:rsidR="00F10122" w:rsidRPr="00412B2B" w:rsidRDefault="00F10122" w:rsidP="00F10122">
            <w:pPr>
              <w:pStyle w:val="Table1"/>
              <w:jc w:val="center"/>
              <w:rPr>
                <w:rFonts w:ascii="Garamond" w:hAnsi="Garamond"/>
                <w:b/>
                <w:sz w:val="18"/>
                <w:szCs w:val="18"/>
              </w:rPr>
            </w:pPr>
          </w:p>
        </w:tc>
      </w:tr>
      <w:tr w:rsidR="00F10122" w:rsidRPr="00412B2B" w14:paraId="0773BA88" w14:textId="77777777" w:rsidTr="000727D2">
        <w:trPr>
          <w:trHeight w:val="20"/>
        </w:trPr>
        <w:tc>
          <w:tcPr>
            <w:tcW w:w="601" w:type="pct"/>
            <w:vMerge/>
            <w:shd w:val="clear" w:color="auto" w:fill="auto"/>
            <w:vAlign w:val="center"/>
          </w:tcPr>
          <w:p w14:paraId="0773BA82" w14:textId="77777777" w:rsidR="00F10122" w:rsidRPr="00412B2B" w:rsidRDefault="00F10122" w:rsidP="00F10122">
            <w:pPr>
              <w:pStyle w:val="Table1"/>
              <w:jc w:val="center"/>
              <w:rPr>
                <w:rFonts w:ascii="Garamond" w:eastAsia="Arial Narrow" w:hAnsi="Garamond" w:cs="Arial Narrow"/>
                <w:b/>
                <w:bCs/>
                <w:sz w:val="18"/>
                <w:szCs w:val="18"/>
              </w:rPr>
            </w:pPr>
          </w:p>
        </w:tc>
        <w:tc>
          <w:tcPr>
            <w:tcW w:w="1421" w:type="pct"/>
            <w:shd w:val="clear" w:color="auto" w:fill="auto"/>
          </w:tcPr>
          <w:p w14:paraId="0773BA83" w14:textId="6321174F" w:rsidR="00F10122" w:rsidRPr="00412B2B" w:rsidRDefault="00F10122" w:rsidP="00CC2C0E">
            <w:pPr>
              <w:pStyle w:val="Table1"/>
              <w:rPr>
                <w:rFonts w:ascii="Garamond" w:eastAsia="Calibri" w:hAnsi="Garamond"/>
                <w:bCs/>
                <w:sz w:val="18"/>
                <w:szCs w:val="18"/>
              </w:rPr>
            </w:pPr>
            <w:r w:rsidRPr="00412B2B">
              <w:rPr>
                <w:rFonts w:ascii="Garamond" w:eastAsia="Calibri" w:hAnsi="Garamond"/>
                <w:bCs/>
                <w:sz w:val="18"/>
                <w:szCs w:val="18"/>
              </w:rPr>
              <w:t xml:space="preserve">Vazhdimi i programit të tregtimit të peshkut me </w:t>
            </w:r>
            <w:r w:rsidRPr="00412B2B">
              <w:rPr>
                <w:rFonts w:ascii="Garamond" w:eastAsia="Calibri" w:hAnsi="Garamond"/>
                <w:bCs/>
                <w:sz w:val="18"/>
                <w:szCs w:val="18"/>
              </w:rPr>
              <w:lastRenderedPageBreak/>
              <w:t>shumicë duke rritur formalizimin e sektorit.</w:t>
            </w:r>
          </w:p>
        </w:tc>
        <w:tc>
          <w:tcPr>
            <w:tcW w:w="2015" w:type="pct"/>
            <w:vMerge/>
            <w:shd w:val="clear" w:color="auto" w:fill="auto"/>
          </w:tcPr>
          <w:p w14:paraId="0773BA84" w14:textId="77777777" w:rsidR="00F10122" w:rsidRPr="00412B2B" w:rsidRDefault="00F10122" w:rsidP="00F10122">
            <w:pPr>
              <w:pStyle w:val="Table1"/>
              <w:rPr>
                <w:rFonts w:ascii="Garamond" w:hAnsi="Garamond"/>
                <w:sz w:val="18"/>
                <w:szCs w:val="18"/>
              </w:rPr>
            </w:pPr>
          </w:p>
        </w:tc>
        <w:tc>
          <w:tcPr>
            <w:tcW w:w="291" w:type="pct"/>
            <w:vMerge w:val="restart"/>
            <w:shd w:val="clear" w:color="auto" w:fill="auto"/>
            <w:vAlign w:val="center"/>
          </w:tcPr>
          <w:p w14:paraId="0773BA85"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vMerge w:val="restart"/>
            <w:shd w:val="clear" w:color="auto" w:fill="auto"/>
            <w:vAlign w:val="center"/>
          </w:tcPr>
          <w:p w14:paraId="0773BA86"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vMerge w:val="restart"/>
            <w:shd w:val="clear" w:color="auto" w:fill="auto"/>
            <w:vAlign w:val="center"/>
          </w:tcPr>
          <w:p w14:paraId="0773BA87"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A8F" w14:textId="77777777" w:rsidTr="000727D2">
        <w:trPr>
          <w:trHeight w:val="20"/>
        </w:trPr>
        <w:tc>
          <w:tcPr>
            <w:tcW w:w="601" w:type="pct"/>
            <w:vMerge/>
            <w:shd w:val="clear" w:color="auto" w:fill="auto"/>
            <w:vAlign w:val="center"/>
          </w:tcPr>
          <w:p w14:paraId="0773BA89" w14:textId="77777777" w:rsidR="00F10122" w:rsidRPr="00412B2B" w:rsidRDefault="00F10122" w:rsidP="00F10122">
            <w:pPr>
              <w:pStyle w:val="Table1"/>
              <w:jc w:val="center"/>
              <w:rPr>
                <w:rFonts w:ascii="Garamond" w:eastAsia="Arial Narrow" w:hAnsi="Garamond" w:cs="Arial Narrow"/>
                <w:b/>
                <w:bCs/>
                <w:sz w:val="18"/>
                <w:szCs w:val="18"/>
              </w:rPr>
            </w:pPr>
          </w:p>
        </w:tc>
        <w:tc>
          <w:tcPr>
            <w:tcW w:w="1421" w:type="pct"/>
            <w:shd w:val="clear" w:color="auto" w:fill="auto"/>
          </w:tcPr>
          <w:p w14:paraId="0773BA8A" w14:textId="77777777"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Programi mbështetës për FF, formalizimi i sektorit dhe ndërtimi i vendeve të zbarkimit për peshkimin në shkallë të vogël</w:t>
            </w:r>
          </w:p>
        </w:tc>
        <w:tc>
          <w:tcPr>
            <w:tcW w:w="2015" w:type="pct"/>
            <w:vMerge/>
            <w:shd w:val="clear" w:color="auto" w:fill="auto"/>
          </w:tcPr>
          <w:p w14:paraId="0773BA8B" w14:textId="77777777" w:rsidR="00F10122" w:rsidRPr="00412B2B" w:rsidRDefault="00F10122" w:rsidP="00F10122">
            <w:pPr>
              <w:pStyle w:val="Table1"/>
              <w:rPr>
                <w:rFonts w:ascii="Garamond" w:hAnsi="Garamond"/>
                <w:sz w:val="18"/>
                <w:szCs w:val="18"/>
              </w:rPr>
            </w:pPr>
          </w:p>
        </w:tc>
        <w:tc>
          <w:tcPr>
            <w:tcW w:w="291" w:type="pct"/>
            <w:vMerge/>
            <w:shd w:val="clear" w:color="auto" w:fill="auto"/>
            <w:vAlign w:val="center"/>
          </w:tcPr>
          <w:p w14:paraId="0773BA8C" w14:textId="77777777" w:rsidR="00F10122" w:rsidRPr="00412B2B" w:rsidRDefault="00F10122" w:rsidP="00F10122">
            <w:pPr>
              <w:pStyle w:val="Table1"/>
              <w:jc w:val="center"/>
              <w:rPr>
                <w:rFonts w:ascii="Garamond" w:hAnsi="Garamond"/>
                <w:b/>
                <w:sz w:val="18"/>
                <w:szCs w:val="18"/>
              </w:rPr>
            </w:pPr>
          </w:p>
        </w:tc>
        <w:tc>
          <w:tcPr>
            <w:tcW w:w="336" w:type="pct"/>
            <w:vMerge/>
            <w:shd w:val="clear" w:color="auto" w:fill="auto"/>
            <w:vAlign w:val="center"/>
          </w:tcPr>
          <w:p w14:paraId="0773BA8D" w14:textId="77777777" w:rsidR="00F10122" w:rsidRPr="00412B2B" w:rsidRDefault="00F10122" w:rsidP="00F10122">
            <w:pPr>
              <w:pStyle w:val="Table1"/>
              <w:jc w:val="center"/>
              <w:rPr>
                <w:rFonts w:ascii="Garamond" w:hAnsi="Garamond"/>
                <w:b/>
                <w:sz w:val="18"/>
                <w:szCs w:val="18"/>
              </w:rPr>
            </w:pPr>
          </w:p>
        </w:tc>
        <w:tc>
          <w:tcPr>
            <w:tcW w:w="336" w:type="pct"/>
            <w:vMerge/>
            <w:shd w:val="clear" w:color="auto" w:fill="auto"/>
            <w:vAlign w:val="center"/>
          </w:tcPr>
          <w:p w14:paraId="0773BA8E" w14:textId="77777777" w:rsidR="00F10122" w:rsidRPr="00412B2B" w:rsidRDefault="00F10122" w:rsidP="00F10122">
            <w:pPr>
              <w:pStyle w:val="Table1"/>
              <w:jc w:val="center"/>
              <w:rPr>
                <w:rFonts w:ascii="Garamond" w:hAnsi="Garamond"/>
                <w:b/>
                <w:sz w:val="18"/>
                <w:szCs w:val="18"/>
              </w:rPr>
            </w:pPr>
          </w:p>
        </w:tc>
      </w:tr>
      <w:tr w:rsidR="00F10122" w:rsidRPr="00412B2B" w14:paraId="0773BA96" w14:textId="77777777" w:rsidTr="000727D2">
        <w:trPr>
          <w:trHeight w:val="20"/>
        </w:trPr>
        <w:tc>
          <w:tcPr>
            <w:tcW w:w="601" w:type="pct"/>
            <w:vMerge/>
            <w:shd w:val="clear" w:color="auto" w:fill="auto"/>
            <w:vAlign w:val="center"/>
          </w:tcPr>
          <w:p w14:paraId="0773BA90" w14:textId="77777777" w:rsidR="00F10122" w:rsidRPr="00412B2B" w:rsidRDefault="00F10122" w:rsidP="00F10122">
            <w:pPr>
              <w:pStyle w:val="Table1"/>
              <w:jc w:val="center"/>
              <w:rPr>
                <w:rFonts w:ascii="Garamond" w:eastAsia="Arial Narrow" w:hAnsi="Garamond" w:cs="Arial Narrow"/>
                <w:b/>
                <w:bCs/>
                <w:sz w:val="18"/>
                <w:szCs w:val="18"/>
              </w:rPr>
            </w:pPr>
          </w:p>
        </w:tc>
        <w:tc>
          <w:tcPr>
            <w:tcW w:w="1421" w:type="pct"/>
            <w:shd w:val="clear" w:color="auto" w:fill="auto"/>
          </w:tcPr>
          <w:p w14:paraId="0773BA91" w14:textId="1CE22B6E"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Rritja e kuotave të eksportit për në</w:t>
            </w:r>
            <w:r w:rsidR="00CF7694" w:rsidRPr="00412B2B">
              <w:rPr>
                <w:rFonts w:ascii="Garamond" w:eastAsia="Calibri" w:hAnsi="Garamond"/>
                <w:bCs/>
                <w:sz w:val="18"/>
                <w:szCs w:val="18"/>
              </w:rPr>
              <w:t xml:space="preserve"> </w:t>
            </w:r>
            <w:r w:rsidRPr="00412B2B">
              <w:rPr>
                <w:rFonts w:ascii="Garamond" w:eastAsia="Calibri" w:hAnsi="Garamond"/>
                <w:bCs/>
                <w:sz w:val="18"/>
                <w:szCs w:val="18"/>
              </w:rPr>
              <w:t>BE për speciet që aktualisht janë të kufizuara</w:t>
            </w:r>
          </w:p>
        </w:tc>
        <w:tc>
          <w:tcPr>
            <w:tcW w:w="2015" w:type="pct"/>
            <w:shd w:val="clear" w:color="auto" w:fill="auto"/>
          </w:tcPr>
          <w:p w14:paraId="0773BA92" w14:textId="69E6EA45" w:rsidR="00F10122" w:rsidRPr="00412B2B" w:rsidRDefault="00F10122" w:rsidP="00F10122">
            <w:pPr>
              <w:pStyle w:val="Table1"/>
              <w:rPr>
                <w:rFonts w:ascii="Garamond" w:hAnsi="Garamond"/>
                <w:sz w:val="18"/>
                <w:szCs w:val="18"/>
              </w:rPr>
            </w:pPr>
            <w:r w:rsidRPr="00412B2B">
              <w:rPr>
                <w:rFonts w:ascii="Garamond" w:hAnsi="Garamond"/>
                <w:sz w:val="18"/>
                <w:szCs w:val="18"/>
              </w:rPr>
              <w:t xml:space="preserve">Përgatitja e një strategjie negocimi </w:t>
            </w:r>
            <w:r w:rsidR="009F203D">
              <w:rPr>
                <w:rFonts w:ascii="Garamond" w:hAnsi="Garamond"/>
                <w:sz w:val="18"/>
                <w:szCs w:val="18"/>
              </w:rPr>
              <w:t>me BE-në për kuotat e peshkimit</w:t>
            </w:r>
            <w:r w:rsidRPr="00412B2B">
              <w:rPr>
                <w:rFonts w:ascii="Garamond" w:hAnsi="Garamond"/>
                <w:sz w:val="18"/>
                <w:szCs w:val="18"/>
              </w:rPr>
              <w:t>.</w:t>
            </w:r>
          </w:p>
        </w:tc>
        <w:tc>
          <w:tcPr>
            <w:tcW w:w="291" w:type="pct"/>
            <w:shd w:val="clear" w:color="auto" w:fill="auto"/>
            <w:vAlign w:val="center"/>
          </w:tcPr>
          <w:p w14:paraId="0773BA93"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A94"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A95" w14:textId="77777777" w:rsidR="00F10122" w:rsidRPr="00412B2B" w:rsidRDefault="00F10122" w:rsidP="00F10122">
            <w:pPr>
              <w:pStyle w:val="Table1"/>
              <w:jc w:val="center"/>
              <w:rPr>
                <w:rFonts w:ascii="Garamond" w:hAnsi="Garamond"/>
                <w:b/>
                <w:sz w:val="18"/>
                <w:szCs w:val="18"/>
              </w:rPr>
            </w:pPr>
          </w:p>
        </w:tc>
      </w:tr>
      <w:tr w:rsidR="00F10122" w:rsidRPr="00412B2B" w14:paraId="0773BA9D" w14:textId="77777777" w:rsidTr="000727D2">
        <w:trPr>
          <w:trHeight w:val="20"/>
        </w:trPr>
        <w:tc>
          <w:tcPr>
            <w:tcW w:w="601" w:type="pct"/>
            <w:vMerge/>
            <w:shd w:val="clear" w:color="auto" w:fill="auto"/>
            <w:vAlign w:val="center"/>
          </w:tcPr>
          <w:p w14:paraId="0773BA97" w14:textId="77777777" w:rsidR="00F10122" w:rsidRPr="00412B2B" w:rsidRDefault="00F10122" w:rsidP="00F10122">
            <w:pPr>
              <w:pStyle w:val="Table1"/>
              <w:jc w:val="center"/>
              <w:rPr>
                <w:rFonts w:ascii="Garamond" w:eastAsia="Arial Narrow" w:hAnsi="Garamond" w:cs="Arial Narrow"/>
                <w:b/>
                <w:bCs/>
                <w:sz w:val="18"/>
                <w:szCs w:val="18"/>
              </w:rPr>
            </w:pPr>
          </w:p>
        </w:tc>
        <w:tc>
          <w:tcPr>
            <w:tcW w:w="1421" w:type="pct"/>
            <w:shd w:val="clear" w:color="auto" w:fill="auto"/>
          </w:tcPr>
          <w:p w14:paraId="0773BA98" w14:textId="0342F86A"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Llojet e reja që i nënshtro</w:t>
            </w:r>
            <w:r w:rsidR="00880CE6" w:rsidRPr="00412B2B">
              <w:rPr>
                <w:rFonts w:ascii="Garamond" w:eastAsia="Calibri" w:hAnsi="Garamond"/>
                <w:bCs/>
                <w:sz w:val="18"/>
                <w:szCs w:val="18"/>
              </w:rPr>
              <w:t>hen përpunimit (p.sh., molusqet</w:t>
            </w:r>
            <w:r w:rsidRPr="00412B2B">
              <w:rPr>
                <w:rFonts w:ascii="Garamond" w:eastAsia="Calibri" w:hAnsi="Garamond"/>
                <w:bCs/>
                <w:sz w:val="18"/>
                <w:szCs w:val="18"/>
              </w:rPr>
              <w:t>).</w:t>
            </w:r>
          </w:p>
        </w:tc>
        <w:tc>
          <w:tcPr>
            <w:tcW w:w="2015" w:type="pct"/>
            <w:shd w:val="clear" w:color="auto" w:fill="auto"/>
          </w:tcPr>
          <w:p w14:paraId="0773BA99" w14:textId="165EE93F" w:rsidR="00F10122" w:rsidRPr="00412B2B" w:rsidRDefault="00F10122" w:rsidP="00F10122">
            <w:pPr>
              <w:pStyle w:val="Table1"/>
              <w:rPr>
                <w:rFonts w:ascii="Garamond" w:hAnsi="Garamond"/>
                <w:sz w:val="18"/>
                <w:szCs w:val="18"/>
              </w:rPr>
            </w:pPr>
            <w:r w:rsidRPr="00412B2B">
              <w:rPr>
                <w:rFonts w:ascii="Garamond" w:hAnsi="Garamond"/>
                <w:sz w:val="18"/>
                <w:szCs w:val="18"/>
              </w:rPr>
              <w:t>IPARD III</w:t>
            </w:r>
            <w:r w:rsidR="00880CE6" w:rsidRPr="00412B2B">
              <w:rPr>
                <w:rFonts w:ascii="Garamond" w:hAnsi="Garamond"/>
                <w:sz w:val="18"/>
                <w:szCs w:val="18"/>
              </w:rPr>
              <w:t>,</w:t>
            </w:r>
            <w:r w:rsidRPr="00412B2B">
              <w:rPr>
                <w:rFonts w:ascii="Garamond" w:hAnsi="Garamond"/>
                <w:sz w:val="18"/>
                <w:szCs w:val="18"/>
              </w:rPr>
              <w:t xml:space="preserve"> </w:t>
            </w:r>
            <w:r w:rsidR="00880CE6" w:rsidRPr="00412B2B">
              <w:rPr>
                <w:rFonts w:ascii="Garamond" w:hAnsi="Garamond"/>
                <w:sz w:val="18"/>
                <w:szCs w:val="18"/>
              </w:rPr>
              <w:t xml:space="preserve">masa </w:t>
            </w:r>
            <w:r w:rsidRPr="00412B2B">
              <w:rPr>
                <w:rFonts w:ascii="Garamond" w:hAnsi="Garamond"/>
                <w:sz w:val="18"/>
                <w:szCs w:val="18"/>
              </w:rPr>
              <w:t>3 duhet të japë përparësi përpunuesve të peshkut që diversifikojnë prodhimin e tyre.</w:t>
            </w:r>
          </w:p>
        </w:tc>
        <w:tc>
          <w:tcPr>
            <w:tcW w:w="291" w:type="pct"/>
            <w:shd w:val="clear" w:color="auto" w:fill="auto"/>
            <w:vAlign w:val="center"/>
          </w:tcPr>
          <w:p w14:paraId="0773BA9A"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shd w:val="clear" w:color="auto" w:fill="auto"/>
            <w:vAlign w:val="center"/>
          </w:tcPr>
          <w:p w14:paraId="0773BA9B" w14:textId="77777777" w:rsidR="00F10122" w:rsidRPr="00412B2B" w:rsidRDefault="00F10122" w:rsidP="00F10122">
            <w:pPr>
              <w:pStyle w:val="Table1"/>
              <w:jc w:val="center"/>
              <w:rPr>
                <w:rFonts w:ascii="Garamond" w:hAnsi="Garamond"/>
                <w:b/>
                <w:sz w:val="18"/>
                <w:szCs w:val="18"/>
              </w:rPr>
            </w:pPr>
          </w:p>
        </w:tc>
        <w:tc>
          <w:tcPr>
            <w:tcW w:w="336" w:type="pct"/>
            <w:shd w:val="clear" w:color="auto" w:fill="auto"/>
            <w:vAlign w:val="center"/>
          </w:tcPr>
          <w:p w14:paraId="0773BA9C" w14:textId="77777777" w:rsidR="00F10122" w:rsidRPr="00412B2B" w:rsidRDefault="00F10122" w:rsidP="00F10122">
            <w:pPr>
              <w:pStyle w:val="Table1"/>
              <w:jc w:val="center"/>
              <w:rPr>
                <w:rFonts w:ascii="Garamond" w:hAnsi="Garamond"/>
                <w:b/>
                <w:sz w:val="18"/>
                <w:szCs w:val="18"/>
              </w:rPr>
            </w:pPr>
          </w:p>
        </w:tc>
      </w:tr>
      <w:tr w:rsidR="00F10122" w:rsidRPr="00412B2B" w14:paraId="0773BAA8" w14:textId="77777777" w:rsidTr="000727D2">
        <w:trPr>
          <w:trHeight w:val="20"/>
        </w:trPr>
        <w:tc>
          <w:tcPr>
            <w:tcW w:w="601" w:type="pct"/>
            <w:vMerge w:val="restart"/>
            <w:shd w:val="clear" w:color="auto" w:fill="auto"/>
            <w:vAlign w:val="center"/>
          </w:tcPr>
          <w:p w14:paraId="0773BA9E" w14:textId="77777777" w:rsidR="00F10122" w:rsidRPr="00412B2B" w:rsidRDefault="00F10122" w:rsidP="00F10122">
            <w:pPr>
              <w:pStyle w:val="Table1"/>
              <w:jc w:val="center"/>
              <w:rPr>
                <w:rFonts w:ascii="Garamond" w:eastAsia="Arial Narrow" w:hAnsi="Garamond" w:cs="Arial Narrow"/>
                <w:b/>
                <w:bCs/>
                <w:sz w:val="18"/>
                <w:szCs w:val="18"/>
              </w:rPr>
            </w:pPr>
            <w:r w:rsidRPr="00412B2B">
              <w:rPr>
                <w:rFonts w:ascii="Garamond" w:eastAsia="Arial Narrow" w:hAnsi="Garamond" w:cs="Arial Narrow"/>
                <w:b/>
                <w:bCs/>
                <w:sz w:val="18"/>
                <w:szCs w:val="18"/>
              </w:rPr>
              <w:t>MBZHR Drejtoria e Peshkimit dhe Akuakulturës</w:t>
            </w:r>
          </w:p>
        </w:tc>
        <w:tc>
          <w:tcPr>
            <w:tcW w:w="1421" w:type="pct"/>
            <w:shd w:val="clear" w:color="auto" w:fill="auto"/>
          </w:tcPr>
          <w:p w14:paraId="0773BA9F" w14:textId="635FC392" w:rsidR="00F10122" w:rsidRPr="00412B2B" w:rsidRDefault="00F10122" w:rsidP="00880CE6">
            <w:pPr>
              <w:pStyle w:val="Table1"/>
              <w:rPr>
                <w:rFonts w:ascii="Garamond" w:eastAsia="Calibri" w:hAnsi="Garamond"/>
                <w:bCs/>
                <w:sz w:val="18"/>
                <w:szCs w:val="18"/>
              </w:rPr>
            </w:pPr>
            <w:r w:rsidRPr="00412B2B">
              <w:rPr>
                <w:rFonts w:ascii="Garamond" w:eastAsia="Calibri" w:hAnsi="Garamond"/>
                <w:bCs/>
                <w:sz w:val="18"/>
                <w:szCs w:val="18"/>
              </w:rPr>
              <w:t xml:space="preserve">Prodhimi i ushqimit për akuakulturën dhe trajtimet e </w:t>
            </w:r>
            <w:r w:rsidR="00664693" w:rsidRPr="00412B2B">
              <w:rPr>
                <w:rFonts w:ascii="Garamond" w:eastAsia="Calibri" w:hAnsi="Garamond"/>
                <w:bCs/>
                <w:sz w:val="18"/>
                <w:szCs w:val="18"/>
              </w:rPr>
              <w:t>“</w:t>
            </w:r>
            <w:r w:rsidRPr="00412B2B">
              <w:rPr>
                <w:rFonts w:ascii="Garamond" w:eastAsia="Calibri" w:hAnsi="Garamond"/>
                <w:bCs/>
                <w:sz w:val="18"/>
                <w:szCs w:val="18"/>
              </w:rPr>
              <w:t>nënprodukteve</w:t>
            </w:r>
            <w:r w:rsidR="00880CE6" w:rsidRPr="00412B2B">
              <w:rPr>
                <w:rFonts w:ascii="Garamond" w:eastAsia="Calibri" w:hAnsi="Garamond"/>
                <w:bCs/>
                <w:sz w:val="18"/>
                <w:szCs w:val="18"/>
              </w:rPr>
              <w:t>”</w:t>
            </w:r>
            <w:r w:rsidRPr="00412B2B">
              <w:rPr>
                <w:rFonts w:ascii="Garamond" w:eastAsia="Calibri" w:hAnsi="Garamond"/>
                <w:bCs/>
                <w:sz w:val="18"/>
                <w:szCs w:val="18"/>
              </w:rPr>
              <w:t xml:space="preserve"> </w:t>
            </w:r>
          </w:p>
        </w:tc>
        <w:tc>
          <w:tcPr>
            <w:tcW w:w="2015" w:type="pct"/>
            <w:vMerge w:val="restart"/>
            <w:shd w:val="clear" w:color="auto" w:fill="auto"/>
            <w:vAlign w:val="center"/>
          </w:tcPr>
          <w:p w14:paraId="0773BAA0" w14:textId="5226DECB" w:rsidR="00F10122" w:rsidRPr="00412B2B" w:rsidRDefault="00F10122" w:rsidP="00880CE6">
            <w:pPr>
              <w:pStyle w:val="Table1"/>
              <w:rPr>
                <w:rFonts w:ascii="Garamond" w:eastAsia="Calibri" w:hAnsi="Garamond"/>
                <w:sz w:val="18"/>
                <w:szCs w:val="18"/>
              </w:rPr>
            </w:pPr>
            <w:r w:rsidRPr="00412B2B">
              <w:rPr>
                <w:rFonts w:ascii="Garamond" w:eastAsia="Calibri" w:hAnsi="Garamond"/>
                <w:sz w:val="18"/>
                <w:szCs w:val="18"/>
              </w:rPr>
              <w:t>Diskutim me donatorët e mundshëm për mbështetje financiare</w:t>
            </w:r>
            <w:r w:rsidR="00797859" w:rsidRPr="00412B2B">
              <w:rPr>
                <w:rFonts w:ascii="Garamond" w:eastAsia="Calibri" w:hAnsi="Garamond"/>
                <w:sz w:val="18"/>
                <w:szCs w:val="18"/>
              </w:rPr>
              <w:t>/</w:t>
            </w:r>
            <w:r w:rsidRPr="00412B2B">
              <w:rPr>
                <w:rFonts w:ascii="Garamond" w:eastAsia="Calibri" w:hAnsi="Garamond"/>
                <w:sz w:val="18"/>
                <w:szCs w:val="18"/>
              </w:rPr>
              <w:t>projekte në koherencë me nevojat e ndërhyrjeve dhe mekanizmin e zbatimit të tyre</w:t>
            </w:r>
          </w:p>
          <w:p w14:paraId="0773BAA1" w14:textId="1BE1AB41" w:rsidR="00F10122" w:rsidRPr="00412B2B" w:rsidRDefault="00F10122" w:rsidP="00F10122">
            <w:pPr>
              <w:pStyle w:val="Table1"/>
              <w:rPr>
                <w:rFonts w:ascii="Garamond" w:eastAsia="Calibri" w:hAnsi="Garamond"/>
                <w:sz w:val="18"/>
                <w:szCs w:val="18"/>
              </w:rPr>
            </w:pPr>
            <w:r w:rsidRPr="00412B2B">
              <w:rPr>
                <w:rFonts w:ascii="Garamond" w:eastAsia="Calibri" w:hAnsi="Garamond"/>
                <w:sz w:val="18"/>
                <w:szCs w:val="18"/>
              </w:rPr>
              <w:t>Përpunimi i nënprodukteve duhet të verifikohet sipas IPARD III (diversifikimi)</w:t>
            </w:r>
            <w:r w:rsidR="00880CE6" w:rsidRPr="00412B2B">
              <w:rPr>
                <w:rFonts w:ascii="Garamond" w:eastAsia="Calibri" w:hAnsi="Garamond"/>
                <w:sz w:val="18"/>
                <w:szCs w:val="18"/>
              </w:rPr>
              <w:t>.</w:t>
            </w:r>
          </w:p>
          <w:p w14:paraId="0773BAA2" w14:textId="77777777" w:rsidR="00F10122" w:rsidRPr="00412B2B" w:rsidRDefault="00F10122" w:rsidP="00F10122">
            <w:pPr>
              <w:pStyle w:val="Table1"/>
              <w:rPr>
                <w:rFonts w:ascii="Garamond" w:eastAsia="Calibri" w:hAnsi="Garamond"/>
                <w:sz w:val="18"/>
                <w:szCs w:val="18"/>
              </w:rPr>
            </w:pPr>
          </w:p>
          <w:p w14:paraId="0773BAA3" w14:textId="75193FA6" w:rsidR="00F10122" w:rsidRPr="00412B2B" w:rsidRDefault="00F10122" w:rsidP="00F10122">
            <w:pPr>
              <w:pStyle w:val="Table1"/>
              <w:rPr>
                <w:rFonts w:ascii="Garamond" w:eastAsia="Calibri" w:hAnsi="Garamond"/>
                <w:sz w:val="18"/>
                <w:szCs w:val="18"/>
              </w:rPr>
            </w:pPr>
            <w:r w:rsidRPr="00412B2B">
              <w:rPr>
                <w:rFonts w:ascii="Garamond" w:eastAsia="Calibri" w:hAnsi="Garamond"/>
                <w:sz w:val="18"/>
                <w:szCs w:val="18"/>
              </w:rPr>
              <w:t xml:space="preserve">Emërimi i stafit të çdo </w:t>
            </w:r>
            <w:r w:rsidR="00880CE6" w:rsidRPr="00412B2B">
              <w:rPr>
                <w:rFonts w:ascii="Garamond" w:eastAsia="Calibri" w:hAnsi="Garamond"/>
                <w:sz w:val="18"/>
                <w:szCs w:val="18"/>
              </w:rPr>
              <w:t xml:space="preserve">drejtorie </w:t>
            </w:r>
            <w:r w:rsidRPr="00412B2B">
              <w:rPr>
                <w:rFonts w:ascii="Garamond" w:eastAsia="Calibri" w:hAnsi="Garamond"/>
                <w:sz w:val="18"/>
                <w:szCs w:val="18"/>
              </w:rPr>
              <w:t>përgjegjëse për AT-në</w:t>
            </w:r>
            <w:r w:rsidR="00880CE6" w:rsidRPr="00412B2B">
              <w:rPr>
                <w:rFonts w:ascii="Garamond" w:eastAsia="Calibri" w:hAnsi="Garamond"/>
                <w:sz w:val="18"/>
                <w:szCs w:val="18"/>
              </w:rPr>
              <w:t>.</w:t>
            </w:r>
            <w:r w:rsidRPr="00412B2B">
              <w:rPr>
                <w:rFonts w:ascii="Garamond" w:eastAsia="Calibri" w:hAnsi="Garamond"/>
                <w:sz w:val="18"/>
                <w:szCs w:val="18"/>
              </w:rPr>
              <w:t xml:space="preserve"> </w:t>
            </w:r>
          </w:p>
          <w:p w14:paraId="0773BAA4" w14:textId="64ABB87E" w:rsidR="00F10122" w:rsidRPr="00412B2B" w:rsidRDefault="00F10122" w:rsidP="00F10122">
            <w:pPr>
              <w:pStyle w:val="Table1"/>
              <w:rPr>
                <w:rFonts w:ascii="Garamond" w:hAnsi="Garamond"/>
                <w:sz w:val="18"/>
                <w:szCs w:val="18"/>
              </w:rPr>
            </w:pPr>
            <w:r w:rsidRPr="00412B2B">
              <w:rPr>
                <w:rFonts w:ascii="Garamond" w:eastAsia="Calibri" w:hAnsi="Garamond"/>
                <w:sz w:val="18"/>
                <w:szCs w:val="18"/>
              </w:rPr>
              <w:t>Përgatitja e ToR-ve për mbështetjen e planifikuar të AT</w:t>
            </w:r>
            <w:r w:rsidR="00880CE6" w:rsidRPr="00412B2B">
              <w:rPr>
                <w:rFonts w:ascii="Garamond" w:eastAsia="Calibri" w:hAnsi="Garamond"/>
                <w:sz w:val="18"/>
                <w:szCs w:val="18"/>
              </w:rPr>
              <w:t>.</w:t>
            </w:r>
          </w:p>
        </w:tc>
        <w:tc>
          <w:tcPr>
            <w:tcW w:w="291" w:type="pct"/>
            <w:vMerge w:val="restart"/>
            <w:shd w:val="clear" w:color="auto" w:fill="auto"/>
            <w:vAlign w:val="center"/>
          </w:tcPr>
          <w:p w14:paraId="0773BAA5"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vMerge w:val="restart"/>
            <w:shd w:val="clear" w:color="auto" w:fill="auto"/>
            <w:vAlign w:val="center"/>
          </w:tcPr>
          <w:p w14:paraId="0773BAA6"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c>
          <w:tcPr>
            <w:tcW w:w="336" w:type="pct"/>
            <w:vMerge w:val="restart"/>
            <w:shd w:val="clear" w:color="auto" w:fill="auto"/>
            <w:vAlign w:val="center"/>
          </w:tcPr>
          <w:p w14:paraId="0773BAA7" w14:textId="77777777" w:rsidR="00F10122" w:rsidRPr="00412B2B" w:rsidRDefault="00F10122" w:rsidP="00F10122">
            <w:pPr>
              <w:pStyle w:val="Table1"/>
              <w:jc w:val="center"/>
              <w:rPr>
                <w:rFonts w:ascii="Garamond" w:hAnsi="Garamond"/>
                <w:b/>
                <w:sz w:val="18"/>
                <w:szCs w:val="18"/>
              </w:rPr>
            </w:pPr>
            <w:r w:rsidRPr="00412B2B">
              <w:rPr>
                <w:rFonts w:ascii="Garamond" w:hAnsi="Garamond"/>
                <w:b/>
                <w:sz w:val="18"/>
                <w:szCs w:val="18"/>
              </w:rPr>
              <w:t>x</w:t>
            </w:r>
          </w:p>
        </w:tc>
      </w:tr>
      <w:tr w:rsidR="00F10122" w:rsidRPr="00412B2B" w14:paraId="0773BAAF" w14:textId="77777777" w:rsidTr="000727D2">
        <w:trPr>
          <w:trHeight w:val="20"/>
        </w:trPr>
        <w:tc>
          <w:tcPr>
            <w:tcW w:w="601" w:type="pct"/>
            <w:vMerge/>
            <w:shd w:val="clear" w:color="auto" w:fill="auto"/>
            <w:vAlign w:val="center"/>
          </w:tcPr>
          <w:p w14:paraId="0773BAA9" w14:textId="77777777" w:rsidR="00F10122" w:rsidRPr="00412B2B" w:rsidRDefault="00F10122" w:rsidP="00F10122">
            <w:pPr>
              <w:pStyle w:val="Table1"/>
              <w:jc w:val="center"/>
              <w:rPr>
                <w:rFonts w:ascii="Garamond" w:eastAsia="Arial Narrow" w:hAnsi="Garamond" w:cs="Arial Narrow"/>
                <w:b/>
                <w:bCs/>
                <w:sz w:val="18"/>
                <w:szCs w:val="18"/>
              </w:rPr>
            </w:pPr>
          </w:p>
        </w:tc>
        <w:tc>
          <w:tcPr>
            <w:tcW w:w="1421" w:type="pct"/>
            <w:shd w:val="clear" w:color="auto" w:fill="auto"/>
          </w:tcPr>
          <w:p w14:paraId="0773BAAA" w14:textId="77777777"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Zhvillimi i akuakulturës së qëndrueshme, në përputhje me mjedisin</w:t>
            </w:r>
          </w:p>
        </w:tc>
        <w:tc>
          <w:tcPr>
            <w:tcW w:w="2015" w:type="pct"/>
            <w:vMerge/>
            <w:shd w:val="clear" w:color="auto" w:fill="auto"/>
          </w:tcPr>
          <w:p w14:paraId="0773BAAB" w14:textId="77777777" w:rsidR="00F10122" w:rsidRPr="00412B2B" w:rsidRDefault="00F10122" w:rsidP="00F10122">
            <w:pPr>
              <w:pStyle w:val="Table1"/>
              <w:rPr>
                <w:rFonts w:ascii="Garamond" w:hAnsi="Garamond"/>
                <w:sz w:val="18"/>
                <w:szCs w:val="18"/>
              </w:rPr>
            </w:pPr>
          </w:p>
        </w:tc>
        <w:tc>
          <w:tcPr>
            <w:tcW w:w="291" w:type="pct"/>
            <w:vMerge/>
            <w:shd w:val="clear" w:color="auto" w:fill="auto"/>
            <w:vAlign w:val="center"/>
          </w:tcPr>
          <w:p w14:paraId="0773BAAC" w14:textId="77777777" w:rsidR="00F10122" w:rsidRPr="00412B2B" w:rsidRDefault="00F10122" w:rsidP="00F10122">
            <w:pPr>
              <w:pStyle w:val="Table1"/>
              <w:jc w:val="center"/>
              <w:rPr>
                <w:rFonts w:ascii="Garamond" w:hAnsi="Garamond"/>
                <w:b/>
                <w:sz w:val="18"/>
                <w:szCs w:val="18"/>
              </w:rPr>
            </w:pPr>
          </w:p>
        </w:tc>
        <w:tc>
          <w:tcPr>
            <w:tcW w:w="336" w:type="pct"/>
            <w:vMerge/>
            <w:shd w:val="clear" w:color="auto" w:fill="auto"/>
            <w:vAlign w:val="center"/>
          </w:tcPr>
          <w:p w14:paraId="0773BAAD" w14:textId="77777777" w:rsidR="00F10122" w:rsidRPr="00412B2B" w:rsidRDefault="00F10122" w:rsidP="00F10122">
            <w:pPr>
              <w:pStyle w:val="Table1"/>
              <w:jc w:val="center"/>
              <w:rPr>
                <w:rFonts w:ascii="Garamond" w:hAnsi="Garamond"/>
                <w:b/>
                <w:sz w:val="18"/>
                <w:szCs w:val="18"/>
              </w:rPr>
            </w:pPr>
          </w:p>
        </w:tc>
        <w:tc>
          <w:tcPr>
            <w:tcW w:w="336" w:type="pct"/>
            <w:vMerge/>
            <w:shd w:val="clear" w:color="auto" w:fill="auto"/>
            <w:vAlign w:val="center"/>
          </w:tcPr>
          <w:p w14:paraId="0773BAAE" w14:textId="77777777" w:rsidR="00F10122" w:rsidRPr="00412B2B" w:rsidRDefault="00F10122" w:rsidP="00F10122">
            <w:pPr>
              <w:pStyle w:val="Table1"/>
              <w:jc w:val="center"/>
              <w:rPr>
                <w:rFonts w:ascii="Garamond" w:hAnsi="Garamond"/>
                <w:b/>
                <w:sz w:val="18"/>
                <w:szCs w:val="18"/>
              </w:rPr>
            </w:pPr>
          </w:p>
        </w:tc>
      </w:tr>
      <w:tr w:rsidR="00F10122" w:rsidRPr="00412B2B" w14:paraId="0773BAB6" w14:textId="77777777" w:rsidTr="000727D2">
        <w:trPr>
          <w:trHeight w:val="20"/>
        </w:trPr>
        <w:tc>
          <w:tcPr>
            <w:tcW w:w="601" w:type="pct"/>
            <w:vMerge/>
            <w:shd w:val="clear" w:color="auto" w:fill="auto"/>
            <w:vAlign w:val="center"/>
          </w:tcPr>
          <w:p w14:paraId="0773BAB0" w14:textId="77777777" w:rsidR="00F10122" w:rsidRPr="00412B2B" w:rsidRDefault="00F10122" w:rsidP="00F10122">
            <w:pPr>
              <w:pStyle w:val="Table1"/>
              <w:jc w:val="center"/>
              <w:rPr>
                <w:rFonts w:ascii="Garamond" w:eastAsia="Arial Narrow" w:hAnsi="Garamond" w:cs="Arial Narrow"/>
                <w:b/>
                <w:bCs/>
                <w:sz w:val="18"/>
                <w:szCs w:val="18"/>
              </w:rPr>
            </w:pPr>
          </w:p>
        </w:tc>
        <w:tc>
          <w:tcPr>
            <w:tcW w:w="1421" w:type="pct"/>
            <w:shd w:val="clear" w:color="auto" w:fill="auto"/>
          </w:tcPr>
          <w:p w14:paraId="0773BAB1" w14:textId="77777777"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Grande për zhvillimin e ekonomisë blu dhe zhvillimin e turizmit detar</w:t>
            </w:r>
          </w:p>
        </w:tc>
        <w:tc>
          <w:tcPr>
            <w:tcW w:w="2015" w:type="pct"/>
            <w:vMerge/>
            <w:shd w:val="clear" w:color="auto" w:fill="auto"/>
          </w:tcPr>
          <w:p w14:paraId="0773BAB2" w14:textId="77777777" w:rsidR="00F10122" w:rsidRPr="00412B2B" w:rsidRDefault="00F10122" w:rsidP="00F10122">
            <w:pPr>
              <w:pStyle w:val="Table1"/>
              <w:rPr>
                <w:rFonts w:ascii="Garamond" w:hAnsi="Garamond"/>
                <w:sz w:val="18"/>
                <w:szCs w:val="18"/>
              </w:rPr>
            </w:pPr>
          </w:p>
        </w:tc>
        <w:tc>
          <w:tcPr>
            <w:tcW w:w="291" w:type="pct"/>
            <w:vMerge/>
            <w:shd w:val="clear" w:color="auto" w:fill="auto"/>
            <w:vAlign w:val="center"/>
          </w:tcPr>
          <w:p w14:paraId="0773BAB3" w14:textId="77777777" w:rsidR="00F10122" w:rsidRPr="00412B2B" w:rsidRDefault="00F10122" w:rsidP="00F10122">
            <w:pPr>
              <w:pStyle w:val="Table1"/>
              <w:jc w:val="center"/>
              <w:rPr>
                <w:rFonts w:ascii="Garamond" w:hAnsi="Garamond"/>
                <w:b/>
                <w:sz w:val="18"/>
                <w:szCs w:val="18"/>
              </w:rPr>
            </w:pPr>
          </w:p>
        </w:tc>
        <w:tc>
          <w:tcPr>
            <w:tcW w:w="336" w:type="pct"/>
            <w:vMerge/>
            <w:shd w:val="clear" w:color="auto" w:fill="auto"/>
            <w:vAlign w:val="center"/>
          </w:tcPr>
          <w:p w14:paraId="0773BAB4" w14:textId="77777777" w:rsidR="00F10122" w:rsidRPr="00412B2B" w:rsidRDefault="00F10122" w:rsidP="00F10122">
            <w:pPr>
              <w:pStyle w:val="Table1"/>
              <w:jc w:val="center"/>
              <w:rPr>
                <w:rFonts w:ascii="Garamond" w:hAnsi="Garamond"/>
                <w:b/>
                <w:sz w:val="18"/>
                <w:szCs w:val="18"/>
              </w:rPr>
            </w:pPr>
          </w:p>
        </w:tc>
        <w:tc>
          <w:tcPr>
            <w:tcW w:w="336" w:type="pct"/>
            <w:vMerge/>
            <w:shd w:val="clear" w:color="auto" w:fill="auto"/>
            <w:vAlign w:val="center"/>
          </w:tcPr>
          <w:p w14:paraId="0773BAB5" w14:textId="77777777" w:rsidR="00F10122" w:rsidRPr="00412B2B" w:rsidRDefault="00F10122" w:rsidP="00F10122">
            <w:pPr>
              <w:pStyle w:val="Table1"/>
              <w:jc w:val="center"/>
              <w:rPr>
                <w:rFonts w:ascii="Garamond" w:hAnsi="Garamond"/>
                <w:b/>
                <w:sz w:val="18"/>
                <w:szCs w:val="18"/>
              </w:rPr>
            </w:pPr>
          </w:p>
        </w:tc>
      </w:tr>
      <w:tr w:rsidR="00F10122" w:rsidRPr="00412B2B" w14:paraId="0773BABD" w14:textId="77777777" w:rsidTr="000727D2">
        <w:trPr>
          <w:trHeight w:val="20"/>
        </w:trPr>
        <w:tc>
          <w:tcPr>
            <w:tcW w:w="601" w:type="pct"/>
            <w:vMerge/>
            <w:shd w:val="clear" w:color="auto" w:fill="auto"/>
            <w:vAlign w:val="center"/>
          </w:tcPr>
          <w:p w14:paraId="0773BAB7" w14:textId="77777777" w:rsidR="00F10122" w:rsidRPr="00412B2B" w:rsidRDefault="00F10122" w:rsidP="00F10122">
            <w:pPr>
              <w:pStyle w:val="Table1"/>
              <w:jc w:val="center"/>
              <w:rPr>
                <w:rFonts w:ascii="Garamond" w:eastAsia="Arial Narrow" w:hAnsi="Garamond" w:cs="Arial Narrow"/>
                <w:b/>
                <w:bCs/>
                <w:sz w:val="18"/>
                <w:szCs w:val="18"/>
              </w:rPr>
            </w:pPr>
          </w:p>
        </w:tc>
        <w:tc>
          <w:tcPr>
            <w:tcW w:w="1421" w:type="pct"/>
            <w:shd w:val="clear" w:color="auto" w:fill="auto"/>
          </w:tcPr>
          <w:p w14:paraId="0773BAB8" w14:textId="2DC00672" w:rsidR="00F10122" w:rsidRPr="00412B2B" w:rsidRDefault="00F10122" w:rsidP="00F10122">
            <w:pPr>
              <w:pStyle w:val="Table1"/>
              <w:rPr>
                <w:rFonts w:ascii="Garamond" w:eastAsia="Calibri" w:hAnsi="Garamond"/>
                <w:bCs/>
                <w:sz w:val="18"/>
                <w:szCs w:val="18"/>
              </w:rPr>
            </w:pPr>
            <w:r w:rsidRPr="00412B2B">
              <w:rPr>
                <w:rFonts w:ascii="Garamond" w:eastAsia="Calibri" w:hAnsi="Garamond"/>
                <w:bCs/>
                <w:sz w:val="18"/>
                <w:szCs w:val="18"/>
              </w:rPr>
              <w:t xml:space="preserve">AT për zhvillimin e </w:t>
            </w:r>
            <w:r w:rsidR="00664693" w:rsidRPr="00412B2B">
              <w:rPr>
                <w:rFonts w:ascii="Garamond" w:eastAsia="Calibri" w:hAnsi="Garamond"/>
                <w:bCs/>
                <w:sz w:val="18"/>
                <w:szCs w:val="18"/>
              </w:rPr>
              <w:t>“</w:t>
            </w:r>
            <w:r w:rsidRPr="00412B2B">
              <w:rPr>
                <w:rFonts w:ascii="Garamond" w:eastAsia="Calibri" w:hAnsi="Garamond"/>
                <w:bCs/>
                <w:sz w:val="18"/>
                <w:szCs w:val="18"/>
              </w:rPr>
              <w:t>ekonomisë blu</w:t>
            </w:r>
            <w:r w:rsidR="00664693" w:rsidRPr="00412B2B">
              <w:rPr>
                <w:rFonts w:ascii="Garamond" w:eastAsia="Calibri" w:hAnsi="Garamond"/>
                <w:bCs/>
                <w:sz w:val="18"/>
                <w:szCs w:val="18"/>
              </w:rPr>
              <w:t>”</w:t>
            </w:r>
            <w:r w:rsidRPr="00412B2B">
              <w:rPr>
                <w:rFonts w:ascii="Garamond" w:eastAsia="Calibri" w:hAnsi="Garamond"/>
                <w:bCs/>
                <w:sz w:val="18"/>
                <w:szCs w:val="18"/>
              </w:rPr>
              <w:t xml:space="preserve"> dhe zhvillimin e turizmit detar</w:t>
            </w:r>
          </w:p>
        </w:tc>
        <w:tc>
          <w:tcPr>
            <w:tcW w:w="2015" w:type="pct"/>
            <w:vMerge/>
            <w:shd w:val="clear" w:color="auto" w:fill="auto"/>
          </w:tcPr>
          <w:p w14:paraId="0773BAB9" w14:textId="77777777" w:rsidR="00F10122" w:rsidRPr="00412B2B" w:rsidRDefault="00F10122" w:rsidP="00F10122">
            <w:pPr>
              <w:pStyle w:val="Table1"/>
              <w:rPr>
                <w:rFonts w:ascii="Garamond" w:hAnsi="Garamond"/>
                <w:sz w:val="18"/>
                <w:szCs w:val="18"/>
              </w:rPr>
            </w:pPr>
          </w:p>
        </w:tc>
        <w:tc>
          <w:tcPr>
            <w:tcW w:w="291" w:type="pct"/>
            <w:vMerge/>
            <w:shd w:val="clear" w:color="auto" w:fill="auto"/>
            <w:vAlign w:val="center"/>
          </w:tcPr>
          <w:p w14:paraId="0773BABA" w14:textId="77777777" w:rsidR="00F10122" w:rsidRPr="00412B2B" w:rsidRDefault="00F10122" w:rsidP="00F10122">
            <w:pPr>
              <w:pStyle w:val="Table1"/>
              <w:jc w:val="center"/>
              <w:rPr>
                <w:rFonts w:ascii="Garamond" w:hAnsi="Garamond"/>
                <w:b/>
                <w:sz w:val="18"/>
                <w:szCs w:val="18"/>
              </w:rPr>
            </w:pPr>
          </w:p>
        </w:tc>
        <w:tc>
          <w:tcPr>
            <w:tcW w:w="336" w:type="pct"/>
            <w:vMerge/>
            <w:shd w:val="clear" w:color="auto" w:fill="auto"/>
            <w:vAlign w:val="center"/>
          </w:tcPr>
          <w:p w14:paraId="0773BABB" w14:textId="77777777" w:rsidR="00F10122" w:rsidRPr="00412B2B" w:rsidRDefault="00F10122" w:rsidP="00F10122">
            <w:pPr>
              <w:pStyle w:val="Table1"/>
              <w:jc w:val="center"/>
              <w:rPr>
                <w:rFonts w:ascii="Garamond" w:hAnsi="Garamond"/>
                <w:b/>
                <w:sz w:val="18"/>
                <w:szCs w:val="18"/>
              </w:rPr>
            </w:pPr>
          </w:p>
        </w:tc>
        <w:tc>
          <w:tcPr>
            <w:tcW w:w="336" w:type="pct"/>
            <w:vMerge/>
            <w:shd w:val="clear" w:color="auto" w:fill="auto"/>
            <w:vAlign w:val="center"/>
          </w:tcPr>
          <w:p w14:paraId="0773BABC" w14:textId="77777777" w:rsidR="00F10122" w:rsidRPr="00412B2B" w:rsidRDefault="00F10122" w:rsidP="00F10122">
            <w:pPr>
              <w:pStyle w:val="Table1"/>
              <w:jc w:val="center"/>
              <w:rPr>
                <w:rFonts w:ascii="Garamond" w:hAnsi="Garamond"/>
                <w:b/>
                <w:sz w:val="18"/>
                <w:szCs w:val="18"/>
              </w:rPr>
            </w:pPr>
          </w:p>
        </w:tc>
      </w:tr>
    </w:tbl>
    <w:p w14:paraId="0773BABE" w14:textId="77777777" w:rsidR="00486153" w:rsidRPr="0058349C" w:rsidRDefault="00486153" w:rsidP="001964F3">
      <w:pPr>
        <w:pStyle w:val="TEKSTIIII"/>
        <w:rPr>
          <w:b/>
          <w:lang w:val="sq-AL"/>
        </w:rPr>
      </w:pPr>
    </w:p>
    <w:p w14:paraId="0773BABF" w14:textId="77777777" w:rsidR="002977A9" w:rsidRPr="0058349C" w:rsidRDefault="002977A9" w:rsidP="001964F3">
      <w:pPr>
        <w:pStyle w:val="TEKSTIIII"/>
        <w:rPr>
          <w:b/>
          <w:lang w:val="sq-AL"/>
        </w:rPr>
      </w:pPr>
    </w:p>
    <w:sectPr w:rsidR="002977A9" w:rsidRPr="0058349C" w:rsidSect="00755BA8">
      <w:pgSz w:w="16839" w:h="11907" w:orient="landscape" w:code="9"/>
      <w:pgMar w:top="1418" w:right="1418" w:bottom="1418" w:left="1418" w:header="1304" w:footer="1134"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0096E3" w14:textId="77777777" w:rsidR="002D2105" w:rsidRDefault="002D2105" w:rsidP="001D2067">
      <w:pPr>
        <w:spacing w:after="0" w:line="240" w:lineRule="auto"/>
      </w:pPr>
      <w:r>
        <w:separator/>
      </w:r>
    </w:p>
  </w:endnote>
  <w:endnote w:type="continuationSeparator" w:id="0">
    <w:p w14:paraId="76AB5DF8" w14:textId="77777777" w:rsidR="002D2105" w:rsidRDefault="002D2105" w:rsidP="001D2067">
      <w:pPr>
        <w:spacing w:after="0" w:line="240" w:lineRule="auto"/>
      </w:pPr>
      <w:r>
        <w:continuationSeparator/>
      </w:r>
    </w:p>
  </w:endnote>
  <w:endnote w:type="continuationNotice" w:id="1">
    <w:p w14:paraId="7FD9D257" w14:textId="77777777" w:rsidR="002D2105" w:rsidRDefault="002D21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quot;Arial Narrow&quot;,sans-serif">
    <w:altName w:val="Cambria"/>
    <w:panose1 w:val="00000000000000000000"/>
    <w:charset w:val="00"/>
    <w:family w:val="roman"/>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Yu Gothic UI"/>
    <w:panose1 w:val="00000000000000000000"/>
    <w:charset w:val="00"/>
    <w:family w:val="roman"/>
    <w:notTrueType/>
    <w:pitch w:val="default"/>
  </w:font>
  <w:font w:name="SymbolMT">
    <w:altName w:val="MingLiU-ExtB"/>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BatangChe">
    <w:altName w:val="Malgun Gothic Semilight"/>
    <w:charset w:val="81"/>
    <w:family w:val="modern"/>
    <w:pitch w:val="fixed"/>
    <w:sig w:usb0="00000000"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9778389"/>
      <w:docPartObj>
        <w:docPartGallery w:val="Page Numbers (Bottom of Page)"/>
        <w:docPartUnique/>
      </w:docPartObj>
    </w:sdtPr>
    <w:sdtEndPr>
      <w:rPr>
        <w:noProof/>
      </w:rPr>
    </w:sdtEndPr>
    <w:sdtContent>
      <w:p w14:paraId="58720471" w14:textId="7F7C76B5" w:rsidR="002D2105" w:rsidRDefault="002D2105">
        <w:pPr>
          <w:pStyle w:val="Footer"/>
          <w:jc w:val="center"/>
        </w:pPr>
        <w:r>
          <w:fldChar w:fldCharType="begin"/>
        </w:r>
        <w:r>
          <w:instrText xml:space="preserve"> PAGE   \* MERGEFORMAT </w:instrText>
        </w:r>
        <w:r>
          <w:fldChar w:fldCharType="separate"/>
        </w:r>
        <w:r w:rsidR="00813111">
          <w:rPr>
            <w:noProof/>
          </w:rPr>
          <w:t>21</w:t>
        </w:r>
        <w:r>
          <w:rPr>
            <w:noProof/>
          </w:rPr>
          <w:fldChar w:fldCharType="end"/>
        </w:r>
      </w:p>
    </w:sdtContent>
  </w:sdt>
  <w:p w14:paraId="0773BAD4" w14:textId="51E1A489" w:rsidR="002D2105" w:rsidRPr="004E19E4" w:rsidRDefault="002D2105" w:rsidP="0073175C">
    <w:pPr>
      <w:pStyle w:val="Footer"/>
      <w:jc w:val="right"/>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F253A5" w14:textId="77777777" w:rsidR="002D2105" w:rsidRDefault="002D2105" w:rsidP="001D2067">
      <w:pPr>
        <w:spacing w:after="0" w:line="240" w:lineRule="auto"/>
      </w:pPr>
      <w:r>
        <w:separator/>
      </w:r>
    </w:p>
  </w:footnote>
  <w:footnote w:type="continuationSeparator" w:id="0">
    <w:p w14:paraId="5E7D81AF" w14:textId="77777777" w:rsidR="002D2105" w:rsidRDefault="002D2105" w:rsidP="001D2067">
      <w:pPr>
        <w:spacing w:after="0" w:line="240" w:lineRule="auto"/>
      </w:pPr>
      <w:r>
        <w:continuationSeparator/>
      </w:r>
    </w:p>
  </w:footnote>
  <w:footnote w:type="continuationNotice" w:id="1">
    <w:p w14:paraId="61D8AB46" w14:textId="77777777" w:rsidR="002D2105" w:rsidRDefault="002D2105">
      <w:pPr>
        <w:spacing w:after="0" w:line="240" w:lineRule="auto"/>
      </w:pPr>
    </w:p>
  </w:footnote>
  <w:footnote w:id="2">
    <w:p w14:paraId="0773BAD5" w14:textId="74F59478" w:rsidR="002D2105" w:rsidRPr="00DA21B8" w:rsidRDefault="002D2105" w:rsidP="006B6399">
      <w:pPr>
        <w:pStyle w:val="FootnoteText"/>
        <w:jc w:val="both"/>
        <w:rPr>
          <w:rFonts w:ascii="Garamond" w:hAnsi="Garamond"/>
          <w:lang w:val="sq-AL"/>
        </w:rPr>
      </w:pPr>
      <w:r w:rsidRPr="00DA21B8">
        <w:rPr>
          <w:rStyle w:val="FootnoteReference"/>
          <w:rFonts w:ascii="Garamond" w:hAnsi="Garamond"/>
          <w:lang w:val="sq-AL"/>
        </w:rPr>
        <w:footnoteRef/>
      </w:r>
      <w:r w:rsidRPr="00DA21B8">
        <w:rPr>
          <w:rFonts w:ascii="Garamond" w:hAnsi="Garamond"/>
          <w:lang w:val="sq-AL"/>
        </w:rPr>
        <w:t xml:space="preserve"> Rajone kryesisht urbane, rajone të nivelit NUTS 3</w:t>
      </w:r>
      <w:r>
        <w:rPr>
          <w:rFonts w:ascii="Garamond" w:hAnsi="Garamond"/>
          <w:lang w:val="sq-AL"/>
        </w:rPr>
        <w:t>,</w:t>
      </w:r>
      <w:r w:rsidRPr="00DA21B8">
        <w:rPr>
          <w:rFonts w:ascii="Garamond" w:hAnsi="Garamond"/>
          <w:lang w:val="sq-AL"/>
        </w:rPr>
        <w:t xml:space="preserve"> ku të paktën 80% e popullsisë jeton në grumbullime urbane; rajonet e ndërmjetme, rajonet e nivelit NUTS 3</w:t>
      </w:r>
      <w:r>
        <w:rPr>
          <w:rFonts w:ascii="Garamond" w:hAnsi="Garamond"/>
          <w:lang w:val="sq-AL"/>
        </w:rPr>
        <w:t>,</w:t>
      </w:r>
      <w:r w:rsidRPr="00DA21B8">
        <w:rPr>
          <w:rFonts w:ascii="Garamond" w:hAnsi="Garamond"/>
          <w:lang w:val="sq-AL"/>
        </w:rPr>
        <w:t xml:space="preserve"> ku më shumë se 50%</w:t>
      </w:r>
      <w:r>
        <w:rPr>
          <w:rFonts w:ascii="Garamond" w:hAnsi="Garamond"/>
          <w:lang w:val="sq-AL"/>
        </w:rPr>
        <w:t>,</w:t>
      </w:r>
      <w:r w:rsidRPr="00DA21B8">
        <w:rPr>
          <w:rFonts w:ascii="Garamond" w:hAnsi="Garamond"/>
          <w:lang w:val="sq-AL"/>
        </w:rPr>
        <w:t xml:space="preserve"> por më pak se 80% e popullsisë jeton në grumbullime urbane; rajone kryesisht rurale, rajone të nivelit NUTS 3</w:t>
      </w:r>
      <w:r>
        <w:rPr>
          <w:rFonts w:ascii="Garamond" w:hAnsi="Garamond"/>
          <w:lang w:val="sq-AL"/>
        </w:rPr>
        <w:t>,</w:t>
      </w:r>
      <w:r w:rsidRPr="00DA21B8">
        <w:rPr>
          <w:rFonts w:ascii="Garamond" w:hAnsi="Garamond"/>
          <w:lang w:val="sq-AL"/>
        </w:rPr>
        <w:t xml:space="preserve"> ku të paktën 50% e popullsisë jeton në qelizat e rrjetit rural.</w:t>
      </w:r>
    </w:p>
    <w:p w14:paraId="0773BAD6" w14:textId="77777777" w:rsidR="002D2105" w:rsidRPr="00D56192" w:rsidRDefault="002D2105">
      <w:pPr>
        <w:pStyle w:val="FootnoteText"/>
        <w:rPr>
          <w:rFonts w:ascii="Garamond" w:hAnsi="Garamond"/>
          <w:lang w:val="en-US"/>
        </w:rPr>
      </w:pPr>
    </w:p>
  </w:footnote>
  <w:footnote w:id="3">
    <w:p w14:paraId="0773BAD7" w14:textId="1C8CE8BD" w:rsidR="002D2105" w:rsidRPr="00B45EAB" w:rsidRDefault="002D2105" w:rsidP="00B45EAB">
      <w:pPr>
        <w:pStyle w:val="Fussnote"/>
        <w:jc w:val="both"/>
        <w:rPr>
          <w:rFonts w:ascii="Garamond" w:hAnsi="Garamond"/>
          <w:sz w:val="20"/>
          <w:szCs w:val="20"/>
        </w:rPr>
      </w:pPr>
      <w:r w:rsidRPr="00B45EAB">
        <w:rPr>
          <w:rStyle w:val="FootnoteReference"/>
          <w:rFonts w:ascii="Garamond" w:hAnsi="Garamond"/>
          <w:sz w:val="20"/>
          <w:szCs w:val="20"/>
        </w:rPr>
        <w:footnoteRef/>
      </w:r>
      <w:r w:rsidRPr="00B45EAB">
        <w:rPr>
          <w:rFonts w:ascii="Garamond" w:hAnsi="Garamond"/>
          <w:sz w:val="20"/>
          <w:szCs w:val="20"/>
        </w:rPr>
        <w:t xml:space="preserve"> Aggregated data of MARD (2020), INSTAT (2020) and MARD (2021): Sector studies on fruits and vegetables, olives and ëine; established by AGT International/DSA in the frame of the GIZ-SRD Project, May 2021.</w:t>
      </w:r>
    </w:p>
  </w:footnote>
  <w:footnote w:id="4">
    <w:p w14:paraId="0773BAD8" w14:textId="448A7A35" w:rsidR="002D2105" w:rsidRPr="00B45EAB" w:rsidRDefault="002D2105" w:rsidP="00B45EAB">
      <w:pPr>
        <w:pStyle w:val="FootnoteText"/>
        <w:jc w:val="both"/>
        <w:rPr>
          <w:rFonts w:ascii="Garamond" w:hAnsi="Garamond"/>
          <w:lang w:val="de-AT"/>
        </w:rPr>
      </w:pPr>
      <w:r w:rsidRPr="00B45EAB">
        <w:rPr>
          <w:rStyle w:val="FootnoteReference"/>
          <w:rFonts w:ascii="Garamond" w:hAnsi="Garamond"/>
        </w:rPr>
        <w:footnoteRef/>
      </w:r>
      <w:r w:rsidRPr="00B45EAB">
        <w:rPr>
          <w:rFonts w:ascii="Garamond" w:hAnsi="Garamond"/>
          <w:lang w:val="de-AT"/>
        </w:rPr>
        <w:t xml:space="preserve"> MBZHR (2021): 9 Studime sektoriale të hartuara nga </w:t>
      </w:r>
      <w:r w:rsidRPr="00C259A4">
        <w:rPr>
          <w:rFonts w:ascii="Garamond" w:hAnsi="Garamond"/>
          <w:i/>
          <w:iCs/>
          <w:lang w:val="de-AT"/>
        </w:rPr>
        <w:t>AGT International/DSA,</w:t>
      </w:r>
      <w:r w:rsidRPr="00B45EAB">
        <w:rPr>
          <w:rFonts w:ascii="Garamond" w:hAnsi="Garamond"/>
          <w:lang w:val="de-AT"/>
        </w:rPr>
        <w:t xml:space="preserve"> në kuadër të Projektit GIZ-SRD, maj 2021.</w:t>
      </w:r>
    </w:p>
  </w:footnote>
  <w:footnote w:id="5">
    <w:p w14:paraId="0773BAD9" w14:textId="68714081" w:rsidR="002D2105" w:rsidRPr="000F50EA" w:rsidRDefault="002D2105" w:rsidP="000F50EA">
      <w:pPr>
        <w:pStyle w:val="Fussnote"/>
        <w:rPr>
          <w:rFonts w:ascii="Garamond" w:hAnsi="Garamond"/>
          <w:sz w:val="20"/>
        </w:rPr>
      </w:pPr>
      <w:r w:rsidRPr="000F50EA">
        <w:rPr>
          <w:rStyle w:val="FootnoteReference"/>
          <w:rFonts w:ascii="Garamond" w:hAnsi="Garamond"/>
          <w:sz w:val="20"/>
        </w:rPr>
        <w:footnoteRef/>
      </w:r>
      <w:r w:rsidRPr="000F50EA">
        <w:rPr>
          <w:rFonts w:ascii="Garamond" w:hAnsi="Garamond"/>
          <w:sz w:val="20"/>
        </w:rPr>
        <w:t xml:space="preserve"> MBZHR (2021): Studimi i sektorit të mishit, i përgatitur nga </w:t>
      </w:r>
      <w:r w:rsidRPr="00C259A4">
        <w:rPr>
          <w:rFonts w:ascii="Garamond" w:hAnsi="Garamond"/>
          <w:i/>
          <w:iCs/>
          <w:sz w:val="20"/>
        </w:rPr>
        <w:t>AGT International/DSA,</w:t>
      </w:r>
      <w:r w:rsidRPr="000F50EA">
        <w:rPr>
          <w:rFonts w:ascii="Garamond" w:hAnsi="Garamond"/>
          <w:sz w:val="20"/>
        </w:rPr>
        <w:t xml:space="preserve"> në kuadër të Projektit GIZ-SRD, maj 2021.</w:t>
      </w:r>
    </w:p>
  </w:footnote>
  <w:footnote w:id="6">
    <w:p w14:paraId="0773BADA" w14:textId="3C028D1E" w:rsidR="002D2105" w:rsidRPr="0010647D" w:rsidRDefault="002D2105" w:rsidP="000F50EA">
      <w:pPr>
        <w:pStyle w:val="Fussnote"/>
      </w:pPr>
      <w:r w:rsidRPr="000F50EA">
        <w:rPr>
          <w:rStyle w:val="FootnoteReference"/>
          <w:rFonts w:ascii="Garamond" w:hAnsi="Garamond"/>
          <w:sz w:val="20"/>
        </w:rPr>
        <w:footnoteRef/>
      </w:r>
      <w:r>
        <w:rPr>
          <w:rFonts w:ascii="Garamond" w:hAnsi="Garamond"/>
          <w:sz w:val="20"/>
        </w:rPr>
        <w:t xml:space="preserve"> </w:t>
      </w:r>
      <w:r w:rsidRPr="000F50EA">
        <w:rPr>
          <w:rFonts w:ascii="Garamond" w:hAnsi="Garamond"/>
          <w:sz w:val="20"/>
        </w:rPr>
        <w:t xml:space="preserve">MBZHR (2021): Studimi i diversifikimit, i përgatitur nga </w:t>
      </w:r>
      <w:r w:rsidRPr="00C259A4">
        <w:rPr>
          <w:rFonts w:ascii="Garamond" w:hAnsi="Garamond"/>
          <w:i/>
          <w:iCs/>
          <w:sz w:val="20"/>
        </w:rPr>
        <w:t>AGT International/DSA,</w:t>
      </w:r>
      <w:r w:rsidRPr="000F50EA">
        <w:rPr>
          <w:rFonts w:ascii="Garamond" w:hAnsi="Garamond"/>
          <w:sz w:val="20"/>
        </w:rPr>
        <w:t xml:space="preserve"> në kuadër të projektit GIZ-SRD, maj 2021.</w:t>
      </w:r>
    </w:p>
  </w:footnote>
  <w:footnote w:id="7">
    <w:p w14:paraId="0773BADB" w14:textId="77777777" w:rsidR="002D2105" w:rsidRPr="006901BF" w:rsidRDefault="002D2105" w:rsidP="000F50EA">
      <w:pPr>
        <w:pStyle w:val="FootnoteText"/>
        <w:jc w:val="both"/>
        <w:rPr>
          <w:rFonts w:ascii="Garamond" w:hAnsi="Garamond"/>
          <w:lang w:val="sq-AL"/>
        </w:rPr>
      </w:pPr>
      <w:r w:rsidRPr="006901BF">
        <w:rPr>
          <w:rStyle w:val="FootnoteReference"/>
          <w:rFonts w:ascii="Garamond" w:hAnsi="Garamond"/>
          <w:lang w:val="sq-AL"/>
        </w:rPr>
        <w:footnoteRef/>
      </w:r>
      <w:r w:rsidRPr="006901BF">
        <w:rPr>
          <w:rFonts w:ascii="Garamond" w:hAnsi="Garamond"/>
          <w:lang w:val="sq-AL"/>
        </w:rPr>
        <w:t xml:space="preserve"> </w:t>
      </w:r>
      <w:hyperlink r:id="rId1" w:history="1">
        <w:r w:rsidRPr="006901BF">
          <w:rPr>
            <w:rStyle w:val="Hyperlink"/>
            <w:rFonts w:ascii="Garamond" w:eastAsia="MS Mincho" w:hAnsi="Garamond"/>
            <w:lang w:val="sq-AL"/>
          </w:rPr>
          <w:t>https://ilostat.ilo.org/data/country-profiles/</w:t>
        </w:r>
      </w:hyperlink>
    </w:p>
  </w:footnote>
  <w:footnote w:id="8">
    <w:p w14:paraId="0773BADC" w14:textId="59C1BA0E" w:rsidR="002D2105" w:rsidRPr="006901BF" w:rsidRDefault="002D2105" w:rsidP="000F50EA">
      <w:pPr>
        <w:pStyle w:val="FootnoteText"/>
        <w:jc w:val="both"/>
        <w:rPr>
          <w:rFonts w:ascii="Garamond" w:hAnsi="Garamond"/>
          <w:lang w:val="sq-AL"/>
        </w:rPr>
      </w:pPr>
      <w:r w:rsidRPr="006901BF">
        <w:rPr>
          <w:rStyle w:val="FootnoteReference"/>
          <w:rFonts w:ascii="Garamond" w:hAnsi="Garamond"/>
          <w:lang w:val="sq-AL"/>
        </w:rPr>
        <w:footnoteRef/>
      </w:r>
      <w:r w:rsidRPr="006901BF">
        <w:rPr>
          <w:rFonts w:ascii="Garamond" w:hAnsi="Garamond"/>
          <w:lang w:val="sq-AL"/>
        </w:rPr>
        <w:t xml:space="preserve"> Skeda e të dhënave statistikore të tregtisë të produkteve bujqësore ushqimore, Komisioni Evropian - https://ec.Europa.eu/info/sites/default/files/food-farming-fisheries/farming/documents/agrifood-albania_en.pdf</w:t>
      </w:r>
    </w:p>
  </w:footnote>
  <w:footnote w:id="9">
    <w:p w14:paraId="0773BADD" w14:textId="4C39C72F" w:rsidR="002D2105" w:rsidRPr="006901BF" w:rsidRDefault="002D2105" w:rsidP="000F50EA">
      <w:pPr>
        <w:pStyle w:val="FootnoteText"/>
        <w:jc w:val="both"/>
        <w:rPr>
          <w:lang w:val="sq-AL"/>
        </w:rPr>
      </w:pPr>
      <w:r w:rsidRPr="006901BF">
        <w:rPr>
          <w:rStyle w:val="FootnoteReference"/>
          <w:rFonts w:ascii="Garamond" w:hAnsi="Garamond"/>
          <w:lang w:val="sq-AL"/>
        </w:rPr>
        <w:footnoteRef/>
      </w:r>
      <w:r w:rsidRPr="006901BF">
        <w:rPr>
          <w:rFonts w:ascii="Garamond" w:hAnsi="Garamond"/>
          <w:lang w:val="sq-AL"/>
        </w:rPr>
        <w:t xml:space="preserve"> MBZHR 2021: Draft IPARD III, maj 2021.</w:t>
      </w:r>
    </w:p>
  </w:footnote>
  <w:footnote w:id="10">
    <w:p w14:paraId="0773BADE" w14:textId="293245D3" w:rsidR="002D2105" w:rsidRPr="003A73A5" w:rsidRDefault="002D2105" w:rsidP="000F50EA">
      <w:pPr>
        <w:pStyle w:val="FootnoteText"/>
        <w:rPr>
          <w:rFonts w:ascii="Garamond" w:hAnsi="Garamond"/>
          <w:lang w:val="en-US"/>
        </w:rPr>
      </w:pPr>
      <w:r w:rsidRPr="006901BF">
        <w:rPr>
          <w:rStyle w:val="FootnoteReference"/>
          <w:rFonts w:ascii="Garamond" w:hAnsi="Garamond"/>
          <w:lang w:val="sq-AL"/>
        </w:rPr>
        <w:footnoteRef/>
      </w:r>
      <w:r w:rsidRPr="006901BF">
        <w:rPr>
          <w:rFonts w:ascii="Garamond" w:hAnsi="Garamond"/>
          <w:lang w:val="sq-AL"/>
        </w:rPr>
        <w:t xml:space="preserve"> Libri Statistikor INSTAT, 2019</w:t>
      </w:r>
      <w:r>
        <w:rPr>
          <w:rFonts w:ascii="Garamond" w:hAnsi="Garamond"/>
          <w:lang w:val="sq-AL"/>
        </w:rPr>
        <w:t>.</w:t>
      </w:r>
    </w:p>
  </w:footnote>
  <w:footnote w:id="11">
    <w:p w14:paraId="0773BADF" w14:textId="035629EC" w:rsidR="002D2105" w:rsidRPr="00537097" w:rsidRDefault="002D2105" w:rsidP="000F50EA">
      <w:pPr>
        <w:pStyle w:val="FootnoteText"/>
        <w:rPr>
          <w:rFonts w:ascii="Garamond" w:hAnsi="Garamond"/>
        </w:rPr>
      </w:pPr>
      <w:r w:rsidRPr="00537097">
        <w:rPr>
          <w:rStyle w:val="FootnoteReference"/>
          <w:rFonts w:ascii="Garamond" w:hAnsi="Garamond"/>
        </w:rPr>
        <w:footnoteRef/>
      </w:r>
      <w:r w:rsidRPr="00537097">
        <w:rPr>
          <w:rFonts w:ascii="Garamond" w:hAnsi="Garamond"/>
        </w:rPr>
        <w:t xml:space="preserve"> </w:t>
      </w:r>
      <w:hyperlink r:id="rId2" w:history="1">
        <w:r w:rsidRPr="00537097">
          <w:rPr>
            <w:rStyle w:val="Hyperlink"/>
            <w:rFonts w:ascii="Garamond" w:eastAsia="MS Mincho" w:hAnsi="Garamond"/>
          </w:rPr>
          <w:t>https://appsso.eurostat.ec.europa.eu/nui/submitVieëTableAction.do#</w:t>
        </w:r>
      </w:hyperlink>
    </w:p>
  </w:footnote>
  <w:footnote w:id="12">
    <w:p w14:paraId="0773BAE0" w14:textId="77777777" w:rsidR="002D2105" w:rsidRPr="00485DE0" w:rsidRDefault="002D2105" w:rsidP="000F50EA">
      <w:pPr>
        <w:pStyle w:val="FootnoteText"/>
        <w:rPr>
          <w:rFonts w:ascii="Garamond" w:hAnsi="Garamond"/>
        </w:rPr>
      </w:pPr>
      <w:r w:rsidRPr="00485DE0">
        <w:rPr>
          <w:rStyle w:val="FootnoteReference"/>
          <w:rFonts w:ascii="Garamond" w:hAnsi="Garamond"/>
        </w:rPr>
        <w:footnoteRef/>
      </w:r>
      <w:r w:rsidRPr="00485DE0">
        <w:rPr>
          <w:rFonts w:ascii="Garamond" w:hAnsi="Garamond"/>
        </w:rPr>
        <w:t xml:space="preserve"> </w:t>
      </w:r>
      <w:hyperlink r:id="rId3" w:history="1">
        <w:r w:rsidRPr="00485DE0">
          <w:rPr>
            <w:rStyle w:val="Hyperlink"/>
            <w:rFonts w:ascii="Garamond" w:eastAsia="MS Mincho" w:hAnsi="Garamond"/>
          </w:rPr>
          <w:t>https://climateknoëledgeportal.ëorldbank.org/sites/default/files/2021-06/15812-Albania%20Country%20Profile-</w:t>
        </w:r>
        <w:r w:rsidRPr="00485DE0">
          <w:rPr>
            <w:rStyle w:val="Hyperlink"/>
            <w:rFonts w:ascii="Garamond" w:eastAsia="MS Mincho" w:hAnsi="Garamond"/>
            <w:lang w:val="en-US"/>
          </w:rPr>
          <w:t>WW</w:t>
        </w:r>
        <w:r w:rsidRPr="00485DE0">
          <w:rPr>
            <w:rStyle w:val="Hyperlink"/>
            <w:rFonts w:ascii="Garamond" w:eastAsia="MS Mincho" w:hAnsi="Garamond"/>
          </w:rPr>
          <w:t>B.pdf</w:t>
        </w:r>
      </w:hyperlink>
    </w:p>
  </w:footnote>
  <w:footnote w:id="13">
    <w:p w14:paraId="0773BAE1" w14:textId="70C5FBFD" w:rsidR="002D2105" w:rsidRPr="00485DE0" w:rsidRDefault="002D2105" w:rsidP="004A227F">
      <w:pPr>
        <w:pStyle w:val="FootnoteText"/>
        <w:rPr>
          <w:rFonts w:ascii="Garamond" w:hAnsi="Garamond"/>
        </w:rPr>
      </w:pPr>
      <w:r w:rsidRPr="00485DE0">
        <w:rPr>
          <w:rStyle w:val="FootnoteReference"/>
          <w:rFonts w:ascii="Garamond" w:hAnsi="Garamond"/>
        </w:rPr>
        <w:footnoteRef/>
      </w:r>
      <w:r w:rsidRPr="00485DE0">
        <w:rPr>
          <w:rFonts w:ascii="Garamond" w:hAnsi="Garamond"/>
        </w:rPr>
        <w:t xml:space="preserve"> </w:t>
      </w:r>
      <w:hyperlink r:id="rId4" w:history="1">
        <w:r w:rsidRPr="00456C1D">
          <w:rPr>
            <w:rStyle w:val="Hyperlink"/>
            <w:rFonts w:ascii="Garamond" w:eastAsia="MS Mincho" w:hAnsi="Garamond" w:cs="Arial"/>
          </w:rPr>
          <w:t>https://climatekno</w:t>
        </w:r>
        <w:r w:rsidRPr="00456C1D">
          <w:rPr>
            <w:rStyle w:val="Hyperlink"/>
            <w:rFonts w:ascii="Garamond" w:eastAsia="MS Mincho" w:hAnsi="Garamond" w:cs="Arial"/>
            <w:lang w:val="en-US"/>
          </w:rPr>
          <w:t>w</w:t>
        </w:r>
        <w:r w:rsidRPr="00456C1D">
          <w:rPr>
            <w:rStyle w:val="Hyperlink"/>
            <w:rFonts w:ascii="Garamond" w:eastAsia="MS Mincho" w:hAnsi="Garamond" w:cs="Arial"/>
          </w:rPr>
          <w:t>ledgeportal.</w:t>
        </w:r>
        <w:r w:rsidRPr="00456C1D">
          <w:rPr>
            <w:rStyle w:val="Hyperlink"/>
            <w:rFonts w:ascii="Garamond" w:eastAsia="MS Mincho" w:hAnsi="Garamond"/>
            <w:lang w:val="en-US"/>
          </w:rPr>
          <w:t>w</w:t>
        </w:r>
        <w:r w:rsidRPr="00456C1D">
          <w:rPr>
            <w:rStyle w:val="Hyperlink"/>
            <w:rFonts w:ascii="Garamond" w:eastAsia="MS Mincho" w:hAnsi="Garamond"/>
          </w:rPr>
          <w:t>orldbank</w:t>
        </w:r>
        <w:r w:rsidRPr="00456C1D">
          <w:rPr>
            <w:rStyle w:val="Hyperlink"/>
            <w:rFonts w:ascii="Garamond" w:eastAsia="MS Mincho" w:hAnsi="Garamond" w:cs="Arial"/>
          </w:rPr>
          <w:t>.org/country/albania/climate-data-projections</w:t>
        </w:r>
      </w:hyperlink>
    </w:p>
  </w:footnote>
  <w:footnote w:id="14">
    <w:p w14:paraId="0773BAE2" w14:textId="77777777" w:rsidR="002D2105" w:rsidRPr="00A14219" w:rsidRDefault="002D2105" w:rsidP="00F26C44">
      <w:pPr>
        <w:pStyle w:val="FootnoteText"/>
      </w:pPr>
      <w:r w:rsidRPr="00485DE0">
        <w:rPr>
          <w:rStyle w:val="FootnoteReference"/>
          <w:rFonts w:ascii="Garamond" w:hAnsi="Garamond"/>
        </w:rPr>
        <w:footnoteRef/>
      </w:r>
      <w:r w:rsidRPr="00485DE0">
        <w:rPr>
          <w:rFonts w:ascii="Garamond" w:hAnsi="Garamond"/>
        </w:rPr>
        <w:t xml:space="preserve"> </w:t>
      </w:r>
      <w:hyperlink r:id="rId5" w:history="1">
        <w:r w:rsidRPr="00485DE0">
          <w:rPr>
            <w:rStyle w:val="Hyperlink"/>
            <w:rFonts w:ascii="Garamond" w:eastAsia="MS Mincho" w:hAnsi="Garamond"/>
          </w:rPr>
          <w:t>https://www.climateëatchdata.org/data-explorer/historical-emissions?historical-emissions-data-sources=cait&amp;historical-emissions-gases=all-ghg&amp;historical-emissions-regions=ALB&amp;historical-emissions-sectors=&amp;page=1</w:t>
        </w:r>
      </w:hyperlink>
    </w:p>
  </w:footnote>
  <w:footnote w:id="15">
    <w:p w14:paraId="0773BAE3" w14:textId="0A3D39EE" w:rsidR="002D2105" w:rsidRPr="00485DE0" w:rsidRDefault="002D2105" w:rsidP="00485DE0">
      <w:pPr>
        <w:pStyle w:val="FootnoteText"/>
        <w:jc w:val="both"/>
        <w:rPr>
          <w:rFonts w:ascii="Garamond" w:hAnsi="Garamond"/>
        </w:rPr>
      </w:pPr>
      <w:r w:rsidRPr="00485DE0">
        <w:rPr>
          <w:rStyle w:val="FootnoteReference"/>
          <w:rFonts w:ascii="Garamond" w:hAnsi="Garamond"/>
        </w:rPr>
        <w:footnoteRef/>
      </w:r>
      <w:r w:rsidRPr="00485DE0">
        <w:rPr>
          <w:rFonts w:ascii="Garamond" w:hAnsi="Garamond"/>
        </w:rPr>
        <w:t xml:space="preserve"> https://</w:t>
      </w:r>
      <w:r w:rsidRPr="00485DE0">
        <w:rPr>
          <w:rFonts w:ascii="Garamond" w:hAnsi="Garamond"/>
          <w:lang w:val="en-US"/>
        </w:rPr>
        <w:t>www</w:t>
      </w:r>
      <w:r w:rsidRPr="00485DE0">
        <w:rPr>
          <w:rFonts w:ascii="Garamond" w:hAnsi="Garamond"/>
        </w:rPr>
        <w:t>.climate</w:t>
      </w:r>
      <w:r w:rsidRPr="00485DE0">
        <w:rPr>
          <w:rFonts w:ascii="Garamond" w:hAnsi="Garamond"/>
          <w:lang w:val="en-US"/>
        </w:rPr>
        <w:t>w</w:t>
      </w:r>
      <w:r w:rsidRPr="00485DE0">
        <w:rPr>
          <w:rFonts w:ascii="Garamond" w:hAnsi="Garamond"/>
        </w:rPr>
        <w:t>atchdata.org/countries/ALB?end_year=2018&amp;start_year=1990#ghg-emissions</w:t>
      </w:r>
    </w:p>
  </w:footnote>
  <w:footnote w:id="16">
    <w:p w14:paraId="0773BAE4" w14:textId="32B83644" w:rsidR="002D2105" w:rsidRPr="004A227F" w:rsidRDefault="002D2105" w:rsidP="00485DE0">
      <w:pPr>
        <w:pStyle w:val="FootnoteText"/>
        <w:jc w:val="both"/>
        <w:rPr>
          <w:rFonts w:ascii="Garamond" w:hAnsi="Garamond"/>
          <w:lang w:val="sq-AL"/>
        </w:rPr>
      </w:pPr>
      <w:r w:rsidRPr="004A227F">
        <w:rPr>
          <w:rStyle w:val="FootnoteReference"/>
          <w:rFonts w:ascii="Garamond" w:hAnsi="Garamond"/>
          <w:lang w:val="sq-AL"/>
        </w:rPr>
        <w:footnoteRef/>
      </w:r>
      <w:r w:rsidRPr="004A227F">
        <w:rPr>
          <w:rFonts w:ascii="Garamond" w:hAnsi="Garamond"/>
          <w:lang w:val="sq-AL"/>
        </w:rPr>
        <w:t xml:space="preserve"> Objektivi i Neutralitetit të Degradimit të Tokës për Shqipërinë dhe Normat dhe Standardet e Matjes së Erozionit të Tokës, Raporti Përfundimtar, 2019</w:t>
      </w:r>
      <w:r>
        <w:rPr>
          <w:rFonts w:ascii="Garamond" w:hAnsi="Garamond"/>
          <w:lang w:val="sq-AL"/>
        </w:rPr>
        <w:t>.</w:t>
      </w:r>
    </w:p>
  </w:footnote>
  <w:footnote w:id="17">
    <w:p w14:paraId="0773BAE5" w14:textId="77777777" w:rsidR="002D2105" w:rsidRPr="00485DE0" w:rsidRDefault="002D2105" w:rsidP="00485DE0">
      <w:pPr>
        <w:pStyle w:val="FootnoteText"/>
        <w:jc w:val="both"/>
        <w:rPr>
          <w:rFonts w:ascii="Garamond" w:hAnsi="Garamond"/>
        </w:rPr>
      </w:pPr>
      <w:r w:rsidRPr="00485DE0">
        <w:rPr>
          <w:rStyle w:val="FootnoteReference"/>
          <w:rFonts w:ascii="Garamond" w:hAnsi="Garamond"/>
        </w:rPr>
        <w:footnoteRef/>
      </w:r>
      <w:r w:rsidRPr="00485DE0">
        <w:rPr>
          <w:rFonts w:ascii="Garamond" w:hAnsi="Garamond"/>
        </w:rPr>
        <w:t xml:space="preserve"> </w:t>
      </w:r>
      <w:hyperlink r:id="rId6" w:history="1">
        <w:r w:rsidRPr="00485DE0">
          <w:rPr>
            <w:rStyle w:val="Hyperlink"/>
            <w:rFonts w:ascii="Garamond" w:eastAsia="MS Mincho" w:hAnsi="Garamond"/>
          </w:rPr>
          <w:t>https://cordis.europa.eu/article/id/124474-renewable-energy-potentials-of-albania</w:t>
        </w:r>
      </w:hyperlink>
    </w:p>
  </w:footnote>
  <w:footnote w:id="18">
    <w:p w14:paraId="0773BAE6" w14:textId="040390A6" w:rsidR="002D2105" w:rsidRPr="004A227F" w:rsidRDefault="002D2105" w:rsidP="00485DE0">
      <w:pPr>
        <w:pStyle w:val="FootnoteText"/>
        <w:jc w:val="both"/>
        <w:rPr>
          <w:rFonts w:ascii="Garamond" w:hAnsi="Garamond"/>
          <w:lang w:val="sq-AL"/>
        </w:rPr>
      </w:pPr>
      <w:r w:rsidRPr="004A227F">
        <w:rPr>
          <w:rStyle w:val="FootnoteReference"/>
          <w:rFonts w:ascii="Garamond" w:hAnsi="Garamond"/>
          <w:lang w:val="sq-AL"/>
        </w:rPr>
        <w:footnoteRef/>
      </w:r>
      <w:r w:rsidRPr="004A227F">
        <w:rPr>
          <w:rFonts w:ascii="Garamond" w:hAnsi="Garamond"/>
          <w:lang w:val="sq-AL"/>
        </w:rPr>
        <w:t xml:space="preserve"> Plani Kombëtar i Veprimit për Burimet e Energjisë së Rinovueshme në Shqipëri, 2015</w:t>
      </w:r>
      <w:r>
        <w:rPr>
          <w:rFonts w:ascii="Garamond" w:hAnsi="Garamond"/>
          <w:lang w:val="sq-AL"/>
        </w:rPr>
        <w:t>–</w:t>
      </w:r>
      <w:r w:rsidRPr="004A227F">
        <w:rPr>
          <w:rFonts w:ascii="Garamond" w:hAnsi="Garamond"/>
          <w:lang w:val="sq-AL"/>
        </w:rPr>
        <w:t>2020</w:t>
      </w:r>
      <w:r>
        <w:rPr>
          <w:rFonts w:ascii="Garamond" w:hAnsi="Garamond"/>
          <w:lang w:val="sq-AL"/>
        </w:rPr>
        <w:t>.</w:t>
      </w:r>
    </w:p>
  </w:footnote>
  <w:footnote w:id="19">
    <w:p w14:paraId="0773BAE7" w14:textId="77777777" w:rsidR="002D2105" w:rsidRPr="00485DE0" w:rsidRDefault="002D2105" w:rsidP="00485DE0">
      <w:pPr>
        <w:pStyle w:val="FootnoteText"/>
        <w:jc w:val="both"/>
        <w:rPr>
          <w:rFonts w:ascii="Garamond" w:hAnsi="Garamond"/>
        </w:rPr>
      </w:pPr>
      <w:r w:rsidRPr="00485DE0">
        <w:rPr>
          <w:rStyle w:val="FootnoteReference"/>
          <w:rFonts w:ascii="Garamond" w:hAnsi="Garamond"/>
        </w:rPr>
        <w:footnoteRef/>
      </w:r>
      <w:r w:rsidRPr="00485DE0">
        <w:rPr>
          <w:rFonts w:ascii="Garamond" w:hAnsi="Garamond"/>
        </w:rPr>
        <w:t xml:space="preserve"> </w:t>
      </w:r>
      <w:hyperlink r:id="rId7" w:history="1">
        <w:r w:rsidRPr="00485DE0">
          <w:rPr>
            <w:rStyle w:val="Hyperlink"/>
            <w:rFonts w:ascii="Garamond" w:eastAsia="MS Mincho" w:hAnsi="Garamond"/>
          </w:rPr>
          <w:t>http://www.fao.org/3/az146e/az146e.pdf</w:t>
        </w:r>
      </w:hyperlink>
    </w:p>
  </w:footnote>
  <w:footnote w:id="20">
    <w:p w14:paraId="0773BAE8" w14:textId="281487BD" w:rsidR="002D2105" w:rsidRPr="00FA7364" w:rsidRDefault="002D2105" w:rsidP="00FA7364">
      <w:pPr>
        <w:pStyle w:val="FootnoteText"/>
        <w:jc w:val="both"/>
        <w:rPr>
          <w:rFonts w:ascii="Garamond" w:hAnsi="Garamond"/>
          <w:lang w:val="sq-AL"/>
        </w:rPr>
      </w:pPr>
      <w:r w:rsidRPr="00FA7364">
        <w:rPr>
          <w:rStyle w:val="FootnoteReference"/>
          <w:rFonts w:ascii="Garamond" w:hAnsi="Garamond"/>
          <w:lang w:val="sq-AL"/>
        </w:rPr>
        <w:footnoteRef/>
      </w:r>
      <w:r w:rsidRPr="00FA7364">
        <w:rPr>
          <w:rFonts w:ascii="Garamond" w:hAnsi="Garamond"/>
          <w:lang w:val="sq-AL"/>
        </w:rPr>
        <w:t xml:space="preserve"> MBZHR (2021): Studimi i Sektorit të Qumështit; përgatitur nga </w:t>
      </w:r>
      <w:r w:rsidRPr="00FA7364">
        <w:rPr>
          <w:rFonts w:ascii="Garamond" w:hAnsi="Garamond"/>
          <w:i/>
          <w:iCs/>
          <w:lang w:val="sq-AL"/>
        </w:rPr>
        <w:t>AGT International/DSA,</w:t>
      </w:r>
      <w:r w:rsidRPr="00FA7364">
        <w:rPr>
          <w:rFonts w:ascii="Garamond" w:hAnsi="Garamond"/>
          <w:lang w:val="sq-AL"/>
        </w:rPr>
        <w:t xml:space="preserve"> në kuadër të Projektit GIZ-SRD, maj 2021</w:t>
      </w:r>
      <w:r>
        <w:rPr>
          <w:rFonts w:ascii="Garamond" w:hAnsi="Garamond"/>
          <w:lang w:val="sq-AL"/>
        </w:rPr>
        <w:t>.</w:t>
      </w:r>
    </w:p>
  </w:footnote>
  <w:footnote w:id="21">
    <w:p w14:paraId="0773BAE9" w14:textId="27C84AB0" w:rsidR="002D2105" w:rsidRPr="00FA7364" w:rsidRDefault="002D2105" w:rsidP="00FA7364">
      <w:pPr>
        <w:pStyle w:val="FootnoteText"/>
        <w:jc w:val="both"/>
        <w:rPr>
          <w:rFonts w:ascii="Garamond" w:hAnsi="Garamond"/>
          <w:lang w:val="sq-AL"/>
        </w:rPr>
      </w:pPr>
      <w:r w:rsidRPr="00FA7364">
        <w:rPr>
          <w:rStyle w:val="FootnoteReference"/>
          <w:rFonts w:ascii="Garamond" w:hAnsi="Garamond"/>
          <w:lang w:val="sq-AL"/>
        </w:rPr>
        <w:footnoteRef/>
      </w:r>
      <w:r w:rsidRPr="00FA7364">
        <w:rPr>
          <w:rFonts w:ascii="Garamond" w:hAnsi="Garamond"/>
          <w:lang w:val="sq-AL"/>
        </w:rPr>
        <w:t xml:space="preserve"> UNECE – Shqipëri, Rishikimi i Performancës Mjedisore, Rishikimi i Tretë, 2018 </w:t>
      </w:r>
      <w:r>
        <w:rPr>
          <w:rFonts w:ascii="Garamond" w:hAnsi="Garamond"/>
          <w:lang w:val="sq-AL"/>
        </w:rPr>
        <w:t>–</w:t>
      </w:r>
      <w:r w:rsidRPr="00FA7364">
        <w:rPr>
          <w:rFonts w:ascii="Garamond" w:hAnsi="Garamond"/>
          <w:lang w:val="sq-AL"/>
        </w:rPr>
        <w:t xml:space="preserve"> https://unece.org/DAM/env/epr/epr_studies/ECE.CEP.183_Eng.pdf</w:t>
      </w:r>
    </w:p>
  </w:footnote>
  <w:footnote w:id="22">
    <w:p w14:paraId="0773BAEA" w14:textId="49E61243" w:rsidR="002D2105" w:rsidRPr="00FA7364" w:rsidRDefault="002D2105" w:rsidP="00FA7364">
      <w:pPr>
        <w:pStyle w:val="FootnoteText"/>
        <w:jc w:val="both"/>
        <w:rPr>
          <w:rFonts w:ascii="Garamond" w:hAnsi="Garamond"/>
          <w:lang w:val="sq-AL"/>
        </w:rPr>
      </w:pPr>
      <w:r w:rsidRPr="00FA7364">
        <w:rPr>
          <w:rStyle w:val="FootnoteReference"/>
          <w:rFonts w:ascii="Garamond" w:hAnsi="Garamond"/>
          <w:lang w:val="sq-AL"/>
        </w:rPr>
        <w:footnoteRef/>
      </w:r>
      <w:r w:rsidRPr="00FA7364">
        <w:rPr>
          <w:rFonts w:ascii="Garamond" w:hAnsi="Garamond"/>
          <w:lang w:val="sq-AL"/>
        </w:rPr>
        <w:t xml:space="preserve"> MTE/UNDP/GEF (2019): Objektivi i Neutralitetit të Degradimit të Tokës për Shqipërinë dhe Normat dhe Standardet e Matjes së Erozionit të Tokës</w:t>
      </w:r>
      <w:r>
        <w:rPr>
          <w:rFonts w:ascii="Garamond" w:hAnsi="Garamond"/>
          <w:lang w:val="sq-AL"/>
        </w:rPr>
        <w:t>.</w:t>
      </w:r>
    </w:p>
  </w:footnote>
  <w:footnote w:id="23">
    <w:p w14:paraId="0773BAEB" w14:textId="77777777" w:rsidR="002D2105" w:rsidRPr="00FA7364" w:rsidRDefault="002D2105" w:rsidP="00FA7364">
      <w:pPr>
        <w:pStyle w:val="FootnoteText"/>
        <w:jc w:val="both"/>
        <w:rPr>
          <w:rFonts w:ascii="Garamond" w:hAnsi="Garamond"/>
          <w:lang w:val="sq-AL"/>
        </w:rPr>
      </w:pPr>
      <w:r w:rsidRPr="00FA7364">
        <w:rPr>
          <w:rStyle w:val="FootnoteReference"/>
          <w:rFonts w:ascii="Garamond" w:hAnsi="Garamond"/>
          <w:lang w:val="sq-AL"/>
        </w:rPr>
        <w:footnoteRef/>
      </w:r>
      <w:r w:rsidRPr="00FA7364">
        <w:rPr>
          <w:rFonts w:ascii="Garamond" w:hAnsi="Garamond"/>
          <w:lang w:val="sq-AL"/>
        </w:rPr>
        <w:t xml:space="preserve"> </w:t>
      </w:r>
      <w:hyperlink r:id="rId8" w:history="1">
        <w:r w:rsidRPr="00FA7364">
          <w:rPr>
            <w:rStyle w:val="Hyperlink"/>
            <w:rFonts w:ascii="Garamond" w:eastAsia="MS Mincho" w:hAnsi="Garamond"/>
            <w:lang w:val="sq-AL"/>
          </w:rPr>
          <w:t>https://www.climatechangepost.com/albania/fresh-water-resources/</w:t>
        </w:r>
      </w:hyperlink>
    </w:p>
  </w:footnote>
  <w:footnote w:id="24">
    <w:p w14:paraId="0773BAEC" w14:textId="77777777" w:rsidR="002D2105" w:rsidRPr="00FA7364" w:rsidRDefault="002D2105" w:rsidP="00FA7364">
      <w:pPr>
        <w:pStyle w:val="FootnoteText"/>
        <w:jc w:val="both"/>
        <w:rPr>
          <w:rFonts w:ascii="Garamond" w:hAnsi="Garamond"/>
          <w:lang w:val="sq-AL"/>
        </w:rPr>
      </w:pPr>
      <w:r w:rsidRPr="00FA7364">
        <w:rPr>
          <w:rStyle w:val="FootnoteReference"/>
          <w:rFonts w:ascii="Garamond" w:hAnsi="Garamond"/>
          <w:lang w:val="sq-AL"/>
        </w:rPr>
        <w:footnoteRef/>
      </w:r>
      <w:r w:rsidRPr="00FA7364">
        <w:rPr>
          <w:rFonts w:ascii="Garamond" w:hAnsi="Garamond"/>
          <w:lang w:val="sq-AL"/>
        </w:rPr>
        <w:t xml:space="preserve"> </w:t>
      </w:r>
      <w:hyperlink r:id="rId9" w:history="1">
        <w:r w:rsidRPr="00FA7364">
          <w:rPr>
            <w:rStyle w:val="Hyperlink"/>
            <w:rFonts w:ascii="Garamond" w:eastAsia="MS Mincho" w:hAnsi="Garamond"/>
            <w:lang w:val="sq-AL"/>
          </w:rPr>
          <w:t>https://www.worldometers.info/water/albania-water/</w:t>
        </w:r>
      </w:hyperlink>
    </w:p>
  </w:footnote>
  <w:footnote w:id="25">
    <w:p w14:paraId="0773BAED" w14:textId="31DE0A20" w:rsidR="002D2105" w:rsidRPr="007351F1" w:rsidRDefault="002D2105" w:rsidP="007351F1">
      <w:pPr>
        <w:pStyle w:val="FootnoteText"/>
        <w:jc w:val="both"/>
        <w:rPr>
          <w:rFonts w:ascii="Garamond" w:hAnsi="Garamond"/>
          <w:lang w:val="sq-AL"/>
        </w:rPr>
      </w:pPr>
      <w:r w:rsidRPr="007351F1">
        <w:rPr>
          <w:rStyle w:val="FootnoteReference"/>
          <w:rFonts w:ascii="Garamond" w:hAnsi="Garamond"/>
          <w:lang w:val="sq-AL"/>
        </w:rPr>
        <w:footnoteRef/>
      </w:r>
      <w:r w:rsidRPr="007351F1">
        <w:rPr>
          <w:rFonts w:ascii="Garamond" w:hAnsi="Garamond"/>
          <w:lang w:val="sq-AL"/>
        </w:rPr>
        <w:t xml:space="preserve"> </w:t>
      </w:r>
      <w:hyperlink r:id="rId10" w:history="1">
        <w:r w:rsidRPr="007351F1">
          <w:rPr>
            <w:rStyle w:val="Hyperlink"/>
            <w:rFonts w:ascii="Garamond" w:eastAsia="MS Mincho" w:hAnsi="Garamond"/>
            <w:color w:val="auto"/>
            <w:lang w:val="sq-AL"/>
          </w:rPr>
          <w:t>Sektori</w:t>
        </w:r>
      </w:hyperlink>
      <w:r w:rsidRPr="007351F1">
        <w:rPr>
          <w:rFonts w:ascii="Garamond" w:hAnsi="Garamond"/>
          <w:lang w:val="sq-AL"/>
        </w:rPr>
        <w:t xml:space="preserve"> i prodhimit organik n</w:t>
      </w:r>
      <w:r>
        <w:rPr>
          <w:rFonts w:ascii="Garamond" w:hAnsi="Garamond"/>
          <w:lang w:val="sq-AL"/>
        </w:rPr>
        <w:t>ë</w:t>
      </w:r>
      <w:r w:rsidRPr="007351F1">
        <w:rPr>
          <w:rFonts w:ascii="Garamond" w:hAnsi="Garamond"/>
          <w:lang w:val="sq-AL"/>
        </w:rPr>
        <w:t xml:space="preserve"> ministri, t</w:t>
      </w:r>
      <w:r>
        <w:rPr>
          <w:rFonts w:ascii="Garamond" w:hAnsi="Garamond"/>
          <w:lang w:val="sq-AL"/>
        </w:rPr>
        <w:t>ë</w:t>
      </w:r>
      <w:r w:rsidRPr="007351F1">
        <w:rPr>
          <w:rFonts w:ascii="Garamond" w:hAnsi="Garamond"/>
          <w:lang w:val="sq-AL"/>
        </w:rPr>
        <w:t xml:space="preserve"> dhënat e vitit 2020</w:t>
      </w:r>
      <w:r>
        <w:rPr>
          <w:rFonts w:ascii="Garamond" w:hAnsi="Garamond"/>
          <w:lang w:val="sq-AL"/>
        </w:rPr>
        <w:t>.</w:t>
      </w:r>
    </w:p>
  </w:footnote>
  <w:footnote w:id="26">
    <w:p w14:paraId="0773BAEE" w14:textId="6FB189DD" w:rsidR="002D2105" w:rsidRPr="007351F1" w:rsidRDefault="002D2105" w:rsidP="00F26C44">
      <w:pPr>
        <w:pStyle w:val="FootnoteText"/>
        <w:jc w:val="both"/>
        <w:rPr>
          <w:rFonts w:ascii="Garamond" w:hAnsi="Garamond"/>
          <w:lang w:val="sq-AL"/>
        </w:rPr>
      </w:pPr>
      <w:r w:rsidRPr="007351F1">
        <w:rPr>
          <w:rStyle w:val="FootnoteReference"/>
          <w:rFonts w:ascii="Garamond" w:hAnsi="Garamond"/>
          <w:lang w:val="sq-AL"/>
        </w:rPr>
        <w:footnoteRef/>
      </w:r>
      <w:r w:rsidRPr="007351F1">
        <w:rPr>
          <w:rFonts w:ascii="Garamond" w:hAnsi="Garamond"/>
          <w:lang w:val="sq-AL"/>
        </w:rPr>
        <w:t xml:space="preserve"> MBZHR (2021): Studimi i sektorit të frutave dhe perimeve; përgatitur nga </w:t>
      </w:r>
      <w:r w:rsidRPr="007351F1">
        <w:rPr>
          <w:rFonts w:ascii="Garamond" w:hAnsi="Garamond"/>
          <w:i/>
          <w:iCs/>
          <w:lang w:val="sq-AL"/>
        </w:rPr>
        <w:t>AGT International/DSA</w:t>
      </w:r>
      <w:r>
        <w:rPr>
          <w:rFonts w:ascii="Garamond" w:hAnsi="Garamond"/>
          <w:lang w:val="sq-AL"/>
        </w:rPr>
        <w:t>,</w:t>
      </w:r>
      <w:r w:rsidRPr="007351F1">
        <w:rPr>
          <w:rFonts w:ascii="Garamond" w:hAnsi="Garamond"/>
          <w:lang w:val="sq-AL"/>
        </w:rPr>
        <w:t xml:space="preserve"> në kuadër të projektit GIZ-SRD, maj 2021</w:t>
      </w:r>
      <w:r>
        <w:rPr>
          <w:rFonts w:ascii="Garamond" w:hAnsi="Garamond"/>
          <w:lang w:val="sq-AL"/>
        </w:rPr>
        <w:t>.</w:t>
      </w:r>
    </w:p>
  </w:footnote>
  <w:footnote w:id="27">
    <w:p w14:paraId="0773BAEF" w14:textId="77777777" w:rsidR="002D2105" w:rsidRPr="000C6D7E" w:rsidRDefault="002D2105" w:rsidP="00DF7A00">
      <w:pPr>
        <w:pStyle w:val="FootnoteText"/>
        <w:jc w:val="both"/>
      </w:pPr>
      <w:r w:rsidRPr="007351F1">
        <w:rPr>
          <w:rStyle w:val="FootnoteReference"/>
          <w:rFonts w:ascii="Garamond" w:hAnsi="Garamond"/>
          <w:lang w:val="sq-AL"/>
        </w:rPr>
        <w:footnoteRef/>
      </w:r>
      <w:hyperlink r:id="rId11" w:history="1">
        <w:r w:rsidRPr="007351F1">
          <w:rPr>
            <w:rStyle w:val="Hyperlink"/>
            <w:rFonts w:ascii="Garamond" w:eastAsia="MS Mincho" w:hAnsi="Garamond"/>
            <w:lang w:val="sq-AL"/>
          </w:rPr>
          <w:t>https://www.eea.europa.eu/data-and-maps/figures/biogeographical-regions-in-europe-2/map_2-1_biogeographical-regions/image_large</w:t>
        </w:r>
      </w:hyperlink>
    </w:p>
  </w:footnote>
  <w:footnote w:id="28">
    <w:p w14:paraId="0773BAF0" w14:textId="473EE59F" w:rsidR="002D2105" w:rsidRPr="00490D68" w:rsidRDefault="002D2105" w:rsidP="00664693">
      <w:pPr>
        <w:pStyle w:val="FootnoteText"/>
        <w:jc w:val="both"/>
        <w:rPr>
          <w:rFonts w:ascii="Garamond" w:hAnsi="Garamond"/>
          <w:lang w:val="sq-AL"/>
        </w:rPr>
      </w:pPr>
      <w:r w:rsidRPr="00490D68">
        <w:rPr>
          <w:rStyle w:val="FootnoteReference"/>
          <w:rFonts w:ascii="Garamond" w:hAnsi="Garamond"/>
          <w:lang w:val="sq-AL"/>
        </w:rPr>
        <w:footnoteRef/>
      </w:r>
      <w:r w:rsidRPr="00490D68">
        <w:rPr>
          <w:rFonts w:ascii="Garamond" w:hAnsi="Garamond"/>
          <w:lang w:val="sq-AL"/>
        </w:rPr>
        <w:t xml:space="preserve"> OUB (2020) Fermat me pronarë të vegjël dhe familjare, shih</w:t>
      </w:r>
      <w:r>
        <w:rPr>
          <w:rFonts w:ascii="Garamond" w:hAnsi="Garamond"/>
          <w:lang w:val="sq-AL"/>
        </w:rPr>
        <w:t>:</w:t>
      </w:r>
      <w:r w:rsidRPr="00490D68">
        <w:rPr>
          <w:rFonts w:ascii="Garamond" w:hAnsi="Garamond"/>
          <w:lang w:val="sq-AL"/>
        </w:rPr>
        <w:t xml:space="preserve"> </w:t>
      </w:r>
      <w:hyperlink r:id="rId12" w:history="1">
        <w:r w:rsidRPr="00456C1D">
          <w:rPr>
            <w:rStyle w:val="Hyperlink"/>
            <w:rFonts w:ascii="Garamond" w:hAnsi="Garamond"/>
            <w:lang w:val="sq-AL"/>
          </w:rPr>
          <w:t>http://www.OUB.org/3/ca7450en/CA7450EN.pdf</w:t>
        </w:r>
      </w:hyperlink>
      <w:r>
        <w:rPr>
          <w:rFonts w:ascii="Garamond" w:hAnsi="Garamond"/>
          <w:lang w:val="sq-AL"/>
        </w:rPr>
        <w:t xml:space="preserve"> </w:t>
      </w:r>
    </w:p>
  </w:footnote>
  <w:footnote w:id="29">
    <w:p w14:paraId="0773BAF1" w14:textId="77777777" w:rsidR="002D2105" w:rsidRPr="00702AC7" w:rsidRDefault="002D2105" w:rsidP="00DF7A00">
      <w:pPr>
        <w:pStyle w:val="Fussnote"/>
        <w:jc w:val="both"/>
        <w:rPr>
          <w:rFonts w:ascii="Garamond" w:hAnsi="Garamond"/>
        </w:rPr>
      </w:pPr>
      <w:r w:rsidRPr="00702AC7">
        <w:rPr>
          <w:rStyle w:val="FootnoteReference"/>
          <w:rFonts w:ascii="Garamond" w:hAnsi="Garamond" w:cs="Calibri"/>
          <w:sz w:val="20"/>
          <w:szCs w:val="20"/>
        </w:rPr>
        <w:footnoteRef/>
      </w:r>
      <w:r w:rsidRPr="00702AC7">
        <w:rPr>
          <w:rFonts w:ascii="Garamond" w:hAnsi="Garamond"/>
          <w:sz w:val="20"/>
          <w:szCs w:val="20"/>
        </w:rPr>
        <w:t xml:space="preserve"> Banka e Shqip</w:t>
      </w:r>
      <w:r w:rsidRPr="00702AC7">
        <w:rPr>
          <w:rFonts w:ascii="Garamond" w:hAnsi="Garamond" w:cs="Arial"/>
          <w:sz w:val="20"/>
          <w:szCs w:val="20"/>
        </w:rPr>
        <w:t>ërisë - 2021</w:t>
      </w:r>
    </w:p>
  </w:footnote>
  <w:footnote w:id="30">
    <w:p w14:paraId="0773BAF2" w14:textId="38484A9C" w:rsidR="002D2105" w:rsidRPr="00702AC7" w:rsidRDefault="002D2105" w:rsidP="00702AC7">
      <w:pPr>
        <w:pStyle w:val="FootnoteText"/>
        <w:jc w:val="both"/>
        <w:rPr>
          <w:rFonts w:ascii="Garamond" w:hAnsi="Garamond"/>
          <w:lang w:val="sq-AL"/>
        </w:rPr>
      </w:pPr>
      <w:r w:rsidRPr="00702AC7">
        <w:rPr>
          <w:rStyle w:val="FootnoteReference"/>
          <w:rFonts w:ascii="Garamond" w:hAnsi="Garamond"/>
          <w:lang w:val="sq-AL"/>
        </w:rPr>
        <w:footnoteRef/>
      </w:r>
      <w:r w:rsidRPr="00702AC7">
        <w:rPr>
          <w:rFonts w:ascii="Garamond" w:hAnsi="Garamond"/>
          <w:lang w:val="sq-AL"/>
        </w:rPr>
        <w:t xml:space="preserve"> S</w:t>
      </w:r>
      <w:r>
        <w:rPr>
          <w:rFonts w:ascii="Garamond" w:hAnsi="Garamond"/>
          <w:lang w:val="sq-AL"/>
        </w:rPr>
        <w:t>W</w:t>
      </w:r>
      <w:r w:rsidRPr="00702AC7">
        <w:rPr>
          <w:rFonts w:ascii="Garamond" w:hAnsi="Garamond"/>
          <w:lang w:val="sq-AL"/>
        </w:rPr>
        <w:t xml:space="preserve">G (2020). Politikat e Diversifikimit Ekonomik dhe Turizmit Rural në EJL, mundësohen në </w:t>
      </w:r>
      <w:hyperlink r:id="rId13" w:history="1">
        <w:r w:rsidRPr="00456C1D">
          <w:rPr>
            <w:rStyle w:val="Hyperlink"/>
            <w:rFonts w:ascii="Garamond" w:hAnsi="Garamond"/>
            <w:lang w:val="sq-AL"/>
          </w:rPr>
          <w:t>http://seerural.org/wp-content/uploads/2020/11/Economic_diversification_policies_and_rural_tourism_in_SEE_</w:t>
        </w:r>
      </w:hyperlink>
      <w:r>
        <w:rPr>
          <w:rFonts w:ascii="Garamond" w:hAnsi="Garamond"/>
          <w:lang w:val="sq-AL"/>
        </w:rPr>
        <w:t xml:space="preserve"> </w:t>
      </w:r>
      <w:r w:rsidRPr="00702AC7">
        <w:rPr>
          <w:rFonts w:ascii="Garamond" w:hAnsi="Garamond"/>
          <w:lang w:val="sq-AL"/>
        </w:rPr>
        <w:t>2020.pdf</w:t>
      </w:r>
    </w:p>
  </w:footnote>
  <w:footnote w:id="31">
    <w:p w14:paraId="0773BAF3" w14:textId="6EF5BCD4" w:rsidR="002D2105" w:rsidRPr="00702AC7" w:rsidRDefault="002D2105" w:rsidP="009F203D">
      <w:pPr>
        <w:pStyle w:val="FootnoteText"/>
        <w:jc w:val="both"/>
        <w:rPr>
          <w:rFonts w:ascii="Garamond" w:hAnsi="Garamond"/>
          <w:lang w:val="sq-AL"/>
        </w:rPr>
      </w:pPr>
      <w:r w:rsidRPr="00702AC7">
        <w:rPr>
          <w:rStyle w:val="FootnoteReference"/>
          <w:rFonts w:ascii="Garamond" w:hAnsi="Garamond"/>
          <w:lang w:val="sq-AL"/>
        </w:rPr>
        <w:footnoteRef/>
      </w:r>
      <w:r w:rsidRPr="00702AC7">
        <w:rPr>
          <w:rFonts w:ascii="Garamond" w:hAnsi="Garamond"/>
          <w:lang w:val="sq-AL"/>
        </w:rPr>
        <w:t xml:space="preserve"> OUB (2018). Fleta e vendit të fermave të vogla familjare, Shqipëri, shih http://www.OUB.org/3/I8914EN/i8914en.pdf. INS</w:t>
      </w:r>
      <w:r>
        <w:rPr>
          <w:rFonts w:ascii="Garamond" w:hAnsi="Garamond"/>
          <w:lang w:val="sq-AL"/>
        </w:rPr>
        <w:t xml:space="preserve">TAT (2017), deri në 9.8% (31372 </w:t>
      </w:r>
      <w:r w:rsidRPr="00702AC7">
        <w:rPr>
          <w:rFonts w:ascii="Garamond" w:hAnsi="Garamond"/>
          <w:lang w:val="sq-AL"/>
        </w:rPr>
        <w:t>ferma) janë të regjistruara zyrtarisht pranë autoriteteve fiskale dhe pjesa tjetër (deri në 90.2% e fermave) operon në mënyrë informale.</w:t>
      </w:r>
    </w:p>
  </w:footnote>
  <w:footnote w:id="32">
    <w:p w14:paraId="0773BAF4" w14:textId="77777777" w:rsidR="002D2105" w:rsidRPr="00702AC7" w:rsidRDefault="002D2105" w:rsidP="00DF7A00">
      <w:pPr>
        <w:pStyle w:val="FootnoteText"/>
        <w:rPr>
          <w:rFonts w:ascii="Garamond" w:hAnsi="Garamond"/>
          <w:lang w:val="sq-AL"/>
        </w:rPr>
      </w:pPr>
      <w:r w:rsidRPr="00702AC7">
        <w:rPr>
          <w:rStyle w:val="FootnoteReference"/>
          <w:rFonts w:ascii="Garamond" w:hAnsi="Garamond"/>
          <w:lang w:val="sq-AL"/>
        </w:rPr>
        <w:footnoteRef/>
      </w:r>
      <w:r w:rsidRPr="00702AC7">
        <w:rPr>
          <w:rFonts w:ascii="Garamond" w:hAnsi="Garamond"/>
          <w:lang w:val="sq-AL"/>
        </w:rPr>
        <w:t xml:space="preserve"> </w:t>
      </w:r>
      <w:hyperlink r:id="rId14" w:history="1">
        <w:r w:rsidRPr="00702AC7">
          <w:rPr>
            <w:rStyle w:val="Hyperlink"/>
            <w:rFonts w:ascii="Garamond" w:eastAsia="MS Mincho" w:hAnsi="Garamond"/>
            <w:lang w:val="sq-AL"/>
          </w:rPr>
          <w:t>https://publications.jrc.ec.Europa.eu/repository/handle/JRC80420</w:t>
        </w:r>
      </w:hyperlink>
    </w:p>
  </w:footnote>
  <w:footnote w:id="33">
    <w:p w14:paraId="0773BAF5" w14:textId="77777777" w:rsidR="002D2105" w:rsidRPr="005B311C" w:rsidRDefault="002D2105" w:rsidP="00DF7A00">
      <w:pPr>
        <w:pStyle w:val="Fussnote"/>
        <w:rPr>
          <w:rFonts w:ascii="Garamond" w:hAnsi="Garamond"/>
          <w:sz w:val="20"/>
          <w:szCs w:val="20"/>
        </w:rPr>
      </w:pPr>
      <w:r w:rsidRPr="005B311C">
        <w:rPr>
          <w:rStyle w:val="FootnoteReference"/>
          <w:rFonts w:ascii="Garamond" w:hAnsi="Garamond"/>
          <w:sz w:val="20"/>
          <w:szCs w:val="20"/>
        </w:rPr>
        <w:footnoteRef/>
      </w:r>
      <w:r w:rsidRPr="005B311C">
        <w:rPr>
          <w:rFonts w:ascii="Garamond" w:hAnsi="Garamond"/>
          <w:sz w:val="20"/>
          <w:szCs w:val="20"/>
        </w:rPr>
        <w:t xml:space="preserve"> http://www.instat.gov.al/en/themes/industry-trade-and-services/tourism/#tab3</w:t>
      </w:r>
    </w:p>
  </w:footnote>
  <w:footnote w:id="34">
    <w:p w14:paraId="0773BAF6" w14:textId="19B1E2BC" w:rsidR="002D2105" w:rsidRPr="00726CFB" w:rsidRDefault="002D2105" w:rsidP="00726CFB">
      <w:pPr>
        <w:pStyle w:val="FootnoteText"/>
        <w:jc w:val="both"/>
        <w:rPr>
          <w:rFonts w:ascii="Garamond" w:hAnsi="Garamond"/>
          <w:lang w:val="sq-AL"/>
        </w:rPr>
      </w:pPr>
      <w:r w:rsidRPr="00726CFB">
        <w:rPr>
          <w:rStyle w:val="FootnoteReference"/>
          <w:rFonts w:ascii="Garamond" w:hAnsi="Garamond"/>
          <w:lang w:val="sq-AL"/>
        </w:rPr>
        <w:footnoteRef/>
      </w:r>
      <w:r w:rsidRPr="00726CFB">
        <w:rPr>
          <w:rFonts w:ascii="Garamond" w:hAnsi="Garamond"/>
          <w:lang w:val="sq-AL"/>
        </w:rPr>
        <w:t xml:space="preserve"> MBZHR (2021): Studimi i Sektorit të Diversifikimit; përgatitur nga </w:t>
      </w:r>
      <w:r w:rsidRPr="00C259A4">
        <w:rPr>
          <w:rFonts w:ascii="Garamond" w:hAnsi="Garamond"/>
          <w:i/>
          <w:iCs/>
          <w:lang w:val="sq-AL"/>
        </w:rPr>
        <w:t>AGT International/DSA,</w:t>
      </w:r>
      <w:r w:rsidRPr="00726CFB">
        <w:rPr>
          <w:rFonts w:ascii="Garamond" w:hAnsi="Garamond"/>
          <w:lang w:val="sq-AL"/>
        </w:rPr>
        <w:t xml:space="preserve"> në kuadër të Projektit GIZ-SRD, maj 2021.</w:t>
      </w:r>
    </w:p>
  </w:footnote>
  <w:footnote w:id="35">
    <w:p w14:paraId="0773BAF7" w14:textId="37944D88" w:rsidR="002D2105" w:rsidRPr="00726CFB" w:rsidRDefault="002D2105" w:rsidP="00726CFB">
      <w:pPr>
        <w:pStyle w:val="FootnoteText"/>
        <w:jc w:val="both"/>
        <w:rPr>
          <w:rFonts w:ascii="Garamond" w:hAnsi="Garamond"/>
          <w:lang w:val="sq-AL"/>
        </w:rPr>
      </w:pPr>
      <w:r w:rsidRPr="00726CFB">
        <w:rPr>
          <w:rStyle w:val="FootnoteReference"/>
          <w:rFonts w:ascii="Garamond" w:hAnsi="Garamond"/>
          <w:lang w:val="sq-AL"/>
        </w:rPr>
        <w:footnoteRef/>
      </w:r>
      <w:r w:rsidRPr="00726CFB">
        <w:rPr>
          <w:rFonts w:ascii="Garamond" w:hAnsi="Garamond"/>
          <w:lang w:val="sq-AL"/>
        </w:rPr>
        <w:t xml:space="preserve"> Të dhënat e siguruara nga MBZHR</w:t>
      </w:r>
      <w:r>
        <w:rPr>
          <w:rFonts w:ascii="Garamond" w:hAnsi="Garamond"/>
          <w:lang w:val="sq-AL"/>
        </w:rPr>
        <w:t>-ja</w:t>
      </w:r>
      <w:r w:rsidRPr="00726CFB">
        <w:rPr>
          <w:rFonts w:ascii="Garamond" w:hAnsi="Garamond"/>
          <w:lang w:val="sq-AL"/>
        </w:rPr>
        <w:t xml:space="preserve"> dhe MTE</w:t>
      </w:r>
      <w:r>
        <w:rPr>
          <w:rFonts w:ascii="Garamond" w:hAnsi="Garamond"/>
          <w:lang w:val="sq-AL"/>
        </w:rPr>
        <w:t>-ja</w:t>
      </w:r>
      <w:r w:rsidRPr="00726CFB">
        <w:rPr>
          <w:rFonts w:ascii="Garamond" w:hAnsi="Garamond"/>
          <w:lang w:val="sq-AL"/>
        </w:rPr>
        <w:t xml:space="preserve"> në: OUB, RASP (2020): Zhvillimi i agroturizmit në Shqipëri. Rasti i rajonit Malësi e Madhe, Belsh dhe Korç</w:t>
      </w:r>
      <w:r w:rsidRPr="00726CFB">
        <w:rPr>
          <w:rFonts w:ascii="Garamond" w:hAnsi="Garamond" w:cs="Arial"/>
          <w:lang w:val="sq-AL"/>
        </w:rPr>
        <w:t>ë</w:t>
      </w:r>
      <w:r w:rsidRPr="00726CFB">
        <w:rPr>
          <w:rFonts w:ascii="Garamond" w:hAnsi="Garamond"/>
          <w:lang w:val="sq-AL"/>
        </w:rPr>
        <w:t>. Dokumenti i Pozicionit (12/2020).</w:t>
      </w:r>
    </w:p>
  </w:footnote>
  <w:footnote w:id="36">
    <w:p w14:paraId="0773BAF8" w14:textId="664ECF5D" w:rsidR="002D2105" w:rsidRPr="003B5623" w:rsidRDefault="002D2105" w:rsidP="00DF7A00">
      <w:pPr>
        <w:pStyle w:val="FootnoteText"/>
        <w:rPr>
          <w:rFonts w:ascii="Garamond" w:hAnsi="Garamond"/>
          <w:lang w:val="en-US"/>
        </w:rPr>
      </w:pPr>
      <w:r w:rsidRPr="00664693">
        <w:rPr>
          <w:rStyle w:val="FootnoteReference"/>
          <w:rFonts w:ascii="Garamond" w:hAnsi="Garamond"/>
        </w:rPr>
        <w:footnoteRef/>
      </w:r>
      <w:r w:rsidRPr="00664693">
        <w:rPr>
          <w:rFonts w:ascii="Garamond" w:hAnsi="Garamond"/>
        </w:rPr>
        <w:t xml:space="preserve"> Shih IRENA (2021)</w:t>
      </w:r>
      <w:r>
        <w:rPr>
          <w:rFonts w:ascii="Garamond" w:hAnsi="Garamond"/>
          <w:lang w:val="en-US"/>
        </w:rPr>
        <w:t>.</w:t>
      </w:r>
    </w:p>
  </w:footnote>
  <w:footnote w:id="37">
    <w:p w14:paraId="0773BAF9" w14:textId="77777777" w:rsidR="002D2105" w:rsidRPr="00664693" w:rsidRDefault="002D2105" w:rsidP="00DF7A00">
      <w:pPr>
        <w:pStyle w:val="FootnoteText"/>
        <w:rPr>
          <w:rFonts w:ascii="Garamond" w:hAnsi="Garamond"/>
        </w:rPr>
      </w:pPr>
      <w:r w:rsidRPr="00664693">
        <w:rPr>
          <w:rStyle w:val="FootnoteReference"/>
          <w:rFonts w:ascii="Garamond" w:hAnsi="Garamond"/>
        </w:rPr>
        <w:footnoteRef/>
      </w:r>
      <w:r w:rsidRPr="00664693">
        <w:rPr>
          <w:rFonts w:ascii="Garamond" w:hAnsi="Garamond"/>
        </w:rPr>
        <w:t xml:space="preserve"> </w:t>
      </w:r>
      <w:hyperlink r:id="rId15" w:history="1">
        <w:r w:rsidRPr="00664693">
          <w:rPr>
            <w:rStyle w:val="Hyperlink"/>
            <w:rFonts w:ascii="Garamond" w:eastAsia="MS Mincho" w:hAnsi="Garamond"/>
            <w:lang w:val="en-US"/>
          </w:rPr>
          <w:t>www</w:t>
        </w:r>
        <w:r w:rsidRPr="00664693">
          <w:rPr>
            <w:rStyle w:val="Hyperlink"/>
            <w:rFonts w:ascii="Garamond" w:eastAsia="MS Mincho" w:hAnsi="Garamond"/>
          </w:rPr>
          <w:t>.anrd.al</w:t>
        </w:r>
      </w:hyperlink>
    </w:p>
  </w:footnote>
  <w:footnote w:id="38">
    <w:p w14:paraId="0773BAFA" w14:textId="19CE41E9" w:rsidR="002D2105" w:rsidRPr="007C0293" w:rsidRDefault="002D2105" w:rsidP="007C0293">
      <w:pPr>
        <w:pStyle w:val="FootnoteText"/>
        <w:jc w:val="both"/>
        <w:rPr>
          <w:rFonts w:ascii="Garamond" w:hAnsi="Garamond"/>
          <w:lang w:val="sq-AL"/>
        </w:rPr>
      </w:pPr>
      <w:r w:rsidRPr="007C0293">
        <w:rPr>
          <w:rStyle w:val="FootnoteReference"/>
          <w:rFonts w:ascii="Garamond" w:hAnsi="Garamond"/>
          <w:lang w:val="sq-AL"/>
        </w:rPr>
        <w:footnoteRef/>
      </w:r>
      <w:r w:rsidRPr="007C0293">
        <w:rPr>
          <w:rFonts w:ascii="Garamond" w:hAnsi="Garamond"/>
          <w:lang w:val="sq-AL"/>
        </w:rPr>
        <w:t xml:space="preserve"> Për shembull, kuadri i aplikuar gjerësisht i WTTC</w:t>
      </w:r>
      <w:r>
        <w:rPr>
          <w:rFonts w:ascii="Garamond" w:hAnsi="Garamond"/>
          <w:lang w:val="sq-AL"/>
        </w:rPr>
        <w:t>-së</w:t>
      </w:r>
      <w:r w:rsidRPr="007C0293">
        <w:rPr>
          <w:rFonts w:ascii="Garamond" w:hAnsi="Garamond"/>
          <w:lang w:val="sq-AL"/>
        </w:rPr>
        <w:t xml:space="preserve"> për të miratuar një qasje të bazuar në rrezik të bazuar në kontekste me rrezik të lartë dhe të ulët për protokollet e udhëtimit të sigurt.</w:t>
      </w:r>
    </w:p>
  </w:footnote>
  <w:footnote w:id="39">
    <w:p w14:paraId="0773BAFB" w14:textId="1BF1FBE9" w:rsidR="002D2105" w:rsidRPr="00ED4F79" w:rsidRDefault="002D2105" w:rsidP="00B63E83">
      <w:pPr>
        <w:pStyle w:val="FootnoteText"/>
        <w:jc w:val="both"/>
        <w:rPr>
          <w:rFonts w:ascii="Garamond" w:hAnsi="Garamond"/>
          <w:lang w:val="sq-AL"/>
        </w:rPr>
      </w:pPr>
      <w:r w:rsidRPr="00ED4F79">
        <w:rPr>
          <w:rStyle w:val="FootnoteReference"/>
          <w:rFonts w:ascii="Garamond" w:hAnsi="Garamond"/>
          <w:lang w:val="sq-AL"/>
        </w:rPr>
        <w:footnoteRef/>
      </w:r>
      <w:r w:rsidRPr="00ED4F79">
        <w:rPr>
          <w:rFonts w:ascii="Garamond" w:hAnsi="Garamond"/>
          <w:lang w:val="sq-AL"/>
        </w:rPr>
        <w:t xml:space="preserve"> Prodhimi fokusohet te levreku, krapi dhe karkaleca deti, si dhe midhjet blu </w:t>
      </w:r>
      <w:r w:rsidRPr="00ED4F79">
        <w:rPr>
          <w:rFonts w:ascii="Garamond" w:hAnsi="Garamond"/>
          <w:i/>
          <w:iCs/>
          <w:lang w:val="sq-AL"/>
        </w:rPr>
        <w:t>(Mytilus galloprovincialis).</w:t>
      </w:r>
    </w:p>
  </w:footnote>
  <w:footnote w:id="40">
    <w:p w14:paraId="0773BAFC" w14:textId="1F8287C8" w:rsidR="002D2105" w:rsidRPr="00ED4F79" w:rsidRDefault="002D2105" w:rsidP="00B63E83">
      <w:pPr>
        <w:pStyle w:val="FootnoteText"/>
        <w:jc w:val="both"/>
        <w:rPr>
          <w:rFonts w:ascii="Garamond" w:hAnsi="Garamond"/>
          <w:lang w:val="sq-AL"/>
        </w:rPr>
      </w:pPr>
      <w:r w:rsidRPr="00ED4F79">
        <w:rPr>
          <w:rStyle w:val="FootnoteReference"/>
          <w:rFonts w:ascii="Garamond" w:hAnsi="Garamond"/>
          <w:lang w:val="sq-AL"/>
        </w:rPr>
        <w:footnoteRef/>
      </w:r>
      <w:r w:rsidRPr="00ED4F79">
        <w:rPr>
          <w:rFonts w:ascii="Garamond" w:hAnsi="Garamond"/>
          <w:lang w:val="sq-AL"/>
        </w:rPr>
        <w:t xml:space="preserve"> Baza ligjore është ligji </w:t>
      </w:r>
      <w:r>
        <w:rPr>
          <w:rFonts w:ascii="Garamond" w:hAnsi="Garamond"/>
          <w:lang w:val="sq-AL"/>
        </w:rPr>
        <w:t xml:space="preserve">nr. </w:t>
      </w:r>
      <w:r w:rsidRPr="00ED4F79">
        <w:rPr>
          <w:rFonts w:ascii="Garamond" w:hAnsi="Garamond"/>
          <w:lang w:val="sq-AL"/>
        </w:rPr>
        <w:t>103/2016 për akuakulturën me përcaktimin e zonave të akuakulturës.</w:t>
      </w:r>
    </w:p>
  </w:footnote>
  <w:footnote w:id="41">
    <w:p w14:paraId="0773BAFD" w14:textId="249775A3" w:rsidR="002D2105" w:rsidRPr="00ED4F79" w:rsidRDefault="002D2105" w:rsidP="00ED4F79">
      <w:pPr>
        <w:pStyle w:val="FootnoteText"/>
        <w:jc w:val="both"/>
        <w:rPr>
          <w:rFonts w:ascii="Garamond" w:hAnsi="Garamond"/>
          <w:lang w:val="sq-AL"/>
        </w:rPr>
      </w:pPr>
      <w:r w:rsidRPr="00A24287">
        <w:rPr>
          <w:rStyle w:val="FootnoteReference"/>
          <w:rFonts w:ascii="Garamond" w:hAnsi="Garamond"/>
          <w:lang w:val="sq-AL"/>
        </w:rPr>
        <w:footnoteRef/>
      </w:r>
      <w:r w:rsidRPr="00A24287">
        <w:rPr>
          <w:rFonts w:ascii="Garamond" w:hAnsi="Garamond"/>
          <w:lang w:val="sq-AL"/>
        </w:rPr>
        <w:t xml:space="preserve"> Bakiu R. Hala, E. dhe Demiri, A. Akuakultura Detare e Shqipërisë për Prodhimin e </w:t>
      </w:r>
      <w:r w:rsidRPr="00A24287">
        <w:rPr>
          <w:rFonts w:ascii="Garamond" w:eastAsia="Arial" w:hAnsi="Garamond"/>
          <w:lang w:val="sq-AL"/>
        </w:rPr>
        <w:t>Koces dhe Levrekut</w:t>
      </w:r>
      <w:r w:rsidRPr="00A24287">
        <w:rPr>
          <w:rFonts w:ascii="Garamond" w:hAnsi="Garamond"/>
          <w:lang w:val="sq-AL"/>
        </w:rPr>
        <w:t>: Analiza dhe Konsiderata Sektoriale. Pro Aqua Farm Marine Biol 2019, 2(2): 180020.</w:t>
      </w:r>
    </w:p>
  </w:footnote>
  <w:footnote w:id="42">
    <w:p w14:paraId="0773BAFE" w14:textId="7A223B2B" w:rsidR="002D2105" w:rsidRPr="009A6D91" w:rsidRDefault="002D2105" w:rsidP="009A6D91">
      <w:pPr>
        <w:pStyle w:val="FootnoteText"/>
        <w:jc w:val="both"/>
        <w:rPr>
          <w:rFonts w:ascii="Garamond" w:hAnsi="Garamond"/>
          <w:lang w:val="sq-AL"/>
        </w:rPr>
      </w:pPr>
      <w:r w:rsidRPr="009A6D91">
        <w:rPr>
          <w:rStyle w:val="FootnoteReference"/>
          <w:rFonts w:ascii="Garamond" w:hAnsi="Garamond"/>
          <w:lang w:val="sq-AL"/>
        </w:rPr>
        <w:footnoteRef/>
      </w:r>
      <w:r w:rsidRPr="009A6D91">
        <w:rPr>
          <w:rFonts w:ascii="Garamond" w:hAnsi="Garamond"/>
          <w:lang w:val="sq-AL"/>
        </w:rPr>
        <w:t xml:space="preserve"> Në statistikat zyrtare të INSTAT-it</w:t>
      </w:r>
      <w:r>
        <w:rPr>
          <w:rFonts w:ascii="Garamond" w:hAnsi="Garamond"/>
          <w:lang w:val="sq-AL"/>
        </w:rPr>
        <w:t>,</w:t>
      </w:r>
      <w:r w:rsidRPr="009A6D91">
        <w:rPr>
          <w:rFonts w:ascii="Garamond" w:hAnsi="Garamond"/>
          <w:lang w:val="sq-AL"/>
        </w:rPr>
        <w:t xml:space="preserve"> ky liqen me ujë të njelmët grupohet së bashku me liqenet e mëdh</w:t>
      </w:r>
      <w:r>
        <w:rPr>
          <w:rFonts w:ascii="Garamond" w:hAnsi="Garamond"/>
          <w:lang w:val="sq-AL"/>
        </w:rPr>
        <w:t>a</w:t>
      </w:r>
      <w:r w:rsidRPr="009A6D91">
        <w:rPr>
          <w:rFonts w:ascii="Garamond" w:hAnsi="Garamond"/>
          <w:lang w:val="sq-AL"/>
        </w:rPr>
        <w:t xml:space="preserve"> të brendsh</w:t>
      </w:r>
      <w:r>
        <w:rPr>
          <w:rFonts w:ascii="Garamond" w:hAnsi="Garamond"/>
          <w:lang w:val="sq-AL"/>
        </w:rPr>
        <w:t>me</w:t>
      </w:r>
      <w:r w:rsidRPr="009A6D91">
        <w:rPr>
          <w:rFonts w:ascii="Garamond" w:hAnsi="Garamond"/>
          <w:lang w:val="sq-AL"/>
        </w:rPr>
        <w:t xml:space="preserve"> të vendit.</w:t>
      </w:r>
    </w:p>
  </w:footnote>
  <w:footnote w:id="43">
    <w:p w14:paraId="0773BAFF" w14:textId="77777777" w:rsidR="002D2105" w:rsidRPr="009A6D91" w:rsidRDefault="002D2105" w:rsidP="00B63E83">
      <w:pPr>
        <w:pStyle w:val="FootnoteText"/>
        <w:jc w:val="both"/>
        <w:rPr>
          <w:rFonts w:ascii="Garamond" w:hAnsi="Garamond"/>
          <w:lang w:val="sq-AL"/>
        </w:rPr>
      </w:pPr>
      <w:r w:rsidRPr="009A6D91">
        <w:rPr>
          <w:rStyle w:val="FootnoteReference"/>
          <w:rFonts w:ascii="Garamond" w:hAnsi="Garamond"/>
          <w:lang w:val="sq-AL"/>
        </w:rPr>
        <w:footnoteRef/>
      </w:r>
      <w:r w:rsidRPr="009A6D91">
        <w:rPr>
          <w:rFonts w:ascii="Garamond" w:hAnsi="Garamond"/>
          <w:lang w:val="sq-AL"/>
        </w:rPr>
        <w:t xml:space="preserve"> 670 AWS janë regjistruar në MBZHR (2019).</w:t>
      </w:r>
    </w:p>
  </w:footnote>
  <w:footnote w:id="44">
    <w:p w14:paraId="0773BB00" w14:textId="0E44DA4F" w:rsidR="002D2105" w:rsidRPr="009A6D91" w:rsidRDefault="002D2105" w:rsidP="00B63E83">
      <w:pPr>
        <w:pStyle w:val="FootnoteText"/>
        <w:jc w:val="both"/>
        <w:rPr>
          <w:lang w:val="sq-AL"/>
        </w:rPr>
      </w:pPr>
      <w:r w:rsidRPr="009A6D91">
        <w:rPr>
          <w:rStyle w:val="FootnoteReference"/>
          <w:rFonts w:ascii="Garamond" w:hAnsi="Garamond"/>
          <w:lang w:val="sq-AL"/>
        </w:rPr>
        <w:footnoteRef/>
      </w:r>
      <w:r w:rsidRPr="009A6D91">
        <w:rPr>
          <w:rFonts w:ascii="Garamond" w:hAnsi="Garamond"/>
          <w:lang w:val="sq-AL"/>
        </w:rPr>
        <w:t xml:space="preserve"> MBZHR (2021): Studim i Sektorit të Peshkimit; përgatitur nga </w:t>
      </w:r>
      <w:r w:rsidRPr="00C259A4">
        <w:rPr>
          <w:rFonts w:ascii="Garamond" w:hAnsi="Garamond"/>
          <w:i/>
          <w:iCs/>
          <w:lang w:val="sq-AL"/>
        </w:rPr>
        <w:t>AGT International/DSA,</w:t>
      </w:r>
      <w:r w:rsidRPr="009A6D91">
        <w:rPr>
          <w:rFonts w:ascii="Garamond" w:hAnsi="Garamond"/>
          <w:lang w:val="sq-AL"/>
        </w:rPr>
        <w:t xml:space="preserve"> në kuadër të Projektit GIZ-SRD, maj 2021.</w:t>
      </w:r>
    </w:p>
  </w:footnote>
  <w:footnote w:id="45">
    <w:p w14:paraId="0773BB01" w14:textId="53A4D702" w:rsidR="002D2105" w:rsidRPr="003658F3" w:rsidRDefault="002D2105" w:rsidP="003658F3">
      <w:pPr>
        <w:pStyle w:val="FootnoteText"/>
        <w:jc w:val="both"/>
        <w:rPr>
          <w:rFonts w:ascii="Garamond" w:hAnsi="Garamond"/>
          <w:lang w:val="sq-AL"/>
        </w:rPr>
      </w:pPr>
      <w:r w:rsidRPr="003658F3">
        <w:rPr>
          <w:rStyle w:val="FootnoteReference"/>
          <w:rFonts w:ascii="Garamond" w:hAnsi="Garamond"/>
          <w:lang w:val="sq-AL"/>
        </w:rPr>
        <w:footnoteRef/>
      </w:r>
      <w:r w:rsidRPr="003658F3">
        <w:rPr>
          <w:rFonts w:ascii="Garamond" w:hAnsi="Garamond"/>
          <w:lang w:val="sq-AL"/>
        </w:rPr>
        <w:t xml:space="preserve"> Banka Botërore (2020): Realizimi i Potencialit të Ekonomis</w:t>
      </w:r>
      <w:r w:rsidRPr="003658F3">
        <w:rPr>
          <w:rFonts w:ascii="Garamond" w:hAnsi="Garamond" w:cs="Arial"/>
          <w:lang w:val="sq-AL"/>
        </w:rPr>
        <w:t>ë</w:t>
      </w:r>
      <w:r w:rsidRPr="003658F3">
        <w:rPr>
          <w:rFonts w:ascii="Garamond" w:hAnsi="Garamond"/>
          <w:lang w:val="sq-AL"/>
        </w:rPr>
        <w:t xml:space="preserve"> Blu të Shqipërisë (nëntor 2020).</w:t>
      </w:r>
    </w:p>
  </w:footnote>
  <w:footnote w:id="46">
    <w:p w14:paraId="0773BB04" w14:textId="3C27DE8C" w:rsidR="002D2105" w:rsidRPr="003658F3" w:rsidRDefault="002D2105" w:rsidP="003658F3">
      <w:pPr>
        <w:pStyle w:val="Fussnote"/>
        <w:jc w:val="both"/>
        <w:rPr>
          <w:rFonts w:ascii="Garamond" w:hAnsi="Garamond"/>
          <w:sz w:val="20"/>
          <w:szCs w:val="20"/>
        </w:rPr>
      </w:pPr>
      <w:r w:rsidRPr="003658F3">
        <w:rPr>
          <w:rStyle w:val="FootnoteReference"/>
          <w:rFonts w:ascii="Garamond" w:hAnsi="Garamond"/>
          <w:sz w:val="20"/>
          <w:szCs w:val="20"/>
        </w:rPr>
        <w:footnoteRef/>
      </w:r>
      <w:r w:rsidRPr="003658F3">
        <w:rPr>
          <w:rFonts w:ascii="Garamond" w:hAnsi="Garamond"/>
          <w:sz w:val="20"/>
          <w:szCs w:val="20"/>
        </w:rPr>
        <w:t xml:space="preserve"> </w:t>
      </w:r>
      <w:r w:rsidRPr="003658F3">
        <w:rPr>
          <w:rFonts w:ascii="Garamond" w:eastAsia="Arial" w:hAnsi="Garamond" w:cs="Arial"/>
          <w:sz w:val="20"/>
          <w:szCs w:val="20"/>
        </w:rPr>
        <w:t xml:space="preserve">Nënkomiteti BE-Shqipëri </w:t>
      </w:r>
      <w:r w:rsidRPr="003658F3">
        <w:rPr>
          <w:rFonts w:ascii="Garamond" w:hAnsi="Garamond"/>
          <w:sz w:val="20"/>
          <w:szCs w:val="20"/>
        </w:rPr>
        <w:t xml:space="preserve">(2019: </w:t>
      </w:r>
      <w:hyperlink r:id="rId16" w:history="1">
        <w:r w:rsidRPr="00084DE4">
          <w:rPr>
            <w:rStyle w:val="Hyperlink"/>
            <w:rFonts w:ascii="Garamond" w:eastAsia="Arial" w:hAnsi="Garamond" w:cs="Arial"/>
            <w:sz w:val="20"/>
            <w:szCs w:val="20"/>
          </w:rPr>
          <w:t>https://ec.Europa.eu/info/food-farming-fisheries/key-policies/common-agricultural-policy/market-measures/agri-food-supply-chain/producer-and-interbranch-organisations_en</w:t>
        </w:r>
      </w:hyperlink>
    </w:p>
  </w:footnote>
  <w:footnote w:id="47">
    <w:p w14:paraId="0773BB05" w14:textId="72B9B6D4" w:rsidR="002D2105" w:rsidRPr="0046374B" w:rsidRDefault="002D2105" w:rsidP="0046374B">
      <w:pPr>
        <w:pStyle w:val="FootnoteText"/>
        <w:jc w:val="both"/>
        <w:rPr>
          <w:rFonts w:ascii="Garamond" w:hAnsi="Garamond"/>
          <w:lang w:val="sq-AL"/>
        </w:rPr>
      </w:pPr>
      <w:r w:rsidRPr="003658F3">
        <w:rPr>
          <w:rStyle w:val="FootnoteReference"/>
          <w:rFonts w:ascii="Garamond" w:hAnsi="Garamond"/>
          <w:lang w:val="sq-AL"/>
        </w:rPr>
        <w:footnoteRef/>
      </w:r>
      <w:r w:rsidRPr="003658F3">
        <w:rPr>
          <w:rFonts w:ascii="Garamond" w:hAnsi="Garamond"/>
          <w:lang w:val="sq-AL"/>
        </w:rPr>
        <w:t xml:space="preserve"> Këto vlerësime supozojnë se çdo mjet lundrues mbi 12 metra kryen një javë riparime në Itali një herë në vit, gjë që rezulton në kosto shtesë (bazuar në 3000 euro në javë në shpenzimet e ekuipazhit dhe kosto shtesë të karburantit për një ditë avullimi në çdo drejtim. Për flotën aktuale aktive kjo arrin në 489,000 euro. Nëse merren parasysh të gjitha mjetet lundruese të licencuara mbi 12 m, këto kosto shtesë rriten në 813,000 euro - 4.3 milion</w:t>
      </w:r>
      <w:r>
        <w:rPr>
          <w:rFonts w:ascii="Garamond" w:hAnsi="Garamond"/>
          <w:lang w:val="sq-AL"/>
        </w:rPr>
        <w:t>ë</w:t>
      </w:r>
      <w:r w:rsidRPr="003658F3">
        <w:rPr>
          <w:rFonts w:ascii="Garamond" w:hAnsi="Garamond"/>
          <w:lang w:val="sq-AL"/>
        </w:rPr>
        <w:t xml:space="preserve"> euro riparime vjetore të flotës vlerësohen bazuar në 143 mjete lundruese aktive mbi 12 metra me një shpenzim mesatar prej 30,000</w:t>
      </w:r>
      <w:r w:rsidRPr="003D28A7">
        <w:rPr>
          <w:rFonts w:ascii="Garamond" w:hAnsi="Garamond"/>
        </w:rPr>
        <w:t xml:space="preserve"> </w:t>
      </w:r>
      <w:r w:rsidRPr="0046374B">
        <w:rPr>
          <w:rFonts w:ascii="Garamond" w:hAnsi="Garamond"/>
          <w:lang w:val="sq-AL"/>
        </w:rPr>
        <w:t xml:space="preserve">euro; shih MBZHR (2021): Studimi i Sektorit të Peshkimit; krijuar nga </w:t>
      </w:r>
      <w:r w:rsidRPr="0046374B">
        <w:rPr>
          <w:rFonts w:ascii="Garamond" w:hAnsi="Garamond"/>
          <w:i/>
          <w:iCs/>
          <w:lang w:val="sq-AL"/>
        </w:rPr>
        <w:t>AGT International/DSA</w:t>
      </w:r>
      <w:r>
        <w:rPr>
          <w:rFonts w:ascii="Garamond" w:hAnsi="Garamond"/>
          <w:lang w:val="sq-AL"/>
        </w:rPr>
        <w:t>,</w:t>
      </w:r>
      <w:r w:rsidRPr="0046374B">
        <w:rPr>
          <w:rFonts w:ascii="Garamond" w:hAnsi="Garamond"/>
          <w:lang w:val="sq-AL"/>
        </w:rPr>
        <w:t xml:space="preserve"> në kuadër të Projektit GIZ-SRD, maj 2021.</w:t>
      </w:r>
    </w:p>
  </w:footnote>
  <w:footnote w:id="48">
    <w:p w14:paraId="0773BB06" w14:textId="11F0D7F5" w:rsidR="002D2105" w:rsidRPr="00F90F3E" w:rsidRDefault="002D2105" w:rsidP="00DF7A00">
      <w:pPr>
        <w:pStyle w:val="Fussnote"/>
      </w:pPr>
      <w:r w:rsidRPr="003D28A7">
        <w:rPr>
          <w:rStyle w:val="FootnoteReference"/>
          <w:rFonts w:ascii="Garamond" w:hAnsi="Garamond"/>
          <w:sz w:val="20"/>
          <w:szCs w:val="20"/>
        </w:rPr>
        <w:footnoteRef/>
      </w:r>
      <w:r w:rsidRPr="003D28A7">
        <w:rPr>
          <w:rFonts w:ascii="Garamond" w:hAnsi="Garamond"/>
          <w:sz w:val="20"/>
          <w:szCs w:val="20"/>
        </w:rPr>
        <w:t xml:space="preserve"> Banka Botërore (2020): Realizimi i Potencialit t ë</w:t>
      </w:r>
      <w:r>
        <w:rPr>
          <w:rFonts w:ascii="Garamond" w:hAnsi="Garamond"/>
          <w:sz w:val="20"/>
          <w:szCs w:val="20"/>
        </w:rPr>
        <w:t xml:space="preserve"> </w:t>
      </w:r>
      <w:r w:rsidRPr="003D28A7">
        <w:rPr>
          <w:rFonts w:ascii="Garamond" w:hAnsi="Garamond"/>
          <w:sz w:val="20"/>
          <w:szCs w:val="20"/>
        </w:rPr>
        <w:t>Ekonomisë Blu</w:t>
      </w:r>
      <w:r w:rsidRPr="003D28A7" w:rsidDel="00657B3B">
        <w:rPr>
          <w:rFonts w:ascii="Garamond" w:hAnsi="Garamond"/>
          <w:sz w:val="20"/>
          <w:szCs w:val="20"/>
        </w:rPr>
        <w:t xml:space="preserve"> </w:t>
      </w:r>
      <w:r w:rsidRPr="003D28A7">
        <w:rPr>
          <w:rFonts w:ascii="Garamond" w:hAnsi="Garamond"/>
          <w:sz w:val="20"/>
          <w:szCs w:val="20"/>
        </w:rPr>
        <w:t>të Shqipërisë (nëntor 2020).</w:t>
      </w:r>
    </w:p>
  </w:footnote>
  <w:footnote w:id="49">
    <w:p w14:paraId="0773BB07" w14:textId="5F999E5B" w:rsidR="002D2105" w:rsidRPr="003D28A7" w:rsidRDefault="002D2105" w:rsidP="004B2BBF">
      <w:pPr>
        <w:pStyle w:val="Fussnote"/>
        <w:rPr>
          <w:rFonts w:ascii="Garamond" w:hAnsi="Garamond"/>
          <w:sz w:val="20"/>
          <w:szCs w:val="20"/>
        </w:rPr>
      </w:pPr>
      <w:r w:rsidRPr="003D28A7">
        <w:rPr>
          <w:rStyle w:val="FootnoteReference"/>
          <w:rFonts w:ascii="Garamond" w:hAnsi="Garamond"/>
          <w:sz w:val="20"/>
          <w:szCs w:val="20"/>
        </w:rPr>
        <w:footnoteRef/>
      </w:r>
      <w:r w:rsidRPr="003D28A7">
        <w:rPr>
          <w:rFonts w:ascii="Garamond" w:hAnsi="Garamond"/>
          <w:sz w:val="20"/>
          <w:szCs w:val="20"/>
        </w:rPr>
        <w:t xml:space="preserve"> OJF HYDRA (2019): Regjistrimi dhe analiza e kostos së peshkimit në shkallë të vogël (artizanale).</w:t>
      </w:r>
    </w:p>
  </w:footnote>
  <w:footnote w:id="50">
    <w:p w14:paraId="0773BB08" w14:textId="77777777" w:rsidR="002D2105" w:rsidRPr="004B2BBF" w:rsidRDefault="002D2105" w:rsidP="00DF7A00">
      <w:pPr>
        <w:pStyle w:val="FootnoteText"/>
        <w:rPr>
          <w:rFonts w:ascii="Garamond" w:hAnsi="Garamond"/>
          <w:lang w:val="sq-AL"/>
        </w:rPr>
      </w:pPr>
      <w:r w:rsidRPr="004B2BBF">
        <w:rPr>
          <w:rStyle w:val="FootnoteReference"/>
          <w:rFonts w:ascii="Garamond" w:hAnsi="Garamond"/>
          <w:lang w:val="sq-AL"/>
        </w:rPr>
        <w:footnoteRef/>
      </w:r>
      <w:r w:rsidRPr="004B2BBF">
        <w:rPr>
          <w:rFonts w:ascii="Garamond" w:hAnsi="Garamond"/>
          <w:lang w:val="sq-AL"/>
        </w:rPr>
        <w:t xml:space="preserve"> OJF HYDRA (2019): Regjistrimi dhe analiza e kostos së peshkimit në shkallë të vogël (artizanale).</w:t>
      </w:r>
    </w:p>
  </w:footnote>
  <w:footnote w:id="51">
    <w:p w14:paraId="0773BB09" w14:textId="235CE66C" w:rsidR="002D2105" w:rsidRPr="004B2BBF" w:rsidRDefault="002D2105" w:rsidP="00DF7A00">
      <w:pPr>
        <w:pStyle w:val="FootnoteText"/>
        <w:rPr>
          <w:rFonts w:ascii="Garamond" w:hAnsi="Garamond"/>
          <w:lang w:val="sq-AL"/>
        </w:rPr>
      </w:pPr>
      <w:r w:rsidRPr="004B2BBF">
        <w:rPr>
          <w:rStyle w:val="FootnoteReference"/>
          <w:rFonts w:ascii="Garamond" w:hAnsi="Garamond"/>
          <w:lang w:val="sq-AL"/>
        </w:rPr>
        <w:footnoteRef/>
      </w:r>
      <w:r w:rsidRPr="004B2BBF">
        <w:rPr>
          <w:rFonts w:ascii="Garamond" w:hAnsi="Garamond"/>
          <w:lang w:val="sq-AL"/>
        </w:rPr>
        <w:t xml:space="preserve"> MBZHR 2021: Studimi i Sektorit të Peshkimit; përgatitur nga </w:t>
      </w:r>
      <w:r w:rsidRPr="004B2BBF">
        <w:rPr>
          <w:rFonts w:ascii="Garamond" w:hAnsi="Garamond"/>
          <w:i/>
          <w:iCs/>
          <w:lang w:val="sq-AL"/>
        </w:rPr>
        <w:t>AGT International/DSA,</w:t>
      </w:r>
      <w:r w:rsidRPr="004B2BBF">
        <w:rPr>
          <w:rFonts w:ascii="Garamond" w:hAnsi="Garamond"/>
          <w:lang w:val="sq-AL"/>
        </w:rPr>
        <w:t xml:space="preserve"> në kuadër të Projektit GIZ-SRD, maj 2021.</w:t>
      </w:r>
    </w:p>
  </w:footnote>
  <w:footnote w:id="52">
    <w:p w14:paraId="0773BB0A" w14:textId="77777777" w:rsidR="002D2105" w:rsidRPr="003D28A7" w:rsidRDefault="002D2105" w:rsidP="003D28A7">
      <w:pPr>
        <w:pStyle w:val="Fussnote"/>
        <w:rPr>
          <w:rFonts w:ascii="Garamond" w:hAnsi="Garamond"/>
          <w:sz w:val="20"/>
          <w:szCs w:val="20"/>
          <w:lang w:val="de-AT"/>
        </w:rPr>
      </w:pPr>
      <w:r w:rsidRPr="003D28A7">
        <w:rPr>
          <w:rStyle w:val="FootnoteReference"/>
          <w:rFonts w:ascii="Garamond" w:hAnsi="Garamond"/>
          <w:sz w:val="20"/>
          <w:szCs w:val="20"/>
        </w:rPr>
        <w:footnoteRef/>
      </w:r>
      <w:r w:rsidRPr="003D28A7">
        <w:rPr>
          <w:rFonts w:ascii="Garamond" w:hAnsi="Garamond"/>
          <w:sz w:val="20"/>
          <w:szCs w:val="20"/>
          <w:lang w:val="de-AT"/>
        </w:rPr>
        <w:t xml:space="preserve"> https://webgate.ec.europa.eu/sanco/traces/output/AL/FFP_AL_en.pdf</w:t>
      </w:r>
    </w:p>
  </w:footnote>
  <w:footnote w:id="53">
    <w:p w14:paraId="0773BB0B" w14:textId="7C44F87D" w:rsidR="002D2105" w:rsidRPr="003D28A7" w:rsidRDefault="002D2105" w:rsidP="00DF7A00">
      <w:pPr>
        <w:pStyle w:val="Fussnote"/>
        <w:rPr>
          <w:rFonts w:ascii="Garamond" w:hAnsi="Garamond"/>
          <w:sz w:val="20"/>
          <w:szCs w:val="20"/>
        </w:rPr>
      </w:pPr>
      <w:r w:rsidRPr="003D28A7">
        <w:rPr>
          <w:rStyle w:val="FootnoteReference"/>
          <w:rFonts w:ascii="Garamond" w:hAnsi="Garamond"/>
          <w:sz w:val="20"/>
          <w:szCs w:val="20"/>
        </w:rPr>
        <w:footnoteRef/>
      </w:r>
      <w:r w:rsidRPr="003D28A7">
        <w:rPr>
          <w:rFonts w:ascii="Garamond" w:hAnsi="Garamond"/>
          <w:sz w:val="20"/>
          <w:szCs w:val="20"/>
        </w:rPr>
        <w:t xml:space="preserve"> Banka Botërore (2020): Realizimi i Potencialit të Ekonomisë Blu të Shqipërisë (nëntor 2020).</w:t>
      </w:r>
    </w:p>
  </w:footnote>
  <w:footnote w:id="54">
    <w:p w14:paraId="0773BB0C" w14:textId="77777777" w:rsidR="002D2105" w:rsidRPr="00D15198" w:rsidRDefault="002D2105" w:rsidP="00DF7A00">
      <w:pPr>
        <w:pStyle w:val="FootnoteText"/>
      </w:pPr>
      <w:r w:rsidRPr="003D28A7">
        <w:rPr>
          <w:rStyle w:val="FootnoteReference"/>
          <w:rFonts w:ascii="Garamond" w:hAnsi="Garamond"/>
        </w:rPr>
        <w:footnoteRef/>
      </w:r>
      <w:r w:rsidRPr="003D28A7">
        <w:rPr>
          <w:rFonts w:ascii="Garamond" w:hAnsi="Garamond"/>
        </w:rPr>
        <w:t xml:space="preserve"> </w:t>
      </w:r>
      <w:hyperlink r:id="rId17" w:history="1">
        <w:r w:rsidRPr="003D28A7">
          <w:rPr>
            <w:rStyle w:val="Hyperlink"/>
            <w:rFonts w:ascii="Garamond" w:eastAsia="Arial" w:hAnsi="Garamond" w:cs="Arial"/>
          </w:rPr>
          <w:t>https://webgate.ec.europa.eu/sanco/traces/output/AL/FFP_AL_en.pdf</w:t>
        </w:r>
      </w:hyperlink>
    </w:p>
  </w:footnote>
  <w:footnote w:id="55">
    <w:p w14:paraId="0773BB0D" w14:textId="64F03474" w:rsidR="002D2105" w:rsidRPr="001A211B" w:rsidRDefault="002D2105" w:rsidP="00C83B58">
      <w:pPr>
        <w:pStyle w:val="FootnoteText"/>
        <w:jc w:val="both"/>
        <w:rPr>
          <w:rFonts w:ascii="Garamond" w:hAnsi="Garamond"/>
          <w:lang w:val="sq-AL"/>
        </w:rPr>
      </w:pPr>
      <w:r w:rsidRPr="001A211B">
        <w:rPr>
          <w:rStyle w:val="FootnoteReference"/>
          <w:rFonts w:ascii="Garamond" w:hAnsi="Garamond"/>
          <w:lang w:val="sq-AL"/>
        </w:rPr>
        <w:footnoteRef/>
      </w:r>
      <w:r w:rsidRPr="001A211B">
        <w:rPr>
          <w:rFonts w:ascii="Garamond" w:hAnsi="Garamond"/>
          <w:lang w:val="sq-AL"/>
        </w:rPr>
        <w:t xml:space="preserve"> Shih, gjithashtu, Strategjinë Kombëtare të Punësimit dhe Aftësive 2019</w:t>
      </w:r>
      <w:r>
        <w:rPr>
          <w:rFonts w:ascii="Garamond" w:hAnsi="Garamond"/>
          <w:lang w:val="sq-AL"/>
        </w:rPr>
        <w:t>–</w:t>
      </w:r>
      <w:r w:rsidRPr="001A211B">
        <w:rPr>
          <w:rFonts w:ascii="Garamond" w:hAnsi="Garamond"/>
          <w:lang w:val="sq-AL"/>
        </w:rPr>
        <w:t>2022 dhe Planin e Veprimit</w:t>
      </w:r>
      <w:r>
        <w:rPr>
          <w:rFonts w:ascii="Garamond" w:hAnsi="Garamond"/>
          <w:lang w:val="sq-AL"/>
        </w:rPr>
        <w:t>,</w:t>
      </w:r>
      <w:r w:rsidRPr="001A211B">
        <w:rPr>
          <w:rFonts w:ascii="Garamond" w:hAnsi="Garamond"/>
          <w:lang w:val="sq-AL"/>
        </w:rPr>
        <w:t xml:space="preserve"> i cili është</w:t>
      </w:r>
      <w:r w:rsidRPr="001A211B">
        <w:rPr>
          <w:lang w:val="sq-AL"/>
        </w:rPr>
        <w:t xml:space="preserve"> </w:t>
      </w:r>
      <w:r w:rsidRPr="001A211B">
        <w:rPr>
          <w:rFonts w:ascii="Garamond" w:hAnsi="Garamond"/>
          <w:lang w:val="sq-AL"/>
        </w:rPr>
        <w:t>në përputhje me element</w:t>
      </w:r>
      <w:r>
        <w:rPr>
          <w:rFonts w:ascii="Garamond" w:hAnsi="Garamond" w:cs="Arial"/>
          <w:lang w:val="sq-AL"/>
        </w:rPr>
        <w:t>e</w:t>
      </w:r>
      <w:r w:rsidRPr="001A211B">
        <w:rPr>
          <w:rFonts w:ascii="Garamond" w:hAnsi="Garamond"/>
          <w:lang w:val="sq-AL"/>
        </w:rPr>
        <w:t>t kryesor</w:t>
      </w:r>
      <w:r>
        <w:rPr>
          <w:rFonts w:ascii="Garamond" w:hAnsi="Garamond" w:cs="Arial"/>
          <w:lang w:val="sq-AL"/>
        </w:rPr>
        <w:t>e</w:t>
      </w:r>
      <w:r w:rsidRPr="001A211B">
        <w:rPr>
          <w:rFonts w:ascii="Garamond" w:hAnsi="Garamond"/>
          <w:lang w:val="sq-AL"/>
        </w:rPr>
        <w:t xml:space="preserve"> t</w:t>
      </w:r>
      <w:r w:rsidRPr="001A211B">
        <w:rPr>
          <w:rFonts w:ascii="Garamond" w:hAnsi="Garamond" w:cs="Arial"/>
          <w:lang w:val="sq-AL"/>
        </w:rPr>
        <w:t>ë</w:t>
      </w:r>
      <w:r w:rsidRPr="001A211B">
        <w:rPr>
          <w:rFonts w:ascii="Garamond" w:hAnsi="Garamond"/>
          <w:lang w:val="sq-AL"/>
        </w:rPr>
        <w:t xml:space="preserve"> SBERAJ 2021</w:t>
      </w:r>
      <w:r>
        <w:rPr>
          <w:rFonts w:ascii="Garamond" w:hAnsi="Garamond"/>
          <w:lang w:val="sq-AL"/>
        </w:rPr>
        <w:t>–</w:t>
      </w:r>
      <w:r w:rsidRPr="001A211B">
        <w:rPr>
          <w:rFonts w:ascii="Garamond" w:hAnsi="Garamond"/>
          <w:lang w:val="sq-AL"/>
        </w:rPr>
        <w:t>2027. Këto të fundit përfshijnë veprime për përmirësimin e niveleve të aftësive dhe ekspertizës për fuqinë punëtore në sektorin detar dhe ekonominë blu, të planifikuara për t</w:t>
      </w:r>
      <w:r>
        <w:rPr>
          <w:rFonts w:ascii="Garamond" w:hAnsi="Garamond"/>
          <w:lang w:val="sq-AL"/>
        </w:rPr>
        <w:t>’</w:t>
      </w:r>
      <w:r w:rsidRPr="001A211B">
        <w:rPr>
          <w:rFonts w:ascii="Garamond" w:hAnsi="Garamond"/>
          <w:lang w:val="sq-AL"/>
        </w:rPr>
        <w:t>u mbështetur në kuadër të IPA III “Mbështetje për sektorin e turizmit detar dhe nxitjen e ekonomisë blu (40 milionë euro) në Qeverinë Shqiptare (05/2021): Përgjigja strategjike e draftit të përgjigjes IPA III.</w:t>
      </w:r>
    </w:p>
  </w:footnote>
  <w:footnote w:id="56">
    <w:p w14:paraId="0773BB0E" w14:textId="13FE93F4" w:rsidR="002D2105" w:rsidRPr="001A211B" w:rsidRDefault="002D2105" w:rsidP="00DF7A00">
      <w:pPr>
        <w:pStyle w:val="FootnoteText"/>
        <w:rPr>
          <w:rFonts w:ascii="Garamond" w:hAnsi="Garamond"/>
          <w:lang w:val="sq-AL"/>
        </w:rPr>
      </w:pPr>
      <w:r w:rsidRPr="001A211B">
        <w:rPr>
          <w:rStyle w:val="FootnoteReference"/>
          <w:rFonts w:ascii="Garamond" w:hAnsi="Garamond"/>
          <w:lang w:val="sq-AL"/>
        </w:rPr>
        <w:footnoteRef/>
      </w:r>
      <w:r w:rsidRPr="001A211B">
        <w:rPr>
          <w:rFonts w:ascii="Garamond" w:hAnsi="Garamond"/>
          <w:lang w:val="sq-AL"/>
        </w:rPr>
        <w:t xml:space="preserve"> Banka Botërore (2020): Realizimi i Potencialit të Ekonomisë Blu të Shqipërisë (nëntor 2020).</w:t>
      </w:r>
    </w:p>
  </w:footnote>
  <w:footnote w:id="57">
    <w:p w14:paraId="0773BB0F" w14:textId="75DB795B" w:rsidR="002D2105" w:rsidRPr="00A2423E" w:rsidRDefault="002D2105" w:rsidP="00DF7A00">
      <w:pPr>
        <w:pStyle w:val="FootnoteText"/>
        <w:rPr>
          <w:lang w:val="sq-AL"/>
        </w:rPr>
      </w:pPr>
      <w:r w:rsidRPr="00A2423E">
        <w:rPr>
          <w:rStyle w:val="FootnoteReference"/>
          <w:rFonts w:ascii="Garamond" w:hAnsi="Garamond"/>
          <w:lang w:val="sq-AL"/>
        </w:rPr>
        <w:footnoteRef/>
      </w:r>
      <w:r w:rsidRPr="00A2423E">
        <w:rPr>
          <w:rFonts w:ascii="Garamond" w:hAnsi="Garamond"/>
          <w:lang w:val="sq-AL"/>
        </w:rPr>
        <w:t xml:space="preserve"> Banka Botërore (2020): Realizimi i Potencialit të Ekonomisë Blu të Shqipërisë (nëntor 2020).</w:t>
      </w:r>
    </w:p>
  </w:footnote>
  <w:footnote w:id="58">
    <w:p w14:paraId="0773BB10" w14:textId="0BAEA3D6" w:rsidR="002D2105" w:rsidRPr="00B15394" w:rsidRDefault="002D2105" w:rsidP="00B15394">
      <w:pPr>
        <w:pStyle w:val="FootnoteText"/>
        <w:jc w:val="both"/>
        <w:rPr>
          <w:rFonts w:ascii="Garamond" w:hAnsi="Garamond"/>
          <w:lang w:val="sq-AL"/>
        </w:rPr>
      </w:pPr>
      <w:r w:rsidRPr="00B15394">
        <w:rPr>
          <w:rStyle w:val="FootnoteReference"/>
          <w:rFonts w:ascii="Garamond" w:hAnsi="Garamond"/>
          <w:lang w:val="sq-AL"/>
        </w:rPr>
        <w:footnoteRef/>
      </w:r>
      <w:r w:rsidRPr="00B15394">
        <w:rPr>
          <w:rFonts w:ascii="Garamond" w:hAnsi="Garamond"/>
          <w:lang w:val="sq-AL"/>
        </w:rPr>
        <w:t xml:space="preserve"> Struktura e reformuar e ekstensionit</w:t>
      </w:r>
      <w:r w:rsidRPr="00B15394">
        <w:rPr>
          <w:rFonts w:ascii="Garamond" w:hAnsi="Garamond" w:cs="Arial"/>
          <w:lang w:val="sq-AL"/>
        </w:rPr>
        <w:t xml:space="preserve"> këshillimor </w:t>
      </w:r>
      <w:r w:rsidRPr="00B15394">
        <w:rPr>
          <w:rFonts w:ascii="Garamond" w:hAnsi="Garamond"/>
          <w:lang w:val="sq-AL"/>
        </w:rPr>
        <w:t>të MBZHR-</w:t>
      </w:r>
      <w:r>
        <w:rPr>
          <w:rFonts w:ascii="Garamond" w:hAnsi="Garamond"/>
          <w:lang w:val="sq-AL"/>
        </w:rPr>
        <w:t>së</w:t>
      </w:r>
      <w:r w:rsidRPr="00B15394">
        <w:rPr>
          <w:rFonts w:ascii="Garamond" w:hAnsi="Garamond"/>
          <w:lang w:val="sq-AL"/>
        </w:rPr>
        <w:t xml:space="preserve"> përfshin n</w:t>
      </w:r>
      <w:r w:rsidRPr="00B15394">
        <w:rPr>
          <w:rFonts w:ascii="Garamond" w:eastAsia="Arial" w:hAnsi="Garamond" w:cs="Arial"/>
          <w:lang w:val="sq-AL"/>
        </w:rPr>
        <w:t xml:space="preserve">ë total </w:t>
      </w:r>
      <w:r w:rsidRPr="00B15394">
        <w:rPr>
          <w:rFonts w:ascii="Garamond" w:hAnsi="Garamond"/>
          <w:lang w:val="sq-AL"/>
        </w:rPr>
        <w:t>261 punonj</w:t>
      </w:r>
      <w:r w:rsidRPr="00B15394">
        <w:rPr>
          <w:rFonts w:ascii="Garamond" w:eastAsia="Arial" w:hAnsi="Garamond" w:cs="Arial"/>
          <w:lang w:val="sq-AL"/>
        </w:rPr>
        <w:t xml:space="preserve">ës </w:t>
      </w:r>
      <w:r w:rsidRPr="00B15394">
        <w:rPr>
          <w:rFonts w:ascii="Garamond" w:hAnsi="Garamond"/>
          <w:lang w:val="sq-AL"/>
        </w:rPr>
        <w:t>në mbarë vendin</w:t>
      </w:r>
      <w:r>
        <w:rPr>
          <w:rFonts w:ascii="Garamond" w:hAnsi="Garamond"/>
          <w:lang w:val="sq-AL"/>
        </w:rPr>
        <w:t>,</w:t>
      </w:r>
      <w:r w:rsidRPr="00B15394">
        <w:rPr>
          <w:rFonts w:ascii="Garamond" w:hAnsi="Garamond"/>
          <w:lang w:val="sq-AL"/>
        </w:rPr>
        <w:t xml:space="preserve"> nga t</w:t>
      </w:r>
      <w:r w:rsidRPr="00B15394">
        <w:rPr>
          <w:rFonts w:ascii="Garamond" w:eastAsia="Arial" w:hAnsi="Garamond" w:cs="Arial"/>
          <w:lang w:val="sq-AL"/>
        </w:rPr>
        <w:t>ë cilët 189 janë ekstensionistë (kryejnë detyra këshillimi), s</w:t>
      </w:r>
      <w:r w:rsidRPr="00B15394">
        <w:rPr>
          <w:rFonts w:ascii="Garamond" w:hAnsi="Garamond"/>
          <w:lang w:val="sq-AL"/>
        </w:rPr>
        <w:t>humica e të cilëve janë të trajnuar në agronomi, blegtori ose ekonomi dhe ka një pjesë e madhe e tyre janë me moshë të madhe.</w:t>
      </w:r>
    </w:p>
  </w:footnote>
  <w:footnote w:id="59">
    <w:p w14:paraId="0773BB11" w14:textId="00CEC93D" w:rsidR="002D2105" w:rsidRPr="00D15198" w:rsidRDefault="002D2105" w:rsidP="00167C37">
      <w:pPr>
        <w:pStyle w:val="Fussnote"/>
        <w:ind w:left="14" w:hanging="288"/>
        <w:jc w:val="both"/>
      </w:pPr>
      <w:r>
        <w:rPr>
          <w:rFonts w:ascii="Garamond" w:hAnsi="Garamond"/>
          <w:sz w:val="20"/>
          <w:szCs w:val="20"/>
        </w:rPr>
        <w:tab/>
      </w:r>
      <w:r w:rsidRPr="0009581D">
        <w:rPr>
          <w:rStyle w:val="FootnoteReference"/>
          <w:rFonts w:ascii="Garamond" w:hAnsi="Garamond"/>
          <w:sz w:val="20"/>
          <w:szCs w:val="20"/>
        </w:rPr>
        <w:footnoteRef/>
      </w:r>
      <w:r w:rsidRPr="0009581D">
        <w:rPr>
          <w:rFonts w:ascii="Garamond" w:hAnsi="Garamond"/>
          <w:sz w:val="20"/>
          <w:szCs w:val="20"/>
        </w:rPr>
        <w:t xml:space="preserve"> Burimi: Projekti IPESA (2019): Plani Strategjik i Veprimit 2021</w:t>
      </w:r>
      <w:r>
        <w:rPr>
          <w:rFonts w:ascii="Garamond" w:hAnsi="Garamond"/>
          <w:sz w:val="20"/>
          <w:szCs w:val="20"/>
        </w:rPr>
        <w:t>–</w:t>
      </w:r>
      <w:r w:rsidRPr="0009581D">
        <w:rPr>
          <w:rFonts w:ascii="Garamond" w:hAnsi="Garamond"/>
          <w:sz w:val="20"/>
          <w:szCs w:val="20"/>
        </w:rPr>
        <w:t>2022 – Shërbimi Kombëtar i Ekstensionit</w:t>
      </w:r>
      <w:r w:rsidRPr="0009581D">
        <w:rPr>
          <w:rFonts w:ascii="Garamond" w:hAnsi="Garamond" w:cs="Arial"/>
          <w:sz w:val="20"/>
          <w:szCs w:val="20"/>
        </w:rPr>
        <w:t xml:space="preserve"> Bujqësor</w:t>
      </w:r>
      <w:r>
        <w:rPr>
          <w:rFonts w:ascii="Garamond" w:hAnsi="Garamond"/>
          <w:sz w:val="20"/>
          <w:szCs w:val="20"/>
        </w:rPr>
        <w:t xml:space="preserve"> </w:t>
      </w:r>
      <w:r w:rsidRPr="0009581D">
        <w:rPr>
          <w:rFonts w:ascii="Garamond" w:hAnsi="Garamond"/>
          <w:sz w:val="20"/>
          <w:szCs w:val="20"/>
        </w:rPr>
        <w:t>të Shqipërisë</w:t>
      </w:r>
      <w:r>
        <w:rPr>
          <w:rFonts w:ascii="Garamond" w:hAnsi="Garamond"/>
          <w:sz w:val="20"/>
          <w:szCs w:val="20"/>
        </w:rPr>
        <w:t>.</w:t>
      </w:r>
    </w:p>
  </w:footnote>
  <w:footnote w:id="60">
    <w:p w14:paraId="0773BB12" w14:textId="009DC74A" w:rsidR="002D2105" w:rsidRPr="000A0AE1" w:rsidRDefault="002D2105" w:rsidP="00CB4E52">
      <w:pPr>
        <w:pStyle w:val="FootnoteText"/>
        <w:rPr>
          <w:rFonts w:ascii="Garamond" w:hAnsi="Garamond"/>
          <w:lang w:val="de-AT"/>
        </w:rPr>
      </w:pPr>
      <w:r w:rsidRPr="000A0AE1">
        <w:rPr>
          <w:rStyle w:val="FootnoteReference"/>
          <w:rFonts w:ascii="Garamond" w:hAnsi="Garamond"/>
        </w:rPr>
        <w:footnoteRef/>
      </w:r>
      <w:r w:rsidRPr="000A0AE1">
        <w:rPr>
          <w:rFonts w:ascii="Garamond" w:hAnsi="Garamond"/>
          <w:lang w:val="de-AT"/>
        </w:rPr>
        <w:t xml:space="preserve"> Siç paraqitet në</w:t>
      </w:r>
      <w:r>
        <w:rPr>
          <w:rFonts w:ascii="Garamond" w:hAnsi="Garamond"/>
          <w:lang w:val="de-AT"/>
        </w:rPr>
        <w:t>: https</w:t>
      </w:r>
      <w:r w:rsidRPr="000A0AE1">
        <w:rPr>
          <w:rFonts w:ascii="Garamond" w:hAnsi="Garamond"/>
          <w:lang w:val="de-AT"/>
        </w:rPr>
        <w:t>//agridata.ec.europa.eu/extensions/DataPortal/cmef_indicators.html.</w:t>
      </w:r>
    </w:p>
  </w:footnote>
  <w:footnote w:id="61">
    <w:p w14:paraId="0773BB13" w14:textId="77777777" w:rsidR="002D2105" w:rsidRPr="00C46355" w:rsidRDefault="002D2105" w:rsidP="00436191">
      <w:pPr>
        <w:pStyle w:val="FootnoteText"/>
        <w:rPr>
          <w:lang w:val="de-AT"/>
        </w:rPr>
      </w:pPr>
      <w:r>
        <w:rPr>
          <w:rStyle w:val="FootnoteReference"/>
        </w:rPr>
        <w:footnoteRef/>
      </w:r>
      <w:r>
        <w:rPr>
          <w:b/>
          <w:bCs/>
          <w:lang w:val="de-AT"/>
        </w:rPr>
        <w:t>BK</w:t>
      </w:r>
      <w:r w:rsidRPr="00C46355">
        <w:rPr>
          <w:lang w:val="de-AT"/>
        </w:rPr>
        <w:t>– Buxheti Kombëtar (sipas ndarjeve vjetore)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74D41"/>
    <w:multiLevelType w:val="multilevel"/>
    <w:tmpl w:val="074A0FA8"/>
    <w:lvl w:ilvl="0">
      <w:start w:val="2"/>
      <w:numFmt w:val="decimal"/>
      <w:lvlText w:val="%1"/>
      <w:lvlJc w:val="left"/>
      <w:pPr>
        <w:ind w:left="360" w:hanging="360"/>
      </w:pPr>
      <w:rPr>
        <w:rFonts w:hint="default"/>
      </w:rPr>
    </w:lvl>
    <w:lvl w:ilvl="1">
      <w:start w:val="4"/>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
    <w:nsid w:val="0BD05121"/>
    <w:multiLevelType w:val="multilevel"/>
    <w:tmpl w:val="0E843060"/>
    <w:styleLink w:val="111111"/>
    <w:lvl w:ilvl="0">
      <w:start w:val="1"/>
      <w:numFmt w:val="decimal"/>
      <w:pStyle w:val="Index3"/>
      <w:lvlText w:val="%1."/>
      <w:lvlJc w:val="left"/>
      <w:pPr>
        <w:tabs>
          <w:tab w:val="num" w:pos="284"/>
        </w:tabs>
        <w:ind w:left="284" w:hanging="284"/>
      </w:pPr>
      <w:rPr>
        <w:rFonts w:ascii="Arial" w:hAnsi="Arial" w:hint="default"/>
        <w:color w:val="1F497D"/>
      </w:rPr>
    </w:lvl>
    <w:lvl w:ilvl="1">
      <w:start w:val="1"/>
      <w:numFmt w:val="lowerLetter"/>
      <w:lvlText w:val="%2)"/>
      <w:lvlJc w:val="left"/>
      <w:pPr>
        <w:tabs>
          <w:tab w:val="num" w:pos="568"/>
        </w:tabs>
        <w:ind w:left="568" w:hanging="284"/>
      </w:pPr>
      <w:rPr>
        <w:rFonts w:hint="default"/>
      </w:rPr>
    </w:lvl>
    <w:lvl w:ilvl="2">
      <w:start w:val="1"/>
      <w:numFmt w:val="lowerRoman"/>
      <w:lvlText w:val="%3"/>
      <w:lvlJc w:val="left"/>
      <w:pPr>
        <w:tabs>
          <w:tab w:val="num" w:pos="852"/>
        </w:tabs>
        <w:ind w:left="852" w:hanging="284"/>
      </w:pPr>
      <w:rPr>
        <w:rFonts w:hint="default"/>
      </w:rPr>
    </w:lvl>
    <w:lvl w:ilvl="3">
      <w:start w:val="1"/>
      <w:numFmt w:val="bullet"/>
      <w:lvlText w:val=""/>
      <w:lvlJc w:val="left"/>
      <w:pPr>
        <w:tabs>
          <w:tab w:val="num" w:pos="1136"/>
        </w:tabs>
        <w:ind w:left="1136" w:hanging="284"/>
      </w:pPr>
      <w:rPr>
        <w:rFonts w:ascii="Wingdings" w:hAnsi="Wingdings" w:hint="default"/>
        <w:color w:val="404040"/>
      </w:rPr>
    </w:lvl>
    <w:lvl w:ilvl="4">
      <w:start w:val="1"/>
      <w:numFmt w:val="bullet"/>
      <w:lvlText w:val=""/>
      <w:lvlJc w:val="left"/>
      <w:pPr>
        <w:tabs>
          <w:tab w:val="num" w:pos="1420"/>
        </w:tabs>
        <w:ind w:left="1420" w:hanging="284"/>
      </w:pPr>
      <w:rPr>
        <w:rFonts w:ascii="Symbol" w:hAnsi="Symbol" w:hint="default"/>
        <w:color w:val="auto"/>
      </w:rPr>
    </w:lvl>
    <w:lvl w:ilvl="5">
      <w:start w:val="1"/>
      <w:numFmt w:val="bullet"/>
      <w:lvlText w:val=""/>
      <w:lvlJc w:val="left"/>
      <w:pPr>
        <w:tabs>
          <w:tab w:val="num" w:pos="1704"/>
        </w:tabs>
        <w:ind w:left="1701" w:hanging="281"/>
      </w:pPr>
      <w:rPr>
        <w:rFonts w:ascii="Wingdings" w:hAnsi="Wingdings" w:hint="default"/>
        <w:color w:val="auto"/>
      </w:rPr>
    </w:lvl>
    <w:lvl w:ilvl="6">
      <w:start w:val="1"/>
      <w:numFmt w:val="bullet"/>
      <w:lvlText w:val=""/>
      <w:lvlJc w:val="left"/>
      <w:pPr>
        <w:tabs>
          <w:tab w:val="num" w:pos="1988"/>
        </w:tabs>
        <w:ind w:left="1985" w:hanging="284"/>
      </w:pPr>
      <w:rPr>
        <w:rFonts w:ascii="Wingdings" w:hAnsi="Wingdings" w:hint="default"/>
        <w:color w:val="auto"/>
      </w:rPr>
    </w:lvl>
    <w:lvl w:ilvl="7">
      <w:start w:val="1"/>
      <w:numFmt w:val="bullet"/>
      <w:lvlText w:val=""/>
      <w:lvlJc w:val="left"/>
      <w:pPr>
        <w:tabs>
          <w:tab w:val="num" w:pos="2272"/>
        </w:tabs>
        <w:ind w:left="2268" w:hanging="283"/>
      </w:pPr>
      <w:rPr>
        <w:rFonts w:ascii="Wingdings" w:hAnsi="Wingdings" w:hint="default"/>
        <w:color w:val="auto"/>
      </w:rPr>
    </w:lvl>
    <w:lvl w:ilvl="8">
      <w:start w:val="1"/>
      <w:numFmt w:val="bullet"/>
      <w:lvlText w:val=""/>
      <w:lvlJc w:val="left"/>
      <w:pPr>
        <w:tabs>
          <w:tab w:val="num" w:pos="2556"/>
        </w:tabs>
        <w:ind w:left="2552" w:hanging="284"/>
      </w:pPr>
      <w:rPr>
        <w:rFonts w:ascii="Wingdings" w:hAnsi="Wingdings" w:hint="default"/>
        <w:color w:val="auto"/>
      </w:rPr>
    </w:lvl>
  </w:abstractNum>
  <w:abstractNum w:abstractNumId="2">
    <w:nsid w:val="120B7201"/>
    <w:multiLevelType w:val="multilevel"/>
    <w:tmpl w:val="714CF256"/>
    <w:lvl w:ilvl="0">
      <w:start w:val="1"/>
      <w:numFmt w:val="decimal"/>
      <w:pStyle w:val="ListBullet"/>
      <w:lvlText w:val="(%1)"/>
      <w:lvlJc w:val="left"/>
      <w:pPr>
        <w:tabs>
          <w:tab w:val="num" w:pos="454"/>
        </w:tabs>
        <w:ind w:left="454" w:hanging="454"/>
      </w:pPr>
    </w:lvl>
    <w:lvl w:ilvl="1">
      <w:start w:val="1"/>
      <w:numFmt w:val="lowerLetter"/>
      <w:lvlText w:val="(%2)"/>
      <w:lvlJc w:val="left"/>
      <w:pPr>
        <w:tabs>
          <w:tab w:val="num" w:pos="907"/>
        </w:tabs>
        <w:ind w:left="907" w:hanging="453"/>
      </w:pPr>
    </w:lvl>
    <w:lvl w:ilvl="2">
      <w:start w:val="1"/>
      <w:numFmt w:val="bullet"/>
      <w:lvlText w:val="–"/>
      <w:lvlJc w:val="left"/>
      <w:pPr>
        <w:tabs>
          <w:tab w:val="num" w:pos="1361"/>
        </w:tabs>
        <w:ind w:left="1361" w:hanging="454"/>
      </w:pPr>
      <w:rPr>
        <w:rFonts w:ascii="Times New Roman" w:hAnsi="Times New Roman"/>
      </w:rPr>
    </w:lvl>
    <w:lvl w:ilvl="3">
      <w:start w:val="1"/>
      <w:numFmt w:val="bullet"/>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7986764"/>
    <w:multiLevelType w:val="hybridMultilevel"/>
    <w:tmpl w:val="C31ED4E8"/>
    <w:styleLink w:val="GFANumberedList"/>
    <w:lvl w:ilvl="0" w:tplc="4120CE86">
      <w:start w:val="1"/>
      <w:numFmt w:val="bullet"/>
      <w:pStyle w:val="GFANumberedLists1"/>
      <w:lvlText w:val=""/>
      <w:lvlJc w:val="left"/>
      <w:pPr>
        <w:ind w:left="720" w:hanging="360"/>
      </w:pPr>
      <w:rPr>
        <w:rFonts w:ascii="Symbol" w:hAnsi="Symbol" w:hint="default"/>
      </w:rPr>
    </w:lvl>
    <w:lvl w:ilvl="1" w:tplc="04070003">
      <w:start w:val="1"/>
      <w:numFmt w:val="bullet"/>
      <w:pStyle w:val="GFANumberedLists2"/>
      <w:lvlText w:val="o"/>
      <w:lvlJc w:val="left"/>
      <w:pPr>
        <w:ind w:left="1440" w:hanging="360"/>
      </w:pPr>
      <w:rPr>
        <w:rFonts w:ascii="Courier New" w:hAnsi="Courier New" w:cs="Courier New" w:hint="default"/>
      </w:rPr>
    </w:lvl>
    <w:lvl w:ilvl="2" w:tplc="04070005">
      <w:start w:val="1"/>
      <w:numFmt w:val="bullet"/>
      <w:pStyle w:val="GFANumberedLists3"/>
      <w:lvlText w:val=""/>
      <w:lvlJc w:val="left"/>
      <w:pPr>
        <w:ind w:left="2160" w:hanging="360"/>
      </w:pPr>
      <w:rPr>
        <w:rFonts w:ascii="Wingdings" w:hAnsi="Wingdings" w:hint="default"/>
      </w:rPr>
    </w:lvl>
    <w:lvl w:ilvl="3" w:tplc="04070001">
      <w:start w:val="1"/>
      <w:numFmt w:val="bullet"/>
      <w:pStyle w:val="GFANumberedLists4"/>
      <w:lvlText w:val=""/>
      <w:lvlJc w:val="left"/>
      <w:pPr>
        <w:ind w:left="2880" w:hanging="360"/>
      </w:pPr>
      <w:rPr>
        <w:rFonts w:ascii="Symbol" w:hAnsi="Symbol" w:hint="default"/>
      </w:rPr>
    </w:lvl>
    <w:lvl w:ilvl="4" w:tplc="04070003" w:tentative="1">
      <w:start w:val="1"/>
      <w:numFmt w:val="bullet"/>
      <w:pStyle w:val="GFANumberedLists5"/>
      <w:lvlText w:val="o"/>
      <w:lvlJc w:val="left"/>
      <w:pPr>
        <w:ind w:left="3600" w:hanging="360"/>
      </w:pPr>
      <w:rPr>
        <w:rFonts w:ascii="Courier New" w:hAnsi="Courier New" w:cs="Courier New" w:hint="default"/>
      </w:rPr>
    </w:lvl>
    <w:lvl w:ilvl="5" w:tplc="04070005" w:tentative="1">
      <w:start w:val="1"/>
      <w:numFmt w:val="bullet"/>
      <w:pStyle w:val="GFANumberedLists6"/>
      <w:lvlText w:val=""/>
      <w:lvlJc w:val="left"/>
      <w:pPr>
        <w:ind w:left="4320" w:hanging="360"/>
      </w:pPr>
      <w:rPr>
        <w:rFonts w:ascii="Wingdings" w:hAnsi="Wingdings" w:hint="default"/>
      </w:rPr>
    </w:lvl>
    <w:lvl w:ilvl="6" w:tplc="04070001" w:tentative="1">
      <w:start w:val="1"/>
      <w:numFmt w:val="bullet"/>
      <w:pStyle w:val="GFANumberedLists7"/>
      <w:lvlText w:val=""/>
      <w:lvlJc w:val="left"/>
      <w:pPr>
        <w:ind w:left="5040" w:hanging="360"/>
      </w:pPr>
      <w:rPr>
        <w:rFonts w:ascii="Symbol" w:hAnsi="Symbol" w:hint="default"/>
      </w:rPr>
    </w:lvl>
    <w:lvl w:ilvl="7" w:tplc="04070003" w:tentative="1">
      <w:start w:val="1"/>
      <w:numFmt w:val="bullet"/>
      <w:pStyle w:val="GFANumberedLists8"/>
      <w:lvlText w:val="o"/>
      <w:lvlJc w:val="left"/>
      <w:pPr>
        <w:ind w:left="5760" w:hanging="360"/>
      </w:pPr>
      <w:rPr>
        <w:rFonts w:ascii="Courier New" w:hAnsi="Courier New" w:cs="Courier New" w:hint="default"/>
      </w:rPr>
    </w:lvl>
    <w:lvl w:ilvl="8" w:tplc="04070005" w:tentative="1">
      <w:start w:val="1"/>
      <w:numFmt w:val="bullet"/>
      <w:pStyle w:val="GFANumberedLists9"/>
      <w:lvlText w:val=""/>
      <w:lvlJc w:val="left"/>
      <w:pPr>
        <w:ind w:left="6480" w:hanging="360"/>
      </w:pPr>
      <w:rPr>
        <w:rFonts w:ascii="Wingdings" w:hAnsi="Wingdings" w:hint="default"/>
      </w:rPr>
    </w:lvl>
  </w:abstractNum>
  <w:abstractNum w:abstractNumId="4">
    <w:nsid w:val="1B3C78B8"/>
    <w:multiLevelType w:val="multilevel"/>
    <w:tmpl w:val="2ED4F4D0"/>
    <w:name w:val="Point"/>
    <w:lvl w:ilvl="0">
      <w:start w:val="1"/>
      <w:numFmt w:val="decimal"/>
      <w:lvlRestart w:val="0"/>
      <w:pStyle w:val="ListBullet1"/>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5">
    <w:nsid w:val="1C7B624F"/>
    <w:multiLevelType w:val="singleLevel"/>
    <w:tmpl w:val="55144760"/>
    <w:lvl w:ilvl="0">
      <w:start w:val="1"/>
      <w:numFmt w:val="bullet"/>
      <w:lvlRestart w:val="0"/>
      <w:pStyle w:val="ListDash2"/>
      <w:lvlText w:val="-"/>
      <w:lvlJc w:val="left"/>
      <w:pPr>
        <w:tabs>
          <w:tab w:val="num" w:pos="283"/>
        </w:tabs>
        <w:ind w:left="283" w:hanging="283"/>
      </w:pPr>
      <w:rPr>
        <w:rFonts w:ascii="Symbol" w:hAnsi="Symbol" w:cs="Times New Roman" w:hint="default"/>
      </w:rPr>
    </w:lvl>
  </w:abstractNum>
  <w:abstractNum w:abstractNumId="6">
    <w:nsid w:val="233F6A4B"/>
    <w:multiLevelType w:val="hybridMultilevel"/>
    <w:tmpl w:val="2FA8AB30"/>
    <w:lvl w:ilvl="0" w:tplc="F32A5CCE">
      <w:start w:val="1"/>
      <w:numFmt w:val="decimal"/>
      <w:lvlText w:val="%1."/>
      <w:lvlJc w:val="left"/>
      <w:pPr>
        <w:ind w:left="720" w:hanging="360"/>
      </w:pPr>
    </w:lvl>
    <w:lvl w:ilvl="1" w:tplc="B3881854">
      <w:start w:val="1"/>
      <w:numFmt w:val="lowerLetter"/>
      <w:pStyle w:val="NumPar2"/>
      <w:lvlText w:val="%2."/>
      <w:lvlJc w:val="left"/>
      <w:pPr>
        <w:ind w:left="1440" w:hanging="360"/>
      </w:pPr>
    </w:lvl>
    <w:lvl w:ilvl="2" w:tplc="B0DC6E64">
      <w:start w:val="1"/>
      <w:numFmt w:val="lowerRoman"/>
      <w:lvlText w:val="%3."/>
      <w:lvlJc w:val="right"/>
      <w:pPr>
        <w:ind w:left="2160" w:hanging="180"/>
      </w:pPr>
    </w:lvl>
    <w:lvl w:ilvl="3" w:tplc="4E48A888">
      <w:start w:val="1"/>
      <w:numFmt w:val="decimal"/>
      <w:lvlText w:val="%4."/>
      <w:lvlJc w:val="left"/>
      <w:pPr>
        <w:ind w:left="2880" w:hanging="360"/>
      </w:pPr>
    </w:lvl>
    <w:lvl w:ilvl="4" w:tplc="F12E29C2">
      <w:start w:val="1"/>
      <w:numFmt w:val="lowerLetter"/>
      <w:lvlText w:val="%5."/>
      <w:lvlJc w:val="left"/>
      <w:pPr>
        <w:ind w:left="3600" w:hanging="360"/>
      </w:pPr>
    </w:lvl>
    <w:lvl w:ilvl="5" w:tplc="5E429950">
      <w:start w:val="1"/>
      <w:numFmt w:val="lowerRoman"/>
      <w:lvlText w:val="%6."/>
      <w:lvlJc w:val="right"/>
      <w:pPr>
        <w:ind w:left="4320" w:hanging="180"/>
      </w:pPr>
    </w:lvl>
    <w:lvl w:ilvl="6" w:tplc="0F68572E">
      <w:start w:val="1"/>
      <w:numFmt w:val="decimal"/>
      <w:lvlText w:val="%7."/>
      <w:lvlJc w:val="left"/>
      <w:pPr>
        <w:ind w:left="5040" w:hanging="360"/>
      </w:pPr>
    </w:lvl>
    <w:lvl w:ilvl="7" w:tplc="D97ABA38">
      <w:start w:val="1"/>
      <w:numFmt w:val="lowerLetter"/>
      <w:lvlText w:val="%8."/>
      <w:lvlJc w:val="left"/>
      <w:pPr>
        <w:ind w:left="5760" w:hanging="360"/>
      </w:pPr>
    </w:lvl>
    <w:lvl w:ilvl="8" w:tplc="A99EAA66">
      <w:start w:val="1"/>
      <w:numFmt w:val="lowerRoman"/>
      <w:lvlText w:val="%9."/>
      <w:lvlJc w:val="right"/>
      <w:pPr>
        <w:ind w:left="6480" w:hanging="180"/>
      </w:pPr>
    </w:lvl>
  </w:abstractNum>
  <w:abstractNum w:abstractNumId="7">
    <w:nsid w:val="25363F28"/>
    <w:multiLevelType w:val="hybridMultilevel"/>
    <w:tmpl w:val="27F427DA"/>
    <w:lvl w:ilvl="0" w:tplc="FB16FFFC">
      <w:start w:val="2022"/>
      <w:numFmt w:val="bullet"/>
      <w:lvlText w:val="-"/>
      <w:lvlJc w:val="left"/>
      <w:pPr>
        <w:ind w:left="450" w:hanging="360"/>
      </w:pPr>
      <w:rPr>
        <w:rFonts w:ascii="Calibri" w:eastAsia="Times New Roman" w:hAnsi="Calibri" w:cs="Calibri" w:hint="default"/>
      </w:rPr>
    </w:lvl>
    <w:lvl w:ilvl="1" w:tplc="FB16FFFC">
      <w:start w:val="2022"/>
      <w:numFmt w:val="bullet"/>
      <w:lvlText w:val="-"/>
      <w:lvlJc w:val="left"/>
      <w:pPr>
        <w:ind w:left="1080" w:hanging="360"/>
      </w:pPr>
      <w:rPr>
        <w:rFonts w:ascii="Calibri" w:eastAsia="Times New Roman" w:hAnsi="Calibri" w:cs="Calibri"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nsid w:val="266238DA"/>
    <w:multiLevelType w:val="hybridMultilevel"/>
    <w:tmpl w:val="93303A90"/>
    <w:lvl w:ilvl="0" w:tplc="04090003">
      <w:start w:val="1"/>
      <w:numFmt w:val="bullet"/>
      <w:lvlText w:val="o"/>
      <w:lvlJc w:val="left"/>
      <w:pPr>
        <w:ind w:left="968" w:hanging="360"/>
      </w:pPr>
      <w:rPr>
        <w:rFonts w:ascii="Courier New" w:hAnsi="Courier New" w:cs="Courier New" w:hint="default"/>
      </w:rPr>
    </w:lvl>
    <w:lvl w:ilvl="1" w:tplc="04090003" w:tentative="1">
      <w:start w:val="1"/>
      <w:numFmt w:val="bullet"/>
      <w:lvlText w:val="o"/>
      <w:lvlJc w:val="left"/>
      <w:pPr>
        <w:ind w:left="1688" w:hanging="360"/>
      </w:pPr>
      <w:rPr>
        <w:rFonts w:ascii="Courier New" w:hAnsi="Courier New" w:cs="Courier New" w:hint="default"/>
      </w:rPr>
    </w:lvl>
    <w:lvl w:ilvl="2" w:tplc="04090005" w:tentative="1">
      <w:start w:val="1"/>
      <w:numFmt w:val="bullet"/>
      <w:lvlText w:val=""/>
      <w:lvlJc w:val="left"/>
      <w:pPr>
        <w:ind w:left="2408" w:hanging="360"/>
      </w:pPr>
      <w:rPr>
        <w:rFonts w:ascii="Wingdings" w:hAnsi="Wingdings" w:hint="default"/>
      </w:rPr>
    </w:lvl>
    <w:lvl w:ilvl="3" w:tplc="04090001" w:tentative="1">
      <w:start w:val="1"/>
      <w:numFmt w:val="bullet"/>
      <w:lvlText w:val=""/>
      <w:lvlJc w:val="left"/>
      <w:pPr>
        <w:ind w:left="3128" w:hanging="360"/>
      </w:pPr>
      <w:rPr>
        <w:rFonts w:ascii="Symbol" w:hAnsi="Symbol" w:hint="default"/>
      </w:rPr>
    </w:lvl>
    <w:lvl w:ilvl="4" w:tplc="04090003" w:tentative="1">
      <w:start w:val="1"/>
      <w:numFmt w:val="bullet"/>
      <w:lvlText w:val="o"/>
      <w:lvlJc w:val="left"/>
      <w:pPr>
        <w:ind w:left="3848" w:hanging="360"/>
      </w:pPr>
      <w:rPr>
        <w:rFonts w:ascii="Courier New" w:hAnsi="Courier New" w:cs="Courier New" w:hint="default"/>
      </w:rPr>
    </w:lvl>
    <w:lvl w:ilvl="5" w:tplc="04090005" w:tentative="1">
      <w:start w:val="1"/>
      <w:numFmt w:val="bullet"/>
      <w:lvlText w:val=""/>
      <w:lvlJc w:val="left"/>
      <w:pPr>
        <w:ind w:left="4568" w:hanging="360"/>
      </w:pPr>
      <w:rPr>
        <w:rFonts w:ascii="Wingdings" w:hAnsi="Wingdings" w:hint="default"/>
      </w:rPr>
    </w:lvl>
    <w:lvl w:ilvl="6" w:tplc="04090001" w:tentative="1">
      <w:start w:val="1"/>
      <w:numFmt w:val="bullet"/>
      <w:lvlText w:val=""/>
      <w:lvlJc w:val="left"/>
      <w:pPr>
        <w:ind w:left="5288" w:hanging="360"/>
      </w:pPr>
      <w:rPr>
        <w:rFonts w:ascii="Symbol" w:hAnsi="Symbol" w:hint="default"/>
      </w:rPr>
    </w:lvl>
    <w:lvl w:ilvl="7" w:tplc="04090003" w:tentative="1">
      <w:start w:val="1"/>
      <w:numFmt w:val="bullet"/>
      <w:lvlText w:val="o"/>
      <w:lvlJc w:val="left"/>
      <w:pPr>
        <w:ind w:left="6008" w:hanging="360"/>
      </w:pPr>
      <w:rPr>
        <w:rFonts w:ascii="Courier New" w:hAnsi="Courier New" w:cs="Courier New" w:hint="default"/>
      </w:rPr>
    </w:lvl>
    <w:lvl w:ilvl="8" w:tplc="04090005" w:tentative="1">
      <w:start w:val="1"/>
      <w:numFmt w:val="bullet"/>
      <w:lvlText w:val=""/>
      <w:lvlJc w:val="left"/>
      <w:pPr>
        <w:ind w:left="6728" w:hanging="360"/>
      </w:pPr>
      <w:rPr>
        <w:rFonts w:ascii="Wingdings" w:hAnsi="Wingdings" w:hint="default"/>
      </w:rPr>
    </w:lvl>
  </w:abstractNum>
  <w:abstractNum w:abstractNumId="9">
    <w:nsid w:val="2D5B4395"/>
    <w:multiLevelType w:val="multilevel"/>
    <w:tmpl w:val="FA44A85A"/>
    <w:lvl w:ilvl="0">
      <w:start w:val="1"/>
      <w:numFmt w:val="decimal"/>
      <w:lvlText w:val="%1."/>
      <w:lvlJc w:val="left"/>
      <w:pPr>
        <w:ind w:left="720" w:hanging="360"/>
      </w:pPr>
      <w:rPr>
        <w:rFonts w:hint="default"/>
        <w:b w:val="0"/>
        <w:sz w:val="24"/>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30625CDF"/>
    <w:multiLevelType w:val="hybridMultilevel"/>
    <w:tmpl w:val="1E8C3040"/>
    <w:lvl w:ilvl="0" w:tplc="3BB4D4E2">
      <w:start w:val="3"/>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nsid w:val="339F0B4F"/>
    <w:multiLevelType w:val="hybridMultilevel"/>
    <w:tmpl w:val="19C60F8E"/>
    <w:lvl w:ilvl="0" w:tplc="3BB4D4E2">
      <w:start w:val="3"/>
      <w:numFmt w:val="bullet"/>
      <w:lvlText w:val="-"/>
      <w:lvlJc w:val="left"/>
      <w:pPr>
        <w:ind w:left="360" w:hanging="360"/>
      </w:pPr>
      <w:rPr>
        <w:rFonts w:ascii="Arial" w:eastAsia="Times New Roman" w:hAnsi="Arial" w:cs="Arial" w:hint="default"/>
      </w:rPr>
    </w:lvl>
    <w:lvl w:ilvl="1" w:tplc="0409000F">
      <w:start w:val="1"/>
      <w:numFmt w:val="decimal"/>
      <w:lvlText w:val="%2."/>
      <w:lvlJc w:val="left"/>
      <w:pPr>
        <w:ind w:left="1080" w:hanging="360"/>
      </w:pPr>
      <w:rPr>
        <w:rFonts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nsid w:val="34C64EB9"/>
    <w:multiLevelType w:val="hybridMultilevel"/>
    <w:tmpl w:val="CDE6754C"/>
    <w:lvl w:ilvl="0" w:tplc="3BB4D4E2">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38456A4E"/>
    <w:multiLevelType w:val="hybridMultilevel"/>
    <w:tmpl w:val="33324D10"/>
    <w:lvl w:ilvl="0" w:tplc="3BB4D4E2">
      <w:start w:val="3"/>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nsid w:val="3B9502BB"/>
    <w:multiLevelType w:val="hybridMultilevel"/>
    <w:tmpl w:val="FB662420"/>
    <w:lvl w:ilvl="0" w:tplc="4D029B30">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2B4360"/>
    <w:multiLevelType w:val="hybridMultilevel"/>
    <w:tmpl w:val="F7BA5BAA"/>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16">
    <w:nsid w:val="45F50875"/>
    <w:multiLevelType w:val="hybridMultilevel"/>
    <w:tmpl w:val="56DEEA7C"/>
    <w:lvl w:ilvl="0" w:tplc="4D029B30">
      <w:start w:val="3"/>
      <w:numFmt w:val="bullet"/>
      <w:lvlText w:val="-"/>
      <w:lvlJc w:val="left"/>
      <w:pPr>
        <w:ind w:left="360" w:hanging="360"/>
      </w:pPr>
      <w:rPr>
        <w:rFonts w:ascii="Calibri" w:eastAsia="Times New Roman"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nsid w:val="4DAB6AF2"/>
    <w:multiLevelType w:val="hybridMultilevel"/>
    <w:tmpl w:val="CA06FAF4"/>
    <w:lvl w:ilvl="0" w:tplc="90580F56">
      <w:start w:val="1"/>
      <w:numFmt w:val="bullet"/>
      <w:pStyle w:val="GFABulletedLists1"/>
      <w:lvlText w:val=""/>
      <w:lvlJc w:val="left"/>
      <w:pPr>
        <w:ind w:left="1060" w:hanging="360"/>
      </w:pPr>
      <w:rPr>
        <w:rFonts w:ascii="Wingdings" w:hAnsi="Wingdings" w:hint="default"/>
      </w:rPr>
    </w:lvl>
    <w:lvl w:ilvl="1" w:tplc="E4205124">
      <w:numFmt w:val="bullet"/>
      <w:lvlText w:val="-"/>
      <w:lvlJc w:val="left"/>
      <w:pPr>
        <w:ind w:left="1780" w:hanging="360"/>
      </w:pPr>
      <w:rPr>
        <w:rFonts w:ascii="Arial" w:eastAsia="Times New Roman" w:hAnsi="Arial" w:cs="Arial" w:hint="default"/>
      </w:rPr>
    </w:lvl>
    <w:lvl w:ilvl="2" w:tplc="04070005" w:tentative="1">
      <w:start w:val="1"/>
      <w:numFmt w:val="bullet"/>
      <w:lvlText w:val=""/>
      <w:lvlJc w:val="left"/>
      <w:pPr>
        <w:ind w:left="2500" w:hanging="360"/>
      </w:pPr>
      <w:rPr>
        <w:rFonts w:ascii="Wingdings" w:hAnsi="Wingdings" w:hint="default"/>
      </w:rPr>
    </w:lvl>
    <w:lvl w:ilvl="3" w:tplc="04070001" w:tentative="1">
      <w:start w:val="1"/>
      <w:numFmt w:val="bullet"/>
      <w:lvlText w:val=""/>
      <w:lvlJc w:val="left"/>
      <w:pPr>
        <w:ind w:left="3220" w:hanging="360"/>
      </w:pPr>
      <w:rPr>
        <w:rFonts w:ascii="Symbol" w:hAnsi="Symbol" w:hint="default"/>
      </w:rPr>
    </w:lvl>
    <w:lvl w:ilvl="4" w:tplc="04070003" w:tentative="1">
      <w:start w:val="1"/>
      <w:numFmt w:val="bullet"/>
      <w:lvlText w:val="o"/>
      <w:lvlJc w:val="left"/>
      <w:pPr>
        <w:ind w:left="3940" w:hanging="360"/>
      </w:pPr>
      <w:rPr>
        <w:rFonts w:ascii="Courier New" w:hAnsi="Courier New" w:cs="Courier New" w:hint="default"/>
      </w:rPr>
    </w:lvl>
    <w:lvl w:ilvl="5" w:tplc="04070005" w:tentative="1">
      <w:start w:val="1"/>
      <w:numFmt w:val="bullet"/>
      <w:lvlText w:val=""/>
      <w:lvlJc w:val="left"/>
      <w:pPr>
        <w:ind w:left="4660" w:hanging="360"/>
      </w:pPr>
      <w:rPr>
        <w:rFonts w:ascii="Wingdings" w:hAnsi="Wingdings" w:hint="default"/>
      </w:rPr>
    </w:lvl>
    <w:lvl w:ilvl="6" w:tplc="04070001" w:tentative="1">
      <w:start w:val="1"/>
      <w:numFmt w:val="bullet"/>
      <w:lvlText w:val=""/>
      <w:lvlJc w:val="left"/>
      <w:pPr>
        <w:ind w:left="5380" w:hanging="360"/>
      </w:pPr>
      <w:rPr>
        <w:rFonts w:ascii="Symbol" w:hAnsi="Symbol" w:hint="default"/>
      </w:rPr>
    </w:lvl>
    <w:lvl w:ilvl="7" w:tplc="04070003" w:tentative="1">
      <w:start w:val="1"/>
      <w:numFmt w:val="bullet"/>
      <w:lvlText w:val="o"/>
      <w:lvlJc w:val="left"/>
      <w:pPr>
        <w:ind w:left="6100" w:hanging="360"/>
      </w:pPr>
      <w:rPr>
        <w:rFonts w:ascii="Courier New" w:hAnsi="Courier New" w:cs="Courier New" w:hint="default"/>
      </w:rPr>
    </w:lvl>
    <w:lvl w:ilvl="8" w:tplc="04070005" w:tentative="1">
      <w:start w:val="1"/>
      <w:numFmt w:val="bullet"/>
      <w:lvlText w:val=""/>
      <w:lvlJc w:val="left"/>
      <w:pPr>
        <w:ind w:left="6820" w:hanging="360"/>
      </w:pPr>
      <w:rPr>
        <w:rFonts w:ascii="Wingdings" w:hAnsi="Wingdings" w:hint="default"/>
      </w:rPr>
    </w:lvl>
  </w:abstractNum>
  <w:abstractNum w:abstractNumId="18">
    <w:nsid w:val="51126F0D"/>
    <w:multiLevelType w:val="multilevel"/>
    <w:tmpl w:val="E9F26D90"/>
    <w:lvl w:ilvl="0">
      <w:start w:val="1"/>
      <w:numFmt w:val="decimal"/>
      <w:lvlText w:val="%1"/>
      <w:lvlJc w:val="left"/>
      <w:pPr>
        <w:ind w:left="432" w:hanging="432"/>
      </w:pPr>
      <w:rPr>
        <w:rFonts w:hint="default"/>
        <w:strike w:val="0"/>
      </w:rPr>
    </w:lvl>
    <w:lvl w:ilvl="1">
      <w:start w:val="1"/>
      <w:numFmt w:val="decimal"/>
      <w:lvlText w:val="%1.%2"/>
      <w:lvlJc w:val="left"/>
      <w:pPr>
        <w:ind w:left="846" w:hanging="576"/>
      </w:pPr>
      <w:rPr>
        <w:rFonts w:hint="default"/>
        <w:b/>
      </w:rPr>
    </w:lvl>
    <w:lvl w:ilvl="2">
      <w:start w:val="1"/>
      <w:numFmt w:val="decimal"/>
      <w:lvlText w:val="%1.%2.%3"/>
      <w:lvlJc w:val="left"/>
      <w:pPr>
        <w:ind w:left="3240" w:hanging="720"/>
      </w:pPr>
      <w:rPr>
        <w:rFonts w:hint="default"/>
      </w:rPr>
    </w:lvl>
    <w:lvl w:ilvl="3">
      <w:start w:val="1"/>
      <w:numFmt w:val="decimal"/>
      <w:lvlText w:val="%1.%2.%3.%4"/>
      <w:lvlJc w:val="left"/>
      <w:pPr>
        <w:ind w:left="104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nsid w:val="538266BF"/>
    <w:multiLevelType w:val="hybridMultilevel"/>
    <w:tmpl w:val="83D4DF42"/>
    <w:styleLink w:val="GFABulletedList"/>
    <w:lvl w:ilvl="0" w:tplc="7EF01E26">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nsid w:val="570B01CD"/>
    <w:multiLevelType w:val="hybridMultilevel"/>
    <w:tmpl w:val="866438E2"/>
    <w:lvl w:ilvl="0" w:tplc="9B6AA4BA">
      <w:start w:val="1"/>
      <w:numFmt w:val="bullet"/>
      <w:pStyle w:val="ListNumber"/>
      <w:lvlText w:val="-"/>
      <w:lvlJc w:val="left"/>
      <w:pPr>
        <w:ind w:left="720" w:hanging="360"/>
      </w:pPr>
      <w:rPr>
        <w:rFonts w:ascii="&quot;Arial Narrow&quot;,sans-serif" w:hAnsi="&quot;Arial Narrow&quot;,sans-serif" w:hint="default"/>
      </w:rPr>
    </w:lvl>
    <w:lvl w:ilvl="1" w:tplc="DD5001A2">
      <w:start w:val="1"/>
      <w:numFmt w:val="bullet"/>
      <w:pStyle w:val="ListNumberLevel2"/>
      <w:lvlText w:val="o"/>
      <w:lvlJc w:val="left"/>
      <w:pPr>
        <w:ind w:left="1440" w:hanging="360"/>
      </w:pPr>
      <w:rPr>
        <w:rFonts w:ascii="Courier New" w:hAnsi="Courier New" w:hint="default"/>
      </w:rPr>
    </w:lvl>
    <w:lvl w:ilvl="2" w:tplc="E5F2F312">
      <w:start w:val="1"/>
      <w:numFmt w:val="bullet"/>
      <w:pStyle w:val="ListNumberLevel3"/>
      <w:lvlText w:val=""/>
      <w:lvlJc w:val="left"/>
      <w:pPr>
        <w:ind w:left="2160" w:hanging="360"/>
      </w:pPr>
      <w:rPr>
        <w:rFonts w:ascii="Wingdings" w:hAnsi="Wingdings" w:hint="default"/>
      </w:rPr>
    </w:lvl>
    <w:lvl w:ilvl="3" w:tplc="A98CCA90">
      <w:start w:val="1"/>
      <w:numFmt w:val="bullet"/>
      <w:pStyle w:val="ListNumberLevel4"/>
      <w:lvlText w:val=""/>
      <w:lvlJc w:val="left"/>
      <w:pPr>
        <w:ind w:left="2880" w:hanging="360"/>
      </w:pPr>
      <w:rPr>
        <w:rFonts w:ascii="Symbol" w:hAnsi="Symbol" w:hint="default"/>
      </w:rPr>
    </w:lvl>
    <w:lvl w:ilvl="4" w:tplc="9F66872C">
      <w:start w:val="1"/>
      <w:numFmt w:val="bullet"/>
      <w:lvlText w:val="o"/>
      <w:lvlJc w:val="left"/>
      <w:pPr>
        <w:ind w:left="3600" w:hanging="360"/>
      </w:pPr>
      <w:rPr>
        <w:rFonts w:ascii="Courier New" w:hAnsi="Courier New" w:hint="default"/>
      </w:rPr>
    </w:lvl>
    <w:lvl w:ilvl="5" w:tplc="4B1A75CE">
      <w:start w:val="1"/>
      <w:numFmt w:val="bullet"/>
      <w:lvlText w:val=""/>
      <w:lvlJc w:val="left"/>
      <w:pPr>
        <w:ind w:left="4320" w:hanging="360"/>
      </w:pPr>
      <w:rPr>
        <w:rFonts w:ascii="Wingdings" w:hAnsi="Wingdings" w:hint="default"/>
      </w:rPr>
    </w:lvl>
    <w:lvl w:ilvl="6" w:tplc="F1EA245C">
      <w:start w:val="1"/>
      <w:numFmt w:val="bullet"/>
      <w:lvlText w:val=""/>
      <w:lvlJc w:val="left"/>
      <w:pPr>
        <w:ind w:left="5040" w:hanging="360"/>
      </w:pPr>
      <w:rPr>
        <w:rFonts w:ascii="Symbol" w:hAnsi="Symbol" w:hint="default"/>
      </w:rPr>
    </w:lvl>
    <w:lvl w:ilvl="7" w:tplc="501A7E20">
      <w:start w:val="1"/>
      <w:numFmt w:val="bullet"/>
      <w:lvlText w:val="o"/>
      <w:lvlJc w:val="left"/>
      <w:pPr>
        <w:ind w:left="5760" w:hanging="360"/>
      </w:pPr>
      <w:rPr>
        <w:rFonts w:ascii="Courier New" w:hAnsi="Courier New" w:hint="default"/>
      </w:rPr>
    </w:lvl>
    <w:lvl w:ilvl="8" w:tplc="1EFE3FE2">
      <w:start w:val="1"/>
      <w:numFmt w:val="bullet"/>
      <w:lvlText w:val=""/>
      <w:lvlJc w:val="left"/>
      <w:pPr>
        <w:ind w:left="6480" w:hanging="360"/>
      </w:pPr>
      <w:rPr>
        <w:rFonts w:ascii="Wingdings" w:hAnsi="Wingdings" w:hint="default"/>
      </w:rPr>
    </w:lvl>
  </w:abstractNum>
  <w:abstractNum w:abstractNumId="21">
    <w:nsid w:val="5AAF23D9"/>
    <w:multiLevelType w:val="hybridMultilevel"/>
    <w:tmpl w:val="B0902A8E"/>
    <w:lvl w:ilvl="0" w:tplc="55D073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971530D"/>
    <w:multiLevelType w:val="hybridMultilevel"/>
    <w:tmpl w:val="00E6CFDC"/>
    <w:lvl w:ilvl="0" w:tplc="82022FA4">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A3C52FF"/>
    <w:multiLevelType w:val="hybridMultilevel"/>
    <w:tmpl w:val="829031A8"/>
    <w:lvl w:ilvl="0" w:tplc="3BB4D4E2">
      <w:start w:val="3"/>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nsid w:val="718F3850"/>
    <w:multiLevelType w:val="multilevel"/>
    <w:tmpl w:val="18305FB8"/>
    <w:lvl w:ilvl="0">
      <w:start w:val="2"/>
      <w:numFmt w:val="decimal"/>
      <w:lvlText w:val="%1"/>
      <w:lvlJc w:val="left"/>
      <w:pPr>
        <w:ind w:left="360" w:hanging="360"/>
      </w:pPr>
      <w:rPr>
        <w:rFonts w:hint="default"/>
        <w:b/>
      </w:rPr>
    </w:lvl>
    <w:lvl w:ilvl="1">
      <w:start w:val="8"/>
      <w:numFmt w:val="decimal"/>
      <w:lvlText w:val="%1.%2"/>
      <w:lvlJc w:val="left"/>
      <w:pPr>
        <w:ind w:left="1004" w:hanging="72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932" w:hanging="108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860" w:hanging="144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788" w:hanging="1800"/>
      </w:pPr>
      <w:rPr>
        <w:rFonts w:hint="default"/>
        <w:b/>
      </w:rPr>
    </w:lvl>
    <w:lvl w:ilvl="8">
      <w:start w:val="1"/>
      <w:numFmt w:val="decimal"/>
      <w:lvlText w:val="%1.%2.%3.%4.%5.%6.%7.%8.%9"/>
      <w:lvlJc w:val="left"/>
      <w:pPr>
        <w:ind w:left="4432" w:hanging="2160"/>
      </w:pPr>
      <w:rPr>
        <w:rFonts w:hint="default"/>
        <w:b/>
      </w:rPr>
    </w:lvl>
  </w:abstractNum>
  <w:abstractNum w:abstractNumId="25">
    <w:nsid w:val="752C7CB5"/>
    <w:multiLevelType w:val="hybridMultilevel"/>
    <w:tmpl w:val="2FECEFAA"/>
    <w:lvl w:ilvl="0" w:tplc="FB16FFFC">
      <w:start w:val="202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8522202"/>
    <w:multiLevelType w:val="hybridMultilevel"/>
    <w:tmpl w:val="8BC47CDA"/>
    <w:lvl w:ilvl="0" w:tplc="04090005">
      <w:start w:val="1"/>
      <w:numFmt w:val="bullet"/>
      <w:lvlText w:val=""/>
      <w:lvlJc w:val="left"/>
      <w:pPr>
        <w:ind w:left="1420" w:hanging="360"/>
      </w:pPr>
      <w:rPr>
        <w:rFonts w:ascii="Wingdings" w:hAnsi="Wingdings"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27">
    <w:nsid w:val="7D6F52E1"/>
    <w:multiLevelType w:val="multilevel"/>
    <w:tmpl w:val="DBEEF2E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2"/>
  </w:num>
  <w:num w:numId="2">
    <w:abstractNumId w:val="1"/>
  </w:num>
  <w:num w:numId="3">
    <w:abstractNumId w:val="3"/>
  </w:num>
  <w:num w:numId="4">
    <w:abstractNumId w:val="19"/>
  </w:num>
  <w:num w:numId="5">
    <w:abstractNumId w:val="18"/>
  </w:num>
  <w:num w:numId="6">
    <w:abstractNumId w:val="6"/>
  </w:num>
  <w:num w:numId="7">
    <w:abstractNumId w:val="20"/>
  </w:num>
  <w:num w:numId="8">
    <w:abstractNumId w:val="4"/>
  </w:num>
  <w:num w:numId="9">
    <w:abstractNumId w:val="17"/>
  </w:num>
  <w:num w:numId="10">
    <w:abstractNumId w:val="2"/>
  </w:num>
  <w:num w:numId="11">
    <w:abstractNumId w:val="5"/>
  </w:num>
  <w:num w:numId="12">
    <w:abstractNumId w:val="26"/>
  </w:num>
  <w:num w:numId="13">
    <w:abstractNumId w:val="15"/>
  </w:num>
  <w:num w:numId="14">
    <w:abstractNumId w:val="27"/>
  </w:num>
  <w:num w:numId="15">
    <w:abstractNumId w:val="9"/>
  </w:num>
  <w:num w:numId="16">
    <w:abstractNumId w:val="0"/>
  </w:num>
  <w:num w:numId="17">
    <w:abstractNumId w:val="24"/>
  </w:num>
  <w:num w:numId="18">
    <w:abstractNumId w:val="7"/>
  </w:num>
  <w:num w:numId="19">
    <w:abstractNumId w:val="10"/>
  </w:num>
  <w:num w:numId="20">
    <w:abstractNumId w:val="8"/>
  </w:num>
  <w:num w:numId="21">
    <w:abstractNumId w:val="11"/>
  </w:num>
  <w:num w:numId="22">
    <w:abstractNumId w:val="21"/>
  </w:num>
  <w:num w:numId="23">
    <w:abstractNumId w:val="23"/>
  </w:num>
  <w:num w:numId="24">
    <w:abstractNumId w:val="25"/>
  </w:num>
  <w:num w:numId="25">
    <w:abstractNumId w:val="13"/>
  </w:num>
  <w:num w:numId="26">
    <w:abstractNumId w:val="12"/>
  </w:num>
  <w:num w:numId="27">
    <w:abstractNumId w:val="16"/>
  </w:num>
  <w:num w:numId="28">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hideSpellingErrors/>
  <w:hideGrammaticalErrors/>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067"/>
    <w:rsid w:val="000002EF"/>
    <w:rsid w:val="000011D6"/>
    <w:rsid w:val="00004266"/>
    <w:rsid w:val="0000516E"/>
    <w:rsid w:val="00010FB4"/>
    <w:rsid w:val="00012DD0"/>
    <w:rsid w:val="00014970"/>
    <w:rsid w:val="00015AE0"/>
    <w:rsid w:val="00016A96"/>
    <w:rsid w:val="00020958"/>
    <w:rsid w:val="0002143E"/>
    <w:rsid w:val="00022BCE"/>
    <w:rsid w:val="00023E87"/>
    <w:rsid w:val="00024410"/>
    <w:rsid w:val="00030A08"/>
    <w:rsid w:val="00031EDD"/>
    <w:rsid w:val="00033C7F"/>
    <w:rsid w:val="000354E1"/>
    <w:rsid w:val="00037728"/>
    <w:rsid w:val="0004091B"/>
    <w:rsid w:val="00040E9F"/>
    <w:rsid w:val="000423B3"/>
    <w:rsid w:val="0004408F"/>
    <w:rsid w:val="00047DD7"/>
    <w:rsid w:val="00052A45"/>
    <w:rsid w:val="000564F0"/>
    <w:rsid w:val="0006689B"/>
    <w:rsid w:val="00070408"/>
    <w:rsid w:val="00070AC9"/>
    <w:rsid w:val="00071588"/>
    <w:rsid w:val="000727D2"/>
    <w:rsid w:val="0007301C"/>
    <w:rsid w:val="00074106"/>
    <w:rsid w:val="000768A6"/>
    <w:rsid w:val="00076E87"/>
    <w:rsid w:val="00077898"/>
    <w:rsid w:val="00080DC4"/>
    <w:rsid w:val="00084667"/>
    <w:rsid w:val="0008615B"/>
    <w:rsid w:val="00086C54"/>
    <w:rsid w:val="00087423"/>
    <w:rsid w:val="00092A39"/>
    <w:rsid w:val="00094145"/>
    <w:rsid w:val="0009581D"/>
    <w:rsid w:val="000959E0"/>
    <w:rsid w:val="000A0AC3"/>
    <w:rsid w:val="000A0AE1"/>
    <w:rsid w:val="000A23DB"/>
    <w:rsid w:val="000A62D3"/>
    <w:rsid w:val="000A6A12"/>
    <w:rsid w:val="000B1A31"/>
    <w:rsid w:val="000B2535"/>
    <w:rsid w:val="000B2B89"/>
    <w:rsid w:val="000B60BC"/>
    <w:rsid w:val="000C0253"/>
    <w:rsid w:val="000C286E"/>
    <w:rsid w:val="000C2D9A"/>
    <w:rsid w:val="000C2F09"/>
    <w:rsid w:val="000C430D"/>
    <w:rsid w:val="000C516C"/>
    <w:rsid w:val="000C6587"/>
    <w:rsid w:val="000C77D4"/>
    <w:rsid w:val="000C7AF0"/>
    <w:rsid w:val="000D14E0"/>
    <w:rsid w:val="000D1853"/>
    <w:rsid w:val="000D4CFE"/>
    <w:rsid w:val="000E0580"/>
    <w:rsid w:val="000E6EE9"/>
    <w:rsid w:val="000E7CDF"/>
    <w:rsid w:val="000F0EFD"/>
    <w:rsid w:val="000F1FB8"/>
    <w:rsid w:val="000F2CF5"/>
    <w:rsid w:val="000F35FE"/>
    <w:rsid w:val="000F3609"/>
    <w:rsid w:val="000F4DCD"/>
    <w:rsid w:val="000F50EA"/>
    <w:rsid w:val="00103109"/>
    <w:rsid w:val="00103A3A"/>
    <w:rsid w:val="001042CC"/>
    <w:rsid w:val="00104C98"/>
    <w:rsid w:val="001062BF"/>
    <w:rsid w:val="001100BB"/>
    <w:rsid w:val="00114D42"/>
    <w:rsid w:val="00117EB7"/>
    <w:rsid w:val="0012396E"/>
    <w:rsid w:val="00124234"/>
    <w:rsid w:val="00125BD8"/>
    <w:rsid w:val="0013128C"/>
    <w:rsid w:val="001338E7"/>
    <w:rsid w:val="00133F16"/>
    <w:rsid w:val="00136BEA"/>
    <w:rsid w:val="00137767"/>
    <w:rsid w:val="00145A75"/>
    <w:rsid w:val="001544E9"/>
    <w:rsid w:val="00155459"/>
    <w:rsid w:val="0015684A"/>
    <w:rsid w:val="0015763C"/>
    <w:rsid w:val="0016104A"/>
    <w:rsid w:val="0016135A"/>
    <w:rsid w:val="00161710"/>
    <w:rsid w:val="0016394D"/>
    <w:rsid w:val="001663BC"/>
    <w:rsid w:val="00166B6A"/>
    <w:rsid w:val="0016788E"/>
    <w:rsid w:val="00167C37"/>
    <w:rsid w:val="00170A37"/>
    <w:rsid w:val="00171CB3"/>
    <w:rsid w:val="00171D41"/>
    <w:rsid w:val="0017372A"/>
    <w:rsid w:val="001755EB"/>
    <w:rsid w:val="00176C1C"/>
    <w:rsid w:val="00181E0D"/>
    <w:rsid w:val="00182B5F"/>
    <w:rsid w:val="00183135"/>
    <w:rsid w:val="00183704"/>
    <w:rsid w:val="00183D84"/>
    <w:rsid w:val="00183ECB"/>
    <w:rsid w:val="0018772D"/>
    <w:rsid w:val="001964F3"/>
    <w:rsid w:val="001A03F2"/>
    <w:rsid w:val="001A211B"/>
    <w:rsid w:val="001A466A"/>
    <w:rsid w:val="001A693D"/>
    <w:rsid w:val="001A7C42"/>
    <w:rsid w:val="001B3546"/>
    <w:rsid w:val="001C0D91"/>
    <w:rsid w:val="001C1204"/>
    <w:rsid w:val="001C4C61"/>
    <w:rsid w:val="001C58DF"/>
    <w:rsid w:val="001C5F9D"/>
    <w:rsid w:val="001D192A"/>
    <w:rsid w:val="001D1A30"/>
    <w:rsid w:val="001D2067"/>
    <w:rsid w:val="001D2F62"/>
    <w:rsid w:val="001D3CF0"/>
    <w:rsid w:val="001D5658"/>
    <w:rsid w:val="001D5C8E"/>
    <w:rsid w:val="001D6BB6"/>
    <w:rsid w:val="001E38C1"/>
    <w:rsid w:val="001E5A41"/>
    <w:rsid w:val="001E5C12"/>
    <w:rsid w:val="001F4973"/>
    <w:rsid w:val="001F4D37"/>
    <w:rsid w:val="001F5124"/>
    <w:rsid w:val="001F5256"/>
    <w:rsid w:val="00203125"/>
    <w:rsid w:val="0020362D"/>
    <w:rsid w:val="00203AA4"/>
    <w:rsid w:val="002047F2"/>
    <w:rsid w:val="0020512E"/>
    <w:rsid w:val="00205EF2"/>
    <w:rsid w:val="00207308"/>
    <w:rsid w:val="002112FA"/>
    <w:rsid w:val="00211DAC"/>
    <w:rsid w:val="002139C2"/>
    <w:rsid w:val="00214DCE"/>
    <w:rsid w:val="00216342"/>
    <w:rsid w:val="00221E2F"/>
    <w:rsid w:val="00221F3D"/>
    <w:rsid w:val="0022224B"/>
    <w:rsid w:val="00222C8D"/>
    <w:rsid w:val="00222E76"/>
    <w:rsid w:val="00223652"/>
    <w:rsid w:val="00232A08"/>
    <w:rsid w:val="0023300A"/>
    <w:rsid w:val="002372D7"/>
    <w:rsid w:val="00237619"/>
    <w:rsid w:val="002446B0"/>
    <w:rsid w:val="00247E86"/>
    <w:rsid w:val="00250914"/>
    <w:rsid w:val="00251F7C"/>
    <w:rsid w:val="00256518"/>
    <w:rsid w:val="002613AD"/>
    <w:rsid w:val="00261CC3"/>
    <w:rsid w:val="00263104"/>
    <w:rsid w:val="00264AE4"/>
    <w:rsid w:val="002651A0"/>
    <w:rsid w:val="002667F9"/>
    <w:rsid w:val="00266AC7"/>
    <w:rsid w:val="00270916"/>
    <w:rsid w:val="00271E3D"/>
    <w:rsid w:val="00271FFF"/>
    <w:rsid w:val="00275713"/>
    <w:rsid w:val="00276435"/>
    <w:rsid w:val="002774F0"/>
    <w:rsid w:val="00285580"/>
    <w:rsid w:val="002858DC"/>
    <w:rsid w:val="00286239"/>
    <w:rsid w:val="00296355"/>
    <w:rsid w:val="00296CAB"/>
    <w:rsid w:val="002977A9"/>
    <w:rsid w:val="002A6B71"/>
    <w:rsid w:val="002B01F0"/>
    <w:rsid w:val="002B079D"/>
    <w:rsid w:val="002B7930"/>
    <w:rsid w:val="002C0967"/>
    <w:rsid w:val="002C53A3"/>
    <w:rsid w:val="002D2105"/>
    <w:rsid w:val="002D46D4"/>
    <w:rsid w:val="002D75A1"/>
    <w:rsid w:val="002E4460"/>
    <w:rsid w:val="002E510F"/>
    <w:rsid w:val="002E6FEB"/>
    <w:rsid w:val="002F0C1A"/>
    <w:rsid w:val="002F2E53"/>
    <w:rsid w:val="002F5F03"/>
    <w:rsid w:val="00302CF9"/>
    <w:rsid w:val="0030411A"/>
    <w:rsid w:val="0031386C"/>
    <w:rsid w:val="003146A1"/>
    <w:rsid w:val="00320CB6"/>
    <w:rsid w:val="00321CFF"/>
    <w:rsid w:val="0032371E"/>
    <w:rsid w:val="00324B32"/>
    <w:rsid w:val="00325897"/>
    <w:rsid w:val="00327E51"/>
    <w:rsid w:val="00332FD2"/>
    <w:rsid w:val="003330D8"/>
    <w:rsid w:val="00334EC3"/>
    <w:rsid w:val="003352F4"/>
    <w:rsid w:val="003409EA"/>
    <w:rsid w:val="003438F8"/>
    <w:rsid w:val="003469E6"/>
    <w:rsid w:val="00347F3F"/>
    <w:rsid w:val="00351342"/>
    <w:rsid w:val="00351901"/>
    <w:rsid w:val="003528FB"/>
    <w:rsid w:val="0035424D"/>
    <w:rsid w:val="003577CF"/>
    <w:rsid w:val="003658F3"/>
    <w:rsid w:val="0036596E"/>
    <w:rsid w:val="00370A2A"/>
    <w:rsid w:val="00372301"/>
    <w:rsid w:val="00372BD1"/>
    <w:rsid w:val="00380F7C"/>
    <w:rsid w:val="003858D7"/>
    <w:rsid w:val="00385CBD"/>
    <w:rsid w:val="00391AED"/>
    <w:rsid w:val="00392393"/>
    <w:rsid w:val="00394896"/>
    <w:rsid w:val="00395B6C"/>
    <w:rsid w:val="003A5468"/>
    <w:rsid w:val="003A73A5"/>
    <w:rsid w:val="003A7DB5"/>
    <w:rsid w:val="003B0157"/>
    <w:rsid w:val="003B55FF"/>
    <w:rsid w:val="003B5623"/>
    <w:rsid w:val="003B5F32"/>
    <w:rsid w:val="003B6A08"/>
    <w:rsid w:val="003C30BB"/>
    <w:rsid w:val="003C58E2"/>
    <w:rsid w:val="003C74F7"/>
    <w:rsid w:val="003D184A"/>
    <w:rsid w:val="003D1D83"/>
    <w:rsid w:val="003D28A7"/>
    <w:rsid w:val="003D2CC0"/>
    <w:rsid w:val="003D34D2"/>
    <w:rsid w:val="003D5826"/>
    <w:rsid w:val="003D6DBD"/>
    <w:rsid w:val="003D7E58"/>
    <w:rsid w:val="003E2673"/>
    <w:rsid w:val="003E3067"/>
    <w:rsid w:val="003E43D8"/>
    <w:rsid w:val="003E7483"/>
    <w:rsid w:val="003E7558"/>
    <w:rsid w:val="003F1333"/>
    <w:rsid w:val="003F3B77"/>
    <w:rsid w:val="003F5E5B"/>
    <w:rsid w:val="003F7B16"/>
    <w:rsid w:val="00402FB6"/>
    <w:rsid w:val="00404504"/>
    <w:rsid w:val="00405CBB"/>
    <w:rsid w:val="00412131"/>
    <w:rsid w:val="00412B2B"/>
    <w:rsid w:val="00414700"/>
    <w:rsid w:val="00414D5E"/>
    <w:rsid w:val="0041581D"/>
    <w:rsid w:val="00416D15"/>
    <w:rsid w:val="004233A6"/>
    <w:rsid w:val="00424170"/>
    <w:rsid w:val="00426B05"/>
    <w:rsid w:val="00430E80"/>
    <w:rsid w:val="00431E1B"/>
    <w:rsid w:val="004356D0"/>
    <w:rsid w:val="00436191"/>
    <w:rsid w:val="00442899"/>
    <w:rsid w:val="00443AC0"/>
    <w:rsid w:val="004511C3"/>
    <w:rsid w:val="0045748B"/>
    <w:rsid w:val="004611CE"/>
    <w:rsid w:val="004617D1"/>
    <w:rsid w:val="00461F20"/>
    <w:rsid w:val="0046374B"/>
    <w:rsid w:val="004637F1"/>
    <w:rsid w:val="00467ACC"/>
    <w:rsid w:val="00467BC6"/>
    <w:rsid w:val="00471181"/>
    <w:rsid w:val="004735B6"/>
    <w:rsid w:val="00481EF2"/>
    <w:rsid w:val="00482C6B"/>
    <w:rsid w:val="00485DE0"/>
    <w:rsid w:val="00486153"/>
    <w:rsid w:val="00486F24"/>
    <w:rsid w:val="004872CF"/>
    <w:rsid w:val="00490D68"/>
    <w:rsid w:val="00490FDB"/>
    <w:rsid w:val="00492C9C"/>
    <w:rsid w:val="00493DB6"/>
    <w:rsid w:val="004A15B6"/>
    <w:rsid w:val="004A212B"/>
    <w:rsid w:val="004A227F"/>
    <w:rsid w:val="004A3BE7"/>
    <w:rsid w:val="004A4E3F"/>
    <w:rsid w:val="004B0D13"/>
    <w:rsid w:val="004B2BBF"/>
    <w:rsid w:val="004B7009"/>
    <w:rsid w:val="004B7CD9"/>
    <w:rsid w:val="004C0883"/>
    <w:rsid w:val="004D13ED"/>
    <w:rsid w:val="004D366C"/>
    <w:rsid w:val="004E19E4"/>
    <w:rsid w:val="004E28CB"/>
    <w:rsid w:val="004E42CD"/>
    <w:rsid w:val="004E4B53"/>
    <w:rsid w:val="004E7D51"/>
    <w:rsid w:val="004E7EAF"/>
    <w:rsid w:val="004F0FC3"/>
    <w:rsid w:val="004F35B6"/>
    <w:rsid w:val="00504EFE"/>
    <w:rsid w:val="0050612B"/>
    <w:rsid w:val="00506333"/>
    <w:rsid w:val="00506F46"/>
    <w:rsid w:val="00506FF2"/>
    <w:rsid w:val="005108FC"/>
    <w:rsid w:val="0051229A"/>
    <w:rsid w:val="0051618F"/>
    <w:rsid w:val="0052120F"/>
    <w:rsid w:val="00521617"/>
    <w:rsid w:val="005361C5"/>
    <w:rsid w:val="00536672"/>
    <w:rsid w:val="00537097"/>
    <w:rsid w:val="00542B75"/>
    <w:rsid w:val="0054339C"/>
    <w:rsid w:val="00543FCB"/>
    <w:rsid w:val="00545359"/>
    <w:rsid w:val="00545638"/>
    <w:rsid w:val="0054604D"/>
    <w:rsid w:val="005464BC"/>
    <w:rsid w:val="00550E70"/>
    <w:rsid w:val="00551241"/>
    <w:rsid w:val="00551E83"/>
    <w:rsid w:val="00554D68"/>
    <w:rsid w:val="00556E71"/>
    <w:rsid w:val="00557612"/>
    <w:rsid w:val="00563D94"/>
    <w:rsid w:val="00564E18"/>
    <w:rsid w:val="00566834"/>
    <w:rsid w:val="00566FD4"/>
    <w:rsid w:val="005676F7"/>
    <w:rsid w:val="0057233D"/>
    <w:rsid w:val="00574356"/>
    <w:rsid w:val="00576A15"/>
    <w:rsid w:val="005826E0"/>
    <w:rsid w:val="0058349C"/>
    <w:rsid w:val="00585923"/>
    <w:rsid w:val="00585C99"/>
    <w:rsid w:val="005918CD"/>
    <w:rsid w:val="005936B2"/>
    <w:rsid w:val="00594D1E"/>
    <w:rsid w:val="005A03B4"/>
    <w:rsid w:val="005A2D8A"/>
    <w:rsid w:val="005A794B"/>
    <w:rsid w:val="005B311C"/>
    <w:rsid w:val="005B6458"/>
    <w:rsid w:val="005D4BEE"/>
    <w:rsid w:val="005D50D7"/>
    <w:rsid w:val="005E7846"/>
    <w:rsid w:val="005F12DF"/>
    <w:rsid w:val="005F199B"/>
    <w:rsid w:val="005F390A"/>
    <w:rsid w:val="006011B7"/>
    <w:rsid w:val="00603E69"/>
    <w:rsid w:val="00605514"/>
    <w:rsid w:val="0060605F"/>
    <w:rsid w:val="0060707A"/>
    <w:rsid w:val="0060735E"/>
    <w:rsid w:val="006105CE"/>
    <w:rsid w:val="00612507"/>
    <w:rsid w:val="006134F8"/>
    <w:rsid w:val="00613687"/>
    <w:rsid w:val="00614A89"/>
    <w:rsid w:val="00615160"/>
    <w:rsid w:val="00615939"/>
    <w:rsid w:val="00616B79"/>
    <w:rsid w:val="00623B89"/>
    <w:rsid w:val="00625401"/>
    <w:rsid w:val="00625B5E"/>
    <w:rsid w:val="00625E5E"/>
    <w:rsid w:val="00630BC8"/>
    <w:rsid w:val="00634680"/>
    <w:rsid w:val="006353DC"/>
    <w:rsid w:val="00640DCA"/>
    <w:rsid w:val="00641897"/>
    <w:rsid w:val="00641ADD"/>
    <w:rsid w:val="00645721"/>
    <w:rsid w:val="00653D3B"/>
    <w:rsid w:val="006540C3"/>
    <w:rsid w:val="00654340"/>
    <w:rsid w:val="006573CC"/>
    <w:rsid w:val="0065782D"/>
    <w:rsid w:val="006616D0"/>
    <w:rsid w:val="00661BD2"/>
    <w:rsid w:val="0066413C"/>
    <w:rsid w:val="00664693"/>
    <w:rsid w:val="00665273"/>
    <w:rsid w:val="00670518"/>
    <w:rsid w:val="00671BFC"/>
    <w:rsid w:val="0067311E"/>
    <w:rsid w:val="0068035A"/>
    <w:rsid w:val="00681513"/>
    <w:rsid w:val="00682AD7"/>
    <w:rsid w:val="00682C7C"/>
    <w:rsid w:val="00684CEA"/>
    <w:rsid w:val="006869CA"/>
    <w:rsid w:val="006901BF"/>
    <w:rsid w:val="00695142"/>
    <w:rsid w:val="00695407"/>
    <w:rsid w:val="00696774"/>
    <w:rsid w:val="006A45D8"/>
    <w:rsid w:val="006A4DC7"/>
    <w:rsid w:val="006B06AB"/>
    <w:rsid w:val="006B1B20"/>
    <w:rsid w:val="006B6119"/>
    <w:rsid w:val="006B6399"/>
    <w:rsid w:val="006C0CC2"/>
    <w:rsid w:val="006C1EA8"/>
    <w:rsid w:val="006C302F"/>
    <w:rsid w:val="006C3F14"/>
    <w:rsid w:val="006C4D90"/>
    <w:rsid w:val="006C551A"/>
    <w:rsid w:val="006C5D1B"/>
    <w:rsid w:val="006D67B4"/>
    <w:rsid w:val="006E01CC"/>
    <w:rsid w:val="006E038C"/>
    <w:rsid w:val="006E39CC"/>
    <w:rsid w:val="006E411D"/>
    <w:rsid w:val="006E685E"/>
    <w:rsid w:val="006F60FE"/>
    <w:rsid w:val="0070001C"/>
    <w:rsid w:val="00701DD0"/>
    <w:rsid w:val="007024AA"/>
    <w:rsid w:val="00702AC7"/>
    <w:rsid w:val="007063A5"/>
    <w:rsid w:val="00710648"/>
    <w:rsid w:val="00710FBE"/>
    <w:rsid w:val="00711FDE"/>
    <w:rsid w:val="007122C1"/>
    <w:rsid w:val="00713135"/>
    <w:rsid w:val="007144B2"/>
    <w:rsid w:val="0071471D"/>
    <w:rsid w:val="00714C04"/>
    <w:rsid w:val="007172E7"/>
    <w:rsid w:val="0072114C"/>
    <w:rsid w:val="00722049"/>
    <w:rsid w:val="00722765"/>
    <w:rsid w:val="00723E28"/>
    <w:rsid w:val="00723EAA"/>
    <w:rsid w:val="007257B6"/>
    <w:rsid w:val="00726CFB"/>
    <w:rsid w:val="00727A82"/>
    <w:rsid w:val="0073015C"/>
    <w:rsid w:val="00730295"/>
    <w:rsid w:val="00730F79"/>
    <w:rsid w:val="0073175C"/>
    <w:rsid w:val="007351F1"/>
    <w:rsid w:val="00746824"/>
    <w:rsid w:val="0074762D"/>
    <w:rsid w:val="00751ED8"/>
    <w:rsid w:val="00755714"/>
    <w:rsid w:val="00755BA8"/>
    <w:rsid w:val="0075686D"/>
    <w:rsid w:val="007623E8"/>
    <w:rsid w:val="007626E9"/>
    <w:rsid w:val="00764B49"/>
    <w:rsid w:val="00767BF7"/>
    <w:rsid w:val="0077681B"/>
    <w:rsid w:val="00780E9B"/>
    <w:rsid w:val="00782437"/>
    <w:rsid w:val="00785141"/>
    <w:rsid w:val="00785A70"/>
    <w:rsid w:val="00787D53"/>
    <w:rsid w:val="00790BB6"/>
    <w:rsid w:val="00791846"/>
    <w:rsid w:val="00793D9F"/>
    <w:rsid w:val="00797859"/>
    <w:rsid w:val="007A31E8"/>
    <w:rsid w:val="007B0DA5"/>
    <w:rsid w:val="007B51D4"/>
    <w:rsid w:val="007C0293"/>
    <w:rsid w:val="007C1B73"/>
    <w:rsid w:val="007C46E2"/>
    <w:rsid w:val="007D2EBC"/>
    <w:rsid w:val="007D3758"/>
    <w:rsid w:val="007E36E3"/>
    <w:rsid w:val="007E7014"/>
    <w:rsid w:val="007F11D2"/>
    <w:rsid w:val="007F14E5"/>
    <w:rsid w:val="007F4552"/>
    <w:rsid w:val="007F4F09"/>
    <w:rsid w:val="007F5CAC"/>
    <w:rsid w:val="00803588"/>
    <w:rsid w:val="00803B63"/>
    <w:rsid w:val="008052C2"/>
    <w:rsid w:val="008100D8"/>
    <w:rsid w:val="00813111"/>
    <w:rsid w:val="00813CE8"/>
    <w:rsid w:val="008149DF"/>
    <w:rsid w:val="00820D0C"/>
    <w:rsid w:val="00826D74"/>
    <w:rsid w:val="00826EAF"/>
    <w:rsid w:val="00830F27"/>
    <w:rsid w:val="008345F3"/>
    <w:rsid w:val="00840E19"/>
    <w:rsid w:val="00841D58"/>
    <w:rsid w:val="00846EF8"/>
    <w:rsid w:val="0085117A"/>
    <w:rsid w:val="00852412"/>
    <w:rsid w:val="00855746"/>
    <w:rsid w:val="00857009"/>
    <w:rsid w:val="00857F69"/>
    <w:rsid w:val="00862546"/>
    <w:rsid w:val="00862E1A"/>
    <w:rsid w:val="00875C84"/>
    <w:rsid w:val="00880CE6"/>
    <w:rsid w:val="008822BF"/>
    <w:rsid w:val="008823B8"/>
    <w:rsid w:val="00883D7F"/>
    <w:rsid w:val="00885BE4"/>
    <w:rsid w:val="00885CA4"/>
    <w:rsid w:val="00886B51"/>
    <w:rsid w:val="008873AA"/>
    <w:rsid w:val="00887E05"/>
    <w:rsid w:val="00892BA1"/>
    <w:rsid w:val="00893FED"/>
    <w:rsid w:val="00894977"/>
    <w:rsid w:val="008A2498"/>
    <w:rsid w:val="008A3B88"/>
    <w:rsid w:val="008A7C58"/>
    <w:rsid w:val="008B4089"/>
    <w:rsid w:val="008C0868"/>
    <w:rsid w:val="008C4F89"/>
    <w:rsid w:val="008C565D"/>
    <w:rsid w:val="008D6EDE"/>
    <w:rsid w:val="008D782E"/>
    <w:rsid w:val="008E3519"/>
    <w:rsid w:val="008E41BC"/>
    <w:rsid w:val="008E5F04"/>
    <w:rsid w:val="008F1B96"/>
    <w:rsid w:val="008F211A"/>
    <w:rsid w:val="008F315E"/>
    <w:rsid w:val="008F62B6"/>
    <w:rsid w:val="00900156"/>
    <w:rsid w:val="009032B2"/>
    <w:rsid w:val="0090470B"/>
    <w:rsid w:val="00916FD7"/>
    <w:rsid w:val="00922C8D"/>
    <w:rsid w:val="00926EB5"/>
    <w:rsid w:val="00930D2C"/>
    <w:rsid w:val="00934C31"/>
    <w:rsid w:val="00943562"/>
    <w:rsid w:val="0094456F"/>
    <w:rsid w:val="00944F32"/>
    <w:rsid w:val="0094727D"/>
    <w:rsid w:val="009475DE"/>
    <w:rsid w:val="00950707"/>
    <w:rsid w:val="00952DF8"/>
    <w:rsid w:val="009555F9"/>
    <w:rsid w:val="009608FA"/>
    <w:rsid w:val="00962860"/>
    <w:rsid w:val="009640E0"/>
    <w:rsid w:val="009644E5"/>
    <w:rsid w:val="00966A76"/>
    <w:rsid w:val="009708CA"/>
    <w:rsid w:val="00975742"/>
    <w:rsid w:val="009761D3"/>
    <w:rsid w:val="00980691"/>
    <w:rsid w:val="00980B87"/>
    <w:rsid w:val="00981E9A"/>
    <w:rsid w:val="00983E58"/>
    <w:rsid w:val="00984058"/>
    <w:rsid w:val="00985771"/>
    <w:rsid w:val="00986759"/>
    <w:rsid w:val="009867B2"/>
    <w:rsid w:val="009917D2"/>
    <w:rsid w:val="009A11A7"/>
    <w:rsid w:val="009A2EF6"/>
    <w:rsid w:val="009A6913"/>
    <w:rsid w:val="009A6D91"/>
    <w:rsid w:val="009B643E"/>
    <w:rsid w:val="009C4EBB"/>
    <w:rsid w:val="009D06E4"/>
    <w:rsid w:val="009D7696"/>
    <w:rsid w:val="009D7E40"/>
    <w:rsid w:val="009E2232"/>
    <w:rsid w:val="009E2DE8"/>
    <w:rsid w:val="009E4B01"/>
    <w:rsid w:val="009E5E62"/>
    <w:rsid w:val="009F203D"/>
    <w:rsid w:val="009F35A2"/>
    <w:rsid w:val="009F769C"/>
    <w:rsid w:val="00A00216"/>
    <w:rsid w:val="00A07474"/>
    <w:rsid w:val="00A07DCF"/>
    <w:rsid w:val="00A12DB6"/>
    <w:rsid w:val="00A1434D"/>
    <w:rsid w:val="00A15E3D"/>
    <w:rsid w:val="00A1644E"/>
    <w:rsid w:val="00A20C91"/>
    <w:rsid w:val="00A22A95"/>
    <w:rsid w:val="00A235E7"/>
    <w:rsid w:val="00A23A25"/>
    <w:rsid w:val="00A2423E"/>
    <w:rsid w:val="00A24287"/>
    <w:rsid w:val="00A32FD9"/>
    <w:rsid w:val="00A33DCF"/>
    <w:rsid w:val="00A34EAF"/>
    <w:rsid w:val="00A35EA1"/>
    <w:rsid w:val="00A36C1D"/>
    <w:rsid w:val="00A36DC4"/>
    <w:rsid w:val="00A37EAA"/>
    <w:rsid w:val="00A5485F"/>
    <w:rsid w:val="00A55980"/>
    <w:rsid w:val="00A56CFE"/>
    <w:rsid w:val="00A61C64"/>
    <w:rsid w:val="00A65870"/>
    <w:rsid w:val="00A65BBF"/>
    <w:rsid w:val="00A670D1"/>
    <w:rsid w:val="00A674B5"/>
    <w:rsid w:val="00A67E5B"/>
    <w:rsid w:val="00A73AA0"/>
    <w:rsid w:val="00A81FC0"/>
    <w:rsid w:val="00A8422D"/>
    <w:rsid w:val="00A84CAF"/>
    <w:rsid w:val="00A860C3"/>
    <w:rsid w:val="00A86BAD"/>
    <w:rsid w:val="00A8760C"/>
    <w:rsid w:val="00A90AEA"/>
    <w:rsid w:val="00A93590"/>
    <w:rsid w:val="00A95150"/>
    <w:rsid w:val="00AA0CD1"/>
    <w:rsid w:val="00AA2D34"/>
    <w:rsid w:val="00AA5DC4"/>
    <w:rsid w:val="00AA73C9"/>
    <w:rsid w:val="00AB24F3"/>
    <w:rsid w:val="00AB4695"/>
    <w:rsid w:val="00AB62ED"/>
    <w:rsid w:val="00AC258E"/>
    <w:rsid w:val="00AC3B30"/>
    <w:rsid w:val="00AC7ED9"/>
    <w:rsid w:val="00AD09ED"/>
    <w:rsid w:val="00AD37B2"/>
    <w:rsid w:val="00AD5FDC"/>
    <w:rsid w:val="00AE784A"/>
    <w:rsid w:val="00AF0A2B"/>
    <w:rsid w:val="00AF0FA2"/>
    <w:rsid w:val="00AF1EC1"/>
    <w:rsid w:val="00AF325B"/>
    <w:rsid w:val="00B06225"/>
    <w:rsid w:val="00B10746"/>
    <w:rsid w:val="00B1288D"/>
    <w:rsid w:val="00B15394"/>
    <w:rsid w:val="00B17E58"/>
    <w:rsid w:val="00B20EB7"/>
    <w:rsid w:val="00B21CC9"/>
    <w:rsid w:val="00B25257"/>
    <w:rsid w:val="00B25511"/>
    <w:rsid w:val="00B258E1"/>
    <w:rsid w:val="00B2627C"/>
    <w:rsid w:val="00B26D1C"/>
    <w:rsid w:val="00B30116"/>
    <w:rsid w:val="00B31894"/>
    <w:rsid w:val="00B32F72"/>
    <w:rsid w:val="00B3454C"/>
    <w:rsid w:val="00B34ACC"/>
    <w:rsid w:val="00B4073E"/>
    <w:rsid w:val="00B43532"/>
    <w:rsid w:val="00B444E4"/>
    <w:rsid w:val="00B44ED6"/>
    <w:rsid w:val="00B45EAB"/>
    <w:rsid w:val="00B4616D"/>
    <w:rsid w:val="00B473D6"/>
    <w:rsid w:val="00B47839"/>
    <w:rsid w:val="00B556D5"/>
    <w:rsid w:val="00B57585"/>
    <w:rsid w:val="00B600AD"/>
    <w:rsid w:val="00B63E83"/>
    <w:rsid w:val="00B74ABF"/>
    <w:rsid w:val="00B75012"/>
    <w:rsid w:val="00B83108"/>
    <w:rsid w:val="00B83B21"/>
    <w:rsid w:val="00B846F7"/>
    <w:rsid w:val="00B8691F"/>
    <w:rsid w:val="00B91035"/>
    <w:rsid w:val="00B93094"/>
    <w:rsid w:val="00BA1442"/>
    <w:rsid w:val="00BA1533"/>
    <w:rsid w:val="00BA2530"/>
    <w:rsid w:val="00BB0C65"/>
    <w:rsid w:val="00BB27DF"/>
    <w:rsid w:val="00BB3769"/>
    <w:rsid w:val="00BC015E"/>
    <w:rsid w:val="00BC084C"/>
    <w:rsid w:val="00BC5EB0"/>
    <w:rsid w:val="00BD0730"/>
    <w:rsid w:val="00BD240C"/>
    <w:rsid w:val="00BD3407"/>
    <w:rsid w:val="00BD3641"/>
    <w:rsid w:val="00BD4724"/>
    <w:rsid w:val="00BD5986"/>
    <w:rsid w:val="00BD6B79"/>
    <w:rsid w:val="00BF294E"/>
    <w:rsid w:val="00BF4A8A"/>
    <w:rsid w:val="00C001E8"/>
    <w:rsid w:val="00C07DC5"/>
    <w:rsid w:val="00C10E8F"/>
    <w:rsid w:val="00C1107F"/>
    <w:rsid w:val="00C152B9"/>
    <w:rsid w:val="00C15A4B"/>
    <w:rsid w:val="00C20984"/>
    <w:rsid w:val="00C2158F"/>
    <w:rsid w:val="00C2391A"/>
    <w:rsid w:val="00C23C18"/>
    <w:rsid w:val="00C259A4"/>
    <w:rsid w:val="00C26D29"/>
    <w:rsid w:val="00C332AD"/>
    <w:rsid w:val="00C34AAA"/>
    <w:rsid w:val="00C41D28"/>
    <w:rsid w:val="00C41FB4"/>
    <w:rsid w:val="00C438F8"/>
    <w:rsid w:val="00C4444C"/>
    <w:rsid w:val="00C44D15"/>
    <w:rsid w:val="00C45BF2"/>
    <w:rsid w:val="00C50571"/>
    <w:rsid w:val="00C51CFB"/>
    <w:rsid w:val="00C525CB"/>
    <w:rsid w:val="00C52A3C"/>
    <w:rsid w:val="00C54AEA"/>
    <w:rsid w:val="00C554BA"/>
    <w:rsid w:val="00C55752"/>
    <w:rsid w:val="00C63A83"/>
    <w:rsid w:val="00C63F02"/>
    <w:rsid w:val="00C65A45"/>
    <w:rsid w:val="00C660B8"/>
    <w:rsid w:val="00C80B08"/>
    <w:rsid w:val="00C8125A"/>
    <w:rsid w:val="00C8249F"/>
    <w:rsid w:val="00C83377"/>
    <w:rsid w:val="00C83B58"/>
    <w:rsid w:val="00C85750"/>
    <w:rsid w:val="00C86F91"/>
    <w:rsid w:val="00C91287"/>
    <w:rsid w:val="00C92411"/>
    <w:rsid w:val="00C97CA1"/>
    <w:rsid w:val="00CA146F"/>
    <w:rsid w:val="00CA1E58"/>
    <w:rsid w:val="00CA4B6A"/>
    <w:rsid w:val="00CA7C34"/>
    <w:rsid w:val="00CB10D7"/>
    <w:rsid w:val="00CB262F"/>
    <w:rsid w:val="00CB2790"/>
    <w:rsid w:val="00CB2DEE"/>
    <w:rsid w:val="00CB42C0"/>
    <w:rsid w:val="00CB4E52"/>
    <w:rsid w:val="00CB698D"/>
    <w:rsid w:val="00CC2C0E"/>
    <w:rsid w:val="00CC2F79"/>
    <w:rsid w:val="00CC55E6"/>
    <w:rsid w:val="00CC608F"/>
    <w:rsid w:val="00CD08F2"/>
    <w:rsid w:val="00CD4A33"/>
    <w:rsid w:val="00CD56B7"/>
    <w:rsid w:val="00CD644B"/>
    <w:rsid w:val="00CE535C"/>
    <w:rsid w:val="00CF1785"/>
    <w:rsid w:val="00CF57C7"/>
    <w:rsid w:val="00CF7694"/>
    <w:rsid w:val="00D010CF"/>
    <w:rsid w:val="00D02254"/>
    <w:rsid w:val="00D06EEC"/>
    <w:rsid w:val="00D07324"/>
    <w:rsid w:val="00D144D5"/>
    <w:rsid w:val="00D156B9"/>
    <w:rsid w:val="00D177B7"/>
    <w:rsid w:val="00D228EA"/>
    <w:rsid w:val="00D23E10"/>
    <w:rsid w:val="00D24119"/>
    <w:rsid w:val="00D246AE"/>
    <w:rsid w:val="00D320D5"/>
    <w:rsid w:val="00D32C3B"/>
    <w:rsid w:val="00D3476A"/>
    <w:rsid w:val="00D36704"/>
    <w:rsid w:val="00D36FF9"/>
    <w:rsid w:val="00D37CC3"/>
    <w:rsid w:val="00D40BBC"/>
    <w:rsid w:val="00D42805"/>
    <w:rsid w:val="00D443B1"/>
    <w:rsid w:val="00D47992"/>
    <w:rsid w:val="00D50688"/>
    <w:rsid w:val="00D51A35"/>
    <w:rsid w:val="00D51D48"/>
    <w:rsid w:val="00D5268A"/>
    <w:rsid w:val="00D53704"/>
    <w:rsid w:val="00D54676"/>
    <w:rsid w:val="00D55265"/>
    <w:rsid w:val="00D56192"/>
    <w:rsid w:val="00D57000"/>
    <w:rsid w:val="00D6492A"/>
    <w:rsid w:val="00D67529"/>
    <w:rsid w:val="00D679A0"/>
    <w:rsid w:val="00D70622"/>
    <w:rsid w:val="00D73246"/>
    <w:rsid w:val="00D75D2F"/>
    <w:rsid w:val="00D76BC8"/>
    <w:rsid w:val="00D770D6"/>
    <w:rsid w:val="00D807D9"/>
    <w:rsid w:val="00D81B97"/>
    <w:rsid w:val="00D86EB3"/>
    <w:rsid w:val="00D878DA"/>
    <w:rsid w:val="00D907BE"/>
    <w:rsid w:val="00D90D20"/>
    <w:rsid w:val="00D928ED"/>
    <w:rsid w:val="00D93E29"/>
    <w:rsid w:val="00D94644"/>
    <w:rsid w:val="00D94CCE"/>
    <w:rsid w:val="00DA16A2"/>
    <w:rsid w:val="00DA21B8"/>
    <w:rsid w:val="00DB1EDF"/>
    <w:rsid w:val="00DB324B"/>
    <w:rsid w:val="00DB63AF"/>
    <w:rsid w:val="00DC2FE0"/>
    <w:rsid w:val="00DC4E4C"/>
    <w:rsid w:val="00DC66BE"/>
    <w:rsid w:val="00DD0287"/>
    <w:rsid w:val="00DD1393"/>
    <w:rsid w:val="00DD1D8D"/>
    <w:rsid w:val="00DD2B3B"/>
    <w:rsid w:val="00DD4343"/>
    <w:rsid w:val="00DD4FFF"/>
    <w:rsid w:val="00DD64FD"/>
    <w:rsid w:val="00DD7EBF"/>
    <w:rsid w:val="00DE090C"/>
    <w:rsid w:val="00DE3620"/>
    <w:rsid w:val="00DE5C94"/>
    <w:rsid w:val="00DE5E70"/>
    <w:rsid w:val="00DE7224"/>
    <w:rsid w:val="00DF4C35"/>
    <w:rsid w:val="00DF6621"/>
    <w:rsid w:val="00DF744C"/>
    <w:rsid w:val="00DF7A00"/>
    <w:rsid w:val="00E00950"/>
    <w:rsid w:val="00E00D01"/>
    <w:rsid w:val="00E01238"/>
    <w:rsid w:val="00E0513C"/>
    <w:rsid w:val="00E119B7"/>
    <w:rsid w:val="00E13C30"/>
    <w:rsid w:val="00E22ACD"/>
    <w:rsid w:val="00E235E7"/>
    <w:rsid w:val="00E27A86"/>
    <w:rsid w:val="00E33AF1"/>
    <w:rsid w:val="00E35677"/>
    <w:rsid w:val="00E446FD"/>
    <w:rsid w:val="00E45838"/>
    <w:rsid w:val="00E4611A"/>
    <w:rsid w:val="00E516C7"/>
    <w:rsid w:val="00E54A4E"/>
    <w:rsid w:val="00E5597E"/>
    <w:rsid w:val="00E572D4"/>
    <w:rsid w:val="00E63267"/>
    <w:rsid w:val="00E63C96"/>
    <w:rsid w:val="00E70E63"/>
    <w:rsid w:val="00E71DEB"/>
    <w:rsid w:val="00E7212F"/>
    <w:rsid w:val="00E74850"/>
    <w:rsid w:val="00E76426"/>
    <w:rsid w:val="00E7669C"/>
    <w:rsid w:val="00E8581B"/>
    <w:rsid w:val="00E91656"/>
    <w:rsid w:val="00E9489E"/>
    <w:rsid w:val="00E95771"/>
    <w:rsid w:val="00E95BEC"/>
    <w:rsid w:val="00E96B92"/>
    <w:rsid w:val="00E96E4D"/>
    <w:rsid w:val="00E96E5F"/>
    <w:rsid w:val="00E972BA"/>
    <w:rsid w:val="00EA28DE"/>
    <w:rsid w:val="00EA39B6"/>
    <w:rsid w:val="00EA76B4"/>
    <w:rsid w:val="00EB06C3"/>
    <w:rsid w:val="00EB6964"/>
    <w:rsid w:val="00EB6DD2"/>
    <w:rsid w:val="00EB774C"/>
    <w:rsid w:val="00EC0CC4"/>
    <w:rsid w:val="00EC3A15"/>
    <w:rsid w:val="00EC5B43"/>
    <w:rsid w:val="00EC5BE3"/>
    <w:rsid w:val="00EC7359"/>
    <w:rsid w:val="00EC798C"/>
    <w:rsid w:val="00EC7AD4"/>
    <w:rsid w:val="00ED1FE5"/>
    <w:rsid w:val="00ED3373"/>
    <w:rsid w:val="00ED4F79"/>
    <w:rsid w:val="00ED55EA"/>
    <w:rsid w:val="00EE15A0"/>
    <w:rsid w:val="00EE1BF8"/>
    <w:rsid w:val="00EE536D"/>
    <w:rsid w:val="00EE6192"/>
    <w:rsid w:val="00EE66AC"/>
    <w:rsid w:val="00EE7428"/>
    <w:rsid w:val="00EF21DA"/>
    <w:rsid w:val="00EF2405"/>
    <w:rsid w:val="00EF5F7F"/>
    <w:rsid w:val="00F022DE"/>
    <w:rsid w:val="00F045DA"/>
    <w:rsid w:val="00F10122"/>
    <w:rsid w:val="00F1105B"/>
    <w:rsid w:val="00F14668"/>
    <w:rsid w:val="00F15579"/>
    <w:rsid w:val="00F16333"/>
    <w:rsid w:val="00F21EF3"/>
    <w:rsid w:val="00F26C44"/>
    <w:rsid w:val="00F27FCE"/>
    <w:rsid w:val="00F30DDD"/>
    <w:rsid w:val="00F3367D"/>
    <w:rsid w:val="00F358F3"/>
    <w:rsid w:val="00F36C98"/>
    <w:rsid w:val="00F41E36"/>
    <w:rsid w:val="00F4367B"/>
    <w:rsid w:val="00F44D6D"/>
    <w:rsid w:val="00F462D7"/>
    <w:rsid w:val="00F46FD1"/>
    <w:rsid w:val="00F52C2E"/>
    <w:rsid w:val="00F56345"/>
    <w:rsid w:val="00F563D1"/>
    <w:rsid w:val="00F60643"/>
    <w:rsid w:val="00F675CF"/>
    <w:rsid w:val="00F741A6"/>
    <w:rsid w:val="00F7485E"/>
    <w:rsid w:val="00F74EC2"/>
    <w:rsid w:val="00F7512A"/>
    <w:rsid w:val="00F758B9"/>
    <w:rsid w:val="00F758DF"/>
    <w:rsid w:val="00F77A3F"/>
    <w:rsid w:val="00F821F1"/>
    <w:rsid w:val="00F90167"/>
    <w:rsid w:val="00F947A1"/>
    <w:rsid w:val="00FA2E58"/>
    <w:rsid w:val="00FA333E"/>
    <w:rsid w:val="00FA3E4A"/>
    <w:rsid w:val="00FA3EBD"/>
    <w:rsid w:val="00FA4D3B"/>
    <w:rsid w:val="00FA57C3"/>
    <w:rsid w:val="00FA7364"/>
    <w:rsid w:val="00FA7BB4"/>
    <w:rsid w:val="00FB0621"/>
    <w:rsid w:val="00FB4E53"/>
    <w:rsid w:val="00FB7717"/>
    <w:rsid w:val="00FC1254"/>
    <w:rsid w:val="00FC30B4"/>
    <w:rsid w:val="00FC3B69"/>
    <w:rsid w:val="00FC432B"/>
    <w:rsid w:val="00FC59B3"/>
    <w:rsid w:val="00FC6222"/>
    <w:rsid w:val="00FC6F38"/>
    <w:rsid w:val="00FC6F54"/>
    <w:rsid w:val="00FD2951"/>
    <w:rsid w:val="00FD29DC"/>
    <w:rsid w:val="00FD719A"/>
    <w:rsid w:val="00FE43C8"/>
    <w:rsid w:val="00FE63CA"/>
    <w:rsid w:val="00FF3B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773A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footnote reference" w:qFormat="1"/>
    <w:lsdException w:name="List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067"/>
    <w:rPr>
      <w:rFonts w:ascii="Calibri" w:eastAsia="MS Mincho" w:hAnsi="Calibri" w:cs="Times New Roman"/>
    </w:rPr>
  </w:style>
  <w:style w:type="paragraph" w:styleId="Heading1">
    <w:name w:val="heading 1"/>
    <w:basedOn w:val="Normal"/>
    <w:next w:val="Normal"/>
    <w:link w:val="Heading1Char"/>
    <w:uiPriority w:val="9"/>
    <w:qFormat/>
    <w:rsid w:val="001D20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2540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Heading2"/>
    <w:next w:val="Normal"/>
    <w:link w:val="Heading3Char"/>
    <w:uiPriority w:val="9"/>
    <w:qFormat/>
    <w:rsid w:val="00492C9C"/>
    <w:pPr>
      <w:autoSpaceDE w:val="0"/>
      <w:autoSpaceDN w:val="0"/>
      <w:adjustRightInd w:val="0"/>
      <w:spacing w:before="240" w:after="120" w:line="300" w:lineRule="atLeast"/>
      <w:ind w:left="840" w:hanging="840"/>
      <w:outlineLvl w:val="2"/>
    </w:pPr>
    <w:rPr>
      <w:rFonts w:ascii="MS Mincho" w:eastAsia="MS Mincho" w:hAnsi="Times New Roman" w:cs="MS Mincho"/>
      <w:color w:val="121754"/>
      <w:sz w:val="22"/>
      <w:szCs w:val="22"/>
      <w:lang w:val="sq-AL"/>
    </w:rPr>
  </w:style>
  <w:style w:type="paragraph" w:styleId="Heading4">
    <w:name w:val="heading 4"/>
    <w:basedOn w:val="Heading3"/>
    <w:next w:val="Normal"/>
    <w:link w:val="Heading4Char"/>
    <w:qFormat/>
    <w:rsid w:val="00492C9C"/>
    <w:pPr>
      <w:ind w:left="1040" w:hanging="860"/>
      <w:outlineLvl w:val="3"/>
    </w:pPr>
  </w:style>
  <w:style w:type="paragraph" w:styleId="Heading5">
    <w:name w:val="heading 5"/>
    <w:basedOn w:val="Heading4"/>
    <w:next w:val="Normal"/>
    <w:link w:val="Heading5Char"/>
    <w:unhideWhenUsed/>
    <w:qFormat/>
    <w:rsid w:val="000F50EA"/>
    <w:pPr>
      <w:overflowPunct w:val="0"/>
      <w:spacing w:line="300" w:lineRule="exact"/>
      <w:ind w:left="1008" w:hanging="1008"/>
      <w:textAlignment w:val="baseline"/>
      <w:outlineLvl w:val="4"/>
    </w:pPr>
    <w:rPr>
      <w:rFonts w:ascii="Arial" w:hAnsi="Arial" w:cs="Arial"/>
      <w:b w:val="0"/>
      <w:bCs w:val="0"/>
      <w:spacing w:val="60"/>
      <w:szCs w:val="21"/>
      <w:lang w:eastAsia="de-DE"/>
    </w:rPr>
  </w:style>
  <w:style w:type="paragraph" w:styleId="Heading6">
    <w:name w:val="heading 6"/>
    <w:basedOn w:val="Heading5"/>
    <w:next w:val="Normal"/>
    <w:link w:val="Heading6Char"/>
    <w:unhideWhenUsed/>
    <w:qFormat/>
    <w:rsid w:val="000F50EA"/>
    <w:pPr>
      <w:ind w:left="1152" w:hanging="1152"/>
      <w:outlineLvl w:val="5"/>
    </w:pPr>
  </w:style>
  <w:style w:type="paragraph" w:styleId="Heading7">
    <w:name w:val="heading 7"/>
    <w:basedOn w:val="Heading6"/>
    <w:next w:val="Normal"/>
    <w:link w:val="Heading7Char"/>
    <w:semiHidden/>
    <w:unhideWhenUsed/>
    <w:qFormat/>
    <w:rsid w:val="000F50EA"/>
    <w:pPr>
      <w:tabs>
        <w:tab w:val="left" w:pos="1701"/>
      </w:tabs>
      <w:ind w:left="1296" w:hanging="1296"/>
      <w:outlineLvl w:val="6"/>
    </w:pPr>
  </w:style>
  <w:style w:type="paragraph" w:styleId="Heading8">
    <w:name w:val="heading 8"/>
    <w:basedOn w:val="Heading7"/>
    <w:next w:val="Normal"/>
    <w:link w:val="Heading8Char"/>
    <w:semiHidden/>
    <w:unhideWhenUsed/>
    <w:qFormat/>
    <w:rsid w:val="000F50EA"/>
    <w:pPr>
      <w:ind w:left="1440" w:hanging="1440"/>
      <w:outlineLvl w:val="7"/>
    </w:pPr>
  </w:style>
  <w:style w:type="paragraph" w:styleId="Heading9">
    <w:name w:val="heading 9"/>
    <w:basedOn w:val="Heading8"/>
    <w:next w:val="Normal"/>
    <w:link w:val="Heading9Char"/>
    <w:semiHidden/>
    <w:unhideWhenUsed/>
    <w:qFormat/>
    <w:rsid w:val="000F50EA"/>
    <w:pPr>
      <w:ind w:left="1584" w:hanging="1584"/>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Font: Geneva 9"/>
    <w:basedOn w:val="Normal"/>
    <w:link w:val="FootnoteTextChar"/>
    <w:uiPriority w:val="99"/>
    <w:unhideWhenUsed/>
    <w:qFormat/>
    <w:rsid w:val="001D2067"/>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qFormat/>
    <w:rsid w:val="001D2067"/>
    <w:rPr>
      <w:rFonts w:ascii="Times New Roman" w:eastAsia="Times New Roman" w:hAnsi="Times New Roman" w:cs="Times New Roman"/>
      <w:sz w:val="20"/>
      <w:szCs w:val="20"/>
      <w:lang w:val="x-none" w:eastAsia="x-none"/>
    </w:rPr>
  </w:style>
  <w:style w:type="character" w:styleId="FootnoteReference">
    <w:name w:val="footnote reference"/>
    <w:aliases w:val="ftref,BVI fnr,16 Point,Superscript 6 Point,Fußnotenzeichen DISS,Footnote,Footnote symbol,Char1 Char Char Char Char, Char1 Char Char Char Char,Odwołanie przypisu,Título 4 Car Zchn,Heading 4 Char1 Car Zchn,no vale 2 Zchn,fr"/>
    <w:link w:val="FootnotesymbolCharCharCharChar"/>
    <w:uiPriority w:val="99"/>
    <w:unhideWhenUsed/>
    <w:qFormat/>
    <w:rsid w:val="001D2067"/>
    <w:rPr>
      <w:vertAlign w:val="superscript"/>
    </w:rPr>
  </w:style>
  <w:style w:type="character" w:customStyle="1" w:styleId="Heading1Char">
    <w:name w:val="Heading 1 Char"/>
    <w:basedOn w:val="DefaultParagraphFont"/>
    <w:link w:val="Heading1"/>
    <w:uiPriority w:val="9"/>
    <w:rsid w:val="001D2067"/>
    <w:rPr>
      <w:rFonts w:asciiTheme="majorHAnsi" w:eastAsiaTheme="majorEastAsia" w:hAnsiTheme="majorHAnsi" w:cstheme="majorBidi"/>
      <w:b/>
      <w:bCs/>
      <w:color w:val="365F91" w:themeColor="accent1" w:themeShade="BF"/>
      <w:sz w:val="28"/>
      <w:szCs w:val="28"/>
    </w:rPr>
  </w:style>
  <w:style w:type="table" w:styleId="TableGrid">
    <w:name w:val="Table Grid"/>
    <w:aliases w:val="GFA Table Grid"/>
    <w:basedOn w:val="TableNormal"/>
    <w:uiPriority w:val="39"/>
    <w:rsid w:val="003923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4E42CD"/>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CommentReference">
    <w:name w:val="annotation reference"/>
    <w:basedOn w:val="DefaultParagraphFont"/>
    <w:uiPriority w:val="99"/>
    <w:semiHidden/>
    <w:unhideWhenUsed/>
    <w:rsid w:val="00944F32"/>
    <w:rPr>
      <w:sz w:val="16"/>
      <w:szCs w:val="16"/>
    </w:rPr>
  </w:style>
  <w:style w:type="paragraph" w:styleId="CommentText">
    <w:name w:val="annotation text"/>
    <w:basedOn w:val="Normal"/>
    <w:link w:val="CommentTextChar"/>
    <w:uiPriority w:val="99"/>
    <w:unhideWhenUsed/>
    <w:rsid w:val="00944F32"/>
    <w:pPr>
      <w:spacing w:line="240" w:lineRule="auto"/>
    </w:pPr>
    <w:rPr>
      <w:sz w:val="20"/>
      <w:szCs w:val="20"/>
    </w:rPr>
  </w:style>
  <w:style w:type="character" w:customStyle="1" w:styleId="CommentTextChar">
    <w:name w:val="Comment Text Char"/>
    <w:basedOn w:val="DefaultParagraphFont"/>
    <w:link w:val="CommentText"/>
    <w:uiPriority w:val="99"/>
    <w:rsid w:val="00944F3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44F32"/>
    <w:rPr>
      <w:b/>
      <w:bCs/>
    </w:rPr>
  </w:style>
  <w:style w:type="character" w:customStyle="1" w:styleId="CommentSubjectChar">
    <w:name w:val="Comment Subject Char"/>
    <w:basedOn w:val="CommentTextChar"/>
    <w:link w:val="CommentSubject"/>
    <w:uiPriority w:val="99"/>
    <w:semiHidden/>
    <w:rsid w:val="00944F32"/>
    <w:rPr>
      <w:rFonts w:ascii="Calibri" w:eastAsia="MS Mincho" w:hAnsi="Calibri" w:cs="Times New Roman"/>
      <w:b/>
      <w:bCs/>
      <w:sz w:val="20"/>
      <w:szCs w:val="20"/>
    </w:rPr>
  </w:style>
  <w:style w:type="paragraph" w:styleId="BalloonText">
    <w:name w:val="Balloon Text"/>
    <w:basedOn w:val="Normal"/>
    <w:link w:val="BalloonTextChar"/>
    <w:uiPriority w:val="99"/>
    <w:semiHidden/>
    <w:unhideWhenUsed/>
    <w:rsid w:val="00944F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F32"/>
    <w:rPr>
      <w:rFonts w:ascii="Tahoma" w:eastAsia="MS Mincho" w:hAnsi="Tahoma" w:cs="Tahoma"/>
      <w:sz w:val="16"/>
      <w:szCs w:val="16"/>
    </w:rPr>
  </w:style>
  <w:style w:type="paragraph" w:styleId="Header">
    <w:name w:val="header"/>
    <w:basedOn w:val="Normal"/>
    <w:link w:val="HeaderChar"/>
    <w:uiPriority w:val="99"/>
    <w:unhideWhenUsed/>
    <w:rsid w:val="004E19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9E4"/>
    <w:rPr>
      <w:rFonts w:ascii="Calibri" w:eastAsia="MS Mincho" w:hAnsi="Calibri" w:cs="Times New Roman"/>
    </w:rPr>
  </w:style>
  <w:style w:type="paragraph" w:styleId="Footer">
    <w:name w:val="footer"/>
    <w:basedOn w:val="Normal"/>
    <w:link w:val="FooterChar"/>
    <w:uiPriority w:val="99"/>
    <w:unhideWhenUsed/>
    <w:rsid w:val="004E19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9E4"/>
    <w:rPr>
      <w:rFonts w:ascii="Calibri" w:eastAsia="MS Mincho" w:hAnsi="Calibri" w:cs="Times New Roman"/>
    </w:rPr>
  </w:style>
  <w:style w:type="character" w:customStyle="1" w:styleId="Heading2Char">
    <w:name w:val="Heading 2 Char"/>
    <w:basedOn w:val="DefaultParagraphFont"/>
    <w:link w:val="Heading2"/>
    <w:uiPriority w:val="9"/>
    <w:rsid w:val="00625401"/>
    <w:rPr>
      <w:rFonts w:asciiTheme="majorHAnsi" w:eastAsiaTheme="majorEastAsia" w:hAnsiTheme="majorHAnsi" w:cstheme="majorBidi"/>
      <w:b/>
      <w:bCs/>
      <w:color w:val="4F81BD" w:themeColor="accent1"/>
      <w:sz w:val="26"/>
      <w:szCs w:val="26"/>
    </w:rPr>
  </w:style>
  <w:style w:type="character" w:customStyle="1" w:styleId="ColorfulList-Accent1Char">
    <w:name w:val="Colorful List - Accent 1 Char"/>
    <w:link w:val="ColorfulList-Accent1"/>
    <w:uiPriority w:val="34"/>
    <w:locked/>
    <w:rsid w:val="00625401"/>
    <w:rPr>
      <w:rFonts w:ascii="Times New Roman" w:eastAsia="Times New Roman" w:hAnsi="Times New Roman"/>
      <w:sz w:val="22"/>
      <w:szCs w:val="22"/>
      <w:lang w:val="en-GB"/>
    </w:rPr>
  </w:style>
  <w:style w:type="table" w:styleId="ColorfulList-Accent1">
    <w:name w:val="Colorful List Accent 1"/>
    <w:basedOn w:val="TableNormal"/>
    <w:link w:val="ColorfulList-Accent1Char"/>
    <w:uiPriority w:val="72"/>
    <w:rsid w:val="00625401"/>
    <w:pPr>
      <w:spacing w:after="0" w:line="240" w:lineRule="auto"/>
    </w:pPr>
    <w:rPr>
      <w:rFonts w:ascii="Times New Roman" w:eastAsia="Times New Roman" w:hAnsi="Times New Roman"/>
      <w:lang w:val="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styleId="NoSpacing">
    <w:name w:val="No Spacing"/>
    <w:link w:val="NoSpacingChar"/>
    <w:uiPriority w:val="1"/>
    <w:qFormat/>
    <w:rsid w:val="00B8691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8691F"/>
    <w:rPr>
      <w:rFonts w:eastAsiaTheme="minorEastAsia"/>
      <w:lang w:eastAsia="ja-JP"/>
    </w:rPr>
  </w:style>
  <w:style w:type="table" w:styleId="LightShading">
    <w:name w:val="Light Shading"/>
    <w:basedOn w:val="TableNormal"/>
    <w:uiPriority w:val="60"/>
    <w:rsid w:val="00B8691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Heading">
    <w:name w:val="TOC Heading"/>
    <w:basedOn w:val="Heading1"/>
    <w:next w:val="Normal"/>
    <w:uiPriority w:val="39"/>
    <w:unhideWhenUsed/>
    <w:qFormat/>
    <w:rsid w:val="00B8691F"/>
    <w:pPr>
      <w:outlineLvl w:val="9"/>
    </w:pPr>
    <w:rPr>
      <w:lang w:eastAsia="ja-JP"/>
    </w:rPr>
  </w:style>
  <w:style w:type="paragraph" w:styleId="TOC2">
    <w:name w:val="toc 2"/>
    <w:basedOn w:val="Normal"/>
    <w:next w:val="Normal"/>
    <w:autoRedefine/>
    <w:uiPriority w:val="39"/>
    <w:unhideWhenUsed/>
    <w:qFormat/>
    <w:rsid w:val="00B8691F"/>
    <w:pPr>
      <w:spacing w:after="100"/>
      <w:ind w:left="220"/>
    </w:pPr>
    <w:rPr>
      <w:rFonts w:asciiTheme="minorHAnsi" w:eastAsiaTheme="minorEastAsia" w:hAnsiTheme="minorHAnsi" w:cstheme="minorBidi"/>
      <w:lang w:eastAsia="ja-JP"/>
    </w:rPr>
  </w:style>
  <w:style w:type="paragraph" w:styleId="TOC1">
    <w:name w:val="toc 1"/>
    <w:basedOn w:val="Normal"/>
    <w:next w:val="Normal"/>
    <w:autoRedefine/>
    <w:uiPriority w:val="39"/>
    <w:unhideWhenUsed/>
    <w:qFormat/>
    <w:rsid w:val="00B8691F"/>
    <w:pPr>
      <w:spacing w:after="100"/>
    </w:pPr>
    <w:rPr>
      <w:rFonts w:asciiTheme="minorHAnsi" w:eastAsiaTheme="minorEastAsia" w:hAnsiTheme="minorHAnsi" w:cstheme="minorBidi"/>
      <w:lang w:eastAsia="ja-JP"/>
    </w:rPr>
  </w:style>
  <w:style w:type="paragraph" w:styleId="TOC3">
    <w:name w:val="toc 3"/>
    <w:basedOn w:val="Normal"/>
    <w:next w:val="Normal"/>
    <w:autoRedefine/>
    <w:uiPriority w:val="39"/>
    <w:unhideWhenUsed/>
    <w:qFormat/>
    <w:rsid w:val="00B8691F"/>
    <w:pPr>
      <w:spacing w:after="100"/>
      <w:ind w:left="440"/>
    </w:pPr>
    <w:rPr>
      <w:rFonts w:asciiTheme="minorHAnsi" w:eastAsiaTheme="minorEastAsia" w:hAnsiTheme="minorHAnsi" w:cstheme="minorBidi"/>
      <w:lang w:eastAsia="ja-JP"/>
    </w:rPr>
  </w:style>
  <w:style w:type="character" w:styleId="Hyperlink">
    <w:name w:val="Hyperlink"/>
    <w:basedOn w:val="DefaultParagraphFont"/>
    <w:uiPriority w:val="99"/>
    <w:unhideWhenUsed/>
    <w:rsid w:val="00B8691F"/>
    <w:rPr>
      <w:color w:val="0000FF" w:themeColor="hyperlink"/>
      <w:u w:val="single"/>
    </w:rPr>
  </w:style>
  <w:style w:type="character" w:customStyle="1" w:styleId="hps">
    <w:name w:val="hps"/>
    <w:basedOn w:val="DefaultParagraphFont"/>
    <w:rsid w:val="002E6FEB"/>
  </w:style>
  <w:style w:type="paragraph" w:styleId="ListParagraph">
    <w:name w:val="List Paragraph"/>
    <w:aliases w:val="En tête 1,Bullet Points,Liste Paragraf,List Paragraph in table,Akapit z listą,Table of contents numbered,Bullet List,Heading 2_sj,Dot pt,Numbered Para 1,List Paragraph Char Char Char,Indicator Text,Bullet 1,Annex,Indent,No Spacing1,ANNEX"/>
    <w:basedOn w:val="Normal"/>
    <w:link w:val="ListParagraphChar"/>
    <w:uiPriority w:val="34"/>
    <w:qFormat/>
    <w:rsid w:val="00826EAF"/>
    <w:pPr>
      <w:ind w:left="720"/>
      <w:contextualSpacing/>
    </w:pPr>
  </w:style>
  <w:style w:type="paragraph" w:styleId="Quote">
    <w:name w:val="Quote"/>
    <w:basedOn w:val="Normal"/>
    <w:next w:val="Normal"/>
    <w:link w:val="QuoteChar"/>
    <w:uiPriority w:val="29"/>
    <w:qFormat/>
    <w:rsid w:val="001D192A"/>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1D192A"/>
    <w:rPr>
      <w:rFonts w:eastAsiaTheme="minorEastAsia"/>
      <w:i/>
      <w:iCs/>
      <w:color w:val="000000" w:themeColor="text1"/>
      <w:lang w:eastAsia="ja-JP"/>
    </w:rPr>
  </w:style>
  <w:style w:type="paragraph" w:styleId="Subtitle">
    <w:name w:val="Subtitle"/>
    <w:basedOn w:val="Normal"/>
    <w:next w:val="Normal"/>
    <w:link w:val="SubtitleChar"/>
    <w:uiPriority w:val="11"/>
    <w:qFormat/>
    <w:rsid w:val="00E5597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5597E"/>
    <w:rPr>
      <w:rFonts w:asciiTheme="majorHAnsi" w:eastAsiaTheme="majorEastAsia" w:hAnsiTheme="majorHAnsi" w:cstheme="majorBidi"/>
      <w:i/>
      <w:iCs/>
      <w:color w:val="4F81BD" w:themeColor="accent1"/>
      <w:spacing w:val="15"/>
      <w:sz w:val="24"/>
      <w:szCs w:val="24"/>
    </w:rPr>
  </w:style>
  <w:style w:type="paragraph" w:customStyle="1" w:styleId="TEKSTIIII">
    <w:name w:val="TEKSTIIII"/>
    <w:basedOn w:val="Normal"/>
    <w:qFormat/>
    <w:rsid w:val="00071588"/>
    <w:pPr>
      <w:spacing w:after="0" w:line="240" w:lineRule="auto"/>
      <w:ind w:firstLine="284"/>
      <w:jc w:val="both"/>
    </w:pPr>
    <w:rPr>
      <w:rFonts w:ascii="Garamond" w:hAnsi="Garamond"/>
      <w:sz w:val="24"/>
      <w:szCs w:val="24"/>
    </w:rPr>
  </w:style>
  <w:style w:type="character" w:customStyle="1" w:styleId="Heading3Char">
    <w:name w:val="Heading 3 Char"/>
    <w:basedOn w:val="DefaultParagraphFont"/>
    <w:link w:val="Heading3"/>
    <w:uiPriority w:val="9"/>
    <w:rsid w:val="00492C9C"/>
    <w:rPr>
      <w:rFonts w:ascii="MS Mincho" w:eastAsia="MS Mincho" w:hAnsi="Times New Roman" w:cs="MS Mincho"/>
      <w:b/>
      <w:bCs/>
      <w:color w:val="121754"/>
      <w:lang w:val="sq-AL"/>
    </w:rPr>
  </w:style>
  <w:style w:type="character" w:customStyle="1" w:styleId="Heading4Char">
    <w:name w:val="Heading 4 Char"/>
    <w:basedOn w:val="DefaultParagraphFont"/>
    <w:link w:val="Heading4"/>
    <w:rsid w:val="00492C9C"/>
    <w:rPr>
      <w:rFonts w:ascii="MS Mincho" w:eastAsia="MS Mincho" w:hAnsi="Times New Roman" w:cs="MS Mincho"/>
      <w:b/>
      <w:bCs/>
      <w:color w:val="121754"/>
      <w:lang w:val="sq-AL"/>
    </w:rPr>
  </w:style>
  <w:style w:type="paragraph" w:styleId="Caption">
    <w:name w:val="caption"/>
    <w:aliases w:val="Textbox,Tab_Überschrift,Figure reference,Caption Char1,Caption Char Char,Caption Char1 Char Char Char,Caption Char Char Char Char Char,Caption Char1 Char Char Char Char Char,Caption Char Char Char Char Char Char Char,Caption-slika,Map Char"/>
    <w:basedOn w:val="Normal"/>
    <w:next w:val="Normal"/>
    <w:link w:val="CaptionChar"/>
    <w:uiPriority w:val="99"/>
    <w:qFormat/>
    <w:rsid w:val="00492C9C"/>
    <w:pPr>
      <w:tabs>
        <w:tab w:val="left" w:pos="1400"/>
      </w:tabs>
      <w:autoSpaceDE w:val="0"/>
      <w:autoSpaceDN w:val="0"/>
      <w:adjustRightInd w:val="0"/>
      <w:spacing w:after="120" w:line="240" w:lineRule="auto"/>
      <w:ind w:left="1400" w:hanging="1400"/>
    </w:pPr>
    <w:rPr>
      <w:rFonts w:ascii="Arial Narrow" w:eastAsiaTheme="minorHAnsi" w:hAnsi="Arial Narrow" w:cs="Arial Narrow"/>
      <w:b/>
      <w:bCs/>
      <w:color w:val="000000"/>
      <w:lang w:val="sq-AL"/>
    </w:rPr>
  </w:style>
  <w:style w:type="paragraph" w:styleId="NormalWeb">
    <w:name w:val="Normal (Web)"/>
    <w:basedOn w:val="Normal"/>
    <w:uiPriority w:val="99"/>
    <w:rsid w:val="00492C9C"/>
    <w:pPr>
      <w:autoSpaceDE w:val="0"/>
      <w:autoSpaceDN w:val="0"/>
      <w:adjustRightInd w:val="0"/>
      <w:spacing w:before="100" w:after="100" w:line="240" w:lineRule="auto"/>
    </w:pPr>
    <w:rPr>
      <w:rFonts w:ascii="Times New Roman" w:eastAsiaTheme="minorHAnsi" w:hAnsi="Times New Roman"/>
      <w:color w:val="000000"/>
      <w:sz w:val="24"/>
      <w:szCs w:val="24"/>
      <w:lang w:val="sq-AL"/>
    </w:rPr>
  </w:style>
  <w:style w:type="paragraph" w:customStyle="1" w:styleId="FootnotesymbolCharCharCharChar">
    <w:name w:val="Footnote symbol Char Char Char Char"/>
    <w:aliases w:val="Footnote reference number Char Char Char Char,Times 10 Point Char Char Char Char,Exposant 3 Point Char Char Char Char,Ref Char Char Char Char,de nota al pie Char Char Char Char,Footer Char2"/>
    <w:basedOn w:val="Normal"/>
    <w:link w:val="FootnoteReference"/>
    <w:uiPriority w:val="99"/>
    <w:rsid w:val="006B6399"/>
    <w:pPr>
      <w:spacing w:after="160" w:line="240" w:lineRule="exact"/>
      <w:jc w:val="both"/>
    </w:pPr>
    <w:rPr>
      <w:rFonts w:asciiTheme="minorHAnsi" w:eastAsiaTheme="minorHAnsi" w:hAnsiTheme="minorHAnsi" w:cstheme="minorBidi"/>
      <w:vertAlign w:val="superscript"/>
    </w:rPr>
  </w:style>
  <w:style w:type="character" w:customStyle="1" w:styleId="CaptionChar">
    <w:name w:val="Caption Char"/>
    <w:aliases w:val="Textbox Char,Tab_Überschrift Char,Figure reference Char,Caption Char1 Char,Caption Char Char Char,Caption Char1 Char Char Char Char,Caption Char Char Char Char Char Char,Caption Char1 Char Char Char Char Char Char,Caption-slika Char"/>
    <w:link w:val="Caption"/>
    <w:uiPriority w:val="99"/>
    <w:qFormat/>
    <w:rsid w:val="006B6119"/>
    <w:rPr>
      <w:rFonts w:ascii="Arial Narrow" w:hAnsi="Arial Narrow" w:cs="Arial Narrow"/>
      <w:b/>
      <w:bCs/>
      <w:color w:val="000000"/>
      <w:lang w:val="sq-AL"/>
    </w:rPr>
  </w:style>
  <w:style w:type="paragraph" w:customStyle="1" w:styleId="Fussnote">
    <w:name w:val="Fussnote"/>
    <w:basedOn w:val="FootnoteText"/>
    <w:link w:val="FussnoteZchn"/>
    <w:qFormat/>
    <w:rsid w:val="00CF57C7"/>
    <w:pPr>
      <w:tabs>
        <w:tab w:val="left" w:pos="227"/>
      </w:tabs>
      <w:overflowPunct w:val="0"/>
      <w:autoSpaceDE w:val="0"/>
      <w:autoSpaceDN w:val="0"/>
      <w:adjustRightInd w:val="0"/>
      <w:textAlignment w:val="baseline"/>
    </w:pPr>
    <w:rPr>
      <w:rFonts w:ascii="Arial" w:hAnsi="Arial"/>
      <w:sz w:val="16"/>
      <w:szCs w:val="21"/>
      <w:lang w:val="sq-AL" w:eastAsia="de-DE"/>
    </w:rPr>
  </w:style>
  <w:style w:type="character" w:customStyle="1" w:styleId="FussnoteZchn">
    <w:name w:val="Fussnote Zchn"/>
    <w:link w:val="Fussnote"/>
    <w:rsid w:val="00CF57C7"/>
    <w:rPr>
      <w:rFonts w:ascii="Arial" w:eastAsia="Times New Roman" w:hAnsi="Arial" w:cs="Times New Roman"/>
      <w:sz w:val="16"/>
      <w:szCs w:val="21"/>
      <w:lang w:val="sq-AL" w:eastAsia="de-DE"/>
    </w:rPr>
  </w:style>
  <w:style w:type="character" w:customStyle="1" w:styleId="Heading5Char">
    <w:name w:val="Heading 5 Char"/>
    <w:basedOn w:val="DefaultParagraphFont"/>
    <w:link w:val="Heading5"/>
    <w:rsid w:val="000F50EA"/>
    <w:rPr>
      <w:rFonts w:ascii="Arial" w:eastAsia="MS Mincho" w:hAnsi="Arial" w:cs="Arial"/>
      <w:color w:val="121754"/>
      <w:spacing w:val="60"/>
      <w:szCs w:val="21"/>
      <w:lang w:val="sq-AL" w:eastAsia="de-DE"/>
    </w:rPr>
  </w:style>
  <w:style w:type="character" w:customStyle="1" w:styleId="Heading6Char">
    <w:name w:val="Heading 6 Char"/>
    <w:basedOn w:val="DefaultParagraphFont"/>
    <w:link w:val="Heading6"/>
    <w:rsid w:val="000F50EA"/>
    <w:rPr>
      <w:rFonts w:ascii="Arial" w:eastAsia="MS Mincho" w:hAnsi="Arial" w:cs="Arial"/>
      <w:color w:val="121754"/>
      <w:spacing w:val="60"/>
      <w:szCs w:val="21"/>
      <w:lang w:val="sq-AL" w:eastAsia="de-DE"/>
    </w:rPr>
  </w:style>
  <w:style w:type="character" w:customStyle="1" w:styleId="Heading7Char">
    <w:name w:val="Heading 7 Char"/>
    <w:basedOn w:val="DefaultParagraphFont"/>
    <w:link w:val="Heading7"/>
    <w:semiHidden/>
    <w:rsid w:val="000F50EA"/>
    <w:rPr>
      <w:rFonts w:ascii="Arial" w:eastAsia="MS Mincho" w:hAnsi="Arial" w:cs="Arial"/>
      <w:color w:val="121754"/>
      <w:spacing w:val="60"/>
      <w:szCs w:val="21"/>
      <w:lang w:val="sq-AL" w:eastAsia="de-DE"/>
    </w:rPr>
  </w:style>
  <w:style w:type="character" w:customStyle="1" w:styleId="Heading8Char">
    <w:name w:val="Heading 8 Char"/>
    <w:basedOn w:val="DefaultParagraphFont"/>
    <w:link w:val="Heading8"/>
    <w:semiHidden/>
    <w:rsid w:val="000F50EA"/>
    <w:rPr>
      <w:rFonts w:ascii="Arial" w:eastAsia="MS Mincho" w:hAnsi="Arial" w:cs="Arial"/>
      <w:color w:val="121754"/>
      <w:spacing w:val="60"/>
      <w:szCs w:val="21"/>
      <w:lang w:val="sq-AL" w:eastAsia="de-DE"/>
    </w:rPr>
  </w:style>
  <w:style w:type="character" w:customStyle="1" w:styleId="Heading9Char">
    <w:name w:val="Heading 9 Char"/>
    <w:basedOn w:val="DefaultParagraphFont"/>
    <w:link w:val="Heading9"/>
    <w:semiHidden/>
    <w:rsid w:val="000F50EA"/>
    <w:rPr>
      <w:rFonts w:ascii="Arial" w:eastAsia="MS Mincho" w:hAnsi="Arial" w:cs="Arial"/>
      <w:color w:val="121754"/>
      <w:spacing w:val="60"/>
      <w:szCs w:val="21"/>
      <w:lang w:val="sq-AL" w:eastAsia="de-DE"/>
    </w:rPr>
  </w:style>
  <w:style w:type="paragraph" w:styleId="TOC4">
    <w:name w:val="toc 4"/>
    <w:basedOn w:val="TOC3"/>
    <w:next w:val="TOC5"/>
    <w:uiPriority w:val="39"/>
    <w:rsid w:val="000F50EA"/>
    <w:pPr>
      <w:widowControl w:val="0"/>
      <w:tabs>
        <w:tab w:val="left" w:pos="1134"/>
        <w:tab w:val="right" w:leader="dot" w:pos="9072"/>
      </w:tabs>
      <w:overflowPunct w:val="0"/>
      <w:autoSpaceDE w:val="0"/>
      <w:autoSpaceDN w:val="0"/>
      <w:adjustRightInd w:val="0"/>
      <w:spacing w:after="60" w:line="360" w:lineRule="exact"/>
      <w:ind w:left="1418" w:right="425" w:hanging="1134"/>
      <w:textAlignment w:val="baseline"/>
    </w:pPr>
    <w:rPr>
      <w:rFonts w:ascii="Arial" w:eastAsia="Times New Roman" w:hAnsi="Arial" w:cs="Arial"/>
      <w:noProof/>
      <w:color w:val="000000"/>
      <w:sz w:val="21"/>
      <w:szCs w:val="21"/>
      <w:lang w:val="sq-AL" w:eastAsia="de-DE"/>
    </w:rPr>
  </w:style>
  <w:style w:type="paragraph" w:styleId="Index3">
    <w:name w:val="index 3"/>
    <w:basedOn w:val="Normal"/>
    <w:next w:val="Normal"/>
    <w:uiPriority w:val="99"/>
    <w:semiHidden/>
    <w:rsid w:val="000F50EA"/>
    <w:pPr>
      <w:numPr>
        <w:numId w:val="2"/>
      </w:numPr>
      <w:overflowPunct w:val="0"/>
      <w:autoSpaceDE w:val="0"/>
      <w:autoSpaceDN w:val="0"/>
      <w:adjustRightInd w:val="0"/>
      <w:spacing w:after="120" w:line="240" w:lineRule="auto"/>
      <w:jc w:val="both"/>
      <w:textAlignment w:val="baseline"/>
    </w:pPr>
    <w:rPr>
      <w:rFonts w:ascii="Arial" w:eastAsia="Times New Roman" w:hAnsi="Arial"/>
      <w:szCs w:val="21"/>
      <w:lang w:val="sq-AL" w:eastAsia="de-DE"/>
    </w:rPr>
  </w:style>
  <w:style w:type="paragraph" w:styleId="Index2">
    <w:name w:val="index 2"/>
    <w:basedOn w:val="Normal"/>
    <w:next w:val="Normal"/>
    <w:uiPriority w:val="99"/>
    <w:semiHidden/>
    <w:rsid w:val="000F50EA"/>
    <w:pPr>
      <w:overflowPunct w:val="0"/>
      <w:autoSpaceDE w:val="0"/>
      <w:autoSpaceDN w:val="0"/>
      <w:adjustRightInd w:val="0"/>
      <w:spacing w:after="120" w:line="240" w:lineRule="auto"/>
      <w:ind w:left="283"/>
      <w:jc w:val="both"/>
      <w:textAlignment w:val="baseline"/>
    </w:pPr>
    <w:rPr>
      <w:rFonts w:ascii="Arial" w:eastAsia="Times New Roman" w:hAnsi="Arial"/>
      <w:szCs w:val="21"/>
      <w:lang w:val="sq-AL" w:eastAsia="de-DE"/>
    </w:rPr>
  </w:style>
  <w:style w:type="paragraph" w:styleId="Index1">
    <w:name w:val="index 1"/>
    <w:basedOn w:val="Normal"/>
    <w:next w:val="Normal"/>
    <w:uiPriority w:val="99"/>
    <w:semiHidden/>
    <w:rsid w:val="000F50EA"/>
    <w:pPr>
      <w:overflowPunct w:val="0"/>
      <w:autoSpaceDE w:val="0"/>
      <w:autoSpaceDN w:val="0"/>
      <w:adjustRightInd w:val="0"/>
      <w:spacing w:after="120" w:line="240" w:lineRule="auto"/>
      <w:jc w:val="both"/>
      <w:textAlignment w:val="baseline"/>
    </w:pPr>
    <w:rPr>
      <w:rFonts w:ascii="Arial" w:eastAsia="Times New Roman" w:hAnsi="Arial"/>
      <w:szCs w:val="21"/>
      <w:lang w:val="sq-AL" w:eastAsia="de-DE"/>
    </w:rPr>
  </w:style>
  <w:style w:type="character" w:styleId="LineNumber">
    <w:name w:val="line number"/>
    <w:basedOn w:val="DefaultParagraphFont"/>
    <w:uiPriority w:val="99"/>
    <w:semiHidden/>
    <w:rsid w:val="000F50EA"/>
  </w:style>
  <w:style w:type="paragraph" w:styleId="IndexHeading">
    <w:name w:val="index heading"/>
    <w:basedOn w:val="Normal"/>
    <w:next w:val="Normal"/>
    <w:uiPriority w:val="99"/>
    <w:semiHidden/>
    <w:rsid w:val="000F50EA"/>
    <w:pPr>
      <w:overflowPunct w:val="0"/>
      <w:autoSpaceDE w:val="0"/>
      <w:autoSpaceDN w:val="0"/>
      <w:adjustRightInd w:val="0"/>
      <w:spacing w:after="120" w:line="240" w:lineRule="auto"/>
      <w:jc w:val="both"/>
      <w:textAlignment w:val="baseline"/>
    </w:pPr>
    <w:rPr>
      <w:rFonts w:ascii="Arial" w:eastAsia="Times New Roman" w:hAnsi="Arial"/>
      <w:szCs w:val="21"/>
      <w:lang w:val="sq-AL" w:eastAsia="de-DE"/>
    </w:rPr>
  </w:style>
  <w:style w:type="paragraph" w:styleId="TableofFigures">
    <w:name w:val="table of figures"/>
    <w:basedOn w:val="Normal"/>
    <w:next w:val="Normal"/>
    <w:uiPriority w:val="99"/>
    <w:rsid w:val="000F50EA"/>
    <w:pPr>
      <w:tabs>
        <w:tab w:val="left" w:pos="1418"/>
        <w:tab w:val="right" w:leader="dot" w:pos="9072"/>
      </w:tabs>
      <w:overflowPunct w:val="0"/>
      <w:autoSpaceDE w:val="0"/>
      <w:autoSpaceDN w:val="0"/>
      <w:adjustRightInd w:val="0"/>
      <w:spacing w:after="120" w:line="240" w:lineRule="auto"/>
      <w:ind w:left="1418" w:right="567" w:hanging="1418"/>
      <w:textAlignment w:val="baseline"/>
    </w:pPr>
    <w:rPr>
      <w:rFonts w:ascii="Arial" w:eastAsia="Times New Roman" w:hAnsi="Arial"/>
      <w:szCs w:val="21"/>
      <w:lang w:val="sq-AL" w:eastAsia="de-DE"/>
    </w:rPr>
  </w:style>
  <w:style w:type="paragraph" w:customStyle="1" w:styleId="Quellenangabe">
    <w:name w:val="Quellenangabe"/>
    <w:basedOn w:val="Normal"/>
    <w:next w:val="Normal"/>
    <w:uiPriority w:val="99"/>
    <w:semiHidden/>
    <w:rsid w:val="000F50EA"/>
    <w:pPr>
      <w:tabs>
        <w:tab w:val="left" w:pos="851"/>
      </w:tabs>
      <w:overflowPunct w:val="0"/>
      <w:autoSpaceDE w:val="0"/>
      <w:autoSpaceDN w:val="0"/>
      <w:adjustRightInd w:val="0"/>
      <w:spacing w:before="60" w:after="220" w:line="240" w:lineRule="auto"/>
      <w:ind w:left="851" w:hanging="851"/>
      <w:jc w:val="both"/>
      <w:textAlignment w:val="baseline"/>
    </w:pPr>
    <w:rPr>
      <w:rFonts w:ascii="Arial" w:eastAsia="Times New Roman" w:hAnsi="Arial"/>
      <w:sz w:val="18"/>
      <w:szCs w:val="21"/>
      <w:lang w:val="sq-AL" w:eastAsia="de-DE"/>
    </w:rPr>
  </w:style>
  <w:style w:type="paragraph" w:styleId="TOC5">
    <w:name w:val="toc 5"/>
    <w:basedOn w:val="TOC4"/>
    <w:next w:val="TOC6"/>
    <w:uiPriority w:val="39"/>
    <w:semiHidden/>
    <w:rsid w:val="000F50EA"/>
    <w:pPr>
      <w:ind w:left="0" w:firstLine="0"/>
    </w:pPr>
  </w:style>
  <w:style w:type="paragraph" w:customStyle="1" w:styleId="Tabellenstandard">
    <w:name w:val="Tabellenstandard"/>
    <w:basedOn w:val="Normal"/>
    <w:uiPriority w:val="99"/>
    <w:semiHidden/>
    <w:rsid w:val="000F50EA"/>
    <w:pPr>
      <w:overflowPunct w:val="0"/>
      <w:autoSpaceDE w:val="0"/>
      <w:autoSpaceDN w:val="0"/>
      <w:adjustRightInd w:val="0"/>
      <w:spacing w:before="48" w:after="48" w:line="240" w:lineRule="auto"/>
      <w:contextualSpacing/>
      <w:jc w:val="both"/>
      <w:textAlignment w:val="baseline"/>
    </w:pPr>
    <w:rPr>
      <w:rFonts w:ascii="Arial" w:eastAsia="Times New Roman" w:hAnsi="Arial"/>
      <w:sz w:val="18"/>
      <w:szCs w:val="21"/>
      <w:lang w:val="sq-AL" w:eastAsia="de-DE"/>
    </w:rPr>
  </w:style>
  <w:style w:type="paragraph" w:styleId="ListBullet">
    <w:name w:val="List Bullet"/>
    <w:basedOn w:val="Normal"/>
    <w:uiPriority w:val="99"/>
    <w:semiHidden/>
    <w:rsid w:val="000F50EA"/>
    <w:pPr>
      <w:numPr>
        <w:numId w:val="10"/>
      </w:numPr>
      <w:tabs>
        <w:tab w:val="num" w:pos="360"/>
      </w:tabs>
      <w:overflowPunct w:val="0"/>
      <w:autoSpaceDE w:val="0"/>
      <w:autoSpaceDN w:val="0"/>
      <w:adjustRightInd w:val="0"/>
      <w:spacing w:after="120" w:line="240" w:lineRule="auto"/>
      <w:jc w:val="both"/>
      <w:textAlignment w:val="baseline"/>
    </w:pPr>
    <w:rPr>
      <w:rFonts w:ascii="Arial" w:eastAsia="Times New Roman" w:hAnsi="Arial"/>
      <w:szCs w:val="21"/>
      <w:lang w:val="sq-AL" w:eastAsia="de-DE"/>
    </w:rPr>
  </w:style>
  <w:style w:type="paragraph" w:styleId="ListBullet2">
    <w:name w:val="List Bullet 2"/>
    <w:basedOn w:val="ListBullet"/>
    <w:uiPriority w:val="99"/>
    <w:semiHidden/>
    <w:rsid w:val="000F50EA"/>
    <w:pPr>
      <w:tabs>
        <w:tab w:val="clear" w:pos="360"/>
        <w:tab w:val="num" w:pos="643"/>
      </w:tabs>
      <w:ind w:left="643"/>
    </w:pPr>
  </w:style>
  <w:style w:type="paragraph" w:styleId="ListBullet3">
    <w:name w:val="List Bullet 3"/>
    <w:basedOn w:val="ListBullet2"/>
    <w:uiPriority w:val="99"/>
    <w:semiHidden/>
    <w:rsid w:val="000F50EA"/>
    <w:pPr>
      <w:tabs>
        <w:tab w:val="clear" w:pos="643"/>
        <w:tab w:val="num" w:pos="926"/>
      </w:tabs>
      <w:ind w:left="926"/>
    </w:pPr>
  </w:style>
  <w:style w:type="character" w:styleId="PageNumber">
    <w:name w:val="page number"/>
    <w:basedOn w:val="DefaultParagraphFont"/>
    <w:uiPriority w:val="99"/>
    <w:semiHidden/>
    <w:rsid w:val="000F50EA"/>
  </w:style>
  <w:style w:type="numbering" w:customStyle="1" w:styleId="GFANumberedList">
    <w:name w:val="GFA Numbered List"/>
    <w:basedOn w:val="NoList"/>
    <w:uiPriority w:val="99"/>
    <w:rsid w:val="000F50EA"/>
    <w:pPr>
      <w:numPr>
        <w:numId w:val="3"/>
      </w:numPr>
    </w:pPr>
  </w:style>
  <w:style w:type="numbering" w:customStyle="1" w:styleId="GFABulletedList">
    <w:name w:val="GFA Bulleted List"/>
    <w:uiPriority w:val="99"/>
    <w:rsid w:val="000F50EA"/>
    <w:pPr>
      <w:numPr>
        <w:numId w:val="4"/>
      </w:numPr>
    </w:pPr>
  </w:style>
  <w:style w:type="character" w:customStyle="1" w:styleId="GFAleichteHervorhebung">
    <w:name w:val="GFA leichte Hervorhebung"/>
    <w:uiPriority w:val="3"/>
    <w:qFormat/>
    <w:rsid w:val="000F50EA"/>
    <w:rPr>
      <w:i/>
      <w:color w:val="121754"/>
    </w:rPr>
  </w:style>
  <w:style w:type="table" w:styleId="MediumGrid3-Accent2">
    <w:name w:val="Medium Grid 3 Accent 2"/>
    <w:basedOn w:val="TableNormal"/>
    <w:uiPriority w:val="69"/>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BEE4F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48DC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48DC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48DC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48DC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DC9F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DC9F2"/>
      </w:tcPr>
    </w:tblStylePr>
  </w:style>
  <w:style w:type="table" w:styleId="LightList-Accent2">
    <w:name w:val="Light List Accent 2"/>
    <w:basedOn w:val="TableNormal"/>
    <w:uiPriority w:val="61"/>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148DCD"/>
        <w:left w:val="single" w:sz="8" w:space="0" w:color="148DCD"/>
        <w:bottom w:val="single" w:sz="8" w:space="0" w:color="148DCD"/>
        <w:right w:val="single" w:sz="8" w:space="0" w:color="148DC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48DCD"/>
      </w:tcPr>
    </w:tblStylePr>
    <w:tblStylePr w:type="lastRow">
      <w:pPr>
        <w:spacing w:before="0" w:after="0" w:line="240" w:lineRule="auto"/>
      </w:pPr>
      <w:rPr>
        <w:b/>
        <w:bCs/>
      </w:rPr>
      <w:tblPr/>
      <w:tcPr>
        <w:tcBorders>
          <w:top w:val="double" w:sz="6" w:space="0" w:color="148DCD"/>
          <w:left w:val="single" w:sz="8" w:space="0" w:color="148DCD"/>
          <w:bottom w:val="single" w:sz="8" w:space="0" w:color="148DCD"/>
          <w:right w:val="single" w:sz="8" w:space="0" w:color="148DCD"/>
        </w:tcBorders>
      </w:tcPr>
    </w:tblStylePr>
    <w:tblStylePr w:type="firstCol">
      <w:rPr>
        <w:b/>
        <w:bCs/>
      </w:rPr>
    </w:tblStylePr>
    <w:tblStylePr w:type="lastCol">
      <w:rPr>
        <w:b/>
        <w:bCs/>
      </w:rPr>
    </w:tblStylePr>
    <w:tblStylePr w:type="band1Vert">
      <w:tblPr/>
      <w:tcPr>
        <w:tcBorders>
          <w:top w:val="single" w:sz="8" w:space="0" w:color="148DCD"/>
          <w:left w:val="single" w:sz="8" w:space="0" w:color="148DCD"/>
          <w:bottom w:val="single" w:sz="8" w:space="0" w:color="148DCD"/>
          <w:right w:val="single" w:sz="8" w:space="0" w:color="148DCD"/>
        </w:tcBorders>
      </w:tcPr>
    </w:tblStylePr>
    <w:tblStylePr w:type="band1Horz">
      <w:tblPr/>
      <w:tcPr>
        <w:tcBorders>
          <w:top w:val="single" w:sz="8" w:space="0" w:color="148DCD"/>
          <w:left w:val="single" w:sz="8" w:space="0" w:color="148DCD"/>
          <w:bottom w:val="single" w:sz="8" w:space="0" w:color="148DCD"/>
          <w:right w:val="single" w:sz="8" w:space="0" w:color="148DCD"/>
        </w:tcBorders>
      </w:tcPr>
    </w:tblStylePr>
  </w:style>
  <w:style w:type="paragraph" w:customStyle="1" w:styleId="Subheading">
    <w:name w:val="Subheading"/>
    <w:basedOn w:val="Heading4"/>
    <w:next w:val="Normal"/>
    <w:link w:val="SubheadingZchn"/>
    <w:uiPriority w:val="1"/>
    <w:qFormat/>
    <w:rsid w:val="000F50EA"/>
    <w:pPr>
      <w:overflowPunct w:val="0"/>
      <w:spacing w:before="120" w:line="300" w:lineRule="exact"/>
      <w:ind w:left="0" w:firstLine="0"/>
      <w:textAlignment w:val="baseline"/>
      <w:outlineLvl w:val="9"/>
    </w:pPr>
    <w:rPr>
      <w:rFonts w:ascii="Arial" w:hAnsi="Arial" w:cs="Arial"/>
      <w:bCs w:val="0"/>
      <w:szCs w:val="21"/>
      <w:lang w:eastAsia="de-DE"/>
    </w:rPr>
  </w:style>
  <w:style w:type="character" w:customStyle="1" w:styleId="SubheadingZchn">
    <w:name w:val="Subheading Zchn"/>
    <w:link w:val="Subheading"/>
    <w:uiPriority w:val="1"/>
    <w:rsid w:val="000F50EA"/>
    <w:rPr>
      <w:rFonts w:ascii="Arial" w:eastAsia="MS Mincho" w:hAnsi="Arial" w:cs="Arial"/>
      <w:b/>
      <w:color w:val="121754"/>
      <w:szCs w:val="21"/>
      <w:lang w:val="sq-AL" w:eastAsia="de-DE"/>
    </w:rPr>
  </w:style>
  <w:style w:type="paragraph" w:customStyle="1" w:styleId="GFANumberedLists1">
    <w:name w:val="GFA Numbered Lists 1"/>
    <w:basedOn w:val="ListParagraph"/>
    <w:link w:val="GFANumberedLists1Zchn"/>
    <w:uiPriority w:val="2"/>
    <w:qFormat/>
    <w:rsid w:val="000F50EA"/>
    <w:pPr>
      <w:numPr>
        <w:numId w:val="3"/>
      </w:numPr>
      <w:overflowPunct w:val="0"/>
      <w:autoSpaceDE w:val="0"/>
      <w:autoSpaceDN w:val="0"/>
      <w:adjustRightInd w:val="0"/>
      <w:spacing w:after="40" w:line="240" w:lineRule="auto"/>
      <w:textAlignment w:val="baseline"/>
    </w:pPr>
    <w:rPr>
      <w:rFonts w:ascii="Arial" w:eastAsia="Times New Roman" w:hAnsi="Arial"/>
      <w:szCs w:val="21"/>
      <w:lang w:val="sq-AL" w:eastAsia="de-DE"/>
    </w:rPr>
  </w:style>
  <w:style w:type="character" w:customStyle="1" w:styleId="ListParagraphChar">
    <w:name w:val="List Paragraph Char"/>
    <w:aliases w:val="En tête 1 Char,Bullet Points Char,Liste Paragraf Char,List Paragraph in table Char,Akapit z listą Char,Table of contents numbered Char,Bullet List Char,Heading 2_sj Char,Dot pt Char,Numbered Para 1 Char,Indicator Text Char,Annex Char"/>
    <w:link w:val="ListParagraph"/>
    <w:uiPriority w:val="34"/>
    <w:qFormat/>
    <w:rsid w:val="000F50EA"/>
    <w:rPr>
      <w:rFonts w:ascii="Calibri" w:eastAsia="MS Mincho" w:hAnsi="Calibri" w:cs="Times New Roman"/>
    </w:rPr>
  </w:style>
  <w:style w:type="paragraph" w:customStyle="1" w:styleId="GFABulletedLists1">
    <w:name w:val="GFA Bulleted Lists 1"/>
    <w:basedOn w:val="ListParagraph"/>
    <w:link w:val="GFABulletedLists1Zchn"/>
    <w:uiPriority w:val="2"/>
    <w:qFormat/>
    <w:rsid w:val="000F50EA"/>
    <w:pPr>
      <w:numPr>
        <w:numId w:val="9"/>
      </w:numPr>
      <w:overflowPunct w:val="0"/>
      <w:autoSpaceDE w:val="0"/>
      <w:autoSpaceDN w:val="0"/>
      <w:adjustRightInd w:val="0"/>
      <w:spacing w:before="60" w:after="60" w:line="240" w:lineRule="auto"/>
      <w:contextualSpacing w:val="0"/>
      <w:textAlignment w:val="baseline"/>
    </w:pPr>
    <w:rPr>
      <w:rFonts w:ascii="Arial" w:eastAsia="Times New Roman" w:hAnsi="Arial"/>
      <w:sz w:val="21"/>
      <w:szCs w:val="21"/>
      <w:lang w:val="sq-AL" w:eastAsia="de-DE"/>
    </w:rPr>
  </w:style>
  <w:style w:type="character" w:customStyle="1" w:styleId="GFANumberedLists1Zchn">
    <w:name w:val="GFA Numbered Lists 1 Zchn"/>
    <w:link w:val="GFANumberedLists1"/>
    <w:uiPriority w:val="2"/>
    <w:rsid w:val="000F50EA"/>
    <w:rPr>
      <w:rFonts w:ascii="Arial" w:eastAsia="Times New Roman" w:hAnsi="Arial" w:cs="Times New Roman"/>
      <w:szCs w:val="21"/>
      <w:lang w:val="sq-AL" w:eastAsia="de-DE"/>
    </w:rPr>
  </w:style>
  <w:style w:type="character" w:customStyle="1" w:styleId="GFABulletedLists1Zchn">
    <w:name w:val="GFA Bulleted Lists 1 Zchn"/>
    <w:link w:val="GFABulletedLists1"/>
    <w:uiPriority w:val="2"/>
    <w:rsid w:val="000F50EA"/>
    <w:rPr>
      <w:rFonts w:ascii="Arial" w:eastAsia="Times New Roman" w:hAnsi="Arial" w:cs="Times New Roman"/>
      <w:sz w:val="21"/>
      <w:szCs w:val="21"/>
      <w:lang w:val="sq-AL" w:eastAsia="de-DE"/>
    </w:rPr>
  </w:style>
  <w:style w:type="paragraph" w:styleId="TOC6">
    <w:name w:val="toc 6"/>
    <w:basedOn w:val="TOC5"/>
    <w:next w:val="TOC7"/>
    <w:uiPriority w:val="39"/>
    <w:semiHidden/>
    <w:rsid w:val="000F50EA"/>
    <w:pPr>
      <w:ind w:left="1134" w:hanging="1134"/>
    </w:pPr>
  </w:style>
  <w:style w:type="paragraph" w:styleId="TOC7">
    <w:name w:val="toc 7"/>
    <w:basedOn w:val="TOC6"/>
    <w:next w:val="TOC8"/>
    <w:uiPriority w:val="39"/>
    <w:semiHidden/>
    <w:rsid w:val="000F50EA"/>
  </w:style>
  <w:style w:type="paragraph" w:styleId="TOC8">
    <w:name w:val="toc 8"/>
    <w:basedOn w:val="TOC7"/>
    <w:next w:val="TOC9"/>
    <w:uiPriority w:val="39"/>
    <w:semiHidden/>
    <w:rsid w:val="000F50EA"/>
  </w:style>
  <w:style w:type="paragraph" w:styleId="TOC9">
    <w:name w:val="toc 9"/>
    <w:basedOn w:val="TOC8"/>
    <w:uiPriority w:val="39"/>
    <w:semiHidden/>
    <w:rsid w:val="000F50EA"/>
  </w:style>
  <w:style w:type="table" w:customStyle="1" w:styleId="GFAInvisible">
    <w:name w:val="GFA Invisible"/>
    <w:basedOn w:val="TableNormal"/>
    <w:uiPriority w:val="99"/>
    <w:qFormat/>
    <w:rsid w:val="000F50EA"/>
    <w:pPr>
      <w:spacing w:after="0" w:line="240" w:lineRule="auto"/>
    </w:pPr>
    <w:rPr>
      <w:rFonts w:ascii="Arial" w:eastAsia="Times New Roman" w:hAnsi="Arial" w:cs="Times New Roman"/>
      <w:sz w:val="20"/>
      <w:szCs w:val="20"/>
      <w:lang w:val="sq-AL" w:eastAsia="sq-AL"/>
    </w:rPr>
    <w:tblPr>
      <w:tblInd w:w="0" w:type="dxa"/>
      <w:tblCellMar>
        <w:top w:w="0" w:type="dxa"/>
        <w:left w:w="0" w:type="dxa"/>
        <w:bottom w:w="0" w:type="dxa"/>
        <w:right w:w="0" w:type="dxa"/>
      </w:tblCellMar>
    </w:tblPr>
  </w:style>
  <w:style w:type="table" w:customStyle="1" w:styleId="HelleSchattierung1">
    <w:name w:val="Helle Schattierung1"/>
    <w:basedOn w:val="TableNormal"/>
    <w:uiPriority w:val="60"/>
    <w:semiHidden/>
    <w:lock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styleId="111111">
    <w:name w:val="Outline List 2"/>
    <w:basedOn w:val="NoList"/>
    <w:uiPriority w:val="99"/>
    <w:semiHidden/>
    <w:unhideWhenUsed/>
    <w:rsid w:val="000F50EA"/>
    <w:pPr>
      <w:numPr>
        <w:numId w:val="2"/>
      </w:numPr>
    </w:pPr>
  </w:style>
  <w:style w:type="table" w:customStyle="1" w:styleId="HellesRaster-Akzent11">
    <w:name w:val="Helles Raster - Akzent 11"/>
    <w:basedOn w:val="TableNormal"/>
    <w:uiPriority w:val="62"/>
    <w:semiHidden/>
    <w:lock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121754"/>
        <w:left w:val="single" w:sz="8" w:space="0" w:color="121754"/>
        <w:bottom w:val="single" w:sz="8" w:space="0" w:color="121754"/>
        <w:right w:val="single" w:sz="8" w:space="0" w:color="121754"/>
        <w:insideH w:val="single" w:sz="8" w:space="0" w:color="121754"/>
        <w:insideV w:val="single" w:sz="8" w:space="0" w:color="121754"/>
      </w:tblBorders>
      <w:tblCellMar>
        <w:top w:w="0" w:type="dxa"/>
        <w:left w:w="108" w:type="dxa"/>
        <w:bottom w:w="0" w:type="dxa"/>
        <w:right w:w="108" w:type="dxa"/>
      </w:tblCellMar>
    </w:tblPr>
    <w:tblStylePr w:type="firstRow">
      <w:pPr>
        <w:spacing w:before="0" w:after="0" w:line="240" w:lineRule="auto"/>
      </w:pPr>
      <w:rPr>
        <w:rFonts w:ascii="Arial" w:eastAsia="MS Gothic" w:hAnsi="Arial" w:cs="Times New Roman"/>
        <w:b/>
        <w:bCs/>
      </w:rPr>
      <w:tblPr/>
      <w:tcPr>
        <w:tcBorders>
          <w:top w:val="single" w:sz="8" w:space="0" w:color="121754"/>
          <w:left w:val="single" w:sz="8" w:space="0" w:color="121754"/>
          <w:bottom w:val="single" w:sz="18" w:space="0" w:color="121754"/>
          <w:right w:val="single" w:sz="8" w:space="0" w:color="121754"/>
          <w:insideH w:val="nil"/>
          <w:insideV w:val="single" w:sz="8" w:space="0" w:color="121754"/>
        </w:tcBorders>
      </w:tcPr>
    </w:tblStylePr>
    <w:tblStylePr w:type="lastRow">
      <w:pPr>
        <w:spacing w:before="0" w:after="0" w:line="240" w:lineRule="auto"/>
      </w:pPr>
      <w:rPr>
        <w:rFonts w:ascii="Arial" w:eastAsia="MS Gothic" w:hAnsi="Arial" w:cs="Times New Roman"/>
        <w:b/>
        <w:bCs/>
      </w:rPr>
      <w:tblPr/>
      <w:tcPr>
        <w:tcBorders>
          <w:top w:val="double" w:sz="6" w:space="0" w:color="121754"/>
          <w:left w:val="single" w:sz="8" w:space="0" w:color="121754"/>
          <w:bottom w:val="single" w:sz="8" w:space="0" w:color="121754"/>
          <w:right w:val="single" w:sz="8" w:space="0" w:color="121754"/>
          <w:insideH w:val="nil"/>
          <w:insideV w:val="single" w:sz="8" w:space="0" w:color="121754"/>
        </w:tcBorders>
      </w:tcPr>
    </w:tblStylePr>
    <w:tblStylePr w:type="firstCol">
      <w:rPr>
        <w:rFonts w:ascii="Arial" w:eastAsia="MS Gothic" w:hAnsi="Arial" w:cs="Times New Roman"/>
        <w:b/>
        <w:bCs/>
      </w:rPr>
    </w:tblStylePr>
    <w:tblStylePr w:type="lastCol">
      <w:rPr>
        <w:rFonts w:ascii="Arial" w:eastAsia="MS Gothic" w:hAnsi="Arial" w:cs="Times New Roman"/>
        <w:b/>
        <w:bCs/>
      </w:rPr>
      <w:tblPr/>
      <w:tcPr>
        <w:tcBorders>
          <w:top w:val="single" w:sz="8" w:space="0" w:color="121754"/>
          <w:left w:val="single" w:sz="8" w:space="0" w:color="121754"/>
          <w:bottom w:val="single" w:sz="8" w:space="0" w:color="121754"/>
          <w:right w:val="single" w:sz="8" w:space="0" w:color="121754"/>
        </w:tcBorders>
      </w:tcPr>
    </w:tblStylePr>
    <w:tblStylePr w:type="band1Vert">
      <w:tblPr/>
      <w:tcPr>
        <w:tcBorders>
          <w:top w:val="single" w:sz="8" w:space="0" w:color="121754"/>
          <w:left w:val="single" w:sz="8" w:space="0" w:color="121754"/>
          <w:bottom w:val="single" w:sz="8" w:space="0" w:color="121754"/>
          <w:right w:val="single" w:sz="8" w:space="0" w:color="121754"/>
        </w:tcBorders>
        <w:shd w:val="clear" w:color="auto" w:fill="ABB0ED"/>
      </w:tcPr>
    </w:tblStylePr>
    <w:tblStylePr w:type="band1Horz">
      <w:tblPr/>
      <w:tcPr>
        <w:tcBorders>
          <w:top w:val="single" w:sz="8" w:space="0" w:color="121754"/>
          <w:left w:val="single" w:sz="8" w:space="0" w:color="121754"/>
          <w:bottom w:val="single" w:sz="8" w:space="0" w:color="121754"/>
          <w:right w:val="single" w:sz="8" w:space="0" w:color="121754"/>
          <w:insideV w:val="single" w:sz="8" w:space="0" w:color="121754"/>
        </w:tcBorders>
        <w:shd w:val="clear" w:color="auto" w:fill="ABB0ED"/>
      </w:tcPr>
    </w:tblStylePr>
    <w:tblStylePr w:type="band2Horz">
      <w:tblPr/>
      <w:tcPr>
        <w:tcBorders>
          <w:top w:val="single" w:sz="8" w:space="0" w:color="121754"/>
          <w:left w:val="single" w:sz="8" w:space="0" w:color="121754"/>
          <w:bottom w:val="single" w:sz="8" w:space="0" w:color="121754"/>
          <w:right w:val="single" w:sz="8" w:space="0" w:color="121754"/>
          <w:insideV w:val="single" w:sz="8" w:space="0" w:color="121754"/>
        </w:tcBorders>
      </w:tcPr>
    </w:tblStylePr>
  </w:style>
  <w:style w:type="table" w:customStyle="1" w:styleId="HelleSchattierung-Akzent11">
    <w:name w:val="Helle Schattierung - Akzent 11"/>
    <w:basedOn w:val="TableNormal"/>
    <w:uiPriority w:val="60"/>
    <w:semiHidden/>
    <w:locked/>
    <w:rsid w:val="000F50EA"/>
    <w:pPr>
      <w:spacing w:after="0" w:line="240" w:lineRule="auto"/>
    </w:pPr>
    <w:rPr>
      <w:rFonts w:ascii="Arial" w:eastAsia="Times New Roman" w:hAnsi="Arial" w:cs="Times New Roman"/>
      <w:color w:val="0D113E"/>
      <w:sz w:val="20"/>
      <w:szCs w:val="20"/>
      <w:lang w:val="sq-AL" w:eastAsia="sq-AL"/>
    </w:rPr>
    <w:tblPr>
      <w:tblStyleRowBandSize w:val="1"/>
      <w:tblStyleColBandSize w:val="1"/>
      <w:tblInd w:w="0" w:type="dxa"/>
      <w:tblBorders>
        <w:top w:val="single" w:sz="8" w:space="0" w:color="121754"/>
        <w:bottom w:val="single" w:sz="8" w:space="0" w:color="12175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21754"/>
          <w:left w:val="nil"/>
          <w:bottom w:val="single" w:sz="8" w:space="0" w:color="121754"/>
          <w:right w:val="nil"/>
          <w:insideH w:val="nil"/>
          <w:insideV w:val="nil"/>
        </w:tcBorders>
      </w:tcPr>
    </w:tblStylePr>
    <w:tblStylePr w:type="lastRow">
      <w:pPr>
        <w:spacing w:before="0" w:after="0" w:line="240" w:lineRule="auto"/>
      </w:pPr>
      <w:rPr>
        <w:b/>
        <w:bCs/>
      </w:rPr>
      <w:tblPr/>
      <w:tcPr>
        <w:tcBorders>
          <w:top w:val="single" w:sz="8" w:space="0" w:color="121754"/>
          <w:left w:val="nil"/>
          <w:bottom w:val="single" w:sz="8" w:space="0" w:color="12175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B0ED"/>
      </w:tcPr>
    </w:tblStylePr>
    <w:tblStylePr w:type="band1Horz">
      <w:tblPr/>
      <w:tcPr>
        <w:tcBorders>
          <w:left w:val="nil"/>
          <w:right w:val="nil"/>
          <w:insideH w:val="nil"/>
          <w:insideV w:val="nil"/>
        </w:tcBorders>
        <w:shd w:val="clear" w:color="auto" w:fill="ABB0ED"/>
      </w:tcPr>
    </w:tblStylePr>
  </w:style>
  <w:style w:type="table" w:customStyle="1" w:styleId="DunkleListe1">
    <w:name w:val="Dunkle Liste1"/>
    <w:basedOn w:val="TableNormal"/>
    <w:uiPriority w:val="70"/>
    <w:semiHidden/>
    <w:unhideWhenUsed/>
    <w:locked/>
    <w:rsid w:val="000F50EA"/>
    <w:pPr>
      <w:spacing w:after="0" w:line="240" w:lineRule="auto"/>
    </w:pPr>
    <w:rPr>
      <w:rFonts w:ascii="Arial" w:eastAsia="Times New Roman" w:hAnsi="Arial" w:cs="Times New Roman"/>
      <w:color w:val="FFFFFF"/>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unhideWhenUsed/>
    <w:rsid w:val="000F50EA"/>
    <w:pPr>
      <w:spacing w:after="0" w:line="240" w:lineRule="auto"/>
    </w:pPr>
    <w:rPr>
      <w:rFonts w:ascii="Arial" w:eastAsia="Times New Roman" w:hAnsi="Arial" w:cs="Times New Roman"/>
      <w:color w:val="FFFFFF"/>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12175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90B29"/>
      </w:tcPr>
    </w:tblStylePr>
    <w:tblStylePr w:type="firstCol">
      <w:tblPr/>
      <w:tcPr>
        <w:tcBorders>
          <w:top w:val="nil"/>
          <w:left w:val="nil"/>
          <w:bottom w:val="nil"/>
          <w:right w:val="single" w:sz="18" w:space="0" w:color="FFFFFF"/>
          <w:insideH w:val="nil"/>
          <w:insideV w:val="nil"/>
        </w:tcBorders>
        <w:shd w:val="clear" w:color="auto" w:fill="0D113E"/>
      </w:tcPr>
    </w:tblStylePr>
    <w:tblStylePr w:type="lastCol">
      <w:tblPr/>
      <w:tcPr>
        <w:tcBorders>
          <w:top w:val="nil"/>
          <w:left w:val="single" w:sz="18" w:space="0" w:color="FFFFFF"/>
          <w:bottom w:val="nil"/>
          <w:right w:val="nil"/>
          <w:insideH w:val="nil"/>
          <w:insideV w:val="nil"/>
        </w:tcBorders>
        <w:shd w:val="clear" w:color="auto" w:fill="0D113E"/>
      </w:tcPr>
    </w:tblStylePr>
    <w:tblStylePr w:type="band1Vert">
      <w:tblPr/>
      <w:tcPr>
        <w:tcBorders>
          <w:top w:val="nil"/>
          <w:left w:val="nil"/>
          <w:bottom w:val="nil"/>
          <w:right w:val="nil"/>
          <w:insideH w:val="nil"/>
          <w:insideV w:val="nil"/>
        </w:tcBorders>
        <w:shd w:val="clear" w:color="auto" w:fill="0D113E"/>
      </w:tcPr>
    </w:tblStylePr>
    <w:tblStylePr w:type="band1Horz">
      <w:tblPr/>
      <w:tcPr>
        <w:tcBorders>
          <w:top w:val="nil"/>
          <w:left w:val="nil"/>
          <w:bottom w:val="nil"/>
          <w:right w:val="nil"/>
          <w:insideH w:val="nil"/>
          <w:insideV w:val="nil"/>
        </w:tcBorders>
        <w:shd w:val="clear" w:color="auto" w:fill="0D113E"/>
      </w:tcPr>
    </w:tblStylePr>
  </w:style>
  <w:style w:type="table" w:styleId="DarkList-Accent2">
    <w:name w:val="Dark List Accent 2"/>
    <w:basedOn w:val="TableNormal"/>
    <w:uiPriority w:val="70"/>
    <w:unhideWhenUsed/>
    <w:rsid w:val="000F50EA"/>
    <w:pPr>
      <w:spacing w:after="0" w:line="240" w:lineRule="auto"/>
    </w:pPr>
    <w:rPr>
      <w:rFonts w:ascii="Arial" w:eastAsia="Times New Roman" w:hAnsi="Arial" w:cs="Times New Roman"/>
      <w:color w:val="FFFFFF"/>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148DC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A4566"/>
      </w:tcPr>
    </w:tblStylePr>
    <w:tblStylePr w:type="firstCol">
      <w:tblPr/>
      <w:tcPr>
        <w:tcBorders>
          <w:top w:val="nil"/>
          <w:left w:val="nil"/>
          <w:bottom w:val="nil"/>
          <w:right w:val="single" w:sz="18" w:space="0" w:color="FFFFFF"/>
          <w:insideH w:val="nil"/>
          <w:insideV w:val="nil"/>
        </w:tcBorders>
        <w:shd w:val="clear" w:color="auto" w:fill="0F6999"/>
      </w:tcPr>
    </w:tblStylePr>
    <w:tblStylePr w:type="lastCol">
      <w:tblPr/>
      <w:tcPr>
        <w:tcBorders>
          <w:top w:val="nil"/>
          <w:left w:val="single" w:sz="18" w:space="0" w:color="FFFFFF"/>
          <w:bottom w:val="nil"/>
          <w:right w:val="nil"/>
          <w:insideH w:val="nil"/>
          <w:insideV w:val="nil"/>
        </w:tcBorders>
        <w:shd w:val="clear" w:color="auto" w:fill="0F6999"/>
      </w:tcPr>
    </w:tblStylePr>
    <w:tblStylePr w:type="band1Vert">
      <w:tblPr/>
      <w:tcPr>
        <w:tcBorders>
          <w:top w:val="nil"/>
          <w:left w:val="nil"/>
          <w:bottom w:val="nil"/>
          <w:right w:val="nil"/>
          <w:insideH w:val="nil"/>
          <w:insideV w:val="nil"/>
        </w:tcBorders>
        <w:shd w:val="clear" w:color="auto" w:fill="0F6999"/>
      </w:tcPr>
    </w:tblStylePr>
    <w:tblStylePr w:type="band1Horz">
      <w:tblPr/>
      <w:tcPr>
        <w:tcBorders>
          <w:top w:val="nil"/>
          <w:left w:val="nil"/>
          <w:bottom w:val="nil"/>
          <w:right w:val="nil"/>
          <w:insideH w:val="nil"/>
          <w:insideV w:val="nil"/>
        </w:tcBorders>
        <w:shd w:val="clear" w:color="auto" w:fill="0F6999"/>
      </w:tcPr>
    </w:tblStylePr>
  </w:style>
  <w:style w:type="table" w:styleId="DarkList-Accent3">
    <w:name w:val="Dark List Accent 3"/>
    <w:basedOn w:val="TableNormal"/>
    <w:uiPriority w:val="70"/>
    <w:unhideWhenUsed/>
    <w:rsid w:val="000F50EA"/>
    <w:pPr>
      <w:spacing w:after="0" w:line="240" w:lineRule="auto"/>
    </w:pPr>
    <w:rPr>
      <w:rFonts w:ascii="Arial" w:eastAsia="Times New Roman" w:hAnsi="Arial" w:cs="Times New Roman"/>
      <w:color w:val="FFFFFF"/>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94BAE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5A93"/>
      </w:tcPr>
    </w:tblStylePr>
    <w:tblStylePr w:type="firstCol">
      <w:tblPr/>
      <w:tcPr>
        <w:tcBorders>
          <w:top w:val="nil"/>
          <w:left w:val="nil"/>
          <w:bottom w:val="nil"/>
          <w:right w:val="single" w:sz="18" w:space="0" w:color="FFFFFF"/>
          <w:insideH w:val="nil"/>
          <w:insideV w:val="nil"/>
        </w:tcBorders>
        <w:shd w:val="clear" w:color="auto" w:fill="4989CF"/>
      </w:tcPr>
    </w:tblStylePr>
    <w:tblStylePr w:type="lastCol">
      <w:tblPr/>
      <w:tcPr>
        <w:tcBorders>
          <w:top w:val="nil"/>
          <w:left w:val="single" w:sz="18" w:space="0" w:color="FFFFFF"/>
          <w:bottom w:val="nil"/>
          <w:right w:val="nil"/>
          <w:insideH w:val="nil"/>
          <w:insideV w:val="nil"/>
        </w:tcBorders>
        <w:shd w:val="clear" w:color="auto" w:fill="4989CF"/>
      </w:tcPr>
    </w:tblStylePr>
    <w:tblStylePr w:type="band1Vert">
      <w:tblPr/>
      <w:tcPr>
        <w:tcBorders>
          <w:top w:val="nil"/>
          <w:left w:val="nil"/>
          <w:bottom w:val="nil"/>
          <w:right w:val="nil"/>
          <w:insideH w:val="nil"/>
          <w:insideV w:val="nil"/>
        </w:tcBorders>
        <w:shd w:val="clear" w:color="auto" w:fill="4989CF"/>
      </w:tcPr>
    </w:tblStylePr>
    <w:tblStylePr w:type="band1Horz">
      <w:tblPr/>
      <w:tcPr>
        <w:tcBorders>
          <w:top w:val="nil"/>
          <w:left w:val="nil"/>
          <w:bottom w:val="nil"/>
          <w:right w:val="nil"/>
          <w:insideH w:val="nil"/>
          <w:insideV w:val="nil"/>
        </w:tcBorders>
        <w:shd w:val="clear" w:color="auto" w:fill="4989CF"/>
      </w:tcPr>
    </w:tblStylePr>
  </w:style>
  <w:style w:type="table" w:styleId="DarkList-Accent4">
    <w:name w:val="Dark List Accent 4"/>
    <w:basedOn w:val="TableNormal"/>
    <w:uiPriority w:val="70"/>
    <w:unhideWhenUsed/>
    <w:rsid w:val="000F50EA"/>
    <w:pPr>
      <w:spacing w:after="0" w:line="240" w:lineRule="auto"/>
    </w:pPr>
    <w:rPr>
      <w:rFonts w:ascii="Arial" w:eastAsia="Times New Roman" w:hAnsi="Arial" w:cs="Times New Roman"/>
      <w:color w:val="FFFFFF"/>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79B51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C5A0E"/>
      </w:tcPr>
    </w:tblStylePr>
    <w:tblStylePr w:type="firstCol">
      <w:tblPr/>
      <w:tcPr>
        <w:tcBorders>
          <w:top w:val="nil"/>
          <w:left w:val="nil"/>
          <w:bottom w:val="nil"/>
          <w:right w:val="single" w:sz="18" w:space="0" w:color="FFFFFF"/>
          <w:insideH w:val="nil"/>
          <w:insideV w:val="nil"/>
        </w:tcBorders>
        <w:shd w:val="clear" w:color="auto" w:fill="5A8715"/>
      </w:tcPr>
    </w:tblStylePr>
    <w:tblStylePr w:type="lastCol">
      <w:tblPr/>
      <w:tcPr>
        <w:tcBorders>
          <w:top w:val="nil"/>
          <w:left w:val="single" w:sz="18" w:space="0" w:color="FFFFFF"/>
          <w:bottom w:val="nil"/>
          <w:right w:val="nil"/>
          <w:insideH w:val="nil"/>
          <w:insideV w:val="nil"/>
        </w:tcBorders>
        <w:shd w:val="clear" w:color="auto" w:fill="5A8715"/>
      </w:tcPr>
    </w:tblStylePr>
    <w:tblStylePr w:type="band1Vert">
      <w:tblPr/>
      <w:tcPr>
        <w:tcBorders>
          <w:top w:val="nil"/>
          <w:left w:val="nil"/>
          <w:bottom w:val="nil"/>
          <w:right w:val="nil"/>
          <w:insideH w:val="nil"/>
          <w:insideV w:val="nil"/>
        </w:tcBorders>
        <w:shd w:val="clear" w:color="auto" w:fill="5A8715"/>
      </w:tcPr>
    </w:tblStylePr>
    <w:tblStylePr w:type="band1Horz">
      <w:tblPr/>
      <w:tcPr>
        <w:tcBorders>
          <w:top w:val="nil"/>
          <w:left w:val="nil"/>
          <w:bottom w:val="nil"/>
          <w:right w:val="nil"/>
          <w:insideH w:val="nil"/>
          <w:insideV w:val="nil"/>
        </w:tcBorders>
        <w:shd w:val="clear" w:color="auto" w:fill="5A8715"/>
      </w:tcPr>
    </w:tblStylePr>
  </w:style>
  <w:style w:type="table" w:styleId="DarkList-Accent5">
    <w:name w:val="Dark List Accent 5"/>
    <w:basedOn w:val="TableNormal"/>
    <w:uiPriority w:val="70"/>
    <w:unhideWhenUsed/>
    <w:rsid w:val="000F50EA"/>
    <w:pPr>
      <w:spacing w:after="0" w:line="240" w:lineRule="auto"/>
    </w:pPr>
    <w:rPr>
      <w:rFonts w:ascii="Arial" w:eastAsia="Times New Roman" w:hAnsi="Arial" w:cs="Times New Roman"/>
      <w:color w:val="FFFFFF"/>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ACC7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56202"/>
      </w:tcPr>
    </w:tblStylePr>
    <w:tblStylePr w:type="firstCol">
      <w:tblPr/>
      <w:tcPr>
        <w:tcBorders>
          <w:top w:val="nil"/>
          <w:left w:val="nil"/>
          <w:bottom w:val="nil"/>
          <w:right w:val="single" w:sz="18" w:space="0" w:color="FFFFFF"/>
          <w:insideH w:val="nil"/>
          <w:insideV w:val="nil"/>
        </w:tcBorders>
        <w:shd w:val="clear" w:color="auto" w:fill="809403"/>
      </w:tcPr>
    </w:tblStylePr>
    <w:tblStylePr w:type="lastCol">
      <w:tblPr/>
      <w:tcPr>
        <w:tcBorders>
          <w:top w:val="nil"/>
          <w:left w:val="single" w:sz="18" w:space="0" w:color="FFFFFF"/>
          <w:bottom w:val="nil"/>
          <w:right w:val="nil"/>
          <w:insideH w:val="nil"/>
          <w:insideV w:val="nil"/>
        </w:tcBorders>
        <w:shd w:val="clear" w:color="auto" w:fill="809403"/>
      </w:tcPr>
    </w:tblStylePr>
    <w:tblStylePr w:type="band1Vert">
      <w:tblPr/>
      <w:tcPr>
        <w:tcBorders>
          <w:top w:val="nil"/>
          <w:left w:val="nil"/>
          <w:bottom w:val="nil"/>
          <w:right w:val="nil"/>
          <w:insideH w:val="nil"/>
          <w:insideV w:val="nil"/>
        </w:tcBorders>
        <w:shd w:val="clear" w:color="auto" w:fill="809403"/>
      </w:tcPr>
    </w:tblStylePr>
    <w:tblStylePr w:type="band1Horz">
      <w:tblPr/>
      <w:tcPr>
        <w:tcBorders>
          <w:top w:val="nil"/>
          <w:left w:val="nil"/>
          <w:bottom w:val="nil"/>
          <w:right w:val="nil"/>
          <w:insideH w:val="nil"/>
          <w:insideV w:val="nil"/>
        </w:tcBorders>
        <w:shd w:val="clear" w:color="auto" w:fill="809403"/>
      </w:tcPr>
    </w:tblStylePr>
  </w:style>
  <w:style w:type="table" w:styleId="DarkList-Accent6">
    <w:name w:val="Dark List Accent 6"/>
    <w:basedOn w:val="TableNormal"/>
    <w:uiPriority w:val="70"/>
    <w:unhideWhenUsed/>
    <w:rsid w:val="000F50EA"/>
    <w:pPr>
      <w:spacing w:after="0" w:line="240" w:lineRule="auto"/>
    </w:pPr>
    <w:rPr>
      <w:rFonts w:ascii="Arial" w:eastAsia="Times New Roman" w:hAnsi="Arial" w:cs="Times New Roman"/>
      <w:color w:val="FFFFFF"/>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F392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94800"/>
      </w:tcPr>
    </w:tblStylePr>
    <w:tblStylePr w:type="firstCol">
      <w:tblPr/>
      <w:tcPr>
        <w:tcBorders>
          <w:top w:val="nil"/>
          <w:left w:val="nil"/>
          <w:bottom w:val="nil"/>
          <w:right w:val="single" w:sz="18" w:space="0" w:color="FFFFFF"/>
          <w:insideH w:val="nil"/>
          <w:insideV w:val="nil"/>
        </w:tcBorders>
        <w:shd w:val="clear" w:color="auto" w:fill="B66D00"/>
      </w:tcPr>
    </w:tblStylePr>
    <w:tblStylePr w:type="lastCol">
      <w:tblPr/>
      <w:tcPr>
        <w:tcBorders>
          <w:top w:val="nil"/>
          <w:left w:val="single" w:sz="18" w:space="0" w:color="FFFFFF"/>
          <w:bottom w:val="nil"/>
          <w:right w:val="nil"/>
          <w:insideH w:val="nil"/>
          <w:insideV w:val="nil"/>
        </w:tcBorders>
        <w:shd w:val="clear" w:color="auto" w:fill="B66D00"/>
      </w:tcPr>
    </w:tblStylePr>
    <w:tblStylePr w:type="band1Vert">
      <w:tblPr/>
      <w:tcPr>
        <w:tcBorders>
          <w:top w:val="nil"/>
          <w:left w:val="nil"/>
          <w:bottom w:val="nil"/>
          <w:right w:val="nil"/>
          <w:insideH w:val="nil"/>
          <w:insideV w:val="nil"/>
        </w:tcBorders>
        <w:shd w:val="clear" w:color="auto" w:fill="B66D00"/>
      </w:tcPr>
    </w:tblStylePr>
    <w:tblStylePr w:type="band1Horz">
      <w:tblPr/>
      <w:tcPr>
        <w:tcBorders>
          <w:top w:val="nil"/>
          <w:left w:val="nil"/>
          <w:bottom w:val="nil"/>
          <w:right w:val="nil"/>
          <w:insideH w:val="nil"/>
          <w:insideV w:val="nil"/>
        </w:tcBorders>
        <w:shd w:val="clear" w:color="auto" w:fill="B66D00"/>
      </w:tcPr>
    </w:tblStylePr>
  </w:style>
  <w:style w:type="table" w:customStyle="1" w:styleId="HelleListe1">
    <w:name w:val="Helle Liste1"/>
    <w:basedOn w:val="TableNormal"/>
    <w:uiPriority w:val="61"/>
    <w:semiHidden/>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HelleListe-Akzent11">
    <w:name w:val="Helle Liste - Akzent 11"/>
    <w:basedOn w:val="TableNormal"/>
    <w:uiPriority w:val="61"/>
    <w:semiHidden/>
    <w:lock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121754"/>
        <w:left w:val="single" w:sz="8" w:space="0" w:color="121754"/>
        <w:bottom w:val="single" w:sz="8" w:space="0" w:color="121754"/>
        <w:right w:val="single" w:sz="8" w:space="0" w:color="12175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21754"/>
      </w:tcPr>
    </w:tblStylePr>
    <w:tblStylePr w:type="lastRow">
      <w:pPr>
        <w:spacing w:before="0" w:after="0" w:line="240" w:lineRule="auto"/>
      </w:pPr>
      <w:rPr>
        <w:b/>
        <w:bCs/>
      </w:rPr>
      <w:tblPr/>
      <w:tcPr>
        <w:tcBorders>
          <w:top w:val="double" w:sz="6" w:space="0" w:color="121754"/>
          <w:left w:val="single" w:sz="8" w:space="0" w:color="121754"/>
          <w:bottom w:val="single" w:sz="8" w:space="0" w:color="121754"/>
          <w:right w:val="single" w:sz="8" w:space="0" w:color="121754"/>
        </w:tcBorders>
      </w:tcPr>
    </w:tblStylePr>
    <w:tblStylePr w:type="firstCol">
      <w:rPr>
        <w:b/>
        <w:bCs/>
      </w:rPr>
    </w:tblStylePr>
    <w:tblStylePr w:type="lastCol">
      <w:rPr>
        <w:b/>
        <w:bCs/>
      </w:rPr>
    </w:tblStylePr>
    <w:tblStylePr w:type="band1Vert">
      <w:tblPr/>
      <w:tcPr>
        <w:tcBorders>
          <w:top w:val="single" w:sz="8" w:space="0" w:color="121754"/>
          <w:left w:val="single" w:sz="8" w:space="0" w:color="121754"/>
          <w:bottom w:val="single" w:sz="8" w:space="0" w:color="121754"/>
          <w:right w:val="single" w:sz="8" w:space="0" w:color="121754"/>
        </w:tcBorders>
      </w:tcPr>
    </w:tblStylePr>
    <w:tblStylePr w:type="band1Horz">
      <w:tblPr/>
      <w:tcPr>
        <w:tcBorders>
          <w:top w:val="single" w:sz="8" w:space="0" w:color="121754"/>
          <w:left w:val="single" w:sz="8" w:space="0" w:color="121754"/>
          <w:bottom w:val="single" w:sz="8" w:space="0" w:color="121754"/>
          <w:right w:val="single" w:sz="8" w:space="0" w:color="121754"/>
        </w:tcBorders>
      </w:tcPr>
    </w:tblStylePr>
  </w:style>
  <w:style w:type="table" w:styleId="LightList-Accent3">
    <w:name w:val="Light List Accent 3"/>
    <w:basedOn w:val="TableNormal"/>
    <w:uiPriority w:val="61"/>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94BAE3"/>
        <w:left w:val="single" w:sz="8" w:space="0" w:color="94BAE3"/>
        <w:bottom w:val="single" w:sz="8" w:space="0" w:color="94BAE3"/>
        <w:right w:val="single" w:sz="8" w:space="0" w:color="94BAE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4BAE3"/>
      </w:tcPr>
    </w:tblStylePr>
    <w:tblStylePr w:type="lastRow">
      <w:pPr>
        <w:spacing w:before="0" w:after="0" w:line="240" w:lineRule="auto"/>
      </w:pPr>
      <w:rPr>
        <w:b/>
        <w:bCs/>
      </w:rPr>
      <w:tblPr/>
      <w:tcPr>
        <w:tcBorders>
          <w:top w:val="double" w:sz="6" w:space="0" w:color="94BAE3"/>
          <w:left w:val="single" w:sz="8" w:space="0" w:color="94BAE3"/>
          <w:bottom w:val="single" w:sz="8" w:space="0" w:color="94BAE3"/>
          <w:right w:val="single" w:sz="8" w:space="0" w:color="94BAE3"/>
        </w:tcBorders>
      </w:tcPr>
    </w:tblStylePr>
    <w:tblStylePr w:type="firstCol">
      <w:rPr>
        <w:b/>
        <w:bCs/>
      </w:rPr>
    </w:tblStylePr>
    <w:tblStylePr w:type="lastCol">
      <w:rPr>
        <w:b/>
        <w:bCs/>
      </w:rPr>
    </w:tblStylePr>
    <w:tblStylePr w:type="band1Vert">
      <w:tblPr/>
      <w:tcPr>
        <w:tcBorders>
          <w:top w:val="single" w:sz="8" w:space="0" w:color="94BAE3"/>
          <w:left w:val="single" w:sz="8" w:space="0" w:color="94BAE3"/>
          <w:bottom w:val="single" w:sz="8" w:space="0" w:color="94BAE3"/>
          <w:right w:val="single" w:sz="8" w:space="0" w:color="94BAE3"/>
        </w:tcBorders>
      </w:tcPr>
    </w:tblStylePr>
    <w:tblStylePr w:type="band1Horz">
      <w:tblPr/>
      <w:tcPr>
        <w:tcBorders>
          <w:top w:val="single" w:sz="8" w:space="0" w:color="94BAE3"/>
          <w:left w:val="single" w:sz="8" w:space="0" w:color="94BAE3"/>
          <w:bottom w:val="single" w:sz="8" w:space="0" w:color="94BAE3"/>
          <w:right w:val="single" w:sz="8" w:space="0" w:color="94BAE3"/>
        </w:tcBorders>
      </w:tcPr>
    </w:tblStylePr>
  </w:style>
  <w:style w:type="table" w:styleId="LightList-Accent4">
    <w:name w:val="Light List Accent 4"/>
    <w:basedOn w:val="TableNormal"/>
    <w:uiPriority w:val="61"/>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79B51C"/>
        <w:left w:val="single" w:sz="8" w:space="0" w:color="79B51C"/>
        <w:bottom w:val="single" w:sz="8" w:space="0" w:color="79B51C"/>
        <w:right w:val="single" w:sz="8" w:space="0" w:color="79B51C"/>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79B51C"/>
      </w:tcPr>
    </w:tblStylePr>
    <w:tblStylePr w:type="lastRow">
      <w:pPr>
        <w:spacing w:before="0" w:after="0" w:line="240" w:lineRule="auto"/>
      </w:pPr>
      <w:rPr>
        <w:b/>
        <w:bCs/>
      </w:rPr>
      <w:tblPr/>
      <w:tcPr>
        <w:tcBorders>
          <w:top w:val="double" w:sz="6" w:space="0" w:color="79B51C"/>
          <w:left w:val="single" w:sz="8" w:space="0" w:color="79B51C"/>
          <w:bottom w:val="single" w:sz="8" w:space="0" w:color="79B51C"/>
          <w:right w:val="single" w:sz="8" w:space="0" w:color="79B51C"/>
        </w:tcBorders>
      </w:tcPr>
    </w:tblStylePr>
    <w:tblStylePr w:type="firstCol">
      <w:rPr>
        <w:b/>
        <w:bCs/>
      </w:rPr>
    </w:tblStylePr>
    <w:tblStylePr w:type="lastCol">
      <w:rPr>
        <w:b/>
        <w:bCs/>
      </w:rPr>
    </w:tblStylePr>
    <w:tblStylePr w:type="band1Vert">
      <w:tblPr/>
      <w:tcPr>
        <w:tcBorders>
          <w:top w:val="single" w:sz="8" w:space="0" w:color="79B51C"/>
          <w:left w:val="single" w:sz="8" w:space="0" w:color="79B51C"/>
          <w:bottom w:val="single" w:sz="8" w:space="0" w:color="79B51C"/>
          <w:right w:val="single" w:sz="8" w:space="0" w:color="79B51C"/>
        </w:tcBorders>
      </w:tcPr>
    </w:tblStylePr>
    <w:tblStylePr w:type="band1Horz">
      <w:tblPr/>
      <w:tcPr>
        <w:tcBorders>
          <w:top w:val="single" w:sz="8" w:space="0" w:color="79B51C"/>
          <w:left w:val="single" w:sz="8" w:space="0" w:color="79B51C"/>
          <w:bottom w:val="single" w:sz="8" w:space="0" w:color="79B51C"/>
          <w:right w:val="single" w:sz="8" w:space="0" w:color="79B51C"/>
        </w:tcBorders>
      </w:tcPr>
    </w:tblStylePr>
  </w:style>
  <w:style w:type="table" w:styleId="LightList-Accent6">
    <w:name w:val="Light List Accent 6"/>
    <w:basedOn w:val="TableNormal"/>
    <w:uiPriority w:val="61"/>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39200"/>
        <w:left w:val="single" w:sz="8" w:space="0" w:color="F39200"/>
        <w:bottom w:val="single" w:sz="8" w:space="0" w:color="F39200"/>
        <w:right w:val="single" w:sz="8" w:space="0" w:color="F392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39200"/>
      </w:tcPr>
    </w:tblStylePr>
    <w:tblStylePr w:type="lastRow">
      <w:pPr>
        <w:spacing w:before="0" w:after="0" w:line="240" w:lineRule="auto"/>
      </w:pPr>
      <w:rPr>
        <w:b/>
        <w:bCs/>
      </w:rPr>
      <w:tblPr/>
      <w:tcPr>
        <w:tcBorders>
          <w:top w:val="double" w:sz="6" w:space="0" w:color="F39200"/>
          <w:left w:val="single" w:sz="8" w:space="0" w:color="F39200"/>
          <w:bottom w:val="single" w:sz="8" w:space="0" w:color="F39200"/>
          <w:right w:val="single" w:sz="8" w:space="0" w:color="F39200"/>
        </w:tcBorders>
      </w:tcPr>
    </w:tblStylePr>
    <w:tblStylePr w:type="firstCol">
      <w:rPr>
        <w:b/>
        <w:bCs/>
      </w:rPr>
    </w:tblStylePr>
    <w:tblStylePr w:type="lastCol">
      <w:rPr>
        <w:b/>
        <w:bCs/>
      </w:rPr>
    </w:tblStylePr>
    <w:tblStylePr w:type="band1Vert">
      <w:tblPr/>
      <w:tcPr>
        <w:tcBorders>
          <w:top w:val="single" w:sz="8" w:space="0" w:color="F39200"/>
          <w:left w:val="single" w:sz="8" w:space="0" w:color="F39200"/>
          <w:bottom w:val="single" w:sz="8" w:space="0" w:color="F39200"/>
          <w:right w:val="single" w:sz="8" w:space="0" w:color="F39200"/>
        </w:tcBorders>
      </w:tcPr>
    </w:tblStylePr>
    <w:tblStylePr w:type="band1Horz">
      <w:tblPr/>
      <w:tcPr>
        <w:tcBorders>
          <w:top w:val="single" w:sz="8" w:space="0" w:color="F39200"/>
          <w:left w:val="single" w:sz="8" w:space="0" w:color="F39200"/>
          <w:bottom w:val="single" w:sz="8" w:space="0" w:color="F39200"/>
          <w:right w:val="single" w:sz="8" w:space="0" w:color="F39200"/>
        </w:tcBorders>
      </w:tcPr>
    </w:tblStylePr>
  </w:style>
  <w:style w:type="table" w:styleId="LightShading-Accent2">
    <w:name w:val="Light Shading Accent 2"/>
    <w:basedOn w:val="TableNormal"/>
    <w:uiPriority w:val="60"/>
    <w:rsid w:val="000F50EA"/>
    <w:pPr>
      <w:numPr>
        <w:ilvl w:val="1"/>
        <w:numId w:val="16"/>
      </w:numPr>
      <w:tabs>
        <w:tab w:val="num" w:pos="907"/>
      </w:tabs>
      <w:spacing w:after="0" w:line="240" w:lineRule="auto"/>
      <w:ind w:left="907" w:hanging="453"/>
    </w:pPr>
    <w:rPr>
      <w:rFonts w:ascii="Arial" w:eastAsia="Times New Roman" w:hAnsi="Arial" w:cs="Times New Roman"/>
      <w:color w:val="0F6999"/>
      <w:sz w:val="20"/>
      <w:szCs w:val="20"/>
      <w:lang w:val="sq-AL" w:eastAsia="sq-AL"/>
    </w:rPr>
    <w:tblPr>
      <w:tblStyleRowBandSize w:val="1"/>
      <w:tblStyleColBandSize w:val="1"/>
      <w:tblInd w:w="0" w:type="dxa"/>
      <w:tblBorders>
        <w:top w:val="single" w:sz="8" w:space="0" w:color="148DCD"/>
        <w:bottom w:val="single" w:sz="8" w:space="0" w:color="148DC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48DCD"/>
          <w:left w:val="nil"/>
          <w:bottom w:val="single" w:sz="8" w:space="0" w:color="148DCD"/>
          <w:right w:val="nil"/>
          <w:insideH w:val="nil"/>
          <w:insideV w:val="nil"/>
        </w:tcBorders>
      </w:tcPr>
    </w:tblStylePr>
    <w:tblStylePr w:type="lastRow">
      <w:pPr>
        <w:spacing w:before="0" w:after="0" w:line="240" w:lineRule="auto"/>
      </w:pPr>
      <w:rPr>
        <w:b/>
        <w:bCs/>
      </w:rPr>
      <w:tblPr/>
      <w:tcPr>
        <w:tcBorders>
          <w:top w:val="single" w:sz="8" w:space="0" w:color="148DCD"/>
          <w:left w:val="nil"/>
          <w:bottom w:val="single" w:sz="8" w:space="0" w:color="148DC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EE4F8"/>
      </w:tcPr>
    </w:tblStylePr>
    <w:tblStylePr w:type="band1Horz">
      <w:tblPr/>
      <w:tcPr>
        <w:tcBorders>
          <w:left w:val="nil"/>
          <w:right w:val="nil"/>
          <w:insideH w:val="nil"/>
          <w:insideV w:val="nil"/>
        </w:tcBorders>
        <w:shd w:val="clear" w:color="auto" w:fill="BEE4F8"/>
      </w:tcPr>
    </w:tblStylePr>
  </w:style>
  <w:style w:type="table" w:styleId="LightShading-Accent3">
    <w:name w:val="Light Shading Accent 3"/>
    <w:basedOn w:val="TableNormal"/>
    <w:uiPriority w:val="60"/>
    <w:rsid w:val="000F50EA"/>
    <w:pPr>
      <w:numPr>
        <w:ilvl w:val="2"/>
        <w:numId w:val="16"/>
      </w:numPr>
      <w:tabs>
        <w:tab w:val="num" w:pos="1361"/>
      </w:tabs>
      <w:spacing w:after="0" w:line="240" w:lineRule="auto"/>
      <w:ind w:left="1361" w:hanging="454"/>
    </w:pPr>
    <w:rPr>
      <w:rFonts w:ascii="Arial" w:eastAsia="Times New Roman" w:hAnsi="Arial" w:cs="Times New Roman"/>
      <w:color w:val="4989CF"/>
      <w:sz w:val="20"/>
      <w:szCs w:val="20"/>
      <w:lang w:val="sq-AL" w:eastAsia="sq-AL"/>
    </w:rPr>
    <w:tblPr>
      <w:tblStyleRowBandSize w:val="1"/>
      <w:tblStyleColBandSize w:val="1"/>
      <w:tblInd w:w="0" w:type="dxa"/>
      <w:tblBorders>
        <w:top w:val="single" w:sz="8" w:space="0" w:color="94BAE3"/>
        <w:bottom w:val="single" w:sz="8" w:space="0" w:color="94BAE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4BAE3"/>
          <w:left w:val="nil"/>
          <w:bottom w:val="single" w:sz="8" w:space="0" w:color="94BAE3"/>
          <w:right w:val="nil"/>
          <w:insideH w:val="nil"/>
          <w:insideV w:val="nil"/>
        </w:tcBorders>
      </w:tcPr>
    </w:tblStylePr>
    <w:tblStylePr w:type="lastRow">
      <w:pPr>
        <w:spacing w:before="0" w:after="0" w:line="240" w:lineRule="auto"/>
      </w:pPr>
      <w:rPr>
        <w:b/>
        <w:bCs/>
      </w:rPr>
      <w:tblPr/>
      <w:tcPr>
        <w:tcBorders>
          <w:top w:val="single" w:sz="8" w:space="0" w:color="94BAE3"/>
          <w:left w:val="nil"/>
          <w:bottom w:val="single" w:sz="8" w:space="0" w:color="94BAE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DF8"/>
      </w:tcPr>
    </w:tblStylePr>
    <w:tblStylePr w:type="band1Horz">
      <w:tblPr/>
      <w:tcPr>
        <w:tcBorders>
          <w:left w:val="nil"/>
          <w:right w:val="nil"/>
          <w:insideH w:val="nil"/>
          <w:insideV w:val="nil"/>
        </w:tcBorders>
        <w:shd w:val="clear" w:color="auto" w:fill="E4EDF8"/>
      </w:tcPr>
    </w:tblStylePr>
  </w:style>
  <w:style w:type="table" w:styleId="LightShading-Accent4">
    <w:name w:val="Light Shading Accent 4"/>
    <w:basedOn w:val="TableNormal"/>
    <w:uiPriority w:val="60"/>
    <w:rsid w:val="000F50EA"/>
    <w:pPr>
      <w:spacing w:after="0" w:line="240" w:lineRule="auto"/>
    </w:pPr>
    <w:rPr>
      <w:rFonts w:ascii="Arial" w:eastAsia="Times New Roman" w:hAnsi="Arial" w:cs="Times New Roman"/>
      <w:color w:val="5A8715"/>
      <w:sz w:val="20"/>
      <w:szCs w:val="20"/>
      <w:lang w:val="sq-AL" w:eastAsia="sq-AL"/>
    </w:rPr>
    <w:tblPr>
      <w:tblStyleRowBandSize w:val="1"/>
      <w:tblStyleColBandSize w:val="1"/>
      <w:tblInd w:w="0" w:type="dxa"/>
      <w:tblBorders>
        <w:top w:val="single" w:sz="8" w:space="0" w:color="79B51C"/>
        <w:bottom w:val="single" w:sz="8" w:space="0" w:color="79B51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9B51C"/>
          <w:left w:val="nil"/>
          <w:bottom w:val="single" w:sz="8" w:space="0" w:color="79B51C"/>
          <w:right w:val="nil"/>
          <w:insideH w:val="nil"/>
          <w:insideV w:val="nil"/>
        </w:tcBorders>
      </w:tcPr>
    </w:tblStylePr>
    <w:tblStylePr w:type="lastRow">
      <w:pPr>
        <w:spacing w:before="0" w:after="0" w:line="240" w:lineRule="auto"/>
      </w:pPr>
      <w:rPr>
        <w:b/>
        <w:bCs/>
      </w:rPr>
      <w:tblPr/>
      <w:tcPr>
        <w:tcBorders>
          <w:top w:val="single" w:sz="8" w:space="0" w:color="79B51C"/>
          <w:left w:val="nil"/>
          <w:bottom w:val="single" w:sz="8" w:space="0" w:color="79B51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F5BE"/>
      </w:tcPr>
    </w:tblStylePr>
    <w:tblStylePr w:type="band1Horz">
      <w:tblPr/>
      <w:tcPr>
        <w:tcBorders>
          <w:left w:val="nil"/>
          <w:right w:val="nil"/>
          <w:insideH w:val="nil"/>
          <w:insideV w:val="nil"/>
        </w:tcBorders>
        <w:shd w:val="clear" w:color="auto" w:fill="DFF5BE"/>
      </w:tcPr>
    </w:tblStylePr>
  </w:style>
  <w:style w:type="table" w:styleId="LightShading-Accent5">
    <w:name w:val="Light Shading Accent 5"/>
    <w:basedOn w:val="TableNormal"/>
    <w:uiPriority w:val="60"/>
    <w:rsid w:val="000F50EA"/>
    <w:pPr>
      <w:spacing w:after="0" w:line="240" w:lineRule="auto"/>
    </w:pPr>
    <w:rPr>
      <w:rFonts w:ascii="Arial" w:eastAsia="Times New Roman" w:hAnsi="Arial" w:cs="Times New Roman"/>
      <w:color w:val="809403"/>
      <w:sz w:val="20"/>
      <w:szCs w:val="20"/>
      <w:lang w:val="sq-AL" w:eastAsia="sq-AL"/>
    </w:rPr>
    <w:tblPr>
      <w:tblStyleRowBandSize w:val="1"/>
      <w:tblStyleColBandSize w:val="1"/>
      <w:tblInd w:w="0" w:type="dxa"/>
      <w:tblBorders>
        <w:top w:val="single" w:sz="8" w:space="0" w:color="ACC705"/>
        <w:bottom w:val="single" w:sz="8" w:space="0" w:color="ACC70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CC705"/>
          <w:left w:val="nil"/>
          <w:bottom w:val="single" w:sz="8" w:space="0" w:color="ACC705"/>
          <w:right w:val="nil"/>
          <w:insideH w:val="nil"/>
          <w:insideV w:val="nil"/>
        </w:tcBorders>
      </w:tcPr>
    </w:tblStylePr>
    <w:tblStylePr w:type="lastRow">
      <w:pPr>
        <w:spacing w:before="0" w:after="0" w:line="240" w:lineRule="auto"/>
      </w:pPr>
      <w:rPr>
        <w:b/>
        <w:bCs/>
      </w:rPr>
      <w:tblPr/>
      <w:tcPr>
        <w:tcBorders>
          <w:top w:val="single" w:sz="8" w:space="0" w:color="ACC705"/>
          <w:left w:val="nil"/>
          <w:bottom w:val="single" w:sz="8" w:space="0" w:color="ACC70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DB5"/>
      </w:tcPr>
    </w:tblStylePr>
    <w:tblStylePr w:type="band1Horz">
      <w:tblPr/>
      <w:tcPr>
        <w:tcBorders>
          <w:left w:val="nil"/>
          <w:right w:val="nil"/>
          <w:insideH w:val="nil"/>
          <w:insideV w:val="nil"/>
        </w:tcBorders>
        <w:shd w:val="clear" w:color="auto" w:fill="F3FDB5"/>
      </w:tcPr>
    </w:tblStylePr>
  </w:style>
  <w:style w:type="table" w:styleId="LightShading-Accent6">
    <w:name w:val="Light Shading Accent 6"/>
    <w:basedOn w:val="TableNormal"/>
    <w:uiPriority w:val="60"/>
    <w:rsid w:val="000F50EA"/>
    <w:pPr>
      <w:spacing w:after="0" w:line="240" w:lineRule="auto"/>
    </w:pPr>
    <w:rPr>
      <w:rFonts w:ascii="Arial" w:eastAsia="Times New Roman" w:hAnsi="Arial" w:cs="Times New Roman"/>
      <w:color w:val="B66D00"/>
      <w:sz w:val="20"/>
      <w:szCs w:val="20"/>
      <w:lang w:val="sq-AL" w:eastAsia="sq-AL"/>
    </w:rPr>
    <w:tblPr>
      <w:tblStyleRowBandSize w:val="1"/>
      <w:tblStyleColBandSize w:val="1"/>
      <w:tblInd w:w="0" w:type="dxa"/>
      <w:tblBorders>
        <w:top w:val="single" w:sz="8" w:space="0" w:color="F39200"/>
        <w:bottom w:val="single" w:sz="8" w:space="0" w:color="F392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39200"/>
          <w:left w:val="nil"/>
          <w:bottom w:val="single" w:sz="8" w:space="0" w:color="F39200"/>
          <w:right w:val="nil"/>
          <w:insideH w:val="nil"/>
          <w:insideV w:val="nil"/>
        </w:tcBorders>
      </w:tcPr>
    </w:tblStylePr>
    <w:tblStylePr w:type="lastRow">
      <w:pPr>
        <w:spacing w:before="0" w:after="0" w:line="240" w:lineRule="auto"/>
      </w:pPr>
      <w:rPr>
        <w:b/>
        <w:bCs/>
      </w:rPr>
      <w:tblPr/>
      <w:tcPr>
        <w:tcBorders>
          <w:top w:val="single" w:sz="8" w:space="0" w:color="F39200"/>
          <w:left w:val="nil"/>
          <w:bottom w:val="single" w:sz="8" w:space="0" w:color="F392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4BD"/>
      </w:tcPr>
    </w:tblStylePr>
    <w:tblStylePr w:type="band1Horz">
      <w:tblPr/>
      <w:tcPr>
        <w:tcBorders>
          <w:left w:val="nil"/>
          <w:right w:val="nil"/>
          <w:insideH w:val="nil"/>
          <w:insideV w:val="nil"/>
        </w:tcBorders>
        <w:shd w:val="clear" w:color="auto" w:fill="FFE4BD"/>
      </w:tcPr>
    </w:tblStylePr>
  </w:style>
  <w:style w:type="table" w:customStyle="1" w:styleId="HellesRaster1">
    <w:name w:val="Helles Raster1"/>
    <w:basedOn w:val="TableNormal"/>
    <w:uiPriority w:val="62"/>
    <w:semiHidden/>
    <w:lock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rial" w:eastAsia="MS Gothic" w:hAnsi="Aria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w:eastAsia="MS Gothic" w:hAnsi="Aria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w:eastAsia="MS Gothic" w:hAnsi="Arial" w:cs="Times New Roman"/>
        <w:b/>
        <w:bCs/>
      </w:rPr>
    </w:tblStylePr>
    <w:tblStylePr w:type="lastCol">
      <w:rPr>
        <w:rFonts w:ascii="Arial" w:eastAsia="MS Gothic" w:hAnsi="Aria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2">
    <w:name w:val="Light Grid Accent 2"/>
    <w:basedOn w:val="TableNormal"/>
    <w:uiPriority w:val="62"/>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148DCD"/>
        <w:left w:val="single" w:sz="8" w:space="0" w:color="148DCD"/>
        <w:bottom w:val="single" w:sz="8" w:space="0" w:color="148DCD"/>
        <w:right w:val="single" w:sz="8" w:space="0" w:color="148DCD"/>
        <w:insideH w:val="single" w:sz="8" w:space="0" w:color="148DCD"/>
        <w:insideV w:val="single" w:sz="8" w:space="0" w:color="148DCD"/>
      </w:tblBorders>
      <w:tblCellMar>
        <w:top w:w="0" w:type="dxa"/>
        <w:left w:w="108" w:type="dxa"/>
        <w:bottom w:w="0" w:type="dxa"/>
        <w:right w:w="108" w:type="dxa"/>
      </w:tblCellMar>
    </w:tblPr>
    <w:tblStylePr w:type="firstRow">
      <w:pPr>
        <w:spacing w:before="0" w:after="0" w:line="240" w:lineRule="auto"/>
      </w:pPr>
      <w:rPr>
        <w:rFonts w:ascii="Arial" w:eastAsia="MS Gothic" w:hAnsi="Arial" w:cs="Times New Roman"/>
        <w:b/>
        <w:bCs/>
      </w:rPr>
      <w:tblPr/>
      <w:tcPr>
        <w:tcBorders>
          <w:top w:val="single" w:sz="8" w:space="0" w:color="148DCD"/>
          <w:left w:val="single" w:sz="8" w:space="0" w:color="148DCD"/>
          <w:bottom w:val="single" w:sz="18" w:space="0" w:color="148DCD"/>
          <w:right w:val="single" w:sz="8" w:space="0" w:color="148DCD"/>
          <w:insideH w:val="nil"/>
          <w:insideV w:val="single" w:sz="8" w:space="0" w:color="148DCD"/>
        </w:tcBorders>
      </w:tcPr>
    </w:tblStylePr>
    <w:tblStylePr w:type="lastRow">
      <w:pPr>
        <w:spacing w:before="0" w:after="0" w:line="240" w:lineRule="auto"/>
      </w:pPr>
      <w:rPr>
        <w:rFonts w:ascii="Arial" w:eastAsia="MS Gothic" w:hAnsi="Arial" w:cs="Times New Roman"/>
        <w:b/>
        <w:bCs/>
      </w:rPr>
      <w:tblPr/>
      <w:tcPr>
        <w:tcBorders>
          <w:top w:val="double" w:sz="6" w:space="0" w:color="148DCD"/>
          <w:left w:val="single" w:sz="8" w:space="0" w:color="148DCD"/>
          <w:bottom w:val="single" w:sz="8" w:space="0" w:color="148DCD"/>
          <w:right w:val="single" w:sz="8" w:space="0" w:color="148DCD"/>
          <w:insideH w:val="nil"/>
          <w:insideV w:val="single" w:sz="8" w:space="0" w:color="148DCD"/>
        </w:tcBorders>
      </w:tcPr>
    </w:tblStylePr>
    <w:tblStylePr w:type="firstCol">
      <w:rPr>
        <w:rFonts w:ascii="Arial" w:eastAsia="MS Gothic" w:hAnsi="Arial" w:cs="Times New Roman"/>
        <w:b/>
        <w:bCs/>
      </w:rPr>
    </w:tblStylePr>
    <w:tblStylePr w:type="lastCol">
      <w:rPr>
        <w:rFonts w:ascii="Arial" w:eastAsia="MS Gothic" w:hAnsi="Arial" w:cs="Times New Roman"/>
        <w:b/>
        <w:bCs/>
      </w:rPr>
      <w:tblPr/>
      <w:tcPr>
        <w:tcBorders>
          <w:top w:val="single" w:sz="8" w:space="0" w:color="148DCD"/>
          <w:left w:val="single" w:sz="8" w:space="0" w:color="148DCD"/>
          <w:bottom w:val="single" w:sz="8" w:space="0" w:color="148DCD"/>
          <w:right w:val="single" w:sz="8" w:space="0" w:color="148DCD"/>
        </w:tcBorders>
      </w:tcPr>
    </w:tblStylePr>
    <w:tblStylePr w:type="band1Vert">
      <w:tblPr/>
      <w:tcPr>
        <w:tcBorders>
          <w:top w:val="single" w:sz="8" w:space="0" w:color="148DCD"/>
          <w:left w:val="single" w:sz="8" w:space="0" w:color="148DCD"/>
          <w:bottom w:val="single" w:sz="8" w:space="0" w:color="148DCD"/>
          <w:right w:val="single" w:sz="8" w:space="0" w:color="148DCD"/>
        </w:tcBorders>
        <w:shd w:val="clear" w:color="auto" w:fill="BEE4F8"/>
      </w:tcPr>
    </w:tblStylePr>
    <w:tblStylePr w:type="band1Horz">
      <w:tblPr/>
      <w:tcPr>
        <w:tcBorders>
          <w:top w:val="single" w:sz="8" w:space="0" w:color="148DCD"/>
          <w:left w:val="single" w:sz="8" w:space="0" w:color="148DCD"/>
          <w:bottom w:val="single" w:sz="8" w:space="0" w:color="148DCD"/>
          <w:right w:val="single" w:sz="8" w:space="0" w:color="148DCD"/>
          <w:insideV w:val="single" w:sz="8" w:space="0" w:color="148DCD"/>
        </w:tcBorders>
        <w:shd w:val="clear" w:color="auto" w:fill="BEE4F8"/>
      </w:tcPr>
    </w:tblStylePr>
    <w:tblStylePr w:type="band2Horz">
      <w:tblPr/>
      <w:tcPr>
        <w:tcBorders>
          <w:top w:val="single" w:sz="8" w:space="0" w:color="148DCD"/>
          <w:left w:val="single" w:sz="8" w:space="0" w:color="148DCD"/>
          <w:bottom w:val="single" w:sz="8" w:space="0" w:color="148DCD"/>
          <w:right w:val="single" w:sz="8" w:space="0" w:color="148DCD"/>
          <w:insideV w:val="single" w:sz="8" w:space="0" w:color="148DCD"/>
        </w:tcBorders>
      </w:tcPr>
    </w:tblStylePr>
  </w:style>
  <w:style w:type="table" w:styleId="LightGrid-Accent3">
    <w:name w:val="Light Grid Accent 3"/>
    <w:basedOn w:val="TableNormal"/>
    <w:uiPriority w:val="62"/>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94BAE3"/>
        <w:left w:val="single" w:sz="8" w:space="0" w:color="94BAE3"/>
        <w:bottom w:val="single" w:sz="8" w:space="0" w:color="94BAE3"/>
        <w:right w:val="single" w:sz="8" w:space="0" w:color="94BAE3"/>
        <w:insideH w:val="single" w:sz="8" w:space="0" w:color="94BAE3"/>
        <w:insideV w:val="single" w:sz="8" w:space="0" w:color="94BAE3"/>
      </w:tblBorders>
      <w:tblCellMar>
        <w:top w:w="0" w:type="dxa"/>
        <w:left w:w="108" w:type="dxa"/>
        <w:bottom w:w="0" w:type="dxa"/>
        <w:right w:w="108" w:type="dxa"/>
      </w:tblCellMar>
    </w:tblPr>
    <w:tblStylePr w:type="firstRow">
      <w:pPr>
        <w:spacing w:before="0" w:after="0" w:line="240" w:lineRule="auto"/>
      </w:pPr>
      <w:rPr>
        <w:rFonts w:ascii="Arial" w:eastAsia="MS Gothic" w:hAnsi="Arial" w:cs="Times New Roman"/>
        <w:b/>
        <w:bCs/>
      </w:rPr>
      <w:tblPr/>
      <w:tcPr>
        <w:tcBorders>
          <w:top w:val="single" w:sz="8" w:space="0" w:color="94BAE3"/>
          <w:left w:val="single" w:sz="8" w:space="0" w:color="94BAE3"/>
          <w:bottom w:val="single" w:sz="18" w:space="0" w:color="94BAE3"/>
          <w:right w:val="single" w:sz="8" w:space="0" w:color="94BAE3"/>
          <w:insideH w:val="nil"/>
          <w:insideV w:val="single" w:sz="8" w:space="0" w:color="94BAE3"/>
        </w:tcBorders>
      </w:tcPr>
    </w:tblStylePr>
    <w:tblStylePr w:type="lastRow">
      <w:pPr>
        <w:spacing w:before="0" w:after="0" w:line="240" w:lineRule="auto"/>
      </w:pPr>
      <w:rPr>
        <w:rFonts w:ascii="Arial" w:eastAsia="MS Gothic" w:hAnsi="Arial" w:cs="Times New Roman"/>
        <w:b/>
        <w:bCs/>
      </w:rPr>
      <w:tblPr/>
      <w:tcPr>
        <w:tcBorders>
          <w:top w:val="double" w:sz="6" w:space="0" w:color="94BAE3"/>
          <w:left w:val="single" w:sz="8" w:space="0" w:color="94BAE3"/>
          <w:bottom w:val="single" w:sz="8" w:space="0" w:color="94BAE3"/>
          <w:right w:val="single" w:sz="8" w:space="0" w:color="94BAE3"/>
          <w:insideH w:val="nil"/>
          <w:insideV w:val="single" w:sz="8" w:space="0" w:color="94BAE3"/>
        </w:tcBorders>
      </w:tcPr>
    </w:tblStylePr>
    <w:tblStylePr w:type="firstCol">
      <w:rPr>
        <w:rFonts w:ascii="Arial" w:eastAsia="MS Gothic" w:hAnsi="Arial" w:cs="Times New Roman"/>
        <w:b/>
        <w:bCs/>
      </w:rPr>
    </w:tblStylePr>
    <w:tblStylePr w:type="lastCol">
      <w:rPr>
        <w:rFonts w:ascii="Arial" w:eastAsia="MS Gothic" w:hAnsi="Arial" w:cs="Times New Roman"/>
        <w:b/>
        <w:bCs/>
      </w:rPr>
      <w:tblPr/>
      <w:tcPr>
        <w:tcBorders>
          <w:top w:val="single" w:sz="8" w:space="0" w:color="94BAE3"/>
          <w:left w:val="single" w:sz="8" w:space="0" w:color="94BAE3"/>
          <w:bottom w:val="single" w:sz="8" w:space="0" w:color="94BAE3"/>
          <w:right w:val="single" w:sz="8" w:space="0" w:color="94BAE3"/>
        </w:tcBorders>
      </w:tcPr>
    </w:tblStylePr>
    <w:tblStylePr w:type="band1Vert">
      <w:tblPr/>
      <w:tcPr>
        <w:tcBorders>
          <w:top w:val="single" w:sz="8" w:space="0" w:color="94BAE3"/>
          <w:left w:val="single" w:sz="8" w:space="0" w:color="94BAE3"/>
          <w:bottom w:val="single" w:sz="8" w:space="0" w:color="94BAE3"/>
          <w:right w:val="single" w:sz="8" w:space="0" w:color="94BAE3"/>
        </w:tcBorders>
        <w:shd w:val="clear" w:color="auto" w:fill="E4EDF8"/>
      </w:tcPr>
    </w:tblStylePr>
    <w:tblStylePr w:type="band1Horz">
      <w:tblPr/>
      <w:tcPr>
        <w:tcBorders>
          <w:top w:val="single" w:sz="8" w:space="0" w:color="94BAE3"/>
          <w:left w:val="single" w:sz="8" w:space="0" w:color="94BAE3"/>
          <w:bottom w:val="single" w:sz="8" w:space="0" w:color="94BAE3"/>
          <w:right w:val="single" w:sz="8" w:space="0" w:color="94BAE3"/>
          <w:insideV w:val="single" w:sz="8" w:space="0" w:color="94BAE3"/>
        </w:tcBorders>
        <w:shd w:val="clear" w:color="auto" w:fill="E4EDF8"/>
      </w:tcPr>
    </w:tblStylePr>
    <w:tblStylePr w:type="band2Horz">
      <w:tblPr/>
      <w:tcPr>
        <w:tcBorders>
          <w:top w:val="single" w:sz="8" w:space="0" w:color="94BAE3"/>
          <w:left w:val="single" w:sz="8" w:space="0" w:color="94BAE3"/>
          <w:bottom w:val="single" w:sz="8" w:space="0" w:color="94BAE3"/>
          <w:right w:val="single" w:sz="8" w:space="0" w:color="94BAE3"/>
          <w:insideV w:val="single" w:sz="8" w:space="0" w:color="94BAE3"/>
        </w:tcBorders>
      </w:tcPr>
    </w:tblStylePr>
  </w:style>
  <w:style w:type="table" w:styleId="LightGrid-Accent4">
    <w:name w:val="Light Grid Accent 4"/>
    <w:basedOn w:val="TableNormal"/>
    <w:uiPriority w:val="62"/>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79B51C"/>
        <w:left w:val="single" w:sz="8" w:space="0" w:color="79B51C"/>
        <w:bottom w:val="single" w:sz="8" w:space="0" w:color="79B51C"/>
        <w:right w:val="single" w:sz="8" w:space="0" w:color="79B51C"/>
        <w:insideH w:val="single" w:sz="8" w:space="0" w:color="79B51C"/>
        <w:insideV w:val="single" w:sz="8" w:space="0" w:color="79B51C"/>
      </w:tblBorders>
      <w:tblCellMar>
        <w:top w:w="0" w:type="dxa"/>
        <w:left w:w="108" w:type="dxa"/>
        <w:bottom w:w="0" w:type="dxa"/>
        <w:right w:w="108" w:type="dxa"/>
      </w:tblCellMar>
    </w:tblPr>
    <w:tblStylePr w:type="firstRow">
      <w:pPr>
        <w:spacing w:before="0" w:after="0" w:line="240" w:lineRule="auto"/>
      </w:pPr>
      <w:rPr>
        <w:rFonts w:ascii="Arial" w:eastAsia="MS Gothic" w:hAnsi="Arial" w:cs="Times New Roman"/>
        <w:b/>
        <w:bCs/>
      </w:rPr>
      <w:tblPr/>
      <w:tcPr>
        <w:tcBorders>
          <w:top w:val="single" w:sz="8" w:space="0" w:color="79B51C"/>
          <w:left w:val="single" w:sz="8" w:space="0" w:color="79B51C"/>
          <w:bottom w:val="single" w:sz="18" w:space="0" w:color="79B51C"/>
          <w:right w:val="single" w:sz="8" w:space="0" w:color="79B51C"/>
          <w:insideH w:val="nil"/>
          <w:insideV w:val="single" w:sz="8" w:space="0" w:color="79B51C"/>
        </w:tcBorders>
      </w:tcPr>
    </w:tblStylePr>
    <w:tblStylePr w:type="lastRow">
      <w:pPr>
        <w:spacing w:before="0" w:after="0" w:line="240" w:lineRule="auto"/>
      </w:pPr>
      <w:rPr>
        <w:rFonts w:ascii="Arial" w:eastAsia="MS Gothic" w:hAnsi="Arial" w:cs="Times New Roman"/>
        <w:b/>
        <w:bCs/>
      </w:rPr>
      <w:tblPr/>
      <w:tcPr>
        <w:tcBorders>
          <w:top w:val="double" w:sz="6" w:space="0" w:color="79B51C"/>
          <w:left w:val="single" w:sz="8" w:space="0" w:color="79B51C"/>
          <w:bottom w:val="single" w:sz="8" w:space="0" w:color="79B51C"/>
          <w:right w:val="single" w:sz="8" w:space="0" w:color="79B51C"/>
          <w:insideH w:val="nil"/>
          <w:insideV w:val="single" w:sz="8" w:space="0" w:color="79B51C"/>
        </w:tcBorders>
      </w:tcPr>
    </w:tblStylePr>
    <w:tblStylePr w:type="firstCol">
      <w:rPr>
        <w:rFonts w:ascii="Arial" w:eastAsia="MS Gothic" w:hAnsi="Arial" w:cs="Times New Roman"/>
        <w:b/>
        <w:bCs/>
      </w:rPr>
    </w:tblStylePr>
    <w:tblStylePr w:type="lastCol">
      <w:rPr>
        <w:rFonts w:ascii="Arial" w:eastAsia="MS Gothic" w:hAnsi="Arial" w:cs="Times New Roman"/>
        <w:b/>
        <w:bCs/>
      </w:rPr>
      <w:tblPr/>
      <w:tcPr>
        <w:tcBorders>
          <w:top w:val="single" w:sz="8" w:space="0" w:color="79B51C"/>
          <w:left w:val="single" w:sz="8" w:space="0" w:color="79B51C"/>
          <w:bottom w:val="single" w:sz="8" w:space="0" w:color="79B51C"/>
          <w:right w:val="single" w:sz="8" w:space="0" w:color="79B51C"/>
        </w:tcBorders>
      </w:tcPr>
    </w:tblStylePr>
    <w:tblStylePr w:type="band1Vert">
      <w:tblPr/>
      <w:tcPr>
        <w:tcBorders>
          <w:top w:val="single" w:sz="8" w:space="0" w:color="79B51C"/>
          <w:left w:val="single" w:sz="8" w:space="0" w:color="79B51C"/>
          <w:bottom w:val="single" w:sz="8" w:space="0" w:color="79B51C"/>
          <w:right w:val="single" w:sz="8" w:space="0" w:color="79B51C"/>
        </w:tcBorders>
        <w:shd w:val="clear" w:color="auto" w:fill="DFF5BE"/>
      </w:tcPr>
    </w:tblStylePr>
    <w:tblStylePr w:type="band1Horz">
      <w:tblPr/>
      <w:tcPr>
        <w:tcBorders>
          <w:top w:val="single" w:sz="8" w:space="0" w:color="79B51C"/>
          <w:left w:val="single" w:sz="8" w:space="0" w:color="79B51C"/>
          <w:bottom w:val="single" w:sz="8" w:space="0" w:color="79B51C"/>
          <w:right w:val="single" w:sz="8" w:space="0" w:color="79B51C"/>
          <w:insideV w:val="single" w:sz="8" w:space="0" w:color="79B51C"/>
        </w:tcBorders>
        <w:shd w:val="clear" w:color="auto" w:fill="DFF5BE"/>
      </w:tcPr>
    </w:tblStylePr>
    <w:tblStylePr w:type="band2Horz">
      <w:tblPr/>
      <w:tcPr>
        <w:tcBorders>
          <w:top w:val="single" w:sz="8" w:space="0" w:color="79B51C"/>
          <w:left w:val="single" w:sz="8" w:space="0" w:color="79B51C"/>
          <w:bottom w:val="single" w:sz="8" w:space="0" w:color="79B51C"/>
          <w:right w:val="single" w:sz="8" w:space="0" w:color="79B51C"/>
          <w:insideV w:val="single" w:sz="8" w:space="0" w:color="79B51C"/>
        </w:tcBorders>
      </w:tcPr>
    </w:tblStylePr>
  </w:style>
  <w:style w:type="table" w:styleId="LightGrid-Accent5">
    <w:name w:val="Light Grid Accent 5"/>
    <w:basedOn w:val="TableNormal"/>
    <w:uiPriority w:val="62"/>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ACC705"/>
        <w:left w:val="single" w:sz="8" w:space="0" w:color="ACC705"/>
        <w:bottom w:val="single" w:sz="8" w:space="0" w:color="ACC705"/>
        <w:right w:val="single" w:sz="8" w:space="0" w:color="ACC705"/>
        <w:insideH w:val="single" w:sz="8" w:space="0" w:color="ACC705"/>
        <w:insideV w:val="single" w:sz="8" w:space="0" w:color="ACC705"/>
      </w:tblBorders>
      <w:tblCellMar>
        <w:top w:w="0" w:type="dxa"/>
        <w:left w:w="108" w:type="dxa"/>
        <w:bottom w:w="0" w:type="dxa"/>
        <w:right w:w="108" w:type="dxa"/>
      </w:tblCellMar>
    </w:tblPr>
    <w:tblStylePr w:type="firstRow">
      <w:pPr>
        <w:spacing w:before="0" w:after="0" w:line="240" w:lineRule="auto"/>
      </w:pPr>
      <w:rPr>
        <w:rFonts w:ascii="Arial" w:eastAsia="MS Gothic" w:hAnsi="Arial" w:cs="Times New Roman"/>
        <w:b/>
        <w:bCs/>
      </w:rPr>
      <w:tblPr/>
      <w:tcPr>
        <w:tcBorders>
          <w:top w:val="single" w:sz="8" w:space="0" w:color="ACC705"/>
          <w:left w:val="single" w:sz="8" w:space="0" w:color="ACC705"/>
          <w:bottom w:val="single" w:sz="18" w:space="0" w:color="ACC705"/>
          <w:right w:val="single" w:sz="8" w:space="0" w:color="ACC705"/>
          <w:insideH w:val="nil"/>
          <w:insideV w:val="single" w:sz="8" w:space="0" w:color="ACC705"/>
        </w:tcBorders>
      </w:tcPr>
    </w:tblStylePr>
    <w:tblStylePr w:type="lastRow">
      <w:pPr>
        <w:spacing w:before="0" w:after="0" w:line="240" w:lineRule="auto"/>
      </w:pPr>
      <w:rPr>
        <w:rFonts w:ascii="Arial" w:eastAsia="MS Gothic" w:hAnsi="Arial" w:cs="Times New Roman"/>
        <w:b/>
        <w:bCs/>
      </w:rPr>
      <w:tblPr/>
      <w:tcPr>
        <w:tcBorders>
          <w:top w:val="double" w:sz="6" w:space="0" w:color="ACC705"/>
          <w:left w:val="single" w:sz="8" w:space="0" w:color="ACC705"/>
          <w:bottom w:val="single" w:sz="8" w:space="0" w:color="ACC705"/>
          <w:right w:val="single" w:sz="8" w:space="0" w:color="ACC705"/>
          <w:insideH w:val="nil"/>
          <w:insideV w:val="single" w:sz="8" w:space="0" w:color="ACC705"/>
        </w:tcBorders>
      </w:tcPr>
    </w:tblStylePr>
    <w:tblStylePr w:type="firstCol">
      <w:rPr>
        <w:rFonts w:ascii="Arial" w:eastAsia="MS Gothic" w:hAnsi="Arial" w:cs="Times New Roman"/>
        <w:b/>
        <w:bCs/>
      </w:rPr>
    </w:tblStylePr>
    <w:tblStylePr w:type="lastCol">
      <w:rPr>
        <w:rFonts w:ascii="Arial" w:eastAsia="MS Gothic" w:hAnsi="Arial" w:cs="Times New Roman"/>
        <w:b/>
        <w:bCs/>
      </w:rPr>
      <w:tblPr/>
      <w:tcPr>
        <w:tcBorders>
          <w:top w:val="single" w:sz="8" w:space="0" w:color="ACC705"/>
          <w:left w:val="single" w:sz="8" w:space="0" w:color="ACC705"/>
          <w:bottom w:val="single" w:sz="8" w:space="0" w:color="ACC705"/>
          <w:right w:val="single" w:sz="8" w:space="0" w:color="ACC705"/>
        </w:tcBorders>
      </w:tcPr>
    </w:tblStylePr>
    <w:tblStylePr w:type="band1Vert">
      <w:tblPr/>
      <w:tcPr>
        <w:tcBorders>
          <w:top w:val="single" w:sz="8" w:space="0" w:color="ACC705"/>
          <w:left w:val="single" w:sz="8" w:space="0" w:color="ACC705"/>
          <w:bottom w:val="single" w:sz="8" w:space="0" w:color="ACC705"/>
          <w:right w:val="single" w:sz="8" w:space="0" w:color="ACC705"/>
        </w:tcBorders>
        <w:shd w:val="clear" w:color="auto" w:fill="F3FDB5"/>
      </w:tcPr>
    </w:tblStylePr>
    <w:tblStylePr w:type="band1Horz">
      <w:tblPr/>
      <w:tcPr>
        <w:tcBorders>
          <w:top w:val="single" w:sz="8" w:space="0" w:color="ACC705"/>
          <w:left w:val="single" w:sz="8" w:space="0" w:color="ACC705"/>
          <w:bottom w:val="single" w:sz="8" w:space="0" w:color="ACC705"/>
          <w:right w:val="single" w:sz="8" w:space="0" w:color="ACC705"/>
          <w:insideV w:val="single" w:sz="8" w:space="0" w:color="ACC705"/>
        </w:tcBorders>
        <w:shd w:val="clear" w:color="auto" w:fill="F3FDB5"/>
      </w:tcPr>
    </w:tblStylePr>
    <w:tblStylePr w:type="band2Horz">
      <w:tblPr/>
      <w:tcPr>
        <w:tcBorders>
          <w:top w:val="single" w:sz="8" w:space="0" w:color="ACC705"/>
          <w:left w:val="single" w:sz="8" w:space="0" w:color="ACC705"/>
          <w:bottom w:val="single" w:sz="8" w:space="0" w:color="ACC705"/>
          <w:right w:val="single" w:sz="8" w:space="0" w:color="ACC705"/>
          <w:insideV w:val="single" w:sz="8" w:space="0" w:color="ACC705"/>
        </w:tcBorders>
      </w:tcPr>
    </w:tblStylePr>
  </w:style>
  <w:style w:type="table" w:styleId="LightGrid-Accent6">
    <w:name w:val="Light Grid Accent 6"/>
    <w:basedOn w:val="TableNormal"/>
    <w:uiPriority w:val="62"/>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39200"/>
        <w:left w:val="single" w:sz="8" w:space="0" w:color="F39200"/>
        <w:bottom w:val="single" w:sz="8" w:space="0" w:color="F39200"/>
        <w:right w:val="single" w:sz="8" w:space="0" w:color="F39200"/>
        <w:insideH w:val="single" w:sz="8" w:space="0" w:color="F39200"/>
        <w:insideV w:val="single" w:sz="8" w:space="0" w:color="F39200"/>
      </w:tblBorders>
      <w:tblCellMar>
        <w:top w:w="0" w:type="dxa"/>
        <w:left w:w="108" w:type="dxa"/>
        <w:bottom w:w="0" w:type="dxa"/>
        <w:right w:w="108" w:type="dxa"/>
      </w:tblCellMar>
    </w:tblPr>
    <w:tblStylePr w:type="firstRow">
      <w:pPr>
        <w:spacing w:before="0" w:after="0" w:line="240" w:lineRule="auto"/>
      </w:pPr>
      <w:rPr>
        <w:rFonts w:ascii="Arial" w:eastAsia="MS Gothic" w:hAnsi="Arial" w:cs="Times New Roman"/>
        <w:b/>
        <w:bCs/>
      </w:rPr>
      <w:tblPr/>
      <w:tcPr>
        <w:tcBorders>
          <w:top w:val="single" w:sz="8" w:space="0" w:color="F39200"/>
          <w:left w:val="single" w:sz="8" w:space="0" w:color="F39200"/>
          <w:bottom w:val="single" w:sz="18" w:space="0" w:color="F39200"/>
          <w:right w:val="single" w:sz="8" w:space="0" w:color="F39200"/>
          <w:insideH w:val="nil"/>
          <w:insideV w:val="single" w:sz="8" w:space="0" w:color="F39200"/>
        </w:tcBorders>
      </w:tcPr>
    </w:tblStylePr>
    <w:tblStylePr w:type="lastRow">
      <w:pPr>
        <w:spacing w:before="0" w:after="0" w:line="240" w:lineRule="auto"/>
      </w:pPr>
      <w:rPr>
        <w:rFonts w:ascii="Arial" w:eastAsia="MS Gothic" w:hAnsi="Arial" w:cs="Times New Roman"/>
        <w:b/>
        <w:bCs/>
      </w:rPr>
      <w:tblPr/>
      <w:tcPr>
        <w:tcBorders>
          <w:top w:val="double" w:sz="6" w:space="0" w:color="F39200"/>
          <w:left w:val="single" w:sz="8" w:space="0" w:color="F39200"/>
          <w:bottom w:val="single" w:sz="8" w:space="0" w:color="F39200"/>
          <w:right w:val="single" w:sz="8" w:space="0" w:color="F39200"/>
          <w:insideH w:val="nil"/>
          <w:insideV w:val="single" w:sz="8" w:space="0" w:color="F39200"/>
        </w:tcBorders>
      </w:tcPr>
    </w:tblStylePr>
    <w:tblStylePr w:type="firstCol">
      <w:rPr>
        <w:rFonts w:ascii="Arial" w:eastAsia="MS Gothic" w:hAnsi="Arial" w:cs="Times New Roman"/>
        <w:b/>
        <w:bCs/>
      </w:rPr>
    </w:tblStylePr>
    <w:tblStylePr w:type="lastCol">
      <w:rPr>
        <w:rFonts w:ascii="Arial" w:eastAsia="MS Gothic" w:hAnsi="Arial" w:cs="Times New Roman"/>
        <w:b/>
        <w:bCs/>
      </w:rPr>
      <w:tblPr/>
      <w:tcPr>
        <w:tcBorders>
          <w:top w:val="single" w:sz="8" w:space="0" w:color="F39200"/>
          <w:left w:val="single" w:sz="8" w:space="0" w:color="F39200"/>
          <w:bottom w:val="single" w:sz="8" w:space="0" w:color="F39200"/>
          <w:right w:val="single" w:sz="8" w:space="0" w:color="F39200"/>
        </w:tcBorders>
      </w:tcPr>
    </w:tblStylePr>
    <w:tblStylePr w:type="band1Vert">
      <w:tblPr/>
      <w:tcPr>
        <w:tcBorders>
          <w:top w:val="single" w:sz="8" w:space="0" w:color="F39200"/>
          <w:left w:val="single" w:sz="8" w:space="0" w:color="F39200"/>
          <w:bottom w:val="single" w:sz="8" w:space="0" w:color="F39200"/>
          <w:right w:val="single" w:sz="8" w:space="0" w:color="F39200"/>
        </w:tcBorders>
        <w:shd w:val="clear" w:color="auto" w:fill="FFE4BD"/>
      </w:tcPr>
    </w:tblStylePr>
    <w:tblStylePr w:type="band1Horz">
      <w:tblPr/>
      <w:tcPr>
        <w:tcBorders>
          <w:top w:val="single" w:sz="8" w:space="0" w:color="F39200"/>
          <w:left w:val="single" w:sz="8" w:space="0" w:color="F39200"/>
          <w:bottom w:val="single" w:sz="8" w:space="0" w:color="F39200"/>
          <w:right w:val="single" w:sz="8" w:space="0" w:color="F39200"/>
          <w:insideV w:val="single" w:sz="8" w:space="0" w:color="F39200"/>
        </w:tcBorders>
        <w:shd w:val="clear" w:color="auto" w:fill="FFE4BD"/>
      </w:tcPr>
    </w:tblStylePr>
    <w:tblStylePr w:type="band2Horz">
      <w:tblPr/>
      <w:tcPr>
        <w:tcBorders>
          <w:top w:val="single" w:sz="8" w:space="0" w:color="F39200"/>
          <w:left w:val="single" w:sz="8" w:space="0" w:color="F39200"/>
          <w:bottom w:val="single" w:sz="8" w:space="0" w:color="F39200"/>
          <w:right w:val="single" w:sz="8" w:space="0" w:color="F39200"/>
          <w:insideV w:val="single" w:sz="8" w:space="0" w:color="F39200"/>
        </w:tcBorders>
      </w:tcPr>
    </w:tblStylePr>
  </w:style>
  <w:style w:type="table" w:customStyle="1" w:styleId="FarbigeListe1">
    <w:name w:val="Farbige Liste1"/>
    <w:basedOn w:val="TableNormal"/>
    <w:uiPriority w:val="72"/>
    <w:semiHidden/>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1070A4"/>
      </w:tcPr>
    </w:tblStylePr>
    <w:tblStylePr w:type="lastRow">
      <w:rPr>
        <w:b/>
        <w:bCs/>
        <w:color w:val="1070A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2">
    <w:name w:val="Colorful List Accent 2"/>
    <w:basedOn w:val="TableNormal"/>
    <w:uiPriority w:val="72"/>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E5F4FC"/>
    </w:tcPr>
    <w:tblStylePr w:type="firstRow">
      <w:rPr>
        <w:b/>
        <w:bCs/>
        <w:color w:val="FFFFFF"/>
      </w:rPr>
      <w:tblPr/>
      <w:tcPr>
        <w:tcBorders>
          <w:bottom w:val="single" w:sz="12" w:space="0" w:color="FFFFFF"/>
        </w:tcBorders>
        <w:shd w:val="clear" w:color="auto" w:fill="1070A4"/>
      </w:tcPr>
    </w:tblStylePr>
    <w:tblStylePr w:type="lastRow">
      <w:rPr>
        <w:b/>
        <w:bCs/>
        <w:color w:val="1070A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EE4F8"/>
      </w:tcPr>
    </w:tblStylePr>
    <w:tblStylePr w:type="band1Horz">
      <w:tblPr/>
      <w:tcPr>
        <w:shd w:val="clear" w:color="auto" w:fill="CBE9FA"/>
      </w:tcPr>
    </w:tblStylePr>
  </w:style>
  <w:style w:type="table" w:styleId="ColorfulList-Accent3">
    <w:name w:val="Colorful List Accent 3"/>
    <w:basedOn w:val="TableNormal"/>
    <w:uiPriority w:val="72"/>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F4F8FC"/>
    </w:tcPr>
    <w:tblStylePr w:type="firstRow">
      <w:rPr>
        <w:b/>
        <w:bCs/>
        <w:color w:val="FFFFFF"/>
      </w:rPr>
      <w:tblPr/>
      <w:tcPr>
        <w:tcBorders>
          <w:bottom w:val="single" w:sz="12" w:space="0" w:color="FFFFFF"/>
        </w:tcBorders>
        <w:shd w:val="clear" w:color="auto" w:fill="609016"/>
      </w:tcPr>
    </w:tblStylePr>
    <w:tblStylePr w:type="lastRow">
      <w:rPr>
        <w:b/>
        <w:bCs/>
        <w:color w:val="6090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DF8"/>
      </w:tcPr>
    </w:tblStylePr>
    <w:tblStylePr w:type="band1Horz">
      <w:tblPr/>
      <w:tcPr>
        <w:shd w:val="clear" w:color="auto" w:fill="E9F1F9"/>
      </w:tcPr>
    </w:tblStylePr>
  </w:style>
  <w:style w:type="table" w:styleId="ColorfulList-Accent4">
    <w:name w:val="Colorful List Accent 4"/>
    <w:basedOn w:val="TableNormal"/>
    <w:uiPriority w:val="72"/>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F2FBE5"/>
    </w:tcPr>
    <w:tblStylePr w:type="firstRow">
      <w:rPr>
        <w:b/>
        <w:bCs/>
        <w:color w:val="FFFFFF"/>
      </w:rPr>
      <w:tblPr/>
      <w:tcPr>
        <w:tcBorders>
          <w:bottom w:val="single" w:sz="12" w:space="0" w:color="FFFFFF"/>
        </w:tcBorders>
        <w:shd w:val="clear" w:color="auto" w:fill="5893D3"/>
      </w:tcPr>
    </w:tblStylePr>
    <w:tblStylePr w:type="lastRow">
      <w:rPr>
        <w:b/>
        <w:bCs/>
        <w:color w:val="5893D3"/>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F5BE"/>
      </w:tcPr>
    </w:tblStylePr>
    <w:tblStylePr w:type="band1Horz">
      <w:tblPr/>
      <w:tcPr>
        <w:shd w:val="clear" w:color="auto" w:fill="E5F7CA"/>
      </w:tcPr>
    </w:tblStylePr>
  </w:style>
  <w:style w:type="table" w:styleId="ColorfulList-Accent5">
    <w:name w:val="Colorful List Accent 5"/>
    <w:basedOn w:val="TableNormal"/>
    <w:uiPriority w:val="72"/>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FAFEE1"/>
    </w:tcPr>
    <w:tblStylePr w:type="firstRow">
      <w:rPr>
        <w:b/>
        <w:bCs/>
        <w:color w:val="FFFFFF"/>
      </w:rPr>
      <w:tblPr/>
      <w:tcPr>
        <w:tcBorders>
          <w:bottom w:val="single" w:sz="12" w:space="0" w:color="FFFFFF"/>
        </w:tcBorders>
        <w:shd w:val="clear" w:color="auto" w:fill="C27400"/>
      </w:tcPr>
    </w:tblStylePr>
    <w:tblStylePr w:type="lastRow">
      <w:rPr>
        <w:b/>
        <w:bCs/>
        <w:color w:val="C274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FDB5"/>
      </w:tcPr>
    </w:tblStylePr>
    <w:tblStylePr w:type="band1Horz">
      <w:tblPr/>
      <w:tcPr>
        <w:shd w:val="clear" w:color="auto" w:fill="F5FDC3"/>
      </w:tcPr>
    </w:tblStylePr>
  </w:style>
  <w:style w:type="table" w:styleId="ColorfulList-Accent6">
    <w:name w:val="Colorful List Accent 6"/>
    <w:basedOn w:val="TableNormal"/>
    <w:uiPriority w:val="72"/>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FFF4E4"/>
    </w:tcPr>
    <w:tblStylePr w:type="firstRow">
      <w:rPr>
        <w:b/>
        <w:bCs/>
        <w:color w:val="FFFFFF"/>
      </w:rPr>
      <w:tblPr/>
      <w:tcPr>
        <w:tcBorders>
          <w:bottom w:val="single" w:sz="12" w:space="0" w:color="FFFFFF"/>
        </w:tcBorders>
        <w:shd w:val="clear" w:color="auto" w:fill="899F04"/>
      </w:tcPr>
    </w:tblStylePr>
    <w:tblStylePr w:type="lastRow">
      <w:rPr>
        <w:b/>
        <w:bCs/>
        <w:color w:val="899F0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4BD"/>
      </w:tcPr>
    </w:tblStylePr>
    <w:tblStylePr w:type="band1Horz">
      <w:tblPr/>
      <w:tcPr>
        <w:shd w:val="clear" w:color="auto" w:fill="FFE9C9"/>
      </w:tcPr>
    </w:tblStylePr>
  </w:style>
  <w:style w:type="table" w:customStyle="1" w:styleId="FarbigeSchattierung1">
    <w:name w:val="Farbige Schattierung1"/>
    <w:basedOn w:val="TableNormal"/>
    <w:uiPriority w:val="71"/>
    <w:semiHidden/>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24" w:space="0" w:color="148DC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148DC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24" w:space="0" w:color="148DCD"/>
        <w:left w:val="single" w:sz="4" w:space="0" w:color="121754"/>
        <w:bottom w:val="single" w:sz="4" w:space="0" w:color="121754"/>
        <w:right w:val="single" w:sz="4" w:space="0" w:color="121754"/>
        <w:insideH w:val="single" w:sz="4" w:space="0" w:color="FFFFFF"/>
        <w:insideV w:val="single" w:sz="4" w:space="0" w:color="FFFFFF"/>
      </w:tblBorders>
      <w:tblCellMar>
        <w:top w:w="0" w:type="dxa"/>
        <w:left w:w="108" w:type="dxa"/>
        <w:bottom w:w="0" w:type="dxa"/>
        <w:right w:w="108" w:type="dxa"/>
      </w:tblCellMar>
    </w:tblPr>
    <w:tcPr>
      <w:shd w:val="clear" w:color="auto" w:fill="DEDFF8"/>
    </w:tcPr>
    <w:tblStylePr w:type="firstRow">
      <w:rPr>
        <w:b/>
        <w:bCs/>
      </w:rPr>
      <w:tblPr/>
      <w:tcPr>
        <w:tcBorders>
          <w:top w:val="nil"/>
          <w:left w:val="nil"/>
          <w:bottom w:val="single" w:sz="24" w:space="0" w:color="148DC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A0D32"/>
      </w:tcPr>
    </w:tblStylePr>
    <w:tblStylePr w:type="firstCol">
      <w:rPr>
        <w:color w:val="FFFFFF"/>
      </w:rPr>
      <w:tblPr/>
      <w:tcPr>
        <w:tcBorders>
          <w:top w:val="nil"/>
          <w:left w:val="nil"/>
          <w:bottom w:val="nil"/>
          <w:right w:val="nil"/>
          <w:insideH w:val="single" w:sz="4" w:space="0" w:color="0A0D32"/>
          <w:insideV w:val="nil"/>
        </w:tcBorders>
        <w:shd w:val="clear" w:color="auto" w:fill="0A0D32"/>
      </w:tcPr>
    </w:tblStylePr>
    <w:tblStylePr w:type="lastCol">
      <w:rPr>
        <w:color w:val="FFFFFF"/>
      </w:rPr>
      <w:tblPr/>
      <w:tcPr>
        <w:tcBorders>
          <w:top w:val="nil"/>
          <w:left w:val="nil"/>
          <w:bottom w:val="nil"/>
          <w:right w:val="nil"/>
          <w:insideH w:val="nil"/>
          <w:insideV w:val="nil"/>
        </w:tcBorders>
        <w:shd w:val="clear" w:color="auto" w:fill="0A0D32"/>
      </w:tcPr>
    </w:tblStylePr>
    <w:tblStylePr w:type="band1Vert">
      <w:tblPr/>
      <w:tcPr>
        <w:shd w:val="clear" w:color="auto" w:fill="7880E2"/>
      </w:tcPr>
    </w:tblStylePr>
    <w:tblStylePr w:type="band1Horz">
      <w:tblPr/>
      <w:tcPr>
        <w:shd w:val="clear" w:color="auto" w:fill="5761DB"/>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24" w:space="0" w:color="148DCD"/>
        <w:left w:val="single" w:sz="4" w:space="0" w:color="148DCD"/>
        <w:bottom w:val="single" w:sz="4" w:space="0" w:color="148DCD"/>
        <w:right w:val="single" w:sz="4" w:space="0" w:color="148DCD"/>
        <w:insideH w:val="single" w:sz="4" w:space="0" w:color="FFFFFF"/>
        <w:insideV w:val="single" w:sz="4" w:space="0" w:color="FFFFFF"/>
      </w:tblBorders>
      <w:tblCellMar>
        <w:top w:w="0" w:type="dxa"/>
        <w:left w:w="108" w:type="dxa"/>
        <w:bottom w:w="0" w:type="dxa"/>
        <w:right w:w="108" w:type="dxa"/>
      </w:tblCellMar>
    </w:tblPr>
    <w:tcPr>
      <w:shd w:val="clear" w:color="auto" w:fill="E5F4FC"/>
    </w:tcPr>
    <w:tblStylePr w:type="firstRow">
      <w:rPr>
        <w:b/>
        <w:bCs/>
      </w:rPr>
      <w:tblPr/>
      <w:tcPr>
        <w:tcBorders>
          <w:top w:val="nil"/>
          <w:left w:val="nil"/>
          <w:bottom w:val="single" w:sz="24" w:space="0" w:color="148DC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C547B"/>
      </w:tcPr>
    </w:tblStylePr>
    <w:tblStylePr w:type="firstCol">
      <w:rPr>
        <w:color w:val="FFFFFF"/>
      </w:rPr>
      <w:tblPr/>
      <w:tcPr>
        <w:tcBorders>
          <w:top w:val="nil"/>
          <w:left w:val="nil"/>
          <w:bottom w:val="nil"/>
          <w:right w:val="nil"/>
          <w:insideH w:val="single" w:sz="4" w:space="0" w:color="0C547B"/>
          <w:insideV w:val="nil"/>
        </w:tcBorders>
        <w:shd w:val="clear" w:color="auto" w:fill="0C547B"/>
      </w:tcPr>
    </w:tblStylePr>
    <w:tblStylePr w:type="lastCol">
      <w:rPr>
        <w:color w:val="FFFFFF"/>
      </w:rPr>
      <w:tblPr/>
      <w:tcPr>
        <w:tcBorders>
          <w:top w:val="nil"/>
          <w:left w:val="nil"/>
          <w:bottom w:val="nil"/>
          <w:right w:val="nil"/>
          <w:insideH w:val="nil"/>
          <w:insideV w:val="nil"/>
        </w:tcBorders>
        <w:shd w:val="clear" w:color="auto" w:fill="0C547B"/>
      </w:tcPr>
    </w:tblStylePr>
    <w:tblStylePr w:type="band1Vert">
      <w:tblPr/>
      <w:tcPr>
        <w:shd w:val="clear" w:color="auto" w:fill="97D4F5"/>
      </w:tcPr>
    </w:tblStylePr>
    <w:tblStylePr w:type="band1Horz">
      <w:tblPr/>
      <w:tcPr>
        <w:shd w:val="clear" w:color="auto" w:fill="7DC9F2"/>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24" w:space="0" w:color="79B51C"/>
        <w:left w:val="single" w:sz="4" w:space="0" w:color="94BAE3"/>
        <w:bottom w:val="single" w:sz="4" w:space="0" w:color="94BAE3"/>
        <w:right w:val="single" w:sz="4" w:space="0" w:color="94BAE3"/>
        <w:insideH w:val="single" w:sz="4" w:space="0" w:color="FFFFFF"/>
        <w:insideV w:val="single" w:sz="4" w:space="0" w:color="FFFFFF"/>
      </w:tblBorders>
      <w:tblCellMar>
        <w:top w:w="0" w:type="dxa"/>
        <w:left w:w="108" w:type="dxa"/>
        <w:bottom w:w="0" w:type="dxa"/>
        <w:right w:w="108" w:type="dxa"/>
      </w:tblCellMar>
    </w:tblPr>
    <w:tcPr>
      <w:shd w:val="clear" w:color="auto" w:fill="F4F8FC"/>
    </w:tcPr>
    <w:tblStylePr w:type="firstRow">
      <w:rPr>
        <w:b/>
        <w:bCs/>
      </w:rPr>
      <w:tblPr/>
      <w:tcPr>
        <w:tcBorders>
          <w:top w:val="nil"/>
          <w:left w:val="nil"/>
          <w:bottom w:val="single" w:sz="24" w:space="0" w:color="79B51C"/>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E6DB2"/>
      </w:tcPr>
    </w:tblStylePr>
    <w:tblStylePr w:type="firstCol">
      <w:rPr>
        <w:color w:val="FFFFFF"/>
      </w:rPr>
      <w:tblPr/>
      <w:tcPr>
        <w:tcBorders>
          <w:top w:val="nil"/>
          <w:left w:val="nil"/>
          <w:bottom w:val="nil"/>
          <w:right w:val="nil"/>
          <w:insideH w:val="single" w:sz="4" w:space="0" w:color="2E6DB2"/>
          <w:insideV w:val="nil"/>
        </w:tcBorders>
        <w:shd w:val="clear" w:color="auto" w:fill="2E6DB2"/>
      </w:tcPr>
    </w:tblStylePr>
    <w:tblStylePr w:type="lastCol">
      <w:rPr>
        <w:color w:val="FFFFFF"/>
      </w:rPr>
      <w:tblPr/>
      <w:tcPr>
        <w:tcBorders>
          <w:top w:val="nil"/>
          <w:left w:val="nil"/>
          <w:bottom w:val="nil"/>
          <w:right w:val="nil"/>
          <w:insideH w:val="nil"/>
          <w:insideV w:val="nil"/>
        </w:tcBorders>
        <w:shd w:val="clear" w:color="auto" w:fill="2E6DB2"/>
      </w:tcPr>
    </w:tblStylePr>
    <w:tblStylePr w:type="band1Vert">
      <w:tblPr/>
      <w:tcPr>
        <w:shd w:val="clear" w:color="auto" w:fill="D4E3F3"/>
      </w:tcPr>
    </w:tblStylePr>
    <w:tblStylePr w:type="band1Horz">
      <w:tblPr/>
      <w:tcPr>
        <w:shd w:val="clear" w:color="auto" w:fill="C9DCF1"/>
      </w:tcPr>
    </w:tblStylePr>
  </w:style>
  <w:style w:type="table" w:styleId="ColorfulShading-Accent4">
    <w:name w:val="Colorful Shading Accent 4"/>
    <w:basedOn w:val="TableNormal"/>
    <w:uiPriority w:val="71"/>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24" w:space="0" w:color="94BAE3"/>
        <w:left w:val="single" w:sz="4" w:space="0" w:color="79B51C"/>
        <w:bottom w:val="single" w:sz="4" w:space="0" w:color="79B51C"/>
        <w:right w:val="single" w:sz="4" w:space="0" w:color="79B51C"/>
        <w:insideH w:val="single" w:sz="4" w:space="0" w:color="FFFFFF"/>
        <w:insideV w:val="single" w:sz="4" w:space="0" w:color="FFFFFF"/>
      </w:tblBorders>
      <w:tblCellMar>
        <w:top w:w="0" w:type="dxa"/>
        <w:left w:w="108" w:type="dxa"/>
        <w:bottom w:w="0" w:type="dxa"/>
        <w:right w:w="108" w:type="dxa"/>
      </w:tblCellMar>
    </w:tblPr>
    <w:tcPr>
      <w:shd w:val="clear" w:color="auto" w:fill="F2FBE5"/>
    </w:tcPr>
    <w:tblStylePr w:type="firstRow">
      <w:rPr>
        <w:b/>
        <w:bCs/>
      </w:rPr>
      <w:tblPr/>
      <w:tcPr>
        <w:tcBorders>
          <w:top w:val="nil"/>
          <w:left w:val="nil"/>
          <w:bottom w:val="single" w:sz="24" w:space="0" w:color="94BAE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86C10"/>
      </w:tcPr>
    </w:tblStylePr>
    <w:tblStylePr w:type="firstCol">
      <w:rPr>
        <w:color w:val="FFFFFF"/>
      </w:rPr>
      <w:tblPr/>
      <w:tcPr>
        <w:tcBorders>
          <w:top w:val="nil"/>
          <w:left w:val="nil"/>
          <w:bottom w:val="nil"/>
          <w:right w:val="nil"/>
          <w:insideH w:val="single" w:sz="4" w:space="0" w:color="486C10"/>
          <w:insideV w:val="nil"/>
        </w:tcBorders>
        <w:shd w:val="clear" w:color="auto" w:fill="486C10"/>
      </w:tcPr>
    </w:tblStylePr>
    <w:tblStylePr w:type="lastCol">
      <w:rPr>
        <w:color w:val="FFFFFF"/>
      </w:rPr>
      <w:tblPr/>
      <w:tcPr>
        <w:tcBorders>
          <w:top w:val="nil"/>
          <w:left w:val="nil"/>
          <w:bottom w:val="nil"/>
          <w:right w:val="nil"/>
          <w:insideH w:val="nil"/>
          <w:insideV w:val="nil"/>
        </w:tcBorders>
        <w:shd w:val="clear" w:color="auto" w:fill="486C10"/>
      </w:tcPr>
    </w:tblStylePr>
    <w:tblStylePr w:type="band1Vert">
      <w:tblPr/>
      <w:tcPr>
        <w:shd w:val="clear" w:color="auto" w:fill="CCEE96"/>
      </w:tcPr>
    </w:tblStylePr>
    <w:tblStylePr w:type="band1Horz">
      <w:tblPr/>
      <w:tcPr>
        <w:shd w:val="clear" w:color="auto" w:fill="BFEB7D"/>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24" w:space="0" w:color="F39200"/>
        <w:left w:val="single" w:sz="4" w:space="0" w:color="ACC705"/>
        <w:bottom w:val="single" w:sz="4" w:space="0" w:color="ACC705"/>
        <w:right w:val="single" w:sz="4" w:space="0" w:color="ACC705"/>
        <w:insideH w:val="single" w:sz="4" w:space="0" w:color="FFFFFF"/>
        <w:insideV w:val="single" w:sz="4" w:space="0" w:color="FFFFFF"/>
      </w:tblBorders>
      <w:tblCellMar>
        <w:top w:w="0" w:type="dxa"/>
        <w:left w:w="108" w:type="dxa"/>
        <w:bottom w:w="0" w:type="dxa"/>
        <w:right w:w="108" w:type="dxa"/>
      </w:tblCellMar>
    </w:tblPr>
    <w:tcPr>
      <w:shd w:val="clear" w:color="auto" w:fill="FAFEE1"/>
    </w:tcPr>
    <w:tblStylePr w:type="firstRow">
      <w:rPr>
        <w:b/>
        <w:bCs/>
      </w:rPr>
      <w:tblPr/>
      <w:tcPr>
        <w:tcBorders>
          <w:top w:val="nil"/>
          <w:left w:val="nil"/>
          <w:bottom w:val="single" w:sz="24" w:space="0" w:color="F392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67703"/>
      </w:tcPr>
    </w:tblStylePr>
    <w:tblStylePr w:type="firstCol">
      <w:rPr>
        <w:color w:val="FFFFFF"/>
      </w:rPr>
      <w:tblPr/>
      <w:tcPr>
        <w:tcBorders>
          <w:top w:val="nil"/>
          <w:left w:val="nil"/>
          <w:bottom w:val="nil"/>
          <w:right w:val="nil"/>
          <w:insideH w:val="single" w:sz="4" w:space="0" w:color="667703"/>
          <w:insideV w:val="nil"/>
        </w:tcBorders>
        <w:shd w:val="clear" w:color="auto" w:fill="667703"/>
      </w:tcPr>
    </w:tblStylePr>
    <w:tblStylePr w:type="lastCol">
      <w:rPr>
        <w:color w:val="FFFFFF"/>
      </w:rPr>
      <w:tblPr/>
      <w:tcPr>
        <w:tcBorders>
          <w:top w:val="nil"/>
          <w:left w:val="nil"/>
          <w:bottom w:val="nil"/>
          <w:right w:val="nil"/>
          <w:insideH w:val="nil"/>
          <w:insideV w:val="nil"/>
        </w:tcBorders>
        <w:shd w:val="clear" w:color="auto" w:fill="667703"/>
      </w:tcPr>
    </w:tblStylePr>
    <w:tblStylePr w:type="band1Vert">
      <w:tblPr/>
      <w:tcPr>
        <w:shd w:val="clear" w:color="auto" w:fill="EBFC87"/>
      </w:tcPr>
    </w:tblStylePr>
    <w:tblStylePr w:type="band1Horz">
      <w:tblPr/>
      <w:tcPr>
        <w:shd w:val="clear" w:color="auto" w:fill="E6FB6A"/>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24" w:space="0" w:color="ACC705"/>
        <w:left w:val="single" w:sz="4" w:space="0" w:color="F39200"/>
        <w:bottom w:val="single" w:sz="4" w:space="0" w:color="F39200"/>
        <w:right w:val="single" w:sz="4" w:space="0" w:color="F39200"/>
        <w:insideH w:val="single" w:sz="4" w:space="0" w:color="FFFFFF"/>
        <w:insideV w:val="single" w:sz="4" w:space="0" w:color="FFFFFF"/>
      </w:tblBorders>
      <w:tblCellMar>
        <w:top w:w="0" w:type="dxa"/>
        <w:left w:w="108" w:type="dxa"/>
        <w:bottom w:w="0" w:type="dxa"/>
        <w:right w:w="108" w:type="dxa"/>
      </w:tblCellMar>
    </w:tblPr>
    <w:tcPr>
      <w:shd w:val="clear" w:color="auto" w:fill="FFF4E4"/>
    </w:tcPr>
    <w:tblStylePr w:type="firstRow">
      <w:rPr>
        <w:b/>
        <w:bCs/>
      </w:rPr>
      <w:tblPr/>
      <w:tcPr>
        <w:tcBorders>
          <w:top w:val="nil"/>
          <w:left w:val="nil"/>
          <w:bottom w:val="single" w:sz="24" w:space="0" w:color="ACC70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15700"/>
      </w:tcPr>
    </w:tblStylePr>
    <w:tblStylePr w:type="firstCol">
      <w:rPr>
        <w:color w:val="FFFFFF"/>
      </w:rPr>
      <w:tblPr/>
      <w:tcPr>
        <w:tcBorders>
          <w:top w:val="nil"/>
          <w:left w:val="nil"/>
          <w:bottom w:val="nil"/>
          <w:right w:val="nil"/>
          <w:insideH w:val="single" w:sz="4" w:space="0" w:color="915700"/>
          <w:insideV w:val="nil"/>
        </w:tcBorders>
        <w:shd w:val="clear" w:color="auto" w:fill="915700"/>
      </w:tcPr>
    </w:tblStylePr>
    <w:tblStylePr w:type="lastCol">
      <w:rPr>
        <w:color w:val="FFFFFF"/>
      </w:rPr>
      <w:tblPr/>
      <w:tcPr>
        <w:tcBorders>
          <w:top w:val="nil"/>
          <w:left w:val="nil"/>
          <w:bottom w:val="nil"/>
          <w:right w:val="nil"/>
          <w:insideH w:val="nil"/>
          <w:insideV w:val="nil"/>
        </w:tcBorders>
        <w:shd w:val="clear" w:color="auto" w:fill="915700"/>
      </w:tcPr>
    </w:tblStylePr>
    <w:tblStylePr w:type="band1Vert">
      <w:tblPr/>
      <w:tcPr>
        <w:shd w:val="clear" w:color="auto" w:fill="FFD494"/>
      </w:tcPr>
    </w:tblStylePr>
    <w:tblStylePr w:type="band1Horz">
      <w:tblPr/>
      <w:tcPr>
        <w:shd w:val="clear" w:color="auto" w:fill="FFC97A"/>
      </w:tcPr>
    </w:tblStylePr>
    <w:tblStylePr w:type="neCell">
      <w:rPr>
        <w:color w:val="000000"/>
      </w:rPr>
    </w:tblStylePr>
    <w:tblStylePr w:type="nwCell">
      <w:rPr>
        <w:color w:val="000000"/>
      </w:rPr>
    </w:tblStylePr>
  </w:style>
  <w:style w:type="table" w:customStyle="1" w:styleId="FarbigesRaster1">
    <w:name w:val="Farbiges Raster1"/>
    <w:basedOn w:val="TableNormal"/>
    <w:uiPriority w:val="73"/>
    <w:semiHidden/>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BBBFF0"/>
    </w:tcPr>
    <w:tblStylePr w:type="firstRow">
      <w:rPr>
        <w:b/>
        <w:bCs/>
      </w:rPr>
      <w:tblPr/>
      <w:tcPr>
        <w:shd w:val="clear" w:color="auto" w:fill="7880E2"/>
      </w:tcPr>
    </w:tblStylePr>
    <w:tblStylePr w:type="lastRow">
      <w:rPr>
        <w:b/>
        <w:bCs/>
        <w:color w:val="000000"/>
      </w:rPr>
      <w:tblPr/>
      <w:tcPr>
        <w:shd w:val="clear" w:color="auto" w:fill="7880E2"/>
      </w:tcPr>
    </w:tblStylePr>
    <w:tblStylePr w:type="firstCol">
      <w:rPr>
        <w:color w:val="FFFFFF"/>
      </w:rPr>
      <w:tblPr/>
      <w:tcPr>
        <w:shd w:val="clear" w:color="auto" w:fill="0D113E"/>
      </w:tcPr>
    </w:tblStylePr>
    <w:tblStylePr w:type="lastCol">
      <w:rPr>
        <w:color w:val="FFFFFF"/>
      </w:rPr>
      <w:tblPr/>
      <w:tcPr>
        <w:shd w:val="clear" w:color="auto" w:fill="0D113E"/>
      </w:tcPr>
    </w:tblStylePr>
    <w:tblStylePr w:type="band1Vert">
      <w:tblPr/>
      <w:tcPr>
        <w:shd w:val="clear" w:color="auto" w:fill="5761DB"/>
      </w:tcPr>
    </w:tblStylePr>
    <w:tblStylePr w:type="band1Horz">
      <w:tblPr/>
      <w:tcPr>
        <w:shd w:val="clear" w:color="auto" w:fill="5761DB"/>
      </w:tcPr>
    </w:tblStylePr>
  </w:style>
  <w:style w:type="table" w:styleId="ColorfulGrid-Accent2">
    <w:name w:val="Colorful Grid Accent 2"/>
    <w:basedOn w:val="TableNormal"/>
    <w:uiPriority w:val="73"/>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BE9FA"/>
    </w:tcPr>
    <w:tblStylePr w:type="firstRow">
      <w:rPr>
        <w:b/>
        <w:bCs/>
      </w:rPr>
      <w:tblPr/>
      <w:tcPr>
        <w:shd w:val="clear" w:color="auto" w:fill="97D4F5"/>
      </w:tcPr>
    </w:tblStylePr>
    <w:tblStylePr w:type="lastRow">
      <w:rPr>
        <w:b/>
        <w:bCs/>
        <w:color w:val="000000"/>
      </w:rPr>
      <w:tblPr/>
      <w:tcPr>
        <w:shd w:val="clear" w:color="auto" w:fill="97D4F5"/>
      </w:tcPr>
    </w:tblStylePr>
    <w:tblStylePr w:type="firstCol">
      <w:rPr>
        <w:color w:val="FFFFFF"/>
      </w:rPr>
      <w:tblPr/>
      <w:tcPr>
        <w:shd w:val="clear" w:color="auto" w:fill="0F6999"/>
      </w:tcPr>
    </w:tblStylePr>
    <w:tblStylePr w:type="lastCol">
      <w:rPr>
        <w:color w:val="FFFFFF"/>
      </w:rPr>
      <w:tblPr/>
      <w:tcPr>
        <w:shd w:val="clear" w:color="auto" w:fill="0F6999"/>
      </w:tcPr>
    </w:tblStylePr>
    <w:tblStylePr w:type="band1Vert">
      <w:tblPr/>
      <w:tcPr>
        <w:shd w:val="clear" w:color="auto" w:fill="7DC9F2"/>
      </w:tcPr>
    </w:tblStylePr>
    <w:tblStylePr w:type="band1Horz">
      <w:tblPr/>
      <w:tcPr>
        <w:shd w:val="clear" w:color="auto" w:fill="7DC9F2"/>
      </w:tcPr>
    </w:tblStylePr>
  </w:style>
  <w:style w:type="table" w:styleId="ColorfulGrid-Accent3">
    <w:name w:val="Colorful Grid Accent 3"/>
    <w:basedOn w:val="TableNormal"/>
    <w:uiPriority w:val="73"/>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9F1F9"/>
    </w:tcPr>
    <w:tblStylePr w:type="firstRow">
      <w:rPr>
        <w:b/>
        <w:bCs/>
      </w:rPr>
      <w:tblPr/>
      <w:tcPr>
        <w:shd w:val="clear" w:color="auto" w:fill="D4E3F3"/>
      </w:tcPr>
    </w:tblStylePr>
    <w:tblStylePr w:type="lastRow">
      <w:rPr>
        <w:b/>
        <w:bCs/>
        <w:color w:val="000000"/>
      </w:rPr>
      <w:tblPr/>
      <w:tcPr>
        <w:shd w:val="clear" w:color="auto" w:fill="D4E3F3"/>
      </w:tcPr>
    </w:tblStylePr>
    <w:tblStylePr w:type="firstCol">
      <w:rPr>
        <w:color w:val="FFFFFF"/>
      </w:rPr>
      <w:tblPr/>
      <w:tcPr>
        <w:shd w:val="clear" w:color="auto" w:fill="4989CF"/>
      </w:tcPr>
    </w:tblStylePr>
    <w:tblStylePr w:type="lastCol">
      <w:rPr>
        <w:color w:val="FFFFFF"/>
      </w:rPr>
      <w:tblPr/>
      <w:tcPr>
        <w:shd w:val="clear" w:color="auto" w:fill="4989CF"/>
      </w:tcPr>
    </w:tblStylePr>
    <w:tblStylePr w:type="band1Vert">
      <w:tblPr/>
      <w:tcPr>
        <w:shd w:val="clear" w:color="auto" w:fill="C9DCF1"/>
      </w:tcPr>
    </w:tblStylePr>
    <w:tblStylePr w:type="band1Horz">
      <w:tblPr/>
      <w:tcPr>
        <w:shd w:val="clear" w:color="auto" w:fill="C9DCF1"/>
      </w:tcPr>
    </w:tblStylePr>
  </w:style>
  <w:style w:type="table" w:styleId="ColorfulGrid-Accent4">
    <w:name w:val="Colorful Grid Accent 4"/>
    <w:basedOn w:val="TableNormal"/>
    <w:uiPriority w:val="73"/>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F7CA"/>
    </w:tcPr>
    <w:tblStylePr w:type="firstRow">
      <w:rPr>
        <w:b/>
        <w:bCs/>
      </w:rPr>
      <w:tblPr/>
      <w:tcPr>
        <w:shd w:val="clear" w:color="auto" w:fill="CCEE96"/>
      </w:tcPr>
    </w:tblStylePr>
    <w:tblStylePr w:type="lastRow">
      <w:rPr>
        <w:b/>
        <w:bCs/>
        <w:color w:val="000000"/>
      </w:rPr>
      <w:tblPr/>
      <w:tcPr>
        <w:shd w:val="clear" w:color="auto" w:fill="CCEE96"/>
      </w:tcPr>
    </w:tblStylePr>
    <w:tblStylePr w:type="firstCol">
      <w:rPr>
        <w:color w:val="FFFFFF"/>
      </w:rPr>
      <w:tblPr/>
      <w:tcPr>
        <w:shd w:val="clear" w:color="auto" w:fill="5A8715"/>
      </w:tcPr>
    </w:tblStylePr>
    <w:tblStylePr w:type="lastCol">
      <w:rPr>
        <w:color w:val="FFFFFF"/>
      </w:rPr>
      <w:tblPr/>
      <w:tcPr>
        <w:shd w:val="clear" w:color="auto" w:fill="5A8715"/>
      </w:tcPr>
    </w:tblStylePr>
    <w:tblStylePr w:type="band1Vert">
      <w:tblPr/>
      <w:tcPr>
        <w:shd w:val="clear" w:color="auto" w:fill="BFEB7D"/>
      </w:tcPr>
    </w:tblStylePr>
    <w:tblStylePr w:type="band1Horz">
      <w:tblPr/>
      <w:tcPr>
        <w:shd w:val="clear" w:color="auto" w:fill="BFEB7D"/>
      </w:tcPr>
    </w:tblStylePr>
  </w:style>
  <w:style w:type="table" w:styleId="ColorfulGrid-Accent5">
    <w:name w:val="Colorful Grid Accent 5"/>
    <w:basedOn w:val="TableNormal"/>
    <w:uiPriority w:val="73"/>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5FDC3"/>
    </w:tcPr>
    <w:tblStylePr w:type="firstRow">
      <w:rPr>
        <w:b/>
        <w:bCs/>
      </w:rPr>
      <w:tblPr/>
      <w:tcPr>
        <w:shd w:val="clear" w:color="auto" w:fill="EBFC87"/>
      </w:tcPr>
    </w:tblStylePr>
    <w:tblStylePr w:type="lastRow">
      <w:rPr>
        <w:b/>
        <w:bCs/>
        <w:color w:val="000000"/>
      </w:rPr>
      <w:tblPr/>
      <w:tcPr>
        <w:shd w:val="clear" w:color="auto" w:fill="EBFC87"/>
      </w:tcPr>
    </w:tblStylePr>
    <w:tblStylePr w:type="firstCol">
      <w:rPr>
        <w:color w:val="FFFFFF"/>
      </w:rPr>
      <w:tblPr/>
      <w:tcPr>
        <w:shd w:val="clear" w:color="auto" w:fill="809403"/>
      </w:tcPr>
    </w:tblStylePr>
    <w:tblStylePr w:type="lastCol">
      <w:rPr>
        <w:color w:val="FFFFFF"/>
      </w:rPr>
      <w:tblPr/>
      <w:tcPr>
        <w:shd w:val="clear" w:color="auto" w:fill="809403"/>
      </w:tcPr>
    </w:tblStylePr>
    <w:tblStylePr w:type="band1Vert">
      <w:tblPr/>
      <w:tcPr>
        <w:shd w:val="clear" w:color="auto" w:fill="E6FB6A"/>
      </w:tcPr>
    </w:tblStylePr>
    <w:tblStylePr w:type="band1Horz">
      <w:tblPr/>
      <w:tcPr>
        <w:shd w:val="clear" w:color="auto" w:fill="E6FB6A"/>
      </w:tcPr>
    </w:tblStylePr>
  </w:style>
  <w:style w:type="table" w:styleId="ColorfulGrid-Accent6">
    <w:name w:val="Colorful Grid Accent 6"/>
    <w:basedOn w:val="TableNormal"/>
    <w:uiPriority w:val="73"/>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FE9C9"/>
    </w:tcPr>
    <w:tblStylePr w:type="firstRow">
      <w:rPr>
        <w:b/>
        <w:bCs/>
      </w:rPr>
      <w:tblPr/>
      <w:tcPr>
        <w:shd w:val="clear" w:color="auto" w:fill="FFD494"/>
      </w:tcPr>
    </w:tblStylePr>
    <w:tblStylePr w:type="lastRow">
      <w:rPr>
        <w:b/>
        <w:bCs/>
        <w:color w:val="000000"/>
      </w:rPr>
      <w:tblPr/>
      <w:tcPr>
        <w:shd w:val="clear" w:color="auto" w:fill="FFD494"/>
      </w:tcPr>
    </w:tblStylePr>
    <w:tblStylePr w:type="firstCol">
      <w:rPr>
        <w:color w:val="FFFFFF"/>
      </w:rPr>
      <w:tblPr/>
      <w:tcPr>
        <w:shd w:val="clear" w:color="auto" w:fill="B66D00"/>
      </w:tcPr>
    </w:tblStylePr>
    <w:tblStylePr w:type="lastCol">
      <w:rPr>
        <w:color w:val="FFFFFF"/>
      </w:rPr>
      <w:tblPr/>
      <w:tcPr>
        <w:shd w:val="clear" w:color="auto" w:fill="B66D00"/>
      </w:tcPr>
    </w:tblStylePr>
    <w:tblStylePr w:type="band1Vert">
      <w:tblPr/>
      <w:tcPr>
        <w:shd w:val="clear" w:color="auto" w:fill="FFC97A"/>
      </w:tcPr>
    </w:tblStylePr>
    <w:tblStylePr w:type="band1Horz">
      <w:tblPr/>
      <w:tcPr>
        <w:shd w:val="clear" w:color="auto" w:fill="FFC97A"/>
      </w:tcPr>
    </w:tblStylePr>
  </w:style>
  <w:style w:type="table" w:customStyle="1" w:styleId="MittlereSchattierung11">
    <w:name w:val="Mittlere Schattierung 11"/>
    <w:basedOn w:val="TableNormal"/>
    <w:uiPriority w:val="63"/>
    <w:semiHidden/>
    <w:unhideWhenUsed/>
    <w:lock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ittlereSchattierung1-Akzent11">
    <w:name w:val="Mittlere Schattierung 1 - Akzent 11"/>
    <w:basedOn w:val="TableNormal"/>
    <w:uiPriority w:val="63"/>
    <w:semiHidden/>
    <w:unhideWhenUsed/>
    <w:lock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242EA8"/>
        <w:left w:val="single" w:sz="8" w:space="0" w:color="242EA8"/>
        <w:bottom w:val="single" w:sz="8" w:space="0" w:color="242EA8"/>
        <w:right w:val="single" w:sz="8" w:space="0" w:color="242EA8"/>
        <w:insideH w:val="single" w:sz="8" w:space="0" w:color="242EA8"/>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42EA8"/>
          <w:left w:val="single" w:sz="8" w:space="0" w:color="242EA8"/>
          <w:bottom w:val="single" w:sz="8" w:space="0" w:color="242EA8"/>
          <w:right w:val="single" w:sz="8" w:space="0" w:color="242EA8"/>
          <w:insideH w:val="nil"/>
          <w:insideV w:val="nil"/>
        </w:tcBorders>
        <w:shd w:val="clear" w:color="auto" w:fill="121754"/>
      </w:tcPr>
    </w:tblStylePr>
    <w:tblStylePr w:type="lastRow">
      <w:pPr>
        <w:spacing w:before="0" w:after="0" w:line="240" w:lineRule="auto"/>
      </w:pPr>
      <w:rPr>
        <w:b/>
        <w:bCs/>
      </w:rPr>
      <w:tblPr/>
      <w:tcPr>
        <w:tcBorders>
          <w:top w:val="double" w:sz="6" w:space="0" w:color="242EA8"/>
          <w:left w:val="single" w:sz="8" w:space="0" w:color="242EA8"/>
          <w:bottom w:val="single" w:sz="8" w:space="0" w:color="242EA8"/>
          <w:right w:val="single" w:sz="8" w:space="0" w:color="242EA8"/>
          <w:insideH w:val="nil"/>
          <w:insideV w:val="nil"/>
        </w:tcBorders>
      </w:tcPr>
    </w:tblStylePr>
    <w:tblStylePr w:type="firstCol">
      <w:rPr>
        <w:b/>
        <w:bCs/>
      </w:rPr>
    </w:tblStylePr>
    <w:tblStylePr w:type="lastCol">
      <w:rPr>
        <w:b/>
        <w:bCs/>
      </w:rPr>
    </w:tblStylePr>
    <w:tblStylePr w:type="band1Vert">
      <w:tblPr/>
      <w:tcPr>
        <w:shd w:val="clear" w:color="auto" w:fill="ABB0ED"/>
      </w:tcPr>
    </w:tblStylePr>
    <w:tblStylePr w:type="band1Horz">
      <w:tblPr/>
      <w:tcPr>
        <w:tcBorders>
          <w:insideH w:val="nil"/>
          <w:insideV w:val="nil"/>
        </w:tcBorders>
        <w:shd w:val="clear" w:color="auto" w:fill="ABB0ED"/>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3CAEEC"/>
        <w:left w:val="single" w:sz="8" w:space="0" w:color="3CAEEC"/>
        <w:bottom w:val="single" w:sz="8" w:space="0" w:color="3CAEEC"/>
        <w:right w:val="single" w:sz="8" w:space="0" w:color="3CAEEC"/>
        <w:insideH w:val="single" w:sz="8" w:space="0" w:color="3CAEEC"/>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3CAEEC"/>
          <w:left w:val="single" w:sz="8" w:space="0" w:color="3CAEEC"/>
          <w:bottom w:val="single" w:sz="8" w:space="0" w:color="3CAEEC"/>
          <w:right w:val="single" w:sz="8" w:space="0" w:color="3CAEEC"/>
          <w:insideH w:val="nil"/>
          <w:insideV w:val="nil"/>
        </w:tcBorders>
        <w:shd w:val="clear" w:color="auto" w:fill="148DCD"/>
      </w:tcPr>
    </w:tblStylePr>
    <w:tblStylePr w:type="lastRow">
      <w:pPr>
        <w:spacing w:before="0" w:after="0" w:line="240" w:lineRule="auto"/>
      </w:pPr>
      <w:rPr>
        <w:b/>
        <w:bCs/>
      </w:rPr>
      <w:tblPr/>
      <w:tcPr>
        <w:tcBorders>
          <w:top w:val="double" w:sz="6" w:space="0" w:color="3CAEEC"/>
          <w:left w:val="single" w:sz="8" w:space="0" w:color="3CAEEC"/>
          <w:bottom w:val="single" w:sz="8" w:space="0" w:color="3CAEEC"/>
          <w:right w:val="single" w:sz="8" w:space="0" w:color="3CAEEC"/>
          <w:insideH w:val="nil"/>
          <w:insideV w:val="nil"/>
        </w:tcBorders>
      </w:tcPr>
    </w:tblStylePr>
    <w:tblStylePr w:type="firstCol">
      <w:rPr>
        <w:b/>
        <w:bCs/>
      </w:rPr>
    </w:tblStylePr>
    <w:tblStylePr w:type="lastCol">
      <w:rPr>
        <w:b/>
        <w:bCs/>
      </w:rPr>
    </w:tblStylePr>
    <w:tblStylePr w:type="band1Vert">
      <w:tblPr/>
      <w:tcPr>
        <w:shd w:val="clear" w:color="auto" w:fill="BEE4F8"/>
      </w:tcPr>
    </w:tblStylePr>
    <w:tblStylePr w:type="band1Horz">
      <w:tblPr/>
      <w:tcPr>
        <w:tcBorders>
          <w:insideH w:val="nil"/>
          <w:insideV w:val="nil"/>
        </w:tcBorders>
        <w:shd w:val="clear" w:color="auto" w:fill="BEE4F8"/>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AECBEA"/>
        <w:left w:val="single" w:sz="8" w:space="0" w:color="AECBEA"/>
        <w:bottom w:val="single" w:sz="8" w:space="0" w:color="AECBEA"/>
        <w:right w:val="single" w:sz="8" w:space="0" w:color="AECBEA"/>
        <w:insideH w:val="single" w:sz="8" w:space="0" w:color="AECBEA"/>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AECBEA"/>
          <w:left w:val="single" w:sz="8" w:space="0" w:color="AECBEA"/>
          <w:bottom w:val="single" w:sz="8" w:space="0" w:color="AECBEA"/>
          <w:right w:val="single" w:sz="8" w:space="0" w:color="AECBEA"/>
          <w:insideH w:val="nil"/>
          <w:insideV w:val="nil"/>
        </w:tcBorders>
        <w:shd w:val="clear" w:color="auto" w:fill="94BAE3"/>
      </w:tcPr>
    </w:tblStylePr>
    <w:tblStylePr w:type="lastRow">
      <w:pPr>
        <w:spacing w:before="0" w:after="0" w:line="240" w:lineRule="auto"/>
      </w:pPr>
      <w:rPr>
        <w:b/>
        <w:bCs/>
      </w:rPr>
      <w:tblPr/>
      <w:tcPr>
        <w:tcBorders>
          <w:top w:val="double" w:sz="6" w:space="0" w:color="AECBEA"/>
          <w:left w:val="single" w:sz="8" w:space="0" w:color="AECBEA"/>
          <w:bottom w:val="single" w:sz="8" w:space="0" w:color="AECBEA"/>
          <w:right w:val="single" w:sz="8" w:space="0" w:color="AECBEA"/>
          <w:insideH w:val="nil"/>
          <w:insideV w:val="nil"/>
        </w:tcBorders>
      </w:tcPr>
    </w:tblStylePr>
    <w:tblStylePr w:type="firstCol">
      <w:rPr>
        <w:b/>
        <w:bCs/>
      </w:rPr>
    </w:tblStylePr>
    <w:tblStylePr w:type="lastCol">
      <w:rPr>
        <w:b/>
        <w:bCs/>
      </w:rPr>
    </w:tblStylePr>
    <w:tblStylePr w:type="band1Vert">
      <w:tblPr/>
      <w:tcPr>
        <w:shd w:val="clear" w:color="auto" w:fill="E4EDF8"/>
      </w:tcPr>
    </w:tblStylePr>
    <w:tblStylePr w:type="band1Horz">
      <w:tblPr/>
      <w:tcPr>
        <w:tcBorders>
          <w:insideH w:val="nil"/>
          <w:insideV w:val="nil"/>
        </w:tcBorders>
        <w:shd w:val="clear" w:color="auto" w:fill="E4EDF8"/>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9FE03B"/>
        <w:left w:val="single" w:sz="8" w:space="0" w:color="9FE03B"/>
        <w:bottom w:val="single" w:sz="8" w:space="0" w:color="9FE03B"/>
        <w:right w:val="single" w:sz="8" w:space="0" w:color="9FE03B"/>
        <w:insideH w:val="single" w:sz="8" w:space="0" w:color="9FE03B"/>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E03B"/>
          <w:left w:val="single" w:sz="8" w:space="0" w:color="9FE03B"/>
          <w:bottom w:val="single" w:sz="8" w:space="0" w:color="9FE03B"/>
          <w:right w:val="single" w:sz="8" w:space="0" w:color="9FE03B"/>
          <w:insideH w:val="nil"/>
          <w:insideV w:val="nil"/>
        </w:tcBorders>
        <w:shd w:val="clear" w:color="auto" w:fill="79B51C"/>
      </w:tcPr>
    </w:tblStylePr>
    <w:tblStylePr w:type="lastRow">
      <w:pPr>
        <w:spacing w:before="0" w:after="0" w:line="240" w:lineRule="auto"/>
      </w:pPr>
      <w:rPr>
        <w:b/>
        <w:bCs/>
      </w:rPr>
      <w:tblPr/>
      <w:tcPr>
        <w:tcBorders>
          <w:top w:val="double" w:sz="6" w:space="0" w:color="9FE03B"/>
          <w:left w:val="single" w:sz="8" w:space="0" w:color="9FE03B"/>
          <w:bottom w:val="single" w:sz="8" w:space="0" w:color="9FE03B"/>
          <w:right w:val="single" w:sz="8" w:space="0" w:color="9FE03B"/>
          <w:insideH w:val="nil"/>
          <w:insideV w:val="nil"/>
        </w:tcBorders>
      </w:tcPr>
    </w:tblStylePr>
    <w:tblStylePr w:type="firstCol">
      <w:rPr>
        <w:b/>
        <w:bCs/>
      </w:rPr>
    </w:tblStylePr>
    <w:tblStylePr w:type="lastCol">
      <w:rPr>
        <w:b/>
        <w:bCs/>
      </w:rPr>
    </w:tblStylePr>
    <w:tblStylePr w:type="band1Vert">
      <w:tblPr/>
      <w:tcPr>
        <w:shd w:val="clear" w:color="auto" w:fill="DFF5BE"/>
      </w:tcPr>
    </w:tblStylePr>
    <w:tblStylePr w:type="band1Horz">
      <w:tblPr/>
      <w:tcPr>
        <w:tcBorders>
          <w:insideH w:val="nil"/>
          <w:insideV w:val="nil"/>
        </w:tcBorders>
        <w:shd w:val="clear" w:color="auto" w:fill="DFF5BE"/>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DAF91F"/>
        <w:left w:val="single" w:sz="8" w:space="0" w:color="DAF91F"/>
        <w:bottom w:val="single" w:sz="8" w:space="0" w:color="DAF91F"/>
        <w:right w:val="single" w:sz="8" w:space="0" w:color="DAF91F"/>
        <w:insideH w:val="single" w:sz="8" w:space="0" w:color="DAF91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DAF91F"/>
          <w:left w:val="single" w:sz="8" w:space="0" w:color="DAF91F"/>
          <w:bottom w:val="single" w:sz="8" w:space="0" w:color="DAF91F"/>
          <w:right w:val="single" w:sz="8" w:space="0" w:color="DAF91F"/>
          <w:insideH w:val="nil"/>
          <w:insideV w:val="nil"/>
        </w:tcBorders>
        <w:shd w:val="clear" w:color="auto" w:fill="ACC705"/>
      </w:tcPr>
    </w:tblStylePr>
    <w:tblStylePr w:type="lastRow">
      <w:pPr>
        <w:spacing w:before="0" w:after="0" w:line="240" w:lineRule="auto"/>
      </w:pPr>
      <w:rPr>
        <w:b/>
        <w:bCs/>
      </w:rPr>
      <w:tblPr/>
      <w:tcPr>
        <w:tcBorders>
          <w:top w:val="double" w:sz="6" w:space="0" w:color="DAF91F"/>
          <w:left w:val="single" w:sz="8" w:space="0" w:color="DAF91F"/>
          <w:bottom w:val="single" w:sz="8" w:space="0" w:color="DAF91F"/>
          <w:right w:val="single" w:sz="8" w:space="0" w:color="DAF91F"/>
          <w:insideH w:val="nil"/>
          <w:insideV w:val="nil"/>
        </w:tcBorders>
      </w:tcPr>
    </w:tblStylePr>
    <w:tblStylePr w:type="firstCol">
      <w:rPr>
        <w:b/>
        <w:bCs/>
      </w:rPr>
    </w:tblStylePr>
    <w:tblStylePr w:type="lastCol">
      <w:rPr>
        <w:b/>
        <w:bCs/>
      </w:rPr>
    </w:tblStylePr>
    <w:tblStylePr w:type="band1Vert">
      <w:tblPr/>
      <w:tcPr>
        <w:shd w:val="clear" w:color="auto" w:fill="F3FDB5"/>
      </w:tcPr>
    </w:tblStylePr>
    <w:tblStylePr w:type="band1Horz">
      <w:tblPr/>
      <w:tcPr>
        <w:tcBorders>
          <w:insideH w:val="nil"/>
          <w:insideV w:val="nil"/>
        </w:tcBorders>
        <w:shd w:val="clear" w:color="auto" w:fill="F3FDB5"/>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AF37"/>
        <w:left w:val="single" w:sz="8" w:space="0" w:color="FFAF37"/>
        <w:bottom w:val="single" w:sz="8" w:space="0" w:color="FFAF37"/>
        <w:right w:val="single" w:sz="8" w:space="0" w:color="FFAF37"/>
        <w:insideH w:val="single" w:sz="8" w:space="0" w:color="FFAF37"/>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FAF37"/>
          <w:left w:val="single" w:sz="8" w:space="0" w:color="FFAF37"/>
          <w:bottom w:val="single" w:sz="8" w:space="0" w:color="FFAF37"/>
          <w:right w:val="single" w:sz="8" w:space="0" w:color="FFAF37"/>
          <w:insideH w:val="nil"/>
          <w:insideV w:val="nil"/>
        </w:tcBorders>
        <w:shd w:val="clear" w:color="auto" w:fill="F39200"/>
      </w:tcPr>
    </w:tblStylePr>
    <w:tblStylePr w:type="lastRow">
      <w:pPr>
        <w:spacing w:before="0" w:after="0" w:line="240" w:lineRule="auto"/>
      </w:pPr>
      <w:rPr>
        <w:b/>
        <w:bCs/>
      </w:rPr>
      <w:tblPr/>
      <w:tcPr>
        <w:tcBorders>
          <w:top w:val="double" w:sz="6" w:space="0" w:color="FFAF37"/>
          <w:left w:val="single" w:sz="8" w:space="0" w:color="FFAF37"/>
          <w:bottom w:val="single" w:sz="8" w:space="0" w:color="FFAF37"/>
          <w:right w:val="single" w:sz="8" w:space="0" w:color="FFAF37"/>
          <w:insideH w:val="nil"/>
          <w:insideV w:val="nil"/>
        </w:tcBorders>
      </w:tcPr>
    </w:tblStylePr>
    <w:tblStylePr w:type="firstCol">
      <w:rPr>
        <w:b/>
        <w:bCs/>
      </w:rPr>
    </w:tblStylePr>
    <w:tblStylePr w:type="lastCol">
      <w:rPr>
        <w:b/>
        <w:bCs/>
      </w:rPr>
    </w:tblStylePr>
    <w:tblStylePr w:type="band1Vert">
      <w:tblPr/>
      <w:tcPr>
        <w:shd w:val="clear" w:color="auto" w:fill="FFE4BD"/>
      </w:tcPr>
    </w:tblStylePr>
    <w:tblStylePr w:type="band1Horz">
      <w:tblPr/>
      <w:tcPr>
        <w:tcBorders>
          <w:insideH w:val="nil"/>
          <w:insideV w:val="nil"/>
        </w:tcBorders>
        <w:shd w:val="clear" w:color="auto" w:fill="FFE4BD"/>
      </w:tcPr>
    </w:tblStylePr>
    <w:tblStylePr w:type="band2Horz">
      <w:tblPr/>
      <w:tcPr>
        <w:tcBorders>
          <w:insideH w:val="nil"/>
          <w:insideV w:val="nil"/>
        </w:tcBorders>
      </w:tcPr>
    </w:tblStylePr>
  </w:style>
  <w:style w:type="table" w:customStyle="1" w:styleId="MittlereSchattierung21">
    <w:name w:val="Mittlere Schattierung 21"/>
    <w:basedOn w:val="TableNormal"/>
    <w:uiPriority w:val="64"/>
    <w:semiHidden/>
    <w:unhideWhenUsed/>
    <w:lock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ittlereSchattierung2-Akzent11">
    <w:name w:val="Mittlere Schattierung 2 - Akzent 11"/>
    <w:basedOn w:val="TableNormal"/>
    <w:uiPriority w:val="64"/>
    <w:semiHidden/>
    <w:unhideWhenUsed/>
    <w:lock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2175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21754"/>
      </w:tcPr>
    </w:tblStylePr>
    <w:tblStylePr w:type="lastCol">
      <w:rPr>
        <w:b/>
        <w:bCs/>
        <w:color w:val="FFFFFF"/>
      </w:rPr>
      <w:tblPr/>
      <w:tcPr>
        <w:tcBorders>
          <w:left w:val="nil"/>
          <w:right w:val="nil"/>
          <w:insideH w:val="nil"/>
          <w:insideV w:val="nil"/>
        </w:tcBorders>
        <w:shd w:val="clear" w:color="auto" w:fill="12175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48DC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48DCD"/>
      </w:tcPr>
    </w:tblStylePr>
    <w:tblStylePr w:type="lastCol">
      <w:rPr>
        <w:b/>
        <w:bCs/>
        <w:color w:val="FFFFFF"/>
      </w:rPr>
      <w:tblPr/>
      <w:tcPr>
        <w:tcBorders>
          <w:left w:val="nil"/>
          <w:right w:val="nil"/>
          <w:insideH w:val="nil"/>
          <w:insideV w:val="nil"/>
        </w:tcBorders>
        <w:shd w:val="clear" w:color="auto" w:fill="148DC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4BAE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4BAE3"/>
      </w:tcPr>
    </w:tblStylePr>
    <w:tblStylePr w:type="lastCol">
      <w:rPr>
        <w:b/>
        <w:bCs/>
        <w:color w:val="FFFFFF"/>
      </w:rPr>
      <w:tblPr/>
      <w:tcPr>
        <w:tcBorders>
          <w:left w:val="nil"/>
          <w:right w:val="nil"/>
          <w:insideH w:val="nil"/>
          <w:insideV w:val="nil"/>
        </w:tcBorders>
        <w:shd w:val="clear" w:color="auto" w:fill="94BAE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9B51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9B51C"/>
      </w:tcPr>
    </w:tblStylePr>
    <w:tblStylePr w:type="lastCol">
      <w:rPr>
        <w:b/>
        <w:bCs/>
        <w:color w:val="FFFFFF"/>
      </w:rPr>
      <w:tblPr/>
      <w:tcPr>
        <w:tcBorders>
          <w:left w:val="nil"/>
          <w:right w:val="nil"/>
          <w:insideH w:val="nil"/>
          <w:insideV w:val="nil"/>
        </w:tcBorders>
        <w:shd w:val="clear" w:color="auto" w:fill="79B51C"/>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CC70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CC705"/>
      </w:tcPr>
    </w:tblStylePr>
    <w:tblStylePr w:type="lastCol">
      <w:rPr>
        <w:b/>
        <w:bCs/>
        <w:color w:val="FFFFFF"/>
      </w:rPr>
      <w:tblPr/>
      <w:tcPr>
        <w:tcBorders>
          <w:left w:val="nil"/>
          <w:right w:val="nil"/>
          <w:insideH w:val="nil"/>
          <w:insideV w:val="nil"/>
        </w:tcBorders>
        <w:shd w:val="clear" w:color="auto" w:fill="ACC70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392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39200"/>
      </w:tcPr>
    </w:tblStylePr>
    <w:tblStylePr w:type="lastCol">
      <w:rPr>
        <w:b/>
        <w:bCs/>
        <w:color w:val="FFFFFF"/>
      </w:rPr>
      <w:tblPr/>
      <w:tcPr>
        <w:tcBorders>
          <w:left w:val="nil"/>
          <w:right w:val="nil"/>
          <w:insideH w:val="nil"/>
          <w:insideV w:val="nil"/>
        </w:tcBorders>
        <w:shd w:val="clear" w:color="auto" w:fill="F392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ittlereListe11">
    <w:name w:val="Mittlere Liste 11"/>
    <w:basedOn w:val="TableNormal"/>
    <w:uiPriority w:val="65"/>
    <w:semiHidden/>
    <w:unhideWhenUsed/>
    <w:lock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w:eastAsia="MS Gothic" w:hAnsi="Arial"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ittlereListe1-Akzent11">
    <w:name w:val="Mittlere Liste 1 - Akzent 11"/>
    <w:basedOn w:val="TableNormal"/>
    <w:uiPriority w:val="65"/>
    <w:semiHidden/>
    <w:unhideWhenUsed/>
    <w:lock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121754"/>
        <w:bottom w:val="single" w:sz="8" w:space="0" w:color="121754"/>
      </w:tblBorders>
      <w:tblCellMar>
        <w:top w:w="0" w:type="dxa"/>
        <w:left w:w="108" w:type="dxa"/>
        <w:bottom w:w="0" w:type="dxa"/>
        <w:right w:w="108" w:type="dxa"/>
      </w:tblCellMar>
    </w:tblPr>
    <w:tblStylePr w:type="firstRow">
      <w:rPr>
        <w:rFonts w:ascii="Arial" w:eastAsia="MS Gothic" w:hAnsi="Arial" w:cs="Times New Roman"/>
      </w:rPr>
      <w:tblPr/>
      <w:tcPr>
        <w:tcBorders>
          <w:top w:val="nil"/>
          <w:bottom w:val="single" w:sz="8" w:space="0" w:color="121754"/>
        </w:tcBorders>
      </w:tcPr>
    </w:tblStylePr>
    <w:tblStylePr w:type="lastRow">
      <w:rPr>
        <w:b/>
        <w:bCs/>
        <w:color w:val="1F497D"/>
      </w:rPr>
      <w:tblPr/>
      <w:tcPr>
        <w:tcBorders>
          <w:top w:val="single" w:sz="8" w:space="0" w:color="121754"/>
          <w:bottom w:val="single" w:sz="8" w:space="0" w:color="121754"/>
        </w:tcBorders>
      </w:tcPr>
    </w:tblStylePr>
    <w:tblStylePr w:type="firstCol">
      <w:rPr>
        <w:b/>
        <w:bCs/>
      </w:rPr>
    </w:tblStylePr>
    <w:tblStylePr w:type="lastCol">
      <w:rPr>
        <w:b/>
        <w:bCs/>
      </w:rPr>
      <w:tblPr/>
      <w:tcPr>
        <w:tcBorders>
          <w:top w:val="single" w:sz="8" w:space="0" w:color="121754"/>
          <w:bottom w:val="single" w:sz="8" w:space="0" w:color="121754"/>
        </w:tcBorders>
      </w:tcPr>
    </w:tblStylePr>
    <w:tblStylePr w:type="band1Vert">
      <w:tblPr/>
      <w:tcPr>
        <w:shd w:val="clear" w:color="auto" w:fill="ABB0ED"/>
      </w:tcPr>
    </w:tblStylePr>
    <w:tblStylePr w:type="band1Horz">
      <w:tblPr/>
      <w:tcPr>
        <w:shd w:val="clear" w:color="auto" w:fill="ABB0ED"/>
      </w:tcPr>
    </w:tblStylePr>
  </w:style>
  <w:style w:type="table" w:styleId="MediumList1-Accent2">
    <w:name w:val="Medium List 1 Accent 2"/>
    <w:basedOn w:val="TableNormal"/>
    <w:uiPriority w:val="65"/>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148DCD"/>
        <w:bottom w:val="single" w:sz="8" w:space="0" w:color="148DCD"/>
      </w:tblBorders>
      <w:tblCellMar>
        <w:top w:w="0" w:type="dxa"/>
        <w:left w:w="108" w:type="dxa"/>
        <w:bottom w:w="0" w:type="dxa"/>
        <w:right w:w="108" w:type="dxa"/>
      </w:tblCellMar>
    </w:tblPr>
    <w:tblStylePr w:type="firstRow">
      <w:rPr>
        <w:rFonts w:ascii="Arial" w:eastAsia="MS Gothic" w:hAnsi="Arial" w:cs="Times New Roman"/>
      </w:rPr>
      <w:tblPr/>
      <w:tcPr>
        <w:tcBorders>
          <w:top w:val="nil"/>
          <w:bottom w:val="single" w:sz="8" w:space="0" w:color="148DCD"/>
        </w:tcBorders>
      </w:tcPr>
    </w:tblStylePr>
    <w:tblStylePr w:type="lastRow">
      <w:rPr>
        <w:b/>
        <w:bCs/>
        <w:color w:val="1F497D"/>
      </w:rPr>
      <w:tblPr/>
      <w:tcPr>
        <w:tcBorders>
          <w:top w:val="single" w:sz="8" w:space="0" w:color="148DCD"/>
          <w:bottom w:val="single" w:sz="8" w:space="0" w:color="148DCD"/>
        </w:tcBorders>
      </w:tcPr>
    </w:tblStylePr>
    <w:tblStylePr w:type="firstCol">
      <w:rPr>
        <w:b/>
        <w:bCs/>
      </w:rPr>
    </w:tblStylePr>
    <w:tblStylePr w:type="lastCol">
      <w:rPr>
        <w:b/>
        <w:bCs/>
      </w:rPr>
      <w:tblPr/>
      <w:tcPr>
        <w:tcBorders>
          <w:top w:val="single" w:sz="8" w:space="0" w:color="148DCD"/>
          <w:bottom w:val="single" w:sz="8" w:space="0" w:color="148DCD"/>
        </w:tcBorders>
      </w:tcPr>
    </w:tblStylePr>
    <w:tblStylePr w:type="band1Vert">
      <w:tblPr/>
      <w:tcPr>
        <w:shd w:val="clear" w:color="auto" w:fill="BEE4F8"/>
      </w:tcPr>
    </w:tblStylePr>
    <w:tblStylePr w:type="band1Horz">
      <w:tblPr/>
      <w:tcPr>
        <w:shd w:val="clear" w:color="auto" w:fill="BEE4F8"/>
      </w:tcPr>
    </w:tblStylePr>
  </w:style>
  <w:style w:type="table" w:styleId="MediumList1-Accent3">
    <w:name w:val="Medium List 1 Accent 3"/>
    <w:basedOn w:val="TableNormal"/>
    <w:uiPriority w:val="65"/>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94BAE3"/>
        <w:bottom w:val="single" w:sz="8" w:space="0" w:color="94BAE3"/>
      </w:tblBorders>
      <w:tblCellMar>
        <w:top w:w="0" w:type="dxa"/>
        <w:left w:w="108" w:type="dxa"/>
        <w:bottom w:w="0" w:type="dxa"/>
        <w:right w:w="108" w:type="dxa"/>
      </w:tblCellMar>
    </w:tblPr>
    <w:tblStylePr w:type="firstRow">
      <w:rPr>
        <w:rFonts w:ascii="Arial" w:eastAsia="MS Gothic" w:hAnsi="Arial" w:cs="Times New Roman"/>
      </w:rPr>
      <w:tblPr/>
      <w:tcPr>
        <w:tcBorders>
          <w:top w:val="nil"/>
          <w:bottom w:val="single" w:sz="8" w:space="0" w:color="94BAE3"/>
        </w:tcBorders>
      </w:tcPr>
    </w:tblStylePr>
    <w:tblStylePr w:type="lastRow">
      <w:rPr>
        <w:b/>
        <w:bCs/>
        <w:color w:val="1F497D"/>
      </w:rPr>
      <w:tblPr/>
      <w:tcPr>
        <w:tcBorders>
          <w:top w:val="single" w:sz="8" w:space="0" w:color="94BAE3"/>
          <w:bottom w:val="single" w:sz="8" w:space="0" w:color="94BAE3"/>
        </w:tcBorders>
      </w:tcPr>
    </w:tblStylePr>
    <w:tblStylePr w:type="firstCol">
      <w:rPr>
        <w:b/>
        <w:bCs/>
      </w:rPr>
    </w:tblStylePr>
    <w:tblStylePr w:type="lastCol">
      <w:rPr>
        <w:b/>
        <w:bCs/>
      </w:rPr>
      <w:tblPr/>
      <w:tcPr>
        <w:tcBorders>
          <w:top w:val="single" w:sz="8" w:space="0" w:color="94BAE3"/>
          <w:bottom w:val="single" w:sz="8" w:space="0" w:color="94BAE3"/>
        </w:tcBorders>
      </w:tcPr>
    </w:tblStylePr>
    <w:tblStylePr w:type="band1Vert">
      <w:tblPr/>
      <w:tcPr>
        <w:shd w:val="clear" w:color="auto" w:fill="E4EDF8"/>
      </w:tcPr>
    </w:tblStylePr>
    <w:tblStylePr w:type="band1Horz">
      <w:tblPr/>
      <w:tcPr>
        <w:shd w:val="clear" w:color="auto" w:fill="E4EDF8"/>
      </w:tcPr>
    </w:tblStylePr>
  </w:style>
  <w:style w:type="table" w:styleId="MediumList1-Accent4">
    <w:name w:val="Medium List 1 Accent 4"/>
    <w:basedOn w:val="TableNormal"/>
    <w:uiPriority w:val="65"/>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79B51C"/>
        <w:bottom w:val="single" w:sz="8" w:space="0" w:color="79B51C"/>
      </w:tblBorders>
      <w:tblCellMar>
        <w:top w:w="0" w:type="dxa"/>
        <w:left w:w="108" w:type="dxa"/>
        <w:bottom w:w="0" w:type="dxa"/>
        <w:right w:w="108" w:type="dxa"/>
      </w:tblCellMar>
    </w:tblPr>
    <w:tblStylePr w:type="firstRow">
      <w:rPr>
        <w:rFonts w:ascii="Arial" w:eastAsia="MS Gothic" w:hAnsi="Arial" w:cs="Times New Roman"/>
      </w:rPr>
      <w:tblPr/>
      <w:tcPr>
        <w:tcBorders>
          <w:top w:val="nil"/>
          <w:bottom w:val="single" w:sz="8" w:space="0" w:color="79B51C"/>
        </w:tcBorders>
      </w:tcPr>
    </w:tblStylePr>
    <w:tblStylePr w:type="lastRow">
      <w:rPr>
        <w:b/>
        <w:bCs/>
        <w:color w:val="1F497D"/>
      </w:rPr>
      <w:tblPr/>
      <w:tcPr>
        <w:tcBorders>
          <w:top w:val="single" w:sz="8" w:space="0" w:color="79B51C"/>
          <w:bottom w:val="single" w:sz="8" w:space="0" w:color="79B51C"/>
        </w:tcBorders>
      </w:tcPr>
    </w:tblStylePr>
    <w:tblStylePr w:type="firstCol">
      <w:rPr>
        <w:b/>
        <w:bCs/>
      </w:rPr>
    </w:tblStylePr>
    <w:tblStylePr w:type="lastCol">
      <w:rPr>
        <w:b/>
        <w:bCs/>
      </w:rPr>
      <w:tblPr/>
      <w:tcPr>
        <w:tcBorders>
          <w:top w:val="single" w:sz="8" w:space="0" w:color="79B51C"/>
          <w:bottom w:val="single" w:sz="8" w:space="0" w:color="79B51C"/>
        </w:tcBorders>
      </w:tcPr>
    </w:tblStylePr>
    <w:tblStylePr w:type="band1Vert">
      <w:tblPr/>
      <w:tcPr>
        <w:shd w:val="clear" w:color="auto" w:fill="DFF5BE"/>
      </w:tcPr>
    </w:tblStylePr>
    <w:tblStylePr w:type="band1Horz">
      <w:tblPr/>
      <w:tcPr>
        <w:shd w:val="clear" w:color="auto" w:fill="DFF5BE"/>
      </w:tcPr>
    </w:tblStylePr>
  </w:style>
  <w:style w:type="table" w:styleId="MediumList1-Accent5">
    <w:name w:val="Medium List 1 Accent 5"/>
    <w:basedOn w:val="TableNormal"/>
    <w:uiPriority w:val="65"/>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ACC705"/>
        <w:bottom w:val="single" w:sz="8" w:space="0" w:color="ACC705"/>
      </w:tblBorders>
      <w:tblCellMar>
        <w:top w:w="0" w:type="dxa"/>
        <w:left w:w="108" w:type="dxa"/>
        <w:bottom w:w="0" w:type="dxa"/>
        <w:right w:w="108" w:type="dxa"/>
      </w:tblCellMar>
    </w:tblPr>
    <w:tblStylePr w:type="firstRow">
      <w:rPr>
        <w:rFonts w:ascii="Arial" w:eastAsia="MS Gothic" w:hAnsi="Arial" w:cs="Times New Roman"/>
      </w:rPr>
      <w:tblPr/>
      <w:tcPr>
        <w:tcBorders>
          <w:top w:val="nil"/>
          <w:bottom w:val="single" w:sz="8" w:space="0" w:color="ACC705"/>
        </w:tcBorders>
      </w:tcPr>
    </w:tblStylePr>
    <w:tblStylePr w:type="lastRow">
      <w:rPr>
        <w:b/>
        <w:bCs/>
        <w:color w:val="1F497D"/>
      </w:rPr>
      <w:tblPr/>
      <w:tcPr>
        <w:tcBorders>
          <w:top w:val="single" w:sz="8" w:space="0" w:color="ACC705"/>
          <w:bottom w:val="single" w:sz="8" w:space="0" w:color="ACC705"/>
        </w:tcBorders>
      </w:tcPr>
    </w:tblStylePr>
    <w:tblStylePr w:type="firstCol">
      <w:rPr>
        <w:b/>
        <w:bCs/>
      </w:rPr>
    </w:tblStylePr>
    <w:tblStylePr w:type="lastCol">
      <w:rPr>
        <w:b/>
        <w:bCs/>
      </w:rPr>
      <w:tblPr/>
      <w:tcPr>
        <w:tcBorders>
          <w:top w:val="single" w:sz="8" w:space="0" w:color="ACC705"/>
          <w:bottom w:val="single" w:sz="8" w:space="0" w:color="ACC705"/>
        </w:tcBorders>
      </w:tcPr>
    </w:tblStylePr>
    <w:tblStylePr w:type="band1Vert">
      <w:tblPr/>
      <w:tcPr>
        <w:shd w:val="clear" w:color="auto" w:fill="F3FDB5"/>
      </w:tcPr>
    </w:tblStylePr>
    <w:tblStylePr w:type="band1Horz">
      <w:tblPr/>
      <w:tcPr>
        <w:shd w:val="clear" w:color="auto" w:fill="F3FDB5"/>
      </w:tcPr>
    </w:tblStylePr>
  </w:style>
  <w:style w:type="table" w:styleId="MediumList1-Accent6">
    <w:name w:val="Medium List 1 Accent 6"/>
    <w:basedOn w:val="TableNormal"/>
    <w:uiPriority w:val="65"/>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F39200"/>
        <w:bottom w:val="single" w:sz="8" w:space="0" w:color="F39200"/>
      </w:tblBorders>
      <w:tblCellMar>
        <w:top w:w="0" w:type="dxa"/>
        <w:left w:w="108" w:type="dxa"/>
        <w:bottom w:w="0" w:type="dxa"/>
        <w:right w:w="108" w:type="dxa"/>
      </w:tblCellMar>
    </w:tblPr>
    <w:tblStylePr w:type="firstRow">
      <w:rPr>
        <w:rFonts w:ascii="Arial" w:eastAsia="MS Gothic" w:hAnsi="Arial" w:cs="Times New Roman"/>
      </w:rPr>
      <w:tblPr/>
      <w:tcPr>
        <w:tcBorders>
          <w:top w:val="nil"/>
          <w:bottom w:val="single" w:sz="8" w:space="0" w:color="F39200"/>
        </w:tcBorders>
      </w:tcPr>
    </w:tblStylePr>
    <w:tblStylePr w:type="lastRow">
      <w:rPr>
        <w:b/>
        <w:bCs/>
        <w:color w:val="1F497D"/>
      </w:rPr>
      <w:tblPr/>
      <w:tcPr>
        <w:tcBorders>
          <w:top w:val="single" w:sz="8" w:space="0" w:color="F39200"/>
          <w:bottom w:val="single" w:sz="8" w:space="0" w:color="F39200"/>
        </w:tcBorders>
      </w:tcPr>
    </w:tblStylePr>
    <w:tblStylePr w:type="firstCol">
      <w:rPr>
        <w:b/>
        <w:bCs/>
      </w:rPr>
    </w:tblStylePr>
    <w:tblStylePr w:type="lastCol">
      <w:rPr>
        <w:b/>
        <w:bCs/>
      </w:rPr>
      <w:tblPr/>
      <w:tcPr>
        <w:tcBorders>
          <w:top w:val="single" w:sz="8" w:space="0" w:color="F39200"/>
          <w:bottom w:val="single" w:sz="8" w:space="0" w:color="F39200"/>
        </w:tcBorders>
      </w:tcPr>
    </w:tblStylePr>
    <w:tblStylePr w:type="band1Vert">
      <w:tblPr/>
      <w:tcPr>
        <w:shd w:val="clear" w:color="auto" w:fill="FFE4BD"/>
      </w:tcPr>
    </w:tblStylePr>
    <w:tblStylePr w:type="band1Horz">
      <w:tblPr/>
      <w:tcPr>
        <w:shd w:val="clear" w:color="auto" w:fill="FFE4BD"/>
      </w:tcPr>
    </w:tblStylePr>
  </w:style>
  <w:style w:type="table" w:customStyle="1" w:styleId="MittlereListe21">
    <w:name w:val="Mittlere Liste 21"/>
    <w:basedOn w:val="TableNormal"/>
    <w:uiPriority w:val="66"/>
    <w:semiHidden/>
    <w:unhideWhenUsed/>
    <w:lock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121754"/>
        <w:left w:val="single" w:sz="8" w:space="0" w:color="121754"/>
        <w:bottom w:val="single" w:sz="8" w:space="0" w:color="121754"/>
        <w:right w:val="single" w:sz="8" w:space="0" w:color="121754"/>
      </w:tblBorders>
      <w:tblCellMar>
        <w:top w:w="0" w:type="dxa"/>
        <w:left w:w="108" w:type="dxa"/>
        <w:bottom w:w="0" w:type="dxa"/>
        <w:right w:w="108" w:type="dxa"/>
      </w:tblCellMar>
    </w:tblPr>
    <w:tblStylePr w:type="firstRow">
      <w:rPr>
        <w:sz w:val="24"/>
        <w:szCs w:val="24"/>
      </w:rPr>
      <w:tblPr/>
      <w:tcPr>
        <w:tcBorders>
          <w:top w:val="nil"/>
          <w:left w:val="nil"/>
          <w:bottom w:val="single" w:sz="24" w:space="0" w:color="121754"/>
          <w:right w:val="nil"/>
          <w:insideH w:val="nil"/>
          <w:insideV w:val="nil"/>
        </w:tcBorders>
        <w:shd w:val="clear" w:color="auto" w:fill="FFFFFF"/>
      </w:tcPr>
    </w:tblStylePr>
    <w:tblStylePr w:type="lastRow">
      <w:tblPr/>
      <w:tcPr>
        <w:tcBorders>
          <w:top w:val="single" w:sz="8" w:space="0" w:color="121754"/>
          <w:left w:val="nil"/>
          <w:bottom w:val="nil"/>
          <w:right w:val="nil"/>
          <w:insideH w:val="nil"/>
          <w:insideV w:val="nil"/>
        </w:tcBorders>
        <w:shd w:val="clear" w:color="auto" w:fill="FFFFFF"/>
      </w:tcPr>
    </w:tblStylePr>
    <w:tblStylePr w:type="firstCol">
      <w:tblPr/>
      <w:tcPr>
        <w:tcBorders>
          <w:top w:val="nil"/>
          <w:left w:val="nil"/>
          <w:bottom w:val="nil"/>
          <w:right w:val="single" w:sz="8" w:space="0" w:color="121754"/>
          <w:insideH w:val="nil"/>
          <w:insideV w:val="nil"/>
        </w:tcBorders>
        <w:shd w:val="clear" w:color="auto" w:fill="FFFFFF"/>
      </w:tcPr>
    </w:tblStylePr>
    <w:tblStylePr w:type="lastCol">
      <w:tblPr/>
      <w:tcPr>
        <w:tcBorders>
          <w:top w:val="nil"/>
          <w:left w:val="single" w:sz="8" w:space="0" w:color="12175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BB0ED"/>
      </w:tcPr>
    </w:tblStylePr>
    <w:tblStylePr w:type="band1Horz">
      <w:tblPr/>
      <w:tcPr>
        <w:tcBorders>
          <w:top w:val="nil"/>
          <w:bottom w:val="nil"/>
          <w:insideH w:val="nil"/>
          <w:insideV w:val="nil"/>
        </w:tcBorders>
        <w:shd w:val="clear" w:color="auto" w:fill="ABB0ED"/>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148DCD"/>
        <w:left w:val="single" w:sz="8" w:space="0" w:color="148DCD"/>
        <w:bottom w:val="single" w:sz="8" w:space="0" w:color="148DCD"/>
        <w:right w:val="single" w:sz="8" w:space="0" w:color="148DCD"/>
      </w:tblBorders>
      <w:tblCellMar>
        <w:top w:w="0" w:type="dxa"/>
        <w:left w:w="108" w:type="dxa"/>
        <w:bottom w:w="0" w:type="dxa"/>
        <w:right w:w="108" w:type="dxa"/>
      </w:tblCellMar>
    </w:tblPr>
    <w:tblStylePr w:type="firstRow">
      <w:rPr>
        <w:sz w:val="24"/>
        <w:szCs w:val="24"/>
      </w:rPr>
      <w:tblPr/>
      <w:tcPr>
        <w:tcBorders>
          <w:top w:val="nil"/>
          <w:left w:val="nil"/>
          <w:bottom w:val="single" w:sz="24" w:space="0" w:color="148DCD"/>
          <w:right w:val="nil"/>
          <w:insideH w:val="nil"/>
          <w:insideV w:val="nil"/>
        </w:tcBorders>
        <w:shd w:val="clear" w:color="auto" w:fill="FFFFFF"/>
      </w:tcPr>
    </w:tblStylePr>
    <w:tblStylePr w:type="lastRow">
      <w:tblPr/>
      <w:tcPr>
        <w:tcBorders>
          <w:top w:val="single" w:sz="8" w:space="0" w:color="148DCD"/>
          <w:left w:val="nil"/>
          <w:bottom w:val="nil"/>
          <w:right w:val="nil"/>
          <w:insideH w:val="nil"/>
          <w:insideV w:val="nil"/>
        </w:tcBorders>
        <w:shd w:val="clear" w:color="auto" w:fill="FFFFFF"/>
      </w:tcPr>
    </w:tblStylePr>
    <w:tblStylePr w:type="firstCol">
      <w:tblPr/>
      <w:tcPr>
        <w:tcBorders>
          <w:top w:val="nil"/>
          <w:left w:val="nil"/>
          <w:bottom w:val="nil"/>
          <w:right w:val="single" w:sz="8" w:space="0" w:color="148DCD"/>
          <w:insideH w:val="nil"/>
          <w:insideV w:val="nil"/>
        </w:tcBorders>
        <w:shd w:val="clear" w:color="auto" w:fill="FFFFFF"/>
      </w:tcPr>
    </w:tblStylePr>
    <w:tblStylePr w:type="lastCol">
      <w:tblPr/>
      <w:tcPr>
        <w:tcBorders>
          <w:top w:val="nil"/>
          <w:left w:val="single" w:sz="8" w:space="0" w:color="148DC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EE4F8"/>
      </w:tcPr>
    </w:tblStylePr>
    <w:tblStylePr w:type="band1Horz">
      <w:tblPr/>
      <w:tcPr>
        <w:tcBorders>
          <w:top w:val="nil"/>
          <w:bottom w:val="nil"/>
          <w:insideH w:val="nil"/>
          <w:insideV w:val="nil"/>
        </w:tcBorders>
        <w:shd w:val="clear" w:color="auto" w:fill="BEE4F8"/>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94BAE3"/>
        <w:left w:val="single" w:sz="8" w:space="0" w:color="94BAE3"/>
        <w:bottom w:val="single" w:sz="8" w:space="0" w:color="94BAE3"/>
        <w:right w:val="single" w:sz="8" w:space="0" w:color="94BAE3"/>
      </w:tblBorders>
      <w:tblCellMar>
        <w:top w:w="0" w:type="dxa"/>
        <w:left w:w="108" w:type="dxa"/>
        <w:bottom w:w="0" w:type="dxa"/>
        <w:right w:w="108" w:type="dxa"/>
      </w:tblCellMar>
    </w:tblPr>
    <w:tblStylePr w:type="firstRow">
      <w:rPr>
        <w:sz w:val="24"/>
        <w:szCs w:val="24"/>
      </w:rPr>
      <w:tblPr/>
      <w:tcPr>
        <w:tcBorders>
          <w:top w:val="nil"/>
          <w:left w:val="nil"/>
          <w:bottom w:val="single" w:sz="24" w:space="0" w:color="94BAE3"/>
          <w:right w:val="nil"/>
          <w:insideH w:val="nil"/>
          <w:insideV w:val="nil"/>
        </w:tcBorders>
        <w:shd w:val="clear" w:color="auto" w:fill="FFFFFF"/>
      </w:tcPr>
    </w:tblStylePr>
    <w:tblStylePr w:type="lastRow">
      <w:tblPr/>
      <w:tcPr>
        <w:tcBorders>
          <w:top w:val="single" w:sz="8" w:space="0" w:color="94BAE3"/>
          <w:left w:val="nil"/>
          <w:bottom w:val="nil"/>
          <w:right w:val="nil"/>
          <w:insideH w:val="nil"/>
          <w:insideV w:val="nil"/>
        </w:tcBorders>
        <w:shd w:val="clear" w:color="auto" w:fill="FFFFFF"/>
      </w:tcPr>
    </w:tblStylePr>
    <w:tblStylePr w:type="firstCol">
      <w:tblPr/>
      <w:tcPr>
        <w:tcBorders>
          <w:top w:val="nil"/>
          <w:left w:val="nil"/>
          <w:bottom w:val="nil"/>
          <w:right w:val="single" w:sz="8" w:space="0" w:color="94BAE3"/>
          <w:insideH w:val="nil"/>
          <w:insideV w:val="nil"/>
        </w:tcBorders>
        <w:shd w:val="clear" w:color="auto" w:fill="FFFFFF"/>
      </w:tcPr>
    </w:tblStylePr>
    <w:tblStylePr w:type="lastCol">
      <w:tblPr/>
      <w:tcPr>
        <w:tcBorders>
          <w:top w:val="nil"/>
          <w:left w:val="single" w:sz="8" w:space="0" w:color="94BAE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4EDF8"/>
      </w:tcPr>
    </w:tblStylePr>
    <w:tblStylePr w:type="band1Horz">
      <w:tblPr/>
      <w:tcPr>
        <w:tcBorders>
          <w:top w:val="nil"/>
          <w:bottom w:val="nil"/>
          <w:insideH w:val="nil"/>
          <w:insideV w:val="nil"/>
        </w:tcBorders>
        <w:shd w:val="clear" w:color="auto" w:fill="E4EDF8"/>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79B51C"/>
        <w:left w:val="single" w:sz="8" w:space="0" w:color="79B51C"/>
        <w:bottom w:val="single" w:sz="8" w:space="0" w:color="79B51C"/>
        <w:right w:val="single" w:sz="8" w:space="0" w:color="79B51C"/>
      </w:tblBorders>
      <w:tblCellMar>
        <w:top w:w="0" w:type="dxa"/>
        <w:left w:w="108" w:type="dxa"/>
        <w:bottom w:w="0" w:type="dxa"/>
        <w:right w:w="108" w:type="dxa"/>
      </w:tblCellMar>
    </w:tblPr>
    <w:tblStylePr w:type="firstRow">
      <w:rPr>
        <w:sz w:val="24"/>
        <w:szCs w:val="24"/>
      </w:rPr>
      <w:tblPr/>
      <w:tcPr>
        <w:tcBorders>
          <w:top w:val="nil"/>
          <w:left w:val="nil"/>
          <w:bottom w:val="single" w:sz="24" w:space="0" w:color="79B51C"/>
          <w:right w:val="nil"/>
          <w:insideH w:val="nil"/>
          <w:insideV w:val="nil"/>
        </w:tcBorders>
        <w:shd w:val="clear" w:color="auto" w:fill="FFFFFF"/>
      </w:tcPr>
    </w:tblStylePr>
    <w:tblStylePr w:type="lastRow">
      <w:tblPr/>
      <w:tcPr>
        <w:tcBorders>
          <w:top w:val="single" w:sz="8" w:space="0" w:color="79B51C"/>
          <w:left w:val="nil"/>
          <w:bottom w:val="nil"/>
          <w:right w:val="nil"/>
          <w:insideH w:val="nil"/>
          <w:insideV w:val="nil"/>
        </w:tcBorders>
        <w:shd w:val="clear" w:color="auto" w:fill="FFFFFF"/>
      </w:tcPr>
    </w:tblStylePr>
    <w:tblStylePr w:type="firstCol">
      <w:tblPr/>
      <w:tcPr>
        <w:tcBorders>
          <w:top w:val="nil"/>
          <w:left w:val="nil"/>
          <w:bottom w:val="nil"/>
          <w:right w:val="single" w:sz="8" w:space="0" w:color="79B51C"/>
          <w:insideH w:val="nil"/>
          <w:insideV w:val="nil"/>
        </w:tcBorders>
        <w:shd w:val="clear" w:color="auto" w:fill="FFFFFF"/>
      </w:tcPr>
    </w:tblStylePr>
    <w:tblStylePr w:type="lastCol">
      <w:tblPr/>
      <w:tcPr>
        <w:tcBorders>
          <w:top w:val="nil"/>
          <w:left w:val="single" w:sz="8" w:space="0" w:color="79B51C"/>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F5BE"/>
      </w:tcPr>
    </w:tblStylePr>
    <w:tblStylePr w:type="band1Horz">
      <w:tblPr/>
      <w:tcPr>
        <w:tcBorders>
          <w:top w:val="nil"/>
          <w:bottom w:val="nil"/>
          <w:insideH w:val="nil"/>
          <w:insideV w:val="nil"/>
        </w:tcBorders>
        <w:shd w:val="clear" w:color="auto" w:fill="DFF5BE"/>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ACC705"/>
        <w:left w:val="single" w:sz="8" w:space="0" w:color="ACC705"/>
        <w:bottom w:val="single" w:sz="8" w:space="0" w:color="ACC705"/>
        <w:right w:val="single" w:sz="8" w:space="0" w:color="ACC705"/>
      </w:tblBorders>
      <w:tblCellMar>
        <w:top w:w="0" w:type="dxa"/>
        <w:left w:w="108" w:type="dxa"/>
        <w:bottom w:w="0" w:type="dxa"/>
        <w:right w:w="108" w:type="dxa"/>
      </w:tblCellMar>
    </w:tblPr>
    <w:tblStylePr w:type="firstRow">
      <w:rPr>
        <w:sz w:val="24"/>
        <w:szCs w:val="24"/>
      </w:rPr>
      <w:tblPr/>
      <w:tcPr>
        <w:tcBorders>
          <w:top w:val="nil"/>
          <w:left w:val="nil"/>
          <w:bottom w:val="single" w:sz="24" w:space="0" w:color="ACC705"/>
          <w:right w:val="nil"/>
          <w:insideH w:val="nil"/>
          <w:insideV w:val="nil"/>
        </w:tcBorders>
        <w:shd w:val="clear" w:color="auto" w:fill="FFFFFF"/>
      </w:tcPr>
    </w:tblStylePr>
    <w:tblStylePr w:type="lastRow">
      <w:tblPr/>
      <w:tcPr>
        <w:tcBorders>
          <w:top w:val="single" w:sz="8" w:space="0" w:color="ACC705"/>
          <w:left w:val="nil"/>
          <w:bottom w:val="nil"/>
          <w:right w:val="nil"/>
          <w:insideH w:val="nil"/>
          <w:insideV w:val="nil"/>
        </w:tcBorders>
        <w:shd w:val="clear" w:color="auto" w:fill="FFFFFF"/>
      </w:tcPr>
    </w:tblStylePr>
    <w:tblStylePr w:type="firstCol">
      <w:tblPr/>
      <w:tcPr>
        <w:tcBorders>
          <w:top w:val="nil"/>
          <w:left w:val="nil"/>
          <w:bottom w:val="nil"/>
          <w:right w:val="single" w:sz="8" w:space="0" w:color="ACC705"/>
          <w:insideH w:val="nil"/>
          <w:insideV w:val="nil"/>
        </w:tcBorders>
        <w:shd w:val="clear" w:color="auto" w:fill="FFFFFF"/>
      </w:tcPr>
    </w:tblStylePr>
    <w:tblStylePr w:type="lastCol">
      <w:tblPr/>
      <w:tcPr>
        <w:tcBorders>
          <w:top w:val="nil"/>
          <w:left w:val="single" w:sz="8" w:space="0" w:color="ACC70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3FDB5"/>
      </w:tcPr>
    </w:tblStylePr>
    <w:tblStylePr w:type="band1Horz">
      <w:tblPr/>
      <w:tcPr>
        <w:tcBorders>
          <w:top w:val="nil"/>
          <w:bottom w:val="nil"/>
          <w:insideH w:val="nil"/>
          <w:insideV w:val="nil"/>
        </w:tcBorders>
        <w:shd w:val="clear" w:color="auto" w:fill="F3FDB5"/>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F39200"/>
        <w:left w:val="single" w:sz="8" w:space="0" w:color="F39200"/>
        <w:bottom w:val="single" w:sz="8" w:space="0" w:color="F39200"/>
        <w:right w:val="single" w:sz="8" w:space="0" w:color="F39200"/>
      </w:tblBorders>
      <w:tblCellMar>
        <w:top w:w="0" w:type="dxa"/>
        <w:left w:w="108" w:type="dxa"/>
        <w:bottom w:w="0" w:type="dxa"/>
        <w:right w:w="108" w:type="dxa"/>
      </w:tblCellMar>
    </w:tblPr>
    <w:tblStylePr w:type="firstRow">
      <w:rPr>
        <w:sz w:val="24"/>
        <w:szCs w:val="24"/>
      </w:rPr>
      <w:tblPr/>
      <w:tcPr>
        <w:tcBorders>
          <w:top w:val="nil"/>
          <w:left w:val="nil"/>
          <w:bottom w:val="single" w:sz="24" w:space="0" w:color="F39200"/>
          <w:right w:val="nil"/>
          <w:insideH w:val="nil"/>
          <w:insideV w:val="nil"/>
        </w:tcBorders>
        <w:shd w:val="clear" w:color="auto" w:fill="FFFFFF"/>
      </w:tcPr>
    </w:tblStylePr>
    <w:tblStylePr w:type="lastRow">
      <w:tblPr/>
      <w:tcPr>
        <w:tcBorders>
          <w:top w:val="single" w:sz="8" w:space="0" w:color="F392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39200"/>
          <w:insideH w:val="nil"/>
          <w:insideV w:val="nil"/>
        </w:tcBorders>
        <w:shd w:val="clear" w:color="auto" w:fill="FFFFFF"/>
      </w:tcPr>
    </w:tblStylePr>
    <w:tblStylePr w:type="lastCol">
      <w:tblPr/>
      <w:tcPr>
        <w:tcBorders>
          <w:top w:val="nil"/>
          <w:left w:val="single" w:sz="8" w:space="0" w:color="F392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4BD"/>
      </w:tcPr>
    </w:tblStylePr>
    <w:tblStylePr w:type="band1Horz">
      <w:tblPr/>
      <w:tcPr>
        <w:tcBorders>
          <w:top w:val="nil"/>
          <w:bottom w:val="nil"/>
          <w:insideH w:val="nil"/>
          <w:insideV w:val="nil"/>
        </w:tcBorders>
        <w:shd w:val="clear" w:color="auto" w:fill="FFE4BD"/>
      </w:tcPr>
    </w:tblStylePr>
    <w:tblStylePr w:type="nwCell">
      <w:tblPr/>
      <w:tcPr>
        <w:shd w:val="clear" w:color="auto" w:fill="FFFFFF"/>
      </w:tcPr>
    </w:tblStylePr>
    <w:tblStylePr w:type="swCell">
      <w:tblPr/>
      <w:tcPr>
        <w:tcBorders>
          <w:top w:val="nil"/>
        </w:tcBorders>
      </w:tcPr>
    </w:tblStylePr>
  </w:style>
  <w:style w:type="table" w:customStyle="1" w:styleId="MittleresRaster11">
    <w:name w:val="Mittleres Raster 11"/>
    <w:basedOn w:val="TableNormal"/>
    <w:uiPriority w:val="67"/>
    <w:semiHidden/>
    <w:unhideWhenUsed/>
    <w:lock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242EA8"/>
        <w:left w:val="single" w:sz="8" w:space="0" w:color="242EA8"/>
        <w:bottom w:val="single" w:sz="8" w:space="0" w:color="242EA8"/>
        <w:right w:val="single" w:sz="8" w:space="0" w:color="242EA8"/>
        <w:insideH w:val="single" w:sz="8" w:space="0" w:color="242EA8"/>
        <w:insideV w:val="single" w:sz="8" w:space="0" w:color="242EA8"/>
      </w:tblBorders>
      <w:tblCellMar>
        <w:top w:w="0" w:type="dxa"/>
        <w:left w:w="108" w:type="dxa"/>
        <w:bottom w:w="0" w:type="dxa"/>
        <w:right w:w="108" w:type="dxa"/>
      </w:tblCellMar>
    </w:tblPr>
    <w:tcPr>
      <w:shd w:val="clear" w:color="auto" w:fill="ABB0ED"/>
    </w:tcPr>
    <w:tblStylePr w:type="firstRow">
      <w:rPr>
        <w:b/>
        <w:bCs/>
      </w:rPr>
    </w:tblStylePr>
    <w:tblStylePr w:type="lastRow">
      <w:rPr>
        <w:b/>
        <w:bCs/>
      </w:rPr>
      <w:tblPr/>
      <w:tcPr>
        <w:tcBorders>
          <w:top w:val="single" w:sz="18" w:space="0" w:color="242EA8"/>
        </w:tcBorders>
      </w:tcPr>
    </w:tblStylePr>
    <w:tblStylePr w:type="firstCol">
      <w:rPr>
        <w:b/>
        <w:bCs/>
      </w:rPr>
    </w:tblStylePr>
    <w:tblStylePr w:type="lastCol">
      <w:rPr>
        <w:b/>
        <w:bCs/>
      </w:rPr>
    </w:tblStylePr>
    <w:tblStylePr w:type="band1Vert">
      <w:tblPr/>
      <w:tcPr>
        <w:shd w:val="clear" w:color="auto" w:fill="5761DB"/>
      </w:tcPr>
    </w:tblStylePr>
    <w:tblStylePr w:type="band1Horz">
      <w:tblPr/>
      <w:tcPr>
        <w:shd w:val="clear" w:color="auto" w:fill="5761DB"/>
      </w:tcPr>
    </w:tblStylePr>
  </w:style>
  <w:style w:type="table" w:styleId="MediumGrid1-Accent2">
    <w:name w:val="Medium Grid 1 Accent 2"/>
    <w:basedOn w:val="TableNormal"/>
    <w:uiPriority w:val="67"/>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3CAEEC"/>
        <w:left w:val="single" w:sz="8" w:space="0" w:color="3CAEEC"/>
        <w:bottom w:val="single" w:sz="8" w:space="0" w:color="3CAEEC"/>
        <w:right w:val="single" w:sz="8" w:space="0" w:color="3CAEEC"/>
        <w:insideH w:val="single" w:sz="8" w:space="0" w:color="3CAEEC"/>
        <w:insideV w:val="single" w:sz="8" w:space="0" w:color="3CAEEC"/>
      </w:tblBorders>
      <w:tblCellMar>
        <w:top w:w="0" w:type="dxa"/>
        <w:left w:w="108" w:type="dxa"/>
        <w:bottom w:w="0" w:type="dxa"/>
        <w:right w:w="108" w:type="dxa"/>
      </w:tblCellMar>
    </w:tblPr>
    <w:tcPr>
      <w:shd w:val="clear" w:color="auto" w:fill="BEE4F8"/>
    </w:tcPr>
    <w:tblStylePr w:type="firstRow">
      <w:rPr>
        <w:b/>
        <w:bCs/>
      </w:rPr>
    </w:tblStylePr>
    <w:tblStylePr w:type="lastRow">
      <w:rPr>
        <w:b/>
        <w:bCs/>
      </w:rPr>
      <w:tblPr/>
      <w:tcPr>
        <w:tcBorders>
          <w:top w:val="single" w:sz="18" w:space="0" w:color="3CAEEC"/>
        </w:tcBorders>
      </w:tcPr>
    </w:tblStylePr>
    <w:tblStylePr w:type="firstCol">
      <w:rPr>
        <w:b/>
        <w:bCs/>
      </w:rPr>
    </w:tblStylePr>
    <w:tblStylePr w:type="lastCol">
      <w:rPr>
        <w:b/>
        <w:bCs/>
      </w:rPr>
    </w:tblStylePr>
    <w:tblStylePr w:type="band1Vert">
      <w:tblPr/>
      <w:tcPr>
        <w:shd w:val="clear" w:color="auto" w:fill="7DC9F2"/>
      </w:tcPr>
    </w:tblStylePr>
    <w:tblStylePr w:type="band1Horz">
      <w:tblPr/>
      <w:tcPr>
        <w:shd w:val="clear" w:color="auto" w:fill="7DC9F2"/>
      </w:tcPr>
    </w:tblStylePr>
  </w:style>
  <w:style w:type="table" w:styleId="MediumGrid1-Accent3">
    <w:name w:val="Medium Grid 1 Accent 3"/>
    <w:basedOn w:val="TableNormal"/>
    <w:uiPriority w:val="67"/>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AECBEA"/>
        <w:left w:val="single" w:sz="8" w:space="0" w:color="AECBEA"/>
        <w:bottom w:val="single" w:sz="8" w:space="0" w:color="AECBEA"/>
        <w:right w:val="single" w:sz="8" w:space="0" w:color="AECBEA"/>
        <w:insideH w:val="single" w:sz="8" w:space="0" w:color="AECBEA"/>
        <w:insideV w:val="single" w:sz="8" w:space="0" w:color="AECBEA"/>
      </w:tblBorders>
      <w:tblCellMar>
        <w:top w:w="0" w:type="dxa"/>
        <w:left w:w="108" w:type="dxa"/>
        <w:bottom w:w="0" w:type="dxa"/>
        <w:right w:w="108" w:type="dxa"/>
      </w:tblCellMar>
    </w:tblPr>
    <w:tcPr>
      <w:shd w:val="clear" w:color="auto" w:fill="E4EDF8"/>
    </w:tcPr>
    <w:tblStylePr w:type="firstRow">
      <w:rPr>
        <w:b/>
        <w:bCs/>
      </w:rPr>
    </w:tblStylePr>
    <w:tblStylePr w:type="lastRow">
      <w:rPr>
        <w:b/>
        <w:bCs/>
      </w:rPr>
      <w:tblPr/>
      <w:tcPr>
        <w:tcBorders>
          <w:top w:val="single" w:sz="18" w:space="0" w:color="AECBEA"/>
        </w:tcBorders>
      </w:tcPr>
    </w:tblStylePr>
    <w:tblStylePr w:type="firstCol">
      <w:rPr>
        <w:b/>
        <w:bCs/>
      </w:rPr>
    </w:tblStylePr>
    <w:tblStylePr w:type="lastCol">
      <w:rPr>
        <w:b/>
        <w:bCs/>
      </w:rPr>
    </w:tblStylePr>
    <w:tblStylePr w:type="band1Vert">
      <w:tblPr/>
      <w:tcPr>
        <w:shd w:val="clear" w:color="auto" w:fill="C9DCF1"/>
      </w:tcPr>
    </w:tblStylePr>
    <w:tblStylePr w:type="band1Horz">
      <w:tblPr/>
      <w:tcPr>
        <w:shd w:val="clear" w:color="auto" w:fill="C9DCF1"/>
      </w:tcPr>
    </w:tblStylePr>
  </w:style>
  <w:style w:type="table" w:styleId="MediumGrid1-Accent4">
    <w:name w:val="Medium Grid 1 Accent 4"/>
    <w:basedOn w:val="TableNormal"/>
    <w:uiPriority w:val="67"/>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9FE03B"/>
        <w:left w:val="single" w:sz="8" w:space="0" w:color="9FE03B"/>
        <w:bottom w:val="single" w:sz="8" w:space="0" w:color="9FE03B"/>
        <w:right w:val="single" w:sz="8" w:space="0" w:color="9FE03B"/>
        <w:insideH w:val="single" w:sz="8" w:space="0" w:color="9FE03B"/>
        <w:insideV w:val="single" w:sz="8" w:space="0" w:color="9FE03B"/>
      </w:tblBorders>
      <w:tblCellMar>
        <w:top w:w="0" w:type="dxa"/>
        <w:left w:w="108" w:type="dxa"/>
        <w:bottom w:w="0" w:type="dxa"/>
        <w:right w:w="108" w:type="dxa"/>
      </w:tblCellMar>
    </w:tblPr>
    <w:tcPr>
      <w:shd w:val="clear" w:color="auto" w:fill="DFF5BE"/>
    </w:tcPr>
    <w:tblStylePr w:type="firstRow">
      <w:rPr>
        <w:b/>
        <w:bCs/>
      </w:rPr>
    </w:tblStylePr>
    <w:tblStylePr w:type="lastRow">
      <w:rPr>
        <w:b/>
        <w:bCs/>
      </w:rPr>
      <w:tblPr/>
      <w:tcPr>
        <w:tcBorders>
          <w:top w:val="single" w:sz="18" w:space="0" w:color="9FE03B"/>
        </w:tcBorders>
      </w:tcPr>
    </w:tblStylePr>
    <w:tblStylePr w:type="firstCol">
      <w:rPr>
        <w:b/>
        <w:bCs/>
      </w:rPr>
    </w:tblStylePr>
    <w:tblStylePr w:type="lastCol">
      <w:rPr>
        <w:b/>
        <w:bCs/>
      </w:rPr>
    </w:tblStylePr>
    <w:tblStylePr w:type="band1Vert">
      <w:tblPr/>
      <w:tcPr>
        <w:shd w:val="clear" w:color="auto" w:fill="BFEB7D"/>
      </w:tcPr>
    </w:tblStylePr>
    <w:tblStylePr w:type="band1Horz">
      <w:tblPr/>
      <w:tcPr>
        <w:shd w:val="clear" w:color="auto" w:fill="BFEB7D"/>
      </w:tcPr>
    </w:tblStylePr>
  </w:style>
  <w:style w:type="table" w:styleId="MediumGrid1-Accent5">
    <w:name w:val="Medium Grid 1 Accent 5"/>
    <w:basedOn w:val="TableNormal"/>
    <w:uiPriority w:val="67"/>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DAF91F"/>
        <w:left w:val="single" w:sz="8" w:space="0" w:color="DAF91F"/>
        <w:bottom w:val="single" w:sz="8" w:space="0" w:color="DAF91F"/>
        <w:right w:val="single" w:sz="8" w:space="0" w:color="DAF91F"/>
        <w:insideH w:val="single" w:sz="8" w:space="0" w:color="DAF91F"/>
        <w:insideV w:val="single" w:sz="8" w:space="0" w:color="DAF91F"/>
      </w:tblBorders>
      <w:tblCellMar>
        <w:top w:w="0" w:type="dxa"/>
        <w:left w:w="108" w:type="dxa"/>
        <w:bottom w:w="0" w:type="dxa"/>
        <w:right w:w="108" w:type="dxa"/>
      </w:tblCellMar>
    </w:tblPr>
    <w:tcPr>
      <w:shd w:val="clear" w:color="auto" w:fill="F3FDB5"/>
    </w:tcPr>
    <w:tblStylePr w:type="firstRow">
      <w:rPr>
        <w:b/>
        <w:bCs/>
      </w:rPr>
    </w:tblStylePr>
    <w:tblStylePr w:type="lastRow">
      <w:rPr>
        <w:b/>
        <w:bCs/>
      </w:rPr>
      <w:tblPr/>
      <w:tcPr>
        <w:tcBorders>
          <w:top w:val="single" w:sz="18" w:space="0" w:color="DAF91F"/>
        </w:tcBorders>
      </w:tcPr>
    </w:tblStylePr>
    <w:tblStylePr w:type="firstCol">
      <w:rPr>
        <w:b/>
        <w:bCs/>
      </w:rPr>
    </w:tblStylePr>
    <w:tblStylePr w:type="lastCol">
      <w:rPr>
        <w:b/>
        <w:bCs/>
      </w:rPr>
    </w:tblStylePr>
    <w:tblStylePr w:type="band1Vert">
      <w:tblPr/>
      <w:tcPr>
        <w:shd w:val="clear" w:color="auto" w:fill="E6FB6A"/>
      </w:tcPr>
    </w:tblStylePr>
    <w:tblStylePr w:type="band1Horz">
      <w:tblPr/>
      <w:tcPr>
        <w:shd w:val="clear" w:color="auto" w:fill="E6FB6A"/>
      </w:tcPr>
    </w:tblStylePr>
  </w:style>
  <w:style w:type="table" w:styleId="MediumGrid1-Accent6">
    <w:name w:val="Medium Grid 1 Accent 6"/>
    <w:basedOn w:val="TableNormal"/>
    <w:uiPriority w:val="67"/>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AF37"/>
        <w:left w:val="single" w:sz="8" w:space="0" w:color="FFAF37"/>
        <w:bottom w:val="single" w:sz="8" w:space="0" w:color="FFAF37"/>
        <w:right w:val="single" w:sz="8" w:space="0" w:color="FFAF37"/>
        <w:insideH w:val="single" w:sz="8" w:space="0" w:color="FFAF37"/>
        <w:insideV w:val="single" w:sz="8" w:space="0" w:color="FFAF37"/>
      </w:tblBorders>
      <w:tblCellMar>
        <w:top w:w="0" w:type="dxa"/>
        <w:left w:w="108" w:type="dxa"/>
        <w:bottom w:w="0" w:type="dxa"/>
        <w:right w:w="108" w:type="dxa"/>
      </w:tblCellMar>
    </w:tblPr>
    <w:tcPr>
      <w:shd w:val="clear" w:color="auto" w:fill="FFE4BD"/>
    </w:tcPr>
    <w:tblStylePr w:type="firstRow">
      <w:rPr>
        <w:b/>
        <w:bCs/>
      </w:rPr>
    </w:tblStylePr>
    <w:tblStylePr w:type="lastRow">
      <w:rPr>
        <w:b/>
        <w:bCs/>
      </w:rPr>
      <w:tblPr/>
      <w:tcPr>
        <w:tcBorders>
          <w:top w:val="single" w:sz="18" w:space="0" w:color="FFAF37"/>
        </w:tcBorders>
      </w:tcPr>
    </w:tblStylePr>
    <w:tblStylePr w:type="firstCol">
      <w:rPr>
        <w:b/>
        <w:bCs/>
      </w:rPr>
    </w:tblStylePr>
    <w:tblStylePr w:type="lastCol">
      <w:rPr>
        <w:b/>
        <w:bCs/>
      </w:rPr>
    </w:tblStylePr>
    <w:tblStylePr w:type="band1Vert">
      <w:tblPr/>
      <w:tcPr>
        <w:shd w:val="clear" w:color="auto" w:fill="FFC97A"/>
      </w:tcPr>
    </w:tblStylePr>
    <w:tblStylePr w:type="band1Horz">
      <w:tblPr/>
      <w:tcPr>
        <w:shd w:val="clear" w:color="auto" w:fill="FFC97A"/>
      </w:tcPr>
    </w:tblStylePr>
  </w:style>
  <w:style w:type="table" w:customStyle="1" w:styleId="MittleresRaster21">
    <w:name w:val="Mittleres Raster 21"/>
    <w:basedOn w:val="TableNormal"/>
    <w:uiPriority w:val="68"/>
    <w:semiHidden/>
    <w:unhideWhenUsed/>
    <w:lock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121754"/>
        <w:left w:val="single" w:sz="8" w:space="0" w:color="121754"/>
        <w:bottom w:val="single" w:sz="8" w:space="0" w:color="121754"/>
        <w:right w:val="single" w:sz="8" w:space="0" w:color="121754"/>
        <w:insideH w:val="single" w:sz="8" w:space="0" w:color="121754"/>
        <w:insideV w:val="single" w:sz="8" w:space="0" w:color="121754"/>
      </w:tblBorders>
      <w:tblCellMar>
        <w:top w:w="0" w:type="dxa"/>
        <w:left w:w="108" w:type="dxa"/>
        <w:bottom w:w="0" w:type="dxa"/>
        <w:right w:w="108" w:type="dxa"/>
      </w:tblCellMar>
    </w:tblPr>
    <w:tcPr>
      <w:shd w:val="clear" w:color="auto" w:fill="ABB0ED"/>
    </w:tcPr>
    <w:tblStylePr w:type="firstRow">
      <w:rPr>
        <w:b/>
        <w:bCs/>
        <w:color w:val="000000"/>
      </w:rPr>
      <w:tblPr/>
      <w:tcPr>
        <w:shd w:val="clear" w:color="auto" w:fill="DEDF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BBBFF0"/>
      </w:tcPr>
    </w:tblStylePr>
    <w:tblStylePr w:type="band1Vert">
      <w:tblPr/>
      <w:tcPr>
        <w:shd w:val="clear" w:color="auto" w:fill="5761DB"/>
      </w:tcPr>
    </w:tblStylePr>
    <w:tblStylePr w:type="band1Horz">
      <w:tblPr/>
      <w:tcPr>
        <w:tcBorders>
          <w:insideH w:val="single" w:sz="6" w:space="0" w:color="121754"/>
          <w:insideV w:val="single" w:sz="6" w:space="0" w:color="121754"/>
        </w:tcBorders>
        <w:shd w:val="clear" w:color="auto" w:fill="5761DB"/>
      </w:tcPr>
    </w:tblStylePr>
    <w:tblStylePr w:type="nwCell">
      <w:tblPr/>
      <w:tcPr>
        <w:shd w:val="clear" w:color="auto" w:fill="FFFFFF"/>
      </w:tcPr>
    </w:tblStylePr>
  </w:style>
  <w:style w:type="table" w:styleId="MediumGrid2-Accent2">
    <w:name w:val="Medium Grid 2 Accent 2"/>
    <w:basedOn w:val="TableNormal"/>
    <w:uiPriority w:val="68"/>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148DCD"/>
        <w:left w:val="single" w:sz="8" w:space="0" w:color="148DCD"/>
        <w:bottom w:val="single" w:sz="8" w:space="0" w:color="148DCD"/>
        <w:right w:val="single" w:sz="8" w:space="0" w:color="148DCD"/>
        <w:insideH w:val="single" w:sz="8" w:space="0" w:color="148DCD"/>
        <w:insideV w:val="single" w:sz="8" w:space="0" w:color="148DCD"/>
      </w:tblBorders>
      <w:tblCellMar>
        <w:top w:w="0" w:type="dxa"/>
        <w:left w:w="108" w:type="dxa"/>
        <w:bottom w:w="0" w:type="dxa"/>
        <w:right w:w="108" w:type="dxa"/>
      </w:tblCellMar>
    </w:tblPr>
    <w:tcPr>
      <w:shd w:val="clear" w:color="auto" w:fill="BEE4F8"/>
    </w:tcPr>
    <w:tblStylePr w:type="firstRow">
      <w:rPr>
        <w:b/>
        <w:bCs/>
        <w:color w:val="000000"/>
      </w:rPr>
      <w:tblPr/>
      <w:tcPr>
        <w:shd w:val="clear" w:color="auto" w:fill="E5F4F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BE9FA"/>
      </w:tcPr>
    </w:tblStylePr>
    <w:tblStylePr w:type="band1Vert">
      <w:tblPr/>
      <w:tcPr>
        <w:shd w:val="clear" w:color="auto" w:fill="7DC9F2"/>
      </w:tcPr>
    </w:tblStylePr>
    <w:tblStylePr w:type="band1Horz">
      <w:tblPr/>
      <w:tcPr>
        <w:tcBorders>
          <w:insideH w:val="single" w:sz="6" w:space="0" w:color="148DCD"/>
          <w:insideV w:val="single" w:sz="6" w:space="0" w:color="148DCD"/>
        </w:tcBorders>
        <w:shd w:val="clear" w:color="auto" w:fill="7DC9F2"/>
      </w:tcPr>
    </w:tblStylePr>
    <w:tblStylePr w:type="nwCell">
      <w:tblPr/>
      <w:tcPr>
        <w:shd w:val="clear" w:color="auto" w:fill="FFFFFF"/>
      </w:tcPr>
    </w:tblStylePr>
  </w:style>
  <w:style w:type="table" w:styleId="MediumGrid2-Accent3">
    <w:name w:val="Medium Grid 2 Accent 3"/>
    <w:basedOn w:val="TableNormal"/>
    <w:uiPriority w:val="68"/>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94BAE3"/>
        <w:left w:val="single" w:sz="8" w:space="0" w:color="94BAE3"/>
        <w:bottom w:val="single" w:sz="8" w:space="0" w:color="94BAE3"/>
        <w:right w:val="single" w:sz="8" w:space="0" w:color="94BAE3"/>
        <w:insideH w:val="single" w:sz="8" w:space="0" w:color="94BAE3"/>
        <w:insideV w:val="single" w:sz="8" w:space="0" w:color="94BAE3"/>
      </w:tblBorders>
      <w:tblCellMar>
        <w:top w:w="0" w:type="dxa"/>
        <w:left w:w="108" w:type="dxa"/>
        <w:bottom w:w="0" w:type="dxa"/>
        <w:right w:w="108" w:type="dxa"/>
      </w:tblCellMar>
    </w:tblPr>
    <w:tcPr>
      <w:shd w:val="clear" w:color="auto" w:fill="E4EDF8"/>
    </w:tcPr>
    <w:tblStylePr w:type="firstRow">
      <w:rPr>
        <w:b/>
        <w:bCs/>
        <w:color w:val="000000"/>
      </w:rPr>
      <w:tblPr/>
      <w:tcPr>
        <w:shd w:val="clear" w:color="auto" w:fill="F4F8F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9F1F9"/>
      </w:tcPr>
    </w:tblStylePr>
    <w:tblStylePr w:type="band1Vert">
      <w:tblPr/>
      <w:tcPr>
        <w:shd w:val="clear" w:color="auto" w:fill="C9DCF1"/>
      </w:tcPr>
    </w:tblStylePr>
    <w:tblStylePr w:type="band1Horz">
      <w:tblPr/>
      <w:tcPr>
        <w:tcBorders>
          <w:insideH w:val="single" w:sz="6" w:space="0" w:color="94BAE3"/>
          <w:insideV w:val="single" w:sz="6" w:space="0" w:color="94BAE3"/>
        </w:tcBorders>
        <w:shd w:val="clear" w:color="auto" w:fill="C9DCF1"/>
      </w:tcPr>
    </w:tblStylePr>
    <w:tblStylePr w:type="nwCell">
      <w:tblPr/>
      <w:tcPr>
        <w:shd w:val="clear" w:color="auto" w:fill="FFFFFF"/>
      </w:tcPr>
    </w:tblStylePr>
  </w:style>
  <w:style w:type="table" w:styleId="MediumGrid2-Accent4">
    <w:name w:val="Medium Grid 2 Accent 4"/>
    <w:basedOn w:val="TableNormal"/>
    <w:uiPriority w:val="68"/>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79B51C"/>
        <w:left w:val="single" w:sz="8" w:space="0" w:color="79B51C"/>
        <w:bottom w:val="single" w:sz="8" w:space="0" w:color="79B51C"/>
        <w:right w:val="single" w:sz="8" w:space="0" w:color="79B51C"/>
        <w:insideH w:val="single" w:sz="8" w:space="0" w:color="79B51C"/>
        <w:insideV w:val="single" w:sz="8" w:space="0" w:color="79B51C"/>
      </w:tblBorders>
      <w:tblCellMar>
        <w:top w:w="0" w:type="dxa"/>
        <w:left w:w="108" w:type="dxa"/>
        <w:bottom w:w="0" w:type="dxa"/>
        <w:right w:w="108" w:type="dxa"/>
      </w:tblCellMar>
    </w:tblPr>
    <w:tcPr>
      <w:shd w:val="clear" w:color="auto" w:fill="DFF5BE"/>
    </w:tcPr>
    <w:tblStylePr w:type="firstRow">
      <w:rPr>
        <w:b/>
        <w:bCs/>
        <w:color w:val="000000"/>
      </w:rPr>
      <w:tblPr/>
      <w:tcPr>
        <w:shd w:val="clear" w:color="auto" w:fill="F2FBE5"/>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F7CA"/>
      </w:tcPr>
    </w:tblStylePr>
    <w:tblStylePr w:type="band1Vert">
      <w:tblPr/>
      <w:tcPr>
        <w:shd w:val="clear" w:color="auto" w:fill="BFEB7D"/>
      </w:tcPr>
    </w:tblStylePr>
    <w:tblStylePr w:type="band1Horz">
      <w:tblPr/>
      <w:tcPr>
        <w:tcBorders>
          <w:insideH w:val="single" w:sz="6" w:space="0" w:color="79B51C"/>
          <w:insideV w:val="single" w:sz="6" w:space="0" w:color="79B51C"/>
        </w:tcBorders>
        <w:shd w:val="clear" w:color="auto" w:fill="BFEB7D"/>
      </w:tcPr>
    </w:tblStylePr>
    <w:tblStylePr w:type="nwCell">
      <w:tblPr/>
      <w:tcPr>
        <w:shd w:val="clear" w:color="auto" w:fill="FFFFFF"/>
      </w:tcPr>
    </w:tblStylePr>
  </w:style>
  <w:style w:type="table" w:styleId="MediumGrid2-Accent5">
    <w:name w:val="Medium Grid 2 Accent 5"/>
    <w:basedOn w:val="TableNormal"/>
    <w:uiPriority w:val="68"/>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ACC705"/>
        <w:left w:val="single" w:sz="8" w:space="0" w:color="ACC705"/>
        <w:bottom w:val="single" w:sz="8" w:space="0" w:color="ACC705"/>
        <w:right w:val="single" w:sz="8" w:space="0" w:color="ACC705"/>
        <w:insideH w:val="single" w:sz="8" w:space="0" w:color="ACC705"/>
        <w:insideV w:val="single" w:sz="8" w:space="0" w:color="ACC705"/>
      </w:tblBorders>
      <w:tblCellMar>
        <w:top w:w="0" w:type="dxa"/>
        <w:left w:w="108" w:type="dxa"/>
        <w:bottom w:w="0" w:type="dxa"/>
        <w:right w:w="108" w:type="dxa"/>
      </w:tblCellMar>
    </w:tblPr>
    <w:tcPr>
      <w:shd w:val="clear" w:color="auto" w:fill="F3FDB5"/>
    </w:tcPr>
    <w:tblStylePr w:type="firstRow">
      <w:rPr>
        <w:b/>
        <w:bCs/>
        <w:color w:val="000000"/>
      </w:rPr>
      <w:tblPr/>
      <w:tcPr>
        <w:shd w:val="clear" w:color="auto" w:fill="FAFEE1"/>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5FDC3"/>
      </w:tcPr>
    </w:tblStylePr>
    <w:tblStylePr w:type="band1Vert">
      <w:tblPr/>
      <w:tcPr>
        <w:shd w:val="clear" w:color="auto" w:fill="E6FB6A"/>
      </w:tcPr>
    </w:tblStylePr>
    <w:tblStylePr w:type="band1Horz">
      <w:tblPr/>
      <w:tcPr>
        <w:tcBorders>
          <w:insideH w:val="single" w:sz="6" w:space="0" w:color="ACC705"/>
          <w:insideV w:val="single" w:sz="6" w:space="0" w:color="ACC705"/>
        </w:tcBorders>
        <w:shd w:val="clear" w:color="auto" w:fill="E6FB6A"/>
      </w:tcPr>
    </w:tblStylePr>
    <w:tblStylePr w:type="nwCell">
      <w:tblPr/>
      <w:tcPr>
        <w:shd w:val="clear" w:color="auto" w:fill="FFFFFF"/>
      </w:tcPr>
    </w:tblStylePr>
  </w:style>
  <w:style w:type="table" w:styleId="MediumGrid2-Accent6">
    <w:name w:val="Medium Grid 2 Accent 6"/>
    <w:basedOn w:val="TableNormal"/>
    <w:uiPriority w:val="68"/>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F39200"/>
        <w:left w:val="single" w:sz="8" w:space="0" w:color="F39200"/>
        <w:bottom w:val="single" w:sz="8" w:space="0" w:color="F39200"/>
        <w:right w:val="single" w:sz="8" w:space="0" w:color="F39200"/>
        <w:insideH w:val="single" w:sz="8" w:space="0" w:color="F39200"/>
        <w:insideV w:val="single" w:sz="8" w:space="0" w:color="F39200"/>
      </w:tblBorders>
      <w:tblCellMar>
        <w:top w:w="0" w:type="dxa"/>
        <w:left w:w="108" w:type="dxa"/>
        <w:bottom w:w="0" w:type="dxa"/>
        <w:right w:w="108" w:type="dxa"/>
      </w:tblCellMar>
    </w:tblPr>
    <w:tcPr>
      <w:shd w:val="clear" w:color="auto" w:fill="FFE4BD"/>
    </w:tcPr>
    <w:tblStylePr w:type="firstRow">
      <w:rPr>
        <w:b/>
        <w:bCs/>
        <w:color w:val="000000"/>
      </w:rPr>
      <w:tblPr/>
      <w:tcPr>
        <w:shd w:val="clear" w:color="auto" w:fill="FFF4E4"/>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E9C9"/>
      </w:tcPr>
    </w:tblStylePr>
    <w:tblStylePr w:type="band1Vert">
      <w:tblPr/>
      <w:tcPr>
        <w:shd w:val="clear" w:color="auto" w:fill="FFC97A"/>
      </w:tcPr>
    </w:tblStylePr>
    <w:tblStylePr w:type="band1Horz">
      <w:tblPr/>
      <w:tcPr>
        <w:tcBorders>
          <w:insideH w:val="single" w:sz="6" w:space="0" w:color="F39200"/>
          <w:insideV w:val="single" w:sz="6" w:space="0" w:color="F39200"/>
        </w:tcBorders>
        <w:shd w:val="clear" w:color="auto" w:fill="FFC97A"/>
      </w:tcPr>
    </w:tblStylePr>
    <w:tblStylePr w:type="nwCell">
      <w:tblPr/>
      <w:tcPr>
        <w:shd w:val="clear" w:color="auto" w:fill="FFFFFF"/>
      </w:tcPr>
    </w:tblStylePr>
  </w:style>
  <w:style w:type="table" w:customStyle="1" w:styleId="MittleresRaster31">
    <w:name w:val="Mittleres Raster 31"/>
    <w:basedOn w:val="TableNormal"/>
    <w:uiPriority w:val="69"/>
    <w:semiHidden/>
    <w:unhideWhenUsed/>
    <w:lock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ABB0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2175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2175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2175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2175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5761DB"/>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5761DB"/>
      </w:tcPr>
    </w:tblStylePr>
  </w:style>
  <w:style w:type="table" w:styleId="MediumGrid3-Accent3">
    <w:name w:val="Medium Grid 3 Accent 3"/>
    <w:basedOn w:val="TableNormal"/>
    <w:uiPriority w:val="69"/>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4EDF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4BAE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4BAE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4BAE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4BAE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9DCF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9DCF1"/>
      </w:tcPr>
    </w:tblStylePr>
  </w:style>
  <w:style w:type="table" w:styleId="MediumGrid3-Accent4">
    <w:name w:val="Medium Grid 3 Accent 4"/>
    <w:basedOn w:val="TableNormal"/>
    <w:uiPriority w:val="69"/>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F5B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9B51C"/>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9B51C"/>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9B51C"/>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9B51C"/>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EB7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EB7D"/>
      </w:tcPr>
    </w:tblStylePr>
  </w:style>
  <w:style w:type="table" w:styleId="MediumGrid3-Accent5">
    <w:name w:val="Medium Grid 3 Accent 5"/>
    <w:basedOn w:val="TableNormal"/>
    <w:uiPriority w:val="69"/>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3FDB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CC70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CC70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CC70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CC70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6FB6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6FB6A"/>
      </w:tcPr>
    </w:tblStylePr>
  </w:style>
  <w:style w:type="table" w:styleId="MediumGrid3-Accent6">
    <w:name w:val="Medium Grid 3 Accent 6"/>
    <w:basedOn w:val="TableNormal"/>
    <w:uiPriority w:val="69"/>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E4B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392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392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392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392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C97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C97A"/>
      </w:tcPr>
    </w:tblStylePr>
  </w:style>
  <w:style w:type="paragraph" w:customStyle="1" w:styleId="GFABulletedLists2">
    <w:name w:val="GFA Bulleted Lists 2"/>
    <w:basedOn w:val="GFABulletedLists1"/>
    <w:link w:val="GFABulletedLists2Zchn"/>
    <w:uiPriority w:val="2"/>
    <w:unhideWhenUsed/>
    <w:qFormat/>
    <w:rsid w:val="000F50EA"/>
    <w:pPr>
      <w:ind w:left="1080"/>
    </w:pPr>
  </w:style>
  <w:style w:type="paragraph" w:customStyle="1" w:styleId="GFABulletedLists3">
    <w:name w:val="GFA Bulleted Lists 3"/>
    <w:basedOn w:val="GFABulletedLists1"/>
    <w:link w:val="GFABulletedLists3Zchn"/>
    <w:uiPriority w:val="2"/>
    <w:unhideWhenUsed/>
    <w:qFormat/>
    <w:rsid w:val="000F50EA"/>
    <w:pPr>
      <w:ind w:left="1800"/>
    </w:pPr>
  </w:style>
  <w:style w:type="character" w:customStyle="1" w:styleId="GFABulletedLists2Zchn">
    <w:name w:val="GFA Bulleted Lists 2 Zchn"/>
    <w:basedOn w:val="GFABulletedLists1Zchn"/>
    <w:link w:val="GFABulletedLists2"/>
    <w:uiPriority w:val="2"/>
    <w:rsid w:val="000F50EA"/>
    <w:rPr>
      <w:rFonts w:ascii="Arial" w:eastAsia="Times New Roman" w:hAnsi="Arial" w:cs="Times New Roman"/>
      <w:sz w:val="21"/>
      <w:szCs w:val="21"/>
      <w:lang w:val="sq-AL" w:eastAsia="de-DE"/>
    </w:rPr>
  </w:style>
  <w:style w:type="paragraph" w:customStyle="1" w:styleId="GFABulletedLists4">
    <w:name w:val="GFA Bulleted Lists 4"/>
    <w:basedOn w:val="GFABulletedLists1"/>
    <w:link w:val="GFABulletedLists4Zchn"/>
    <w:uiPriority w:val="2"/>
    <w:unhideWhenUsed/>
    <w:qFormat/>
    <w:rsid w:val="000F50EA"/>
    <w:pPr>
      <w:ind w:left="2520"/>
    </w:pPr>
  </w:style>
  <w:style w:type="character" w:customStyle="1" w:styleId="GFABulletedLists3Zchn">
    <w:name w:val="GFA Bulleted Lists 3 Zchn"/>
    <w:basedOn w:val="GFABulletedLists1Zchn"/>
    <w:link w:val="GFABulletedLists3"/>
    <w:uiPriority w:val="2"/>
    <w:rsid w:val="000F50EA"/>
    <w:rPr>
      <w:rFonts w:ascii="Arial" w:eastAsia="Times New Roman" w:hAnsi="Arial" w:cs="Times New Roman"/>
      <w:sz w:val="21"/>
      <w:szCs w:val="21"/>
      <w:lang w:val="sq-AL" w:eastAsia="de-DE"/>
    </w:rPr>
  </w:style>
  <w:style w:type="paragraph" w:customStyle="1" w:styleId="GFABulletedLists5">
    <w:name w:val="GFA Bulleted Lists 5"/>
    <w:basedOn w:val="GFABulletedLists1"/>
    <w:link w:val="GFABulletedLists5Zchn"/>
    <w:uiPriority w:val="2"/>
    <w:semiHidden/>
    <w:qFormat/>
    <w:rsid w:val="000F50EA"/>
    <w:pPr>
      <w:ind w:left="3240"/>
    </w:pPr>
  </w:style>
  <w:style w:type="character" w:customStyle="1" w:styleId="GFABulletedLists4Zchn">
    <w:name w:val="GFA Bulleted Lists 4 Zchn"/>
    <w:basedOn w:val="GFABulletedLists1Zchn"/>
    <w:link w:val="GFABulletedLists4"/>
    <w:uiPriority w:val="2"/>
    <w:rsid w:val="000F50EA"/>
    <w:rPr>
      <w:rFonts w:ascii="Arial" w:eastAsia="Times New Roman" w:hAnsi="Arial" w:cs="Times New Roman"/>
      <w:sz w:val="21"/>
      <w:szCs w:val="21"/>
      <w:lang w:val="sq-AL" w:eastAsia="de-DE"/>
    </w:rPr>
  </w:style>
  <w:style w:type="paragraph" w:customStyle="1" w:styleId="GFABulletedLists6">
    <w:name w:val="GFA Bulleted Lists 6"/>
    <w:basedOn w:val="GFABulletedLists1"/>
    <w:link w:val="GFABulletedLists6Zchn"/>
    <w:uiPriority w:val="2"/>
    <w:semiHidden/>
    <w:qFormat/>
    <w:rsid w:val="000F50EA"/>
    <w:pPr>
      <w:ind w:left="3960"/>
    </w:pPr>
  </w:style>
  <w:style w:type="character" w:customStyle="1" w:styleId="GFABulletedLists5Zchn">
    <w:name w:val="GFA Bulleted Lists 5 Zchn"/>
    <w:basedOn w:val="GFABulletedLists1Zchn"/>
    <w:link w:val="GFABulletedLists5"/>
    <w:uiPriority w:val="2"/>
    <w:semiHidden/>
    <w:rsid w:val="000F50EA"/>
    <w:rPr>
      <w:rFonts w:ascii="Arial" w:eastAsia="Times New Roman" w:hAnsi="Arial" w:cs="Times New Roman"/>
      <w:sz w:val="21"/>
      <w:szCs w:val="21"/>
      <w:lang w:val="sq-AL" w:eastAsia="de-DE"/>
    </w:rPr>
  </w:style>
  <w:style w:type="paragraph" w:customStyle="1" w:styleId="GFABulletedLists7">
    <w:name w:val="GFA Bulleted Lists 7"/>
    <w:basedOn w:val="GFABulletedLists1"/>
    <w:link w:val="GFABulletedLists7Zchn"/>
    <w:uiPriority w:val="2"/>
    <w:semiHidden/>
    <w:qFormat/>
    <w:rsid w:val="000F50EA"/>
    <w:pPr>
      <w:ind w:left="4680"/>
    </w:pPr>
  </w:style>
  <w:style w:type="character" w:customStyle="1" w:styleId="GFABulletedLists6Zchn">
    <w:name w:val="GFA Bulleted Lists 6 Zchn"/>
    <w:basedOn w:val="GFABulletedLists1Zchn"/>
    <w:link w:val="GFABulletedLists6"/>
    <w:uiPriority w:val="2"/>
    <w:semiHidden/>
    <w:rsid w:val="000F50EA"/>
    <w:rPr>
      <w:rFonts w:ascii="Arial" w:eastAsia="Times New Roman" w:hAnsi="Arial" w:cs="Times New Roman"/>
      <w:sz w:val="21"/>
      <w:szCs w:val="21"/>
      <w:lang w:val="sq-AL" w:eastAsia="de-DE"/>
    </w:rPr>
  </w:style>
  <w:style w:type="paragraph" w:customStyle="1" w:styleId="GFABulletedLists8">
    <w:name w:val="GFA Bulleted Lists 8"/>
    <w:basedOn w:val="GFABulletedLists1"/>
    <w:link w:val="GFABulletedLists8Zchn"/>
    <w:uiPriority w:val="2"/>
    <w:semiHidden/>
    <w:qFormat/>
    <w:rsid w:val="000F50EA"/>
    <w:pPr>
      <w:ind w:left="5400"/>
    </w:pPr>
  </w:style>
  <w:style w:type="character" w:customStyle="1" w:styleId="GFABulletedLists7Zchn">
    <w:name w:val="GFA Bulleted Lists 7 Zchn"/>
    <w:basedOn w:val="GFABulletedLists1Zchn"/>
    <w:link w:val="GFABulletedLists7"/>
    <w:uiPriority w:val="2"/>
    <w:semiHidden/>
    <w:rsid w:val="000F50EA"/>
    <w:rPr>
      <w:rFonts w:ascii="Arial" w:eastAsia="Times New Roman" w:hAnsi="Arial" w:cs="Times New Roman"/>
      <w:sz w:val="21"/>
      <w:szCs w:val="21"/>
      <w:lang w:val="sq-AL" w:eastAsia="de-DE"/>
    </w:rPr>
  </w:style>
  <w:style w:type="paragraph" w:customStyle="1" w:styleId="GFABulletedLists9">
    <w:name w:val="GFA Bulleted Lists 9"/>
    <w:basedOn w:val="GFABulletedLists1"/>
    <w:link w:val="GFABulletedLists9Zchn"/>
    <w:uiPriority w:val="2"/>
    <w:semiHidden/>
    <w:qFormat/>
    <w:rsid w:val="000F50EA"/>
    <w:pPr>
      <w:ind w:left="6120"/>
    </w:pPr>
  </w:style>
  <w:style w:type="character" w:customStyle="1" w:styleId="GFABulletedLists8Zchn">
    <w:name w:val="GFA Bulleted Lists 8 Zchn"/>
    <w:basedOn w:val="GFABulletedLists1Zchn"/>
    <w:link w:val="GFABulletedLists8"/>
    <w:uiPriority w:val="2"/>
    <w:semiHidden/>
    <w:rsid w:val="000F50EA"/>
    <w:rPr>
      <w:rFonts w:ascii="Arial" w:eastAsia="Times New Roman" w:hAnsi="Arial" w:cs="Times New Roman"/>
      <w:sz w:val="21"/>
      <w:szCs w:val="21"/>
      <w:lang w:val="sq-AL" w:eastAsia="de-DE"/>
    </w:rPr>
  </w:style>
  <w:style w:type="character" w:customStyle="1" w:styleId="GFABulletedLists9Zchn">
    <w:name w:val="GFA Bulleted Lists 9 Zchn"/>
    <w:basedOn w:val="GFABulletedLists1Zchn"/>
    <w:link w:val="GFABulletedLists9"/>
    <w:uiPriority w:val="2"/>
    <w:semiHidden/>
    <w:rsid w:val="000F50EA"/>
    <w:rPr>
      <w:rFonts w:ascii="Arial" w:eastAsia="Times New Roman" w:hAnsi="Arial" w:cs="Times New Roman"/>
      <w:sz w:val="21"/>
      <w:szCs w:val="21"/>
      <w:lang w:val="sq-AL" w:eastAsia="de-DE"/>
    </w:rPr>
  </w:style>
  <w:style w:type="paragraph" w:customStyle="1" w:styleId="GFANumberedLists2">
    <w:name w:val="GFA Numbered Lists 2"/>
    <w:basedOn w:val="GFANumberedLists1"/>
    <w:link w:val="GFANumberedLists2Zchn"/>
    <w:uiPriority w:val="2"/>
    <w:unhideWhenUsed/>
    <w:qFormat/>
    <w:rsid w:val="000F50EA"/>
    <w:pPr>
      <w:numPr>
        <w:ilvl w:val="1"/>
      </w:numPr>
    </w:pPr>
  </w:style>
  <w:style w:type="paragraph" w:customStyle="1" w:styleId="GFANumberedLists3">
    <w:name w:val="GFA Numbered Lists 3"/>
    <w:basedOn w:val="GFANumberedLists1"/>
    <w:link w:val="GFANumberedLists3Zchn"/>
    <w:uiPriority w:val="2"/>
    <w:unhideWhenUsed/>
    <w:qFormat/>
    <w:rsid w:val="000F50EA"/>
    <w:pPr>
      <w:numPr>
        <w:ilvl w:val="2"/>
      </w:numPr>
    </w:pPr>
  </w:style>
  <w:style w:type="character" w:customStyle="1" w:styleId="GFANumberedLists2Zchn">
    <w:name w:val="GFA Numbered Lists 2 Zchn"/>
    <w:basedOn w:val="GFANumberedLists1Zchn"/>
    <w:link w:val="GFANumberedLists2"/>
    <w:uiPriority w:val="2"/>
    <w:rsid w:val="000F50EA"/>
    <w:rPr>
      <w:rFonts w:ascii="Arial" w:eastAsia="Times New Roman" w:hAnsi="Arial" w:cs="Times New Roman"/>
      <w:szCs w:val="21"/>
      <w:lang w:val="sq-AL" w:eastAsia="de-DE"/>
    </w:rPr>
  </w:style>
  <w:style w:type="paragraph" w:customStyle="1" w:styleId="GFANumberedLists4">
    <w:name w:val="GFA Numbered Lists 4"/>
    <w:basedOn w:val="GFANumberedLists1"/>
    <w:link w:val="GFANumberedLists4Zchn"/>
    <w:uiPriority w:val="2"/>
    <w:unhideWhenUsed/>
    <w:qFormat/>
    <w:rsid w:val="000F50EA"/>
    <w:pPr>
      <w:numPr>
        <w:ilvl w:val="3"/>
      </w:numPr>
    </w:pPr>
  </w:style>
  <w:style w:type="character" w:customStyle="1" w:styleId="GFANumberedLists3Zchn">
    <w:name w:val="GFA Numbered Lists 3 Zchn"/>
    <w:basedOn w:val="GFANumberedLists1Zchn"/>
    <w:link w:val="GFANumberedLists3"/>
    <w:uiPriority w:val="2"/>
    <w:rsid w:val="000F50EA"/>
    <w:rPr>
      <w:rFonts w:ascii="Arial" w:eastAsia="Times New Roman" w:hAnsi="Arial" w:cs="Times New Roman"/>
      <w:szCs w:val="21"/>
      <w:lang w:val="sq-AL" w:eastAsia="de-DE"/>
    </w:rPr>
  </w:style>
  <w:style w:type="paragraph" w:customStyle="1" w:styleId="GFANumberedLists5">
    <w:name w:val="GFA Numbered Lists 5"/>
    <w:basedOn w:val="GFANumberedLists1"/>
    <w:link w:val="GFANumberedLists5Zchn"/>
    <w:uiPriority w:val="2"/>
    <w:semiHidden/>
    <w:qFormat/>
    <w:rsid w:val="000F50EA"/>
    <w:pPr>
      <w:numPr>
        <w:ilvl w:val="4"/>
      </w:numPr>
    </w:pPr>
  </w:style>
  <w:style w:type="character" w:customStyle="1" w:styleId="GFANumberedLists4Zchn">
    <w:name w:val="GFA Numbered Lists 4 Zchn"/>
    <w:basedOn w:val="GFANumberedLists1Zchn"/>
    <w:link w:val="GFANumberedLists4"/>
    <w:uiPriority w:val="2"/>
    <w:rsid w:val="000F50EA"/>
    <w:rPr>
      <w:rFonts w:ascii="Arial" w:eastAsia="Times New Roman" w:hAnsi="Arial" w:cs="Times New Roman"/>
      <w:szCs w:val="21"/>
      <w:lang w:val="sq-AL" w:eastAsia="de-DE"/>
    </w:rPr>
  </w:style>
  <w:style w:type="paragraph" w:customStyle="1" w:styleId="GFANumberedLists6">
    <w:name w:val="GFA Numbered Lists 6"/>
    <w:basedOn w:val="GFANumberedLists1"/>
    <w:link w:val="GFANumberedLists6Zchn"/>
    <w:uiPriority w:val="2"/>
    <w:semiHidden/>
    <w:qFormat/>
    <w:rsid w:val="000F50EA"/>
    <w:pPr>
      <w:numPr>
        <w:ilvl w:val="5"/>
      </w:numPr>
    </w:pPr>
  </w:style>
  <w:style w:type="character" w:customStyle="1" w:styleId="GFANumberedLists5Zchn">
    <w:name w:val="GFA Numbered Lists 5 Zchn"/>
    <w:basedOn w:val="GFANumberedLists1Zchn"/>
    <w:link w:val="GFANumberedLists5"/>
    <w:uiPriority w:val="2"/>
    <w:semiHidden/>
    <w:rsid w:val="000F50EA"/>
    <w:rPr>
      <w:rFonts w:ascii="Arial" w:eastAsia="Times New Roman" w:hAnsi="Arial" w:cs="Times New Roman"/>
      <w:szCs w:val="21"/>
      <w:lang w:val="sq-AL" w:eastAsia="de-DE"/>
    </w:rPr>
  </w:style>
  <w:style w:type="paragraph" w:customStyle="1" w:styleId="GFANumberedLists7">
    <w:name w:val="GFA Numbered Lists 7"/>
    <w:basedOn w:val="GFANumberedLists1"/>
    <w:link w:val="GFANumberedLists7Zchn"/>
    <w:uiPriority w:val="2"/>
    <w:semiHidden/>
    <w:qFormat/>
    <w:rsid w:val="000F50EA"/>
    <w:pPr>
      <w:numPr>
        <w:ilvl w:val="6"/>
      </w:numPr>
    </w:pPr>
  </w:style>
  <w:style w:type="character" w:customStyle="1" w:styleId="GFANumberedLists6Zchn">
    <w:name w:val="GFA Numbered Lists 6 Zchn"/>
    <w:basedOn w:val="GFANumberedLists1Zchn"/>
    <w:link w:val="GFANumberedLists6"/>
    <w:uiPriority w:val="2"/>
    <w:semiHidden/>
    <w:rsid w:val="000F50EA"/>
    <w:rPr>
      <w:rFonts w:ascii="Arial" w:eastAsia="Times New Roman" w:hAnsi="Arial" w:cs="Times New Roman"/>
      <w:szCs w:val="21"/>
      <w:lang w:val="sq-AL" w:eastAsia="de-DE"/>
    </w:rPr>
  </w:style>
  <w:style w:type="paragraph" w:customStyle="1" w:styleId="GFANumberedLists8">
    <w:name w:val="GFA Numbered Lists 8"/>
    <w:basedOn w:val="GFANumberedLists1"/>
    <w:link w:val="GFANumberedLists8Zchn"/>
    <w:uiPriority w:val="2"/>
    <w:semiHidden/>
    <w:qFormat/>
    <w:rsid w:val="000F50EA"/>
    <w:pPr>
      <w:numPr>
        <w:ilvl w:val="7"/>
      </w:numPr>
    </w:pPr>
  </w:style>
  <w:style w:type="character" w:customStyle="1" w:styleId="GFANumberedLists7Zchn">
    <w:name w:val="GFA Numbered Lists 7 Zchn"/>
    <w:basedOn w:val="GFANumberedLists1Zchn"/>
    <w:link w:val="GFANumberedLists7"/>
    <w:uiPriority w:val="2"/>
    <w:semiHidden/>
    <w:rsid w:val="000F50EA"/>
    <w:rPr>
      <w:rFonts w:ascii="Arial" w:eastAsia="Times New Roman" w:hAnsi="Arial" w:cs="Times New Roman"/>
      <w:szCs w:val="21"/>
      <w:lang w:val="sq-AL" w:eastAsia="de-DE"/>
    </w:rPr>
  </w:style>
  <w:style w:type="paragraph" w:customStyle="1" w:styleId="GFANumberedLists9">
    <w:name w:val="GFA Numbered Lists 9"/>
    <w:basedOn w:val="GFANumberedLists1"/>
    <w:link w:val="GFANumberedLists9Zchn"/>
    <w:uiPriority w:val="2"/>
    <w:semiHidden/>
    <w:qFormat/>
    <w:rsid w:val="000F50EA"/>
    <w:pPr>
      <w:numPr>
        <w:ilvl w:val="8"/>
      </w:numPr>
    </w:pPr>
  </w:style>
  <w:style w:type="character" w:customStyle="1" w:styleId="GFANumberedLists8Zchn">
    <w:name w:val="GFA Numbered Lists 8 Zchn"/>
    <w:basedOn w:val="GFANumberedLists1Zchn"/>
    <w:link w:val="GFANumberedLists8"/>
    <w:uiPriority w:val="2"/>
    <w:semiHidden/>
    <w:rsid w:val="000F50EA"/>
    <w:rPr>
      <w:rFonts w:ascii="Arial" w:eastAsia="Times New Roman" w:hAnsi="Arial" w:cs="Times New Roman"/>
      <w:szCs w:val="21"/>
      <w:lang w:val="sq-AL" w:eastAsia="de-DE"/>
    </w:rPr>
  </w:style>
  <w:style w:type="character" w:customStyle="1" w:styleId="GFANumberedLists9Zchn">
    <w:name w:val="GFA Numbered Lists 9 Zchn"/>
    <w:basedOn w:val="GFANumberedLists1Zchn"/>
    <w:link w:val="GFANumberedLists9"/>
    <w:uiPriority w:val="2"/>
    <w:semiHidden/>
    <w:rsid w:val="000F50EA"/>
    <w:rPr>
      <w:rFonts w:ascii="Arial" w:eastAsia="Times New Roman" w:hAnsi="Arial" w:cs="Times New Roman"/>
      <w:szCs w:val="21"/>
      <w:lang w:val="sq-AL" w:eastAsia="de-DE"/>
    </w:rPr>
  </w:style>
  <w:style w:type="table" w:customStyle="1" w:styleId="TAB-BLUE-1">
    <w:name w:val="TAB-BLUE-1"/>
    <w:basedOn w:val="TableNormal"/>
    <w:uiPriority w:val="99"/>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E9F1F9"/>
    </w:tcPr>
    <w:tblStylePr w:type="firstRow">
      <w:rPr>
        <w:b/>
        <w:color w:val="FFFFFF"/>
      </w:rPr>
      <w:tblPr/>
      <w:trPr>
        <w:tblHeader/>
      </w:trPr>
      <w:tcPr>
        <w:shd w:val="clear" w:color="auto" w:fill="148DCD"/>
      </w:tcPr>
    </w:tblStylePr>
    <w:tblStylePr w:type="lastRow">
      <w:rPr>
        <w:b/>
        <w:color w:val="FFFFFF"/>
      </w:rPr>
      <w:tblPr/>
      <w:tcPr>
        <w:shd w:val="clear" w:color="auto" w:fill="148DCD"/>
      </w:tcPr>
    </w:tblStylePr>
    <w:tblStylePr w:type="firstCol">
      <w:rPr>
        <w:b/>
        <w:color w:val="FFFFFF"/>
      </w:rPr>
      <w:tblPr/>
      <w:tcPr>
        <w:shd w:val="clear" w:color="auto" w:fill="148DCD"/>
      </w:tcPr>
    </w:tblStylePr>
    <w:tblStylePr w:type="lastCol">
      <w:rPr>
        <w:b/>
        <w:color w:val="FFFFFF"/>
      </w:rPr>
      <w:tblPr/>
      <w:tcPr>
        <w:shd w:val="clear" w:color="auto" w:fill="148DCD"/>
      </w:tcPr>
    </w:tblStylePr>
    <w:tblStylePr w:type="band1Vert">
      <w:tblPr>
        <w:tblCellMar>
          <w:top w:w="57" w:type="dxa"/>
          <w:left w:w="57" w:type="dxa"/>
          <w:bottom w:w="57" w:type="dxa"/>
          <w:right w:w="57" w:type="dxa"/>
        </w:tblCellMar>
      </w:tblPr>
      <w:tcPr>
        <w:shd w:val="clear" w:color="auto" w:fill="CBE9FA"/>
      </w:tcPr>
    </w:tblStylePr>
    <w:tblStylePr w:type="band1Horz">
      <w:tblPr/>
      <w:tcPr>
        <w:shd w:val="clear" w:color="auto" w:fill="CBE9FA"/>
      </w:tcPr>
    </w:tblStylePr>
  </w:style>
  <w:style w:type="table" w:customStyle="1" w:styleId="TAB-BLUE-2">
    <w:name w:val="TAB-BLUE-2"/>
    <w:basedOn w:val="TableNormal"/>
    <w:uiPriority w:val="99"/>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E9F1F9"/>
    </w:tcPr>
    <w:tblStylePr w:type="firstRow">
      <w:rPr>
        <w:b/>
        <w:color w:val="FFFFFF"/>
        <w:sz w:val="20"/>
      </w:rPr>
      <w:tblPr/>
      <w:trPr>
        <w:tblHeader/>
      </w:trPr>
      <w:tcPr>
        <w:shd w:val="clear" w:color="auto" w:fill="1F497D"/>
      </w:tcPr>
    </w:tblStylePr>
    <w:tblStylePr w:type="lastRow">
      <w:rPr>
        <w:b/>
        <w:color w:val="FFFFFF"/>
      </w:rPr>
      <w:tblPr/>
      <w:tcPr>
        <w:shd w:val="clear" w:color="auto" w:fill="1F497D"/>
      </w:tcPr>
    </w:tblStylePr>
    <w:tblStylePr w:type="firstCol">
      <w:rPr>
        <w:b/>
        <w:color w:val="FFFFFF"/>
      </w:rPr>
      <w:tblPr/>
      <w:tcPr>
        <w:shd w:val="clear" w:color="auto" w:fill="548DD4"/>
      </w:tcPr>
    </w:tblStylePr>
    <w:tblStylePr w:type="lastCol">
      <w:rPr>
        <w:b/>
        <w:color w:val="FFFFFF"/>
      </w:rPr>
      <w:tblPr/>
      <w:tcPr>
        <w:shd w:val="clear" w:color="auto" w:fill="548DD4"/>
      </w:tcPr>
    </w:tblStylePr>
    <w:tblStylePr w:type="band1Vert">
      <w:tblPr/>
      <w:tcPr>
        <w:shd w:val="clear" w:color="auto" w:fill="C6D9F1"/>
      </w:tcPr>
    </w:tblStylePr>
    <w:tblStylePr w:type="band1Horz">
      <w:tblPr/>
      <w:tcPr>
        <w:shd w:val="clear" w:color="auto" w:fill="C6D9F1"/>
      </w:tcPr>
    </w:tblStylePr>
  </w:style>
  <w:style w:type="table" w:customStyle="1" w:styleId="TableGridLight1">
    <w:name w:val="Table Grid Light1"/>
    <w:basedOn w:val="TableNormal"/>
    <w:uiPriority w:val="40"/>
    <w:rsid w:val="000F50EA"/>
    <w:pPr>
      <w:spacing w:after="0" w:line="240" w:lineRule="auto"/>
    </w:pPr>
    <w:rPr>
      <w:rFonts w:ascii="Arial" w:eastAsia="Times New Roman" w:hAnsi="Arial" w:cs="Times New Roman"/>
      <w:sz w:val="20"/>
      <w:szCs w:val="20"/>
      <w:lang w:val="sq-AL" w:eastAsia="sq-AL"/>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GOLD">
    <w:name w:val="TAB-GOLD"/>
    <w:basedOn w:val="TableNormal"/>
    <w:uiPriority w:val="99"/>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FBF6EB"/>
    </w:tcPr>
    <w:tblStylePr w:type="firstRow">
      <w:rPr>
        <w:b/>
        <w:color w:val="FFFFFF"/>
      </w:rPr>
      <w:tblPr/>
      <w:trPr>
        <w:tblHeader/>
      </w:trPr>
      <w:tcPr>
        <w:shd w:val="clear" w:color="auto" w:fill="F39200"/>
      </w:tcPr>
    </w:tblStylePr>
    <w:tblStylePr w:type="lastRow">
      <w:rPr>
        <w:b/>
        <w:color w:val="FFFFFF"/>
      </w:rPr>
      <w:tblPr/>
      <w:tcPr>
        <w:shd w:val="clear" w:color="auto" w:fill="F39200"/>
      </w:tcPr>
    </w:tblStylePr>
    <w:tblStylePr w:type="firstCol">
      <w:rPr>
        <w:b/>
      </w:rPr>
      <w:tblPr/>
      <w:tcPr>
        <w:shd w:val="clear" w:color="auto" w:fill="FFD494"/>
      </w:tcPr>
    </w:tblStylePr>
    <w:tblStylePr w:type="lastCol">
      <w:rPr>
        <w:b/>
      </w:rPr>
      <w:tblPr>
        <w:tblCellMar>
          <w:top w:w="57" w:type="dxa"/>
          <w:left w:w="57" w:type="dxa"/>
          <w:bottom w:w="57" w:type="dxa"/>
          <w:right w:w="57" w:type="dxa"/>
        </w:tblCellMar>
      </w:tblPr>
      <w:tcPr>
        <w:shd w:val="clear" w:color="auto" w:fill="FFD494"/>
      </w:tcPr>
    </w:tblStylePr>
    <w:tblStylePr w:type="band1Vert">
      <w:tblPr/>
      <w:tcPr>
        <w:shd w:val="clear" w:color="auto" w:fill="FFE9C9"/>
      </w:tcPr>
    </w:tblStylePr>
    <w:tblStylePr w:type="band1Horz">
      <w:tblPr/>
      <w:tcPr>
        <w:shd w:val="clear" w:color="auto" w:fill="FFE9C9"/>
      </w:tcPr>
    </w:tblStylePr>
  </w:style>
  <w:style w:type="table" w:customStyle="1" w:styleId="TAB-GRAY">
    <w:name w:val="TAB-GRAY"/>
    <w:basedOn w:val="TableNormal"/>
    <w:uiPriority w:val="99"/>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F2F2F2"/>
    </w:tcPr>
    <w:tblStylePr w:type="firstRow">
      <w:rPr>
        <w:b/>
        <w:color w:val="FFFFFF"/>
      </w:rPr>
      <w:tblPr/>
      <w:trPr>
        <w:tblHeader/>
      </w:trPr>
      <w:tcPr>
        <w:shd w:val="clear" w:color="auto" w:fill="808080"/>
      </w:tcPr>
    </w:tblStylePr>
    <w:tblStylePr w:type="lastRow">
      <w:rPr>
        <w:b/>
        <w:color w:val="FFFFFF"/>
      </w:rPr>
      <w:tblPr/>
      <w:tcPr>
        <w:shd w:val="clear" w:color="auto" w:fill="808080"/>
      </w:tcPr>
    </w:tblStylePr>
    <w:tblStylePr w:type="firstCol">
      <w:rPr>
        <w:b/>
      </w:rPr>
      <w:tblPr/>
      <w:tcPr>
        <w:shd w:val="clear" w:color="auto" w:fill="BFBFBF"/>
      </w:tcPr>
    </w:tblStylePr>
    <w:tblStylePr w:type="lastCol">
      <w:rPr>
        <w:b/>
      </w:rPr>
      <w:tblPr/>
      <w:tcPr>
        <w:shd w:val="clear" w:color="auto" w:fill="BFBFBF"/>
      </w:tcPr>
    </w:tblStylePr>
    <w:tblStylePr w:type="band1Vert">
      <w:tblPr/>
      <w:tcPr>
        <w:shd w:val="clear" w:color="auto" w:fill="D9D9D9"/>
      </w:tcPr>
    </w:tblStylePr>
    <w:tblStylePr w:type="band1Horz">
      <w:tblPr/>
      <w:tcPr>
        <w:shd w:val="clear" w:color="auto" w:fill="D9D9D9"/>
      </w:tcPr>
    </w:tblStylePr>
  </w:style>
  <w:style w:type="table" w:styleId="DarkList">
    <w:name w:val="Dark List"/>
    <w:basedOn w:val="TableNormal"/>
    <w:uiPriority w:val="70"/>
    <w:rsid w:val="000F50EA"/>
    <w:pPr>
      <w:spacing w:after="0" w:line="240" w:lineRule="auto"/>
    </w:pPr>
    <w:rPr>
      <w:rFonts w:ascii="Arial" w:eastAsia="Times New Roman" w:hAnsi="Arial" w:cs="Times New Roman"/>
      <w:color w:val="FFFFFF"/>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ColorfulList">
    <w:name w:val="Colorful List"/>
    <w:basedOn w:val="TableNormal"/>
    <w:uiPriority w:val="72"/>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1070A4"/>
      </w:tcPr>
    </w:tblStylePr>
    <w:tblStylePr w:type="lastRow">
      <w:rPr>
        <w:b/>
        <w:bCs/>
        <w:color w:val="1070A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Shading">
    <w:name w:val="Colorful Shading"/>
    <w:basedOn w:val="TableNormal"/>
    <w:uiPriority w:val="71"/>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24" w:space="0" w:color="148DC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148DC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Grid">
    <w:name w:val="Colorful Grid"/>
    <w:basedOn w:val="TableNormal"/>
    <w:uiPriority w:val="73"/>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LightList">
    <w:name w:val="Light List"/>
    <w:basedOn w:val="TableNormal"/>
    <w:uiPriority w:val="61"/>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121754"/>
        <w:left w:val="single" w:sz="8" w:space="0" w:color="121754"/>
        <w:bottom w:val="single" w:sz="8" w:space="0" w:color="121754"/>
        <w:right w:val="single" w:sz="8" w:space="0" w:color="12175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21754"/>
      </w:tcPr>
    </w:tblStylePr>
    <w:tblStylePr w:type="lastRow">
      <w:pPr>
        <w:spacing w:before="0" w:after="0" w:line="240" w:lineRule="auto"/>
      </w:pPr>
      <w:rPr>
        <w:b/>
        <w:bCs/>
      </w:rPr>
      <w:tblPr/>
      <w:tcPr>
        <w:tcBorders>
          <w:top w:val="double" w:sz="6" w:space="0" w:color="121754"/>
          <w:left w:val="single" w:sz="8" w:space="0" w:color="121754"/>
          <w:bottom w:val="single" w:sz="8" w:space="0" w:color="121754"/>
          <w:right w:val="single" w:sz="8" w:space="0" w:color="121754"/>
        </w:tcBorders>
      </w:tcPr>
    </w:tblStylePr>
    <w:tblStylePr w:type="firstCol">
      <w:rPr>
        <w:b/>
        <w:bCs/>
      </w:rPr>
    </w:tblStylePr>
    <w:tblStylePr w:type="lastCol">
      <w:rPr>
        <w:b/>
        <w:bCs/>
      </w:rPr>
    </w:tblStylePr>
    <w:tblStylePr w:type="band1Vert">
      <w:tblPr/>
      <w:tcPr>
        <w:tcBorders>
          <w:top w:val="single" w:sz="8" w:space="0" w:color="121754"/>
          <w:left w:val="single" w:sz="8" w:space="0" w:color="121754"/>
          <w:bottom w:val="single" w:sz="8" w:space="0" w:color="121754"/>
          <w:right w:val="single" w:sz="8" w:space="0" w:color="121754"/>
        </w:tcBorders>
      </w:tcPr>
    </w:tblStylePr>
    <w:tblStylePr w:type="band1Horz">
      <w:tblPr/>
      <w:tcPr>
        <w:tcBorders>
          <w:top w:val="single" w:sz="8" w:space="0" w:color="121754"/>
          <w:left w:val="single" w:sz="8" w:space="0" w:color="121754"/>
          <w:bottom w:val="single" w:sz="8" w:space="0" w:color="121754"/>
          <w:right w:val="single" w:sz="8" w:space="0" w:color="121754"/>
        </w:tcBorders>
      </w:tcPr>
    </w:tblStylePr>
  </w:style>
  <w:style w:type="table" w:styleId="LightShading-Accent1">
    <w:name w:val="Light Shading Accent 1"/>
    <w:basedOn w:val="TableNormal"/>
    <w:uiPriority w:val="60"/>
    <w:rsid w:val="000F50EA"/>
    <w:pPr>
      <w:spacing w:after="0" w:line="240" w:lineRule="auto"/>
    </w:pPr>
    <w:rPr>
      <w:rFonts w:ascii="Arial" w:eastAsia="Times New Roman" w:hAnsi="Arial" w:cs="Times New Roman"/>
      <w:color w:val="0D113E"/>
      <w:sz w:val="20"/>
      <w:szCs w:val="20"/>
      <w:lang w:val="sq-AL" w:eastAsia="sq-AL"/>
    </w:rPr>
    <w:tblPr>
      <w:tblStyleRowBandSize w:val="1"/>
      <w:tblStyleColBandSize w:val="1"/>
      <w:tblInd w:w="0" w:type="dxa"/>
      <w:tblBorders>
        <w:top w:val="single" w:sz="8" w:space="0" w:color="121754"/>
        <w:bottom w:val="single" w:sz="8" w:space="0" w:color="12175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21754"/>
          <w:left w:val="nil"/>
          <w:bottom w:val="single" w:sz="8" w:space="0" w:color="121754"/>
          <w:right w:val="nil"/>
          <w:insideH w:val="nil"/>
          <w:insideV w:val="nil"/>
        </w:tcBorders>
      </w:tcPr>
    </w:tblStylePr>
    <w:tblStylePr w:type="lastRow">
      <w:pPr>
        <w:spacing w:before="0" w:after="0" w:line="240" w:lineRule="auto"/>
      </w:pPr>
      <w:rPr>
        <w:b/>
        <w:bCs/>
      </w:rPr>
      <w:tblPr/>
      <w:tcPr>
        <w:tcBorders>
          <w:top w:val="single" w:sz="8" w:space="0" w:color="121754"/>
          <w:left w:val="nil"/>
          <w:bottom w:val="single" w:sz="8" w:space="0" w:color="12175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B0ED"/>
      </w:tcPr>
    </w:tblStylePr>
    <w:tblStylePr w:type="band1Horz">
      <w:tblPr/>
      <w:tcPr>
        <w:tcBorders>
          <w:left w:val="nil"/>
          <w:right w:val="nil"/>
          <w:insideH w:val="nil"/>
          <w:insideV w:val="nil"/>
        </w:tcBorders>
        <w:shd w:val="clear" w:color="auto" w:fill="ABB0ED"/>
      </w:tcPr>
    </w:tblStylePr>
  </w:style>
  <w:style w:type="table" w:styleId="LightGrid">
    <w:name w:val="Light Grid"/>
    <w:basedOn w:val="TableNormal"/>
    <w:uiPriority w:val="62"/>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rial" w:eastAsia="MS Gothic" w:hAnsi="Aria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w:eastAsia="MS Gothic" w:hAnsi="Aria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w:eastAsia="MS Gothic" w:hAnsi="Arial" w:cs="Times New Roman"/>
        <w:b/>
        <w:bCs/>
      </w:rPr>
    </w:tblStylePr>
    <w:tblStylePr w:type="lastCol">
      <w:rPr>
        <w:rFonts w:ascii="Arial" w:eastAsia="MS Gothic" w:hAnsi="Aria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121754"/>
        <w:left w:val="single" w:sz="8" w:space="0" w:color="121754"/>
        <w:bottom w:val="single" w:sz="8" w:space="0" w:color="121754"/>
        <w:right w:val="single" w:sz="8" w:space="0" w:color="121754"/>
        <w:insideH w:val="single" w:sz="8" w:space="0" w:color="121754"/>
        <w:insideV w:val="single" w:sz="8" w:space="0" w:color="121754"/>
      </w:tblBorders>
      <w:tblCellMar>
        <w:top w:w="0" w:type="dxa"/>
        <w:left w:w="108" w:type="dxa"/>
        <w:bottom w:w="0" w:type="dxa"/>
        <w:right w:w="108" w:type="dxa"/>
      </w:tblCellMar>
    </w:tblPr>
    <w:tblStylePr w:type="firstRow">
      <w:pPr>
        <w:spacing w:before="0" w:after="0" w:line="240" w:lineRule="auto"/>
      </w:pPr>
      <w:rPr>
        <w:rFonts w:ascii="Arial" w:eastAsia="MS Gothic" w:hAnsi="Arial" w:cs="Times New Roman"/>
        <w:b/>
        <w:bCs/>
      </w:rPr>
      <w:tblPr/>
      <w:tcPr>
        <w:tcBorders>
          <w:top w:val="single" w:sz="8" w:space="0" w:color="121754"/>
          <w:left w:val="single" w:sz="8" w:space="0" w:color="121754"/>
          <w:bottom w:val="single" w:sz="18" w:space="0" w:color="121754"/>
          <w:right w:val="single" w:sz="8" w:space="0" w:color="121754"/>
          <w:insideH w:val="nil"/>
          <w:insideV w:val="single" w:sz="8" w:space="0" w:color="121754"/>
        </w:tcBorders>
      </w:tcPr>
    </w:tblStylePr>
    <w:tblStylePr w:type="lastRow">
      <w:pPr>
        <w:spacing w:before="0" w:after="0" w:line="240" w:lineRule="auto"/>
      </w:pPr>
      <w:rPr>
        <w:rFonts w:ascii="Arial" w:eastAsia="MS Gothic" w:hAnsi="Arial" w:cs="Times New Roman"/>
        <w:b/>
        <w:bCs/>
      </w:rPr>
      <w:tblPr/>
      <w:tcPr>
        <w:tcBorders>
          <w:top w:val="double" w:sz="6" w:space="0" w:color="121754"/>
          <w:left w:val="single" w:sz="8" w:space="0" w:color="121754"/>
          <w:bottom w:val="single" w:sz="8" w:space="0" w:color="121754"/>
          <w:right w:val="single" w:sz="8" w:space="0" w:color="121754"/>
          <w:insideH w:val="nil"/>
          <w:insideV w:val="single" w:sz="8" w:space="0" w:color="121754"/>
        </w:tcBorders>
      </w:tcPr>
    </w:tblStylePr>
    <w:tblStylePr w:type="firstCol">
      <w:rPr>
        <w:rFonts w:ascii="Arial" w:eastAsia="MS Gothic" w:hAnsi="Arial" w:cs="Times New Roman"/>
        <w:b/>
        <w:bCs/>
      </w:rPr>
    </w:tblStylePr>
    <w:tblStylePr w:type="lastCol">
      <w:rPr>
        <w:rFonts w:ascii="Arial" w:eastAsia="MS Gothic" w:hAnsi="Arial" w:cs="Times New Roman"/>
        <w:b/>
        <w:bCs/>
      </w:rPr>
      <w:tblPr/>
      <w:tcPr>
        <w:tcBorders>
          <w:top w:val="single" w:sz="8" w:space="0" w:color="121754"/>
          <w:left w:val="single" w:sz="8" w:space="0" w:color="121754"/>
          <w:bottom w:val="single" w:sz="8" w:space="0" w:color="121754"/>
          <w:right w:val="single" w:sz="8" w:space="0" w:color="121754"/>
        </w:tcBorders>
      </w:tcPr>
    </w:tblStylePr>
    <w:tblStylePr w:type="band1Vert">
      <w:tblPr/>
      <w:tcPr>
        <w:tcBorders>
          <w:top w:val="single" w:sz="8" w:space="0" w:color="121754"/>
          <w:left w:val="single" w:sz="8" w:space="0" w:color="121754"/>
          <w:bottom w:val="single" w:sz="8" w:space="0" w:color="121754"/>
          <w:right w:val="single" w:sz="8" w:space="0" w:color="121754"/>
        </w:tcBorders>
        <w:shd w:val="clear" w:color="auto" w:fill="ABB0ED"/>
      </w:tcPr>
    </w:tblStylePr>
    <w:tblStylePr w:type="band1Horz">
      <w:tblPr/>
      <w:tcPr>
        <w:tcBorders>
          <w:top w:val="single" w:sz="8" w:space="0" w:color="121754"/>
          <w:left w:val="single" w:sz="8" w:space="0" w:color="121754"/>
          <w:bottom w:val="single" w:sz="8" w:space="0" w:color="121754"/>
          <w:right w:val="single" w:sz="8" w:space="0" w:color="121754"/>
          <w:insideV w:val="single" w:sz="8" w:space="0" w:color="121754"/>
        </w:tcBorders>
        <w:shd w:val="clear" w:color="auto" w:fill="ABB0ED"/>
      </w:tcPr>
    </w:tblStylePr>
    <w:tblStylePr w:type="band2Horz">
      <w:tblPr/>
      <w:tcPr>
        <w:tcBorders>
          <w:top w:val="single" w:sz="8" w:space="0" w:color="121754"/>
          <w:left w:val="single" w:sz="8" w:space="0" w:color="121754"/>
          <w:bottom w:val="single" w:sz="8" w:space="0" w:color="121754"/>
          <w:right w:val="single" w:sz="8" w:space="0" w:color="121754"/>
          <w:insideV w:val="single" w:sz="8" w:space="0" w:color="121754"/>
        </w:tcBorders>
      </w:tcPr>
    </w:tblStylePr>
  </w:style>
  <w:style w:type="table" w:styleId="MediumList1">
    <w:name w:val="Medium List 1"/>
    <w:basedOn w:val="TableNormal"/>
    <w:uiPriority w:val="65"/>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w:eastAsia="MS Gothic" w:hAnsi="Arial"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121754"/>
        <w:bottom w:val="single" w:sz="8" w:space="0" w:color="121754"/>
      </w:tblBorders>
      <w:tblCellMar>
        <w:top w:w="0" w:type="dxa"/>
        <w:left w:w="108" w:type="dxa"/>
        <w:bottom w:w="0" w:type="dxa"/>
        <w:right w:w="108" w:type="dxa"/>
      </w:tblCellMar>
    </w:tblPr>
    <w:tblStylePr w:type="firstRow">
      <w:rPr>
        <w:rFonts w:ascii="Arial" w:eastAsia="MS Gothic" w:hAnsi="Arial" w:cs="Times New Roman"/>
      </w:rPr>
      <w:tblPr/>
      <w:tcPr>
        <w:tcBorders>
          <w:top w:val="nil"/>
          <w:bottom w:val="single" w:sz="8" w:space="0" w:color="121754"/>
        </w:tcBorders>
      </w:tcPr>
    </w:tblStylePr>
    <w:tblStylePr w:type="lastRow">
      <w:rPr>
        <w:b/>
        <w:bCs/>
        <w:color w:val="1F497D"/>
      </w:rPr>
      <w:tblPr/>
      <w:tcPr>
        <w:tcBorders>
          <w:top w:val="single" w:sz="8" w:space="0" w:color="121754"/>
          <w:bottom w:val="single" w:sz="8" w:space="0" w:color="121754"/>
        </w:tcBorders>
      </w:tcPr>
    </w:tblStylePr>
    <w:tblStylePr w:type="firstCol">
      <w:rPr>
        <w:b/>
        <w:bCs/>
      </w:rPr>
    </w:tblStylePr>
    <w:tblStylePr w:type="lastCol">
      <w:rPr>
        <w:b/>
        <w:bCs/>
      </w:rPr>
      <w:tblPr/>
      <w:tcPr>
        <w:tcBorders>
          <w:top w:val="single" w:sz="8" w:space="0" w:color="121754"/>
          <w:bottom w:val="single" w:sz="8" w:space="0" w:color="121754"/>
        </w:tcBorders>
      </w:tcPr>
    </w:tblStylePr>
    <w:tblStylePr w:type="band1Vert">
      <w:tblPr/>
      <w:tcPr>
        <w:shd w:val="clear" w:color="auto" w:fill="ABB0ED"/>
      </w:tcPr>
    </w:tblStylePr>
    <w:tblStylePr w:type="band1Horz">
      <w:tblPr/>
      <w:tcPr>
        <w:shd w:val="clear" w:color="auto" w:fill="ABB0ED"/>
      </w:tcPr>
    </w:tblStylePr>
  </w:style>
  <w:style w:type="table" w:styleId="MediumList2">
    <w:name w:val="Medium List 2"/>
    <w:basedOn w:val="TableNormal"/>
    <w:uiPriority w:val="66"/>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242EA8"/>
        <w:left w:val="single" w:sz="8" w:space="0" w:color="242EA8"/>
        <w:bottom w:val="single" w:sz="8" w:space="0" w:color="242EA8"/>
        <w:right w:val="single" w:sz="8" w:space="0" w:color="242EA8"/>
        <w:insideH w:val="single" w:sz="8" w:space="0" w:color="242EA8"/>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42EA8"/>
          <w:left w:val="single" w:sz="8" w:space="0" w:color="242EA8"/>
          <w:bottom w:val="single" w:sz="8" w:space="0" w:color="242EA8"/>
          <w:right w:val="single" w:sz="8" w:space="0" w:color="242EA8"/>
          <w:insideH w:val="nil"/>
          <w:insideV w:val="nil"/>
        </w:tcBorders>
        <w:shd w:val="clear" w:color="auto" w:fill="121754"/>
      </w:tcPr>
    </w:tblStylePr>
    <w:tblStylePr w:type="lastRow">
      <w:pPr>
        <w:spacing w:before="0" w:after="0" w:line="240" w:lineRule="auto"/>
      </w:pPr>
      <w:rPr>
        <w:b/>
        <w:bCs/>
      </w:rPr>
      <w:tblPr/>
      <w:tcPr>
        <w:tcBorders>
          <w:top w:val="double" w:sz="6" w:space="0" w:color="242EA8"/>
          <w:left w:val="single" w:sz="8" w:space="0" w:color="242EA8"/>
          <w:bottom w:val="single" w:sz="8" w:space="0" w:color="242EA8"/>
          <w:right w:val="single" w:sz="8" w:space="0" w:color="242EA8"/>
          <w:insideH w:val="nil"/>
          <w:insideV w:val="nil"/>
        </w:tcBorders>
      </w:tcPr>
    </w:tblStylePr>
    <w:tblStylePr w:type="firstCol">
      <w:rPr>
        <w:b/>
        <w:bCs/>
      </w:rPr>
    </w:tblStylePr>
    <w:tblStylePr w:type="lastCol">
      <w:rPr>
        <w:b/>
        <w:bCs/>
      </w:rPr>
    </w:tblStylePr>
    <w:tblStylePr w:type="band1Vert">
      <w:tblPr/>
      <w:tcPr>
        <w:shd w:val="clear" w:color="auto" w:fill="ABB0ED"/>
      </w:tcPr>
    </w:tblStylePr>
    <w:tblStylePr w:type="band1Horz">
      <w:tblPr/>
      <w:tcPr>
        <w:tcBorders>
          <w:insideH w:val="nil"/>
          <w:insideV w:val="nil"/>
        </w:tcBorders>
        <w:shd w:val="clear" w:color="auto" w:fill="ABB0ED"/>
      </w:tcPr>
    </w:tblStylePr>
    <w:tblStylePr w:type="band2Horz">
      <w:tblPr/>
      <w:tcPr>
        <w:tcBorders>
          <w:insideH w:val="nil"/>
          <w:insideV w:val="nil"/>
        </w:tcBorders>
      </w:tcPr>
    </w:tblStylePr>
  </w:style>
  <w:style w:type="table" w:styleId="MediumShading2">
    <w:name w:val="Medium Shading 2"/>
    <w:basedOn w:val="TableNormal"/>
    <w:uiPriority w:val="64"/>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2175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21754"/>
      </w:tcPr>
    </w:tblStylePr>
    <w:tblStylePr w:type="lastCol">
      <w:rPr>
        <w:b/>
        <w:bCs/>
        <w:color w:val="FFFFFF"/>
      </w:rPr>
      <w:tblPr/>
      <w:tcPr>
        <w:tcBorders>
          <w:left w:val="nil"/>
          <w:right w:val="nil"/>
          <w:insideH w:val="nil"/>
          <w:insideV w:val="nil"/>
        </w:tcBorders>
        <w:shd w:val="clear" w:color="auto" w:fill="12175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1">
    <w:name w:val="Medium Grid 1"/>
    <w:basedOn w:val="TableNormal"/>
    <w:uiPriority w:val="67"/>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2">
    <w:name w:val="Medium Grid 2"/>
    <w:basedOn w:val="TableNormal"/>
    <w:uiPriority w:val="68"/>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3">
    <w:name w:val="Medium Grid 3"/>
    <w:basedOn w:val="TableNormal"/>
    <w:uiPriority w:val="69"/>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TAB-GREEN">
    <w:name w:val="TAB-GREEN"/>
    <w:basedOn w:val="TableNormal"/>
    <w:uiPriority w:val="99"/>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FAFDF5"/>
    </w:tcPr>
    <w:tblStylePr w:type="firstRow">
      <w:rPr>
        <w:b/>
        <w:color w:val="FFFFFF"/>
      </w:rPr>
      <w:tblPr/>
      <w:trPr>
        <w:tblHeader/>
      </w:trPr>
      <w:tcPr>
        <w:shd w:val="clear" w:color="auto" w:fill="79B51C"/>
      </w:tcPr>
    </w:tblStylePr>
    <w:tblStylePr w:type="lastRow">
      <w:rPr>
        <w:b/>
        <w:color w:val="FFFFFF"/>
      </w:rPr>
      <w:tblPr/>
      <w:tcPr>
        <w:shd w:val="clear" w:color="auto" w:fill="79B51C"/>
      </w:tcPr>
    </w:tblStylePr>
    <w:tblStylePr w:type="firstCol">
      <w:rPr>
        <w:b/>
      </w:rPr>
      <w:tblPr/>
      <w:tcPr>
        <w:shd w:val="clear" w:color="auto" w:fill="B2E662"/>
      </w:tcPr>
    </w:tblStylePr>
    <w:tblStylePr w:type="lastCol">
      <w:rPr>
        <w:b/>
      </w:rPr>
      <w:tblPr/>
      <w:tcPr>
        <w:shd w:val="clear" w:color="auto" w:fill="B2E662"/>
      </w:tcPr>
    </w:tblStylePr>
    <w:tblStylePr w:type="band1Vert">
      <w:tblPr/>
      <w:tcPr>
        <w:shd w:val="clear" w:color="auto" w:fill="E5F7CA"/>
      </w:tcPr>
    </w:tblStylePr>
    <w:tblStylePr w:type="band1Horz">
      <w:tblPr/>
      <w:tcPr>
        <w:shd w:val="clear" w:color="auto" w:fill="E5F7CA"/>
      </w:tcPr>
    </w:tblStylePr>
  </w:style>
  <w:style w:type="character" w:customStyle="1" w:styleId="normaltextrun">
    <w:name w:val="normaltextrun"/>
    <w:basedOn w:val="DefaultParagraphFont"/>
    <w:rsid w:val="000F50EA"/>
  </w:style>
  <w:style w:type="character" w:customStyle="1" w:styleId="eop">
    <w:name w:val="eop"/>
    <w:basedOn w:val="DefaultParagraphFont"/>
    <w:rsid w:val="000F50EA"/>
  </w:style>
  <w:style w:type="paragraph" w:customStyle="1" w:styleId="paragraph">
    <w:name w:val="paragraph"/>
    <w:basedOn w:val="Normal"/>
    <w:rsid w:val="000F50EA"/>
    <w:pPr>
      <w:spacing w:before="100" w:beforeAutospacing="1" w:after="100" w:afterAutospacing="1" w:line="240" w:lineRule="auto"/>
    </w:pPr>
    <w:rPr>
      <w:rFonts w:ascii="Times New Roman" w:eastAsia="Times New Roman" w:hAnsi="Times New Roman"/>
      <w:sz w:val="24"/>
      <w:szCs w:val="24"/>
      <w:lang w:val="sq-AL" w:eastAsia="en-GB"/>
    </w:rPr>
  </w:style>
  <w:style w:type="character" w:customStyle="1" w:styleId="superscript">
    <w:name w:val="superscript"/>
    <w:basedOn w:val="DefaultParagraphFont"/>
    <w:rsid w:val="000F50EA"/>
  </w:style>
  <w:style w:type="character" w:styleId="Strong">
    <w:name w:val="Strong"/>
    <w:uiPriority w:val="22"/>
    <w:qFormat/>
    <w:rsid w:val="000F50EA"/>
    <w:rPr>
      <w:b/>
      <w:bCs/>
    </w:rPr>
  </w:style>
  <w:style w:type="table" w:customStyle="1" w:styleId="TableGridLight10">
    <w:name w:val="Table Grid Light1"/>
    <w:basedOn w:val="TableNormal"/>
    <w:uiPriority w:val="40"/>
    <w:rsid w:val="000F50EA"/>
    <w:pPr>
      <w:spacing w:after="0" w:line="240" w:lineRule="auto"/>
    </w:pPr>
    <w:rPr>
      <w:rFonts w:ascii="Arial" w:eastAsia="Arial" w:hAnsi="Arial" w:cs="Times New Roman"/>
      <w:lang w:val="fr-BE"/>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ListBullet1">
    <w:name w:val="List Bullet 1"/>
    <w:basedOn w:val="Normal"/>
    <w:rsid w:val="000F50EA"/>
    <w:pPr>
      <w:numPr>
        <w:numId w:val="8"/>
      </w:numPr>
      <w:spacing w:after="120" w:line="240" w:lineRule="auto"/>
      <w:jc w:val="both"/>
    </w:pPr>
    <w:rPr>
      <w:rFonts w:ascii="Times New Roman" w:eastAsia="Times New Roman" w:hAnsi="Times New Roman"/>
      <w:sz w:val="24"/>
      <w:lang w:val="sq-AL" w:eastAsia="de-DE"/>
    </w:rPr>
  </w:style>
  <w:style w:type="paragraph" w:customStyle="1" w:styleId="Text1">
    <w:name w:val="Text 1"/>
    <w:basedOn w:val="Normal"/>
    <w:link w:val="Text1Char"/>
    <w:qFormat/>
    <w:rsid w:val="000F50EA"/>
    <w:pPr>
      <w:spacing w:after="240" w:line="240" w:lineRule="auto"/>
      <w:ind w:left="482"/>
      <w:jc w:val="both"/>
    </w:pPr>
    <w:rPr>
      <w:rFonts w:ascii="Times New Roman" w:eastAsia="Times New Roman" w:hAnsi="Times New Roman"/>
      <w:sz w:val="24"/>
      <w:szCs w:val="20"/>
      <w:lang w:val="sq-AL" w:eastAsia="en-GB"/>
    </w:rPr>
  </w:style>
  <w:style w:type="character" w:customStyle="1" w:styleId="Text1Char">
    <w:name w:val="Text 1 Char"/>
    <w:link w:val="Text1"/>
    <w:locked/>
    <w:rsid w:val="000F50EA"/>
    <w:rPr>
      <w:rFonts w:ascii="Times New Roman" w:eastAsia="Times New Roman" w:hAnsi="Times New Roman" w:cs="Times New Roman"/>
      <w:sz w:val="24"/>
      <w:szCs w:val="20"/>
      <w:lang w:val="sq-AL" w:eastAsia="en-GB"/>
    </w:rPr>
  </w:style>
  <w:style w:type="character" w:customStyle="1" w:styleId="NichtaufgelsteErwhnung1">
    <w:name w:val="Nicht aufgelöste Erwähnung1"/>
    <w:uiPriority w:val="99"/>
    <w:semiHidden/>
    <w:unhideWhenUsed/>
    <w:rsid w:val="000F50EA"/>
    <w:rPr>
      <w:color w:val="605E5C"/>
      <w:shd w:val="clear" w:color="auto" w:fill="E1DFDD"/>
    </w:rPr>
  </w:style>
  <w:style w:type="paragraph" w:customStyle="1" w:styleId="Point0number">
    <w:name w:val="Point 0 (number)"/>
    <w:basedOn w:val="Normal"/>
    <w:rsid w:val="000F50EA"/>
    <w:pPr>
      <w:tabs>
        <w:tab w:val="num" w:pos="360"/>
      </w:tabs>
      <w:spacing w:after="120" w:line="240" w:lineRule="auto"/>
      <w:ind w:left="360" w:hanging="360"/>
      <w:jc w:val="both"/>
    </w:pPr>
    <w:rPr>
      <w:rFonts w:ascii="Times New Roman" w:eastAsia="Arial" w:hAnsi="Times New Roman"/>
      <w:sz w:val="24"/>
      <w:lang w:val="sq-AL"/>
    </w:rPr>
  </w:style>
  <w:style w:type="paragraph" w:customStyle="1" w:styleId="Point1number">
    <w:name w:val="Point 1 (number)"/>
    <w:basedOn w:val="Normal"/>
    <w:rsid w:val="000F50EA"/>
    <w:pPr>
      <w:tabs>
        <w:tab w:val="num" w:pos="360"/>
      </w:tabs>
      <w:spacing w:after="120" w:line="240" w:lineRule="auto"/>
      <w:ind w:left="1800" w:hanging="360"/>
      <w:jc w:val="both"/>
    </w:pPr>
    <w:rPr>
      <w:rFonts w:ascii="Times New Roman" w:eastAsia="Arial" w:hAnsi="Times New Roman"/>
      <w:sz w:val="24"/>
      <w:lang w:val="sq-AL"/>
    </w:rPr>
  </w:style>
  <w:style w:type="paragraph" w:customStyle="1" w:styleId="Point2number">
    <w:name w:val="Point 2 (number)"/>
    <w:basedOn w:val="Normal"/>
    <w:rsid w:val="000F50EA"/>
    <w:pPr>
      <w:tabs>
        <w:tab w:val="num" w:pos="360"/>
      </w:tabs>
      <w:spacing w:after="120" w:line="240" w:lineRule="auto"/>
      <w:ind w:left="3240" w:hanging="360"/>
      <w:jc w:val="both"/>
    </w:pPr>
    <w:rPr>
      <w:rFonts w:ascii="Times New Roman" w:eastAsia="Arial" w:hAnsi="Times New Roman"/>
      <w:sz w:val="24"/>
      <w:lang w:val="sq-AL"/>
    </w:rPr>
  </w:style>
  <w:style w:type="paragraph" w:customStyle="1" w:styleId="Point3number">
    <w:name w:val="Point 3 (number)"/>
    <w:basedOn w:val="Normal"/>
    <w:rsid w:val="000F50EA"/>
    <w:pPr>
      <w:tabs>
        <w:tab w:val="num" w:pos="360"/>
      </w:tabs>
      <w:spacing w:after="120" w:line="240" w:lineRule="auto"/>
      <w:ind w:left="4680" w:hanging="360"/>
      <w:jc w:val="both"/>
    </w:pPr>
    <w:rPr>
      <w:rFonts w:ascii="Times New Roman" w:eastAsia="Arial" w:hAnsi="Times New Roman"/>
      <w:sz w:val="24"/>
      <w:lang w:val="sq-AL"/>
    </w:rPr>
  </w:style>
  <w:style w:type="paragraph" w:customStyle="1" w:styleId="Point0letter">
    <w:name w:val="Point 0 (letter)"/>
    <w:basedOn w:val="Normal"/>
    <w:rsid w:val="000F50EA"/>
    <w:pPr>
      <w:tabs>
        <w:tab w:val="num" w:pos="360"/>
      </w:tabs>
      <w:spacing w:after="120" w:line="240" w:lineRule="auto"/>
      <w:ind w:left="1080" w:hanging="360"/>
      <w:jc w:val="both"/>
    </w:pPr>
    <w:rPr>
      <w:rFonts w:ascii="Times New Roman" w:eastAsia="Arial" w:hAnsi="Times New Roman"/>
      <w:sz w:val="24"/>
      <w:lang w:val="sq-AL"/>
    </w:rPr>
  </w:style>
  <w:style w:type="paragraph" w:customStyle="1" w:styleId="Point1letter">
    <w:name w:val="Point 1 (letter)"/>
    <w:basedOn w:val="Normal"/>
    <w:rsid w:val="000F50EA"/>
    <w:pPr>
      <w:tabs>
        <w:tab w:val="num" w:pos="360"/>
      </w:tabs>
      <w:spacing w:after="120" w:line="240" w:lineRule="auto"/>
      <w:ind w:left="2520" w:hanging="360"/>
      <w:jc w:val="both"/>
    </w:pPr>
    <w:rPr>
      <w:rFonts w:ascii="Times New Roman" w:eastAsia="Arial" w:hAnsi="Times New Roman"/>
      <w:sz w:val="24"/>
      <w:lang w:val="sq-AL"/>
    </w:rPr>
  </w:style>
  <w:style w:type="paragraph" w:customStyle="1" w:styleId="Point2letter">
    <w:name w:val="Point 2 (letter)"/>
    <w:basedOn w:val="Normal"/>
    <w:rsid w:val="000F50EA"/>
    <w:pPr>
      <w:tabs>
        <w:tab w:val="num" w:pos="360"/>
      </w:tabs>
      <w:spacing w:after="120" w:line="240" w:lineRule="auto"/>
      <w:ind w:left="3960" w:hanging="360"/>
      <w:jc w:val="both"/>
    </w:pPr>
    <w:rPr>
      <w:rFonts w:ascii="Times New Roman" w:eastAsia="Arial" w:hAnsi="Times New Roman"/>
      <w:sz w:val="24"/>
      <w:lang w:val="sq-AL"/>
    </w:rPr>
  </w:style>
  <w:style w:type="paragraph" w:customStyle="1" w:styleId="Point3letter">
    <w:name w:val="Point 3 (letter)"/>
    <w:basedOn w:val="Normal"/>
    <w:rsid w:val="000F50EA"/>
    <w:pPr>
      <w:tabs>
        <w:tab w:val="num" w:pos="360"/>
      </w:tabs>
      <w:spacing w:after="120" w:line="240" w:lineRule="auto"/>
      <w:ind w:left="5400" w:hanging="360"/>
      <w:jc w:val="both"/>
    </w:pPr>
    <w:rPr>
      <w:rFonts w:ascii="Times New Roman" w:eastAsia="Arial" w:hAnsi="Times New Roman"/>
      <w:sz w:val="24"/>
      <w:lang w:val="sq-AL"/>
    </w:rPr>
  </w:style>
  <w:style w:type="paragraph" w:customStyle="1" w:styleId="Point4letter">
    <w:name w:val="Point 4 (letter)"/>
    <w:basedOn w:val="Normal"/>
    <w:rsid w:val="000F50EA"/>
    <w:pPr>
      <w:tabs>
        <w:tab w:val="num" w:pos="360"/>
      </w:tabs>
      <w:spacing w:after="120" w:line="240" w:lineRule="auto"/>
      <w:ind w:left="6120" w:hanging="360"/>
      <w:jc w:val="both"/>
    </w:pPr>
    <w:rPr>
      <w:rFonts w:ascii="Times New Roman" w:eastAsia="Arial" w:hAnsi="Times New Roman"/>
      <w:sz w:val="24"/>
      <w:lang w:val="sq-AL"/>
    </w:rPr>
  </w:style>
  <w:style w:type="character" w:customStyle="1" w:styleId="fontstyle01">
    <w:name w:val="fontstyle01"/>
    <w:rsid w:val="000F50EA"/>
    <w:rPr>
      <w:rFonts w:ascii="TimesNewRomanPSMT" w:hAnsi="TimesNewRomanPSMT" w:hint="default"/>
      <w:b w:val="0"/>
      <w:bCs w:val="0"/>
      <w:i w:val="0"/>
      <w:iCs w:val="0"/>
      <w:color w:val="000000"/>
      <w:sz w:val="24"/>
      <w:szCs w:val="24"/>
    </w:rPr>
  </w:style>
  <w:style w:type="character" w:customStyle="1" w:styleId="fontstyle21">
    <w:name w:val="fontstyle21"/>
    <w:rsid w:val="000F50EA"/>
    <w:rPr>
      <w:rFonts w:ascii="SymbolMT" w:hAnsi="SymbolMT" w:hint="default"/>
      <w:b w:val="0"/>
      <w:bCs w:val="0"/>
      <w:i w:val="0"/>
      <w:iCs w:val="0"/>
      <w:color w:val="1F497D"/>
      <w:sz w:val="24"/>
      <w:szCs w:val="24"/>
    </w:rPr>
  </w:style>
  <w:style w:type="paragraph" w:styleId="ListNumber">
    <w:name w:val="List Number"/>
    <w:basedOn w:val="Normal"/>
    <w:rsid w:val="000F50EA"/>
    <w:pPr>
      <w:numPr>
        <w:numId w:val="7"/>
      </w:numPr>
      <w:spacing w:after="120" w:line="240" w:lineRule="auto"/>
      <w:jc w:val="both"/>
    </w:pPr>
    <w:rPr>
      <w:rFonts w:ascii="Times New Roman" w:eastAsia="Times New Roman" w:hAnsi="Times New Roman"/>
      <w:sz w:val="24"/>
      <w:lang w:val="sq-AL" w:eastAsia="de-DE"/>
    </w:rPr>
  </w:style>
  <w:style w:type="paragraph" w:customStyle="1" w:styleId="ListNumberLevel2">
    <w:name w:val="List Number (Level 2)"/>
    <w:basedOn w:val="Normal"/>
    <w:rsid w:val="000F50EA"/>
    <w:pPr>
      <w:numPr>
        <w:ilvl w:val="1"/>
        <w:numId w:val="7"/>
      </w:numPr>
      <w:spacing w:after="120" w:line="240" w:lineRule="auto"/>
      <w:jc w:val="both"/>
    </w:pPr>
    <w:rPr>
      <w:rFonts w:ascii="Times New Roman" w:eastAsia="Times New Roman" w:hAnsi="Times New Roman"/>
      <w:sz w:val="24"/>
      <w:lang w:val="sq-AL" w:eastAsia="de-DE"/>
    </w:rPr>
  </w:style>
  <w:style w:type="paragraph" w:customStyle="1" w:styleId="ListNumberLevel3">
    <w:name w:val="List Number (Level 3)"/>
    <w:basedOn w:val="Normal"/>
    <w:rsid w:val="000F50EA"/>
    <w:pPr>
      <w:numPr>
        <w:ilvl w:val="2"/>
        <w:numId w:val="7"/>
      </w:numPr>
      <w:spacing w:after="120" w:line="240" w:lineRule="auto"/>
      <w:jc w:val="both"/>
    </w:pPr>
    <w:rPr>
      <w:rFonts w:ascii="Times New Roman" w:eastAsia="Times New Roman" w:hAnsi="Times New Roman"/>
      <w:sz w:val="24"/>
      <w:lang w:val="sq-AL" w:eastAsia="de-DE"/>
    </w:rPr>
  </w:style>
  <w:style w:type="paragraph" w:customStyle="1" w:styleId="ListNumberLevel4">
    <w:name w:val="List Number (Level 4)"/>
    <w:basedOn w:val="Normal"/>
    <w:rsid w:val="000F50EA"/>
    <w:pPr>
      <w:numPr>
        <w:ilvl w:val="3"/>
        <w:numId w:val="7"/>
      </w:numPr>
      <w:spacing w:after="120" w:line="240" w:lineRule="auto"/>
      <w:jc w:val="both"/>
    </w:pPr>
    <w:rPr>
      <w:rFonts w:ascii="Times New Roman" w:eastAsia="Times New Roman" w:hAnsi="Times New Roman"/>
      <w:sz w:val="24"/>
      <w:lang w:val="sq-AL" w:eastAsia="de-DE"/>
    </w:rPr>
  </w:style>
  <w:style w:type="character" w:styleId="FollowedHyperlink">
    <w:name w:val="FollowedHyperlink"/>
    <w:uiPriority w:val="99"/>
    <w:semiHidden/>
    <w:rsid w:val="000F50EA"/>
    <w:rPr>
      <w:color w:val="7F7F7F"/>
      <w:u w:val="single"/>
    </w:rPr>
  </w:style>
  <w:style w:type="character" w:customStyle="1" w:styleId="ydpa0e98ed7jlqj4b">
    <w:name w:val="ydpa0e98ed7jlqj4b"/>
    <w:basedOn w:val="DefaultParagraphFont"/>
    <w:rsid w:val="000F50EA"/>
  </w:style>
  <w:style w:type="paragraph" w:customStyle="1" w:styleId="NumPar2">
    <w:name w:val="NumPar 2"/>
    <w:basedOn w:val="Heading2"/>
    <w:next w:val="Normal"/>
    <w:rsid w:val="000F50EA"/>
    <w:pPr>
      <w:keepNext w:val="0"/>
      <w:keepLines w:val="0"/>
      <w:numPr>
        <w:ilvl w:val="1"/>
        <w:numId w:val="6"/>
      </w:numPr>
      <w:spacing w:before="0" w:after="240" w:line="240" w:lineRule="auto"/>
      <w:jc w:val="both"/>
      <w:outlineLvl w:val="9"/>
    </w:pPr>
    <w:rPr>
      <w:rFonts w:ascii="Arial" w:eastAsia="Times New Roman" w:hAnsi="Arial" w:cs="Times New Roman"/>
      <w:bCs w:val="0"/>
      <w:snapToGrid w:val="0"/>
      <w:color w:val="auto"/>
      <w:sz w:val="24"/>
      <w:szCs w:val="24"/>
      <w:lang w:val="fr-FR"/>
    </w:rPr>
  </w:style>
  <w:style w:type="character" w:customStyle="1" w:styleId="FootnoteCharacters">
    <w:name w:val="Footnote Characters"/>
    <w:rsid w:val="000F50EA"/>
    <w:rPr>
      <w:rFonts w:cs="Times New Roman"/>
      <w:vertAlign w:val="superscript"/>
    </w:rPr>
  </w:style>
  <w:style w:type="paragraph" w:customStyle="1" w:styleId="Default">
    <w:name w:val="Default"/>
    <w:rsid w:val="000F50EA"/>
    <w:pPr>
      <w:autoSpaceDE w:val="0"/>
      <w:autoSpaceDN w:val="0"/>
      <w:adjustRightInd w:val="0"/>
      <w:spacing w:after="0" w:line="240" w:lineRule="auto"/>
    </w:pPr>
    <w:rPr>
      <w:rFonts w:ascii="Times New Roman" w:eastAsia="Times New Roman" w:hAnsi="Times New Roman" w:cs="Times New Roman"/>
      <w:color w:val="000000"/>
      <w:sz w:val="24"/>
      <w:szCs w:val="24"/>
      <w:lang w:eastAsia="de-DE"/>
    </w:rPr>
  </w:style>
  <w:style w:type="paragraph" w:styleId="Revision">
    <w:name w:val="Revision"/>
    <w:hidden/>
    <w:uiPriority w:val="99"/>
    <w:semiHidden/>
    <w:rsid w:val="000F50EA"/>
    <w:pPr>
      <w:spacing w:after="0" w:line="240" w:lineRule="auto"/>
    </w:pPr>
    <w:rPr>
      <w:rFonts w:ascii="Arial" w:eastAsia="Times New Roman" w:hAnsi="Arial" w:cs="Times New Roman"/>
      <w:szCs w:val="21"/>
      <w:lang w:val="en-GB" w:eastAsia="de-DE"/>
    </w:rPr>
  </w:style>
  <w:style w:type="paragraph" w:customStyle="1" w:styleId="Table1">
    <w:name w:val="Table 1"/>
    <w:basedOn w:val="Normal"/>
    <w:link w:val="Table1Zchn"/>
    <w:qFormat/>
    <w:rsid w:val="000F50EA"/>
    <w:pPr>
      <w:spacing w:after="0" w:line="240" w:lineRule="auto"/>
    </w:pPr>
    <w:rPr>
      <w:rFonts w:ascii="Arial Narrow" w:eastAsia="Times New Roman" w:hAnsi="Arial Narrow" w:cs="Arial"/>
      <w:lang w:val="sq-AL"/>
    </w:rPr>
  </w:style>
  <w:style w:type="character" w:customStyle="1" w:styleId="Table1Zchn">
    <w:name w:val="Table 1 Zchn"/>
    <w:link w:val="Table1"/>
    <w:rsid w:val="000F50EA"/>
    <w:rPr>
      <w:rFonts w:ascii="Arial Narrow" w:eastAsia="Times New Roman" w:hAnsi="Arial Narrow" w:cs="Arial"/>
      <w:lang w:val="sq-AL"/>
    </w:rPr>
  </w:style>
  <w:style w:type="character" w:customStyle="1" w:styleId="NichtaufgelsteErwhnung2">
    <w:name w:val="Nicht aufgelöste Erwähnung2"/>
    <w:uiPriority w:val="99"/>
    <w:semiHidden/>
    <w:unhideWhenUsed/>
    <w:rsid w:val="000F50EA"/>
    <w:rPr>
      <w:color w:val="605E5C"/>
      <w:shd w:val="clear" w:color="auto" w:fill="E1DFDD"/>
    </w:rPr>
  </w:style>
  <w:style w:type="paragraph" w:customStyle="1" w:styleId="1">
    <w:name w:val="Абзац списка1"/>
    <w:basedOn w:val="Normal"/>
    <w:uiPriority w:val="99"/>
    <w:rsid w:val="000F50EA"/>
    <w:pPr>
      <w:suppressAutoHyphens/>
      <w:ind w:left="720" w:firstLine="360"/>
    </w:pPr>
    <w:rPr>
      <w:rFonts w:eastAsia="SimSun"/>
      <w:lang w:eastAsia="ar-SA"/>
    </w:rPr>
  </w:style>
  <w:style w:type="character" w:styleId="Emphasis">
    <w:name w:val="Emphasis"/>
    <w:uiPriority w:val="20"/>
    <w:qFormat/>
    <w:rsid w:val="000F50EA"/>
    <w:rPr>
      <w:i/>
      <w:iCs/>
    </w:rPr>
  </w:style>
  <w:style w:type="character" w:customStyle="1" w:styleId="UnresolvedMention">
    <w:name w:val="Unresolved Mention"/>
    <w:uiPriority w:val="99"/>
    <w:semiHidden/>
    <w:unhideWhenUsed/>
    <w:rsid w:val="000F50EA"/>
    <w:rPr>
      <w:color w:val="605E5C"/>
      <w:shd w:val="clear" w:color="auto" w:fill="E1DFDD"/>
    </w:rPr>
  </w:style>
  <w:style w:type="paragraph" w:customStyle="1" w:styleId="TableParagraph">
    <w:name w:val="Table Paragraph"/>
    <w:basedOn w:val="Normal"/>
    <w:uiPriority w:val="1"/>
    <w:qFormat/>
    <w:rsid w:val="000F50EA"/>
    <w:pPr>
      <w:widowControl w:val="0"/>
      <w:autoSpaceDE w:val="0"/>
      <w:autoSpaceDN w:val="0"/>
      <w:spacing w:after="0" w:line="240" w:lineRule="auto"/>
    </w:pPr>
    <w:rPr>
      <w:rFonts w:ascii="Tahoma" w:eastAsia="Tahoma" w:hAnsi="Tahoma" w:cs="Tahoma"/>
    </w:rPr>
  </w:style>
  <w:style w:type="paragraph" w:customStyle="1" w:styleId="ListDash2">
    <w:name w:val="List Dash 2"/>
    <w:basedOn w:val="Normal"/>
    <w:rsid w:val="000F50EA"/>
    <w:pPr>
      <w:numPr>
        <w:numId w:val="11"/>
      </w:numPr>
      <w:tabs>
        <w:tab w:val="clear" w:pos="283"/>
      </w:tabs>
      <w:ind w:left="454" w:hanging="454"/>
      <w:jc w:val="both"/>
    </w:pPr>
    <w:rPr>
      <w:rFonts w:eastAsia="Times New Roman"/>
      <w:szCs w:val="20"/>
      <w:lang w:val="x-none"/>
    </w:rPr>
  </w:style>
  <w:style w:type="table" w:customStyle="1" w:styleId="GFAInvisible1">
    <w:name w:val="GFA Invisible1"/>
    <w:basedOn w:val="TableNormal"/>
    <w:uiPriority w:val="99"/>
    <w:qFormat/>
    <w:rsid w:val="000F50EA"/>
    <w:pPr>
      <w:spacing w:after="0" w:line="240" w:lineRule="auto"/>
    </w:pPr>
    <w:rPr>
      <w:rFonts w:ascii="Arial Narrow" w:eastAsia="Times New Roman" w:hAnsi="Arial Narrow" w:cs="Times New Roman"/>
      <w:sz w:val="20"/>
      <w:szCs w:val="20"/>
      <w:lang w:val="sq-AL" w:eastAsia="sq-AL"/>
    </w:rPr>
    <w:tblPr>
      <w:tblStyleRowBandSize w:val="1"/>
      <w:tblStyleColBandSize w:val="1"/>
      <w:tblInd w:w="0" w:type="dxa"/>
      <w:tblCellMar>
        <w:top w:w="0" w:type="dxa"/>
        <w:left w:w="108" w:type="dxa"/>
        <w:bottom w:w="0" w:type="dxa"/>
        <w:right w:w="108" w:type="dxa"/>
      </w:tblCellMar>
    </w:tblPr>
    <w:tblStylePr w:type="firstRow">
      <w:rPr>
        <w:rFonts w:ascii="Georgia" w:hAnsi="Georgia"/>
        <w:sz w:val="21"/>
      </w:rPr>
    </w:tblStylePr>
    <w:tblStylePr w:type="lastRow">
      <w:rPr>
        <w:rFonts w:ascii="Georgia" w:hAnsi="Georgia"/>
        <w:sz w:val="21"/>
      </w:rPr>
    </w:tblStylePr>
    <w:tblStylePr w:type="firstCol">
      <w:rPr>
        <w:rFonts w:ascii="Georgia" w:hAnsi="Georgia"/>
        <w:sz w:val="21"/>
      </w:rPr>
    </w:tblStylePr>
    <w:tblStylePr w:type="lastCol">
      <w:rPr>
        <w:rFonts w:ascii="Georgia" w:hAnsi="Georgia"/>
        <w:sz w:val="21"/>
      </w:rPr>
    </w:tblStylePr>
    <w:tblStylePr w:type="band1Vert">
      <w:rPr>
        <w:rFonts w:ascii="Georgia" w:hAnsi="Georgia"/>
        <w:sz w:val="21"/>
      </w:rPr>
    </w:tblStylePr>
    <w:tblStylePr w:type="band2Vert">
      <w:rPr>
        <w:rFonts w:ascii="Georgia" w:hAnsi="Georgia"/>
        <w:sz w:val="21"/>
      </w:rPr>
    </w:tblStylePr>
    <w:tblStylePr w:type="band1Horz">
      <w:rPr>
        <w:rFonts w:ascii="Georgia" w:hAnsi="Georgia"/>
        <w:sz w:val="21"/>
      </w:rPr>
    </w:tblStylePr>
    <w:tblStylePr w:type="band2Horz">
      <w:rPr>
        <w:rFonts w:ascii="Georgia" w:hAnsi="Georgia"/>
        <w:sz w:val="21"/>
      </w:rPr>
    </w:tblStylePr>
    <w:tblStylePr w:type="neCell">
      <w:rPr>
        <w:rFonts w:ascii="Georgia" w:hAnsi="Georgia"/>
        <w:sz w:val="21"/>
      </w:rPr>
    </w:tblStylePr>
    <w:tblStylePr w:type="nwCell">
      <w:rPr>
        <w:rFonts w:ascii="Georgia" w:hAnsi="Georgia"/>
      </w:rPr>
    </w:tblStylePr>
    <w:tblStylePr w:type="seCell">
      <w:rPr>
        <w:rFonts w:ascii="Georgia" w:hAnsi="Georgia"/>
        <w:sz w:val="21"/>
      </w:rPr>
    </w:tblStylePr>
    <w:tblStylePr w:type="swCell">
      <w:rPr>
        <w:rFonts w:ascii="Georgia" w:hAnsi="Georgia"/>
        <w:sz w:val="21"/>
      </w:rPr>
    </w:tblStylePr>
  </w:style>
  <w:style w:type="paragraph" w:customStyle="1" w:styleId="ListParagraph0">
    <w:name w:val="List Paragraph_0"/>
    <w:basedOn w:val="Normal"/>
    <w:uiPriority w:val="34"/>
    <w:qFormat/>
    <w:rsid w:val="000F50EA"/>
    <w:pPr>
      <w:widowControl w:val="0"/>
      <w:autoSpaceDE w:val="0"/>
      <w:autoSpaceDN w:val="0"/>
      <w:adjustRightInd w:val="0"/>
      <w:spacing w:after="0" w:line="240" w:lineRule="auto"/>
      <w:ind w:left="720"/>
      <w:contextualSpacing/>
    </w:pPr>
    <w:rPr>
      <w:rFonts w:ascii="Arial" w:hAnsi="Arial" w:cs="Arial"/>
      <w:color w:val="000000"/>
      <w:sz w:val="24"/>
      <w:szCs w:val="24"/>
    </w:rPr>
  </w:style>
  <w:style w:type="paragraph" w:styleId="BodyText">
    <w:name w:val="Body Text"/>
    <w:basedOn w:val="Normal"/>
    <w:link w:val="BodyTextChar"/>
    <w:uiPriority w:val="1"/>
    <w:qFormat/>
    <w:rsid w:val="000F50EA"/>
    <w:pPr>
      <w:widowControl w:val="0"/>
      <w:spacing w:after="0" w:line="240" w:lineRule="auto"/>
      <w:ind w:left="1394"/>
    </w:pPr>
    <w:rPr>
      <w:rFonts w:ascii="Arial" w:eastAsia="Arial" w:hAnsi="Arial"/>
      <w:sz w:val="19"/>
      <w:szCs w:val="19"/>
    </w:rPr>
  </w:style>
  <w:style w:type="character" w:customStyle="1" w:styleId="BodyTextChar">
    <w:name w:val="Body Text Char"/>
    <w:basedOn w:val="DefaultParagraphFont"/>
    <w:link w:val="BodyText"/>
    <w:uiPriority w:val="1"/>
    <w:rsid w:val="000F50EA"/>
    <w:rPr>
      <w:rFonts w:ascii="Arial" w:eastAsia="Arial" w:hAnsi="Arial" w:cs="Times New Roman"/>
      <w:sz w:val="19"/>
      <w:szCs w:val="19"/>
    </w:rPr>
  </w:style>
  <w:style w:type="character" w:customStyle="1" w:styleId="delimiter">
    <w:name w:val="delimiter"/>
    <w:basedOn w:val="DefaultParagraphFont"/>
    <w:rsid w:val="000F50EA"/>
  </w:style>
  <w:style w:type="character" w:styleId="PlaceholderText">
    <w:name w:val="Placeholder Text"/>
    <w:uiPriority w:val="99"/>
    <w:semiHidden/>
    <w:rsid w:val="000F50EA"/>
    <w:rPr>
      <w:rFonts w:ascii="Arial" w:hAnsi="Arial"/>
      <w:color w:val="808080"/>
    </w:rPr>
  </w:style>
  <w:style w:type="character" w:customStyle="1" w:styleId="jlqj4b">
    <w:name w:val="jlqj4b"/>
    <w:basedOn w:val="DefaultParagraphFont"/>
    <w:rsid w:val="000F50EA"/>
  </w:style>
  <w:style w:type="numbering" w:customStyle="1" w:styleId="NoList1">
    <w:name w:val="No List1"/>
    <w:next w:val="NoList"/>
    <w:uiPriority w:val="99"/>
    <w:semiHidden/>
    <w:unhideWhenUsed/>
    <w:rsid w:val="000F50EA"/>
  </w:style>
  <w:style w:type="table" w:customStyle="1" w:styleId="TableGridLight11">
    <w:name w:val="Table Grid Light11"/>
    <w:basedOn w:val="TableNormal"/>
    <w:uiPriority w:val="40"/>
    <w:rsid w:val="000F50EA"/>
    <w:pPr>
      <w:spacing w:after="0" w:line="240" w:lineRule="auto"/>
    </w:pPr>
    <w:rPr>
      <w:rFonts w:ascii="Arial" w:eastAsia="Arial" w:hAnsi="Arial" w:cs="Times New Roman"/>
      <w:sz w:val="20"/>
      <w:szCs w:val="20"/>
      <w:lang w:val="fr-BE"/>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DarkList1">
    <w:name w:val="Dark List1"/>
    <w:basedOn w:val="TableNormal"/>
    <w:uiPriority w:val="70"/>
    <w:semiHidden/>
    <w:locked/>
    <w:rsid w:val="000F50EA"/>
    <w:pPr>
      <w:spacing w:after="0" w:line="240" w:lineRule="auto"/>
    </w:pPr>
    <w:rPr>
      <w:rFonts w:ascii="Arial" w:eastAsia="Times New Roman" w:hAnsi="Arial" w:cs="Times New Roman"/>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ColorfulList1">
    <w:name w:val="Colorful List1"/>
    <w:basedOn w:val="TableNormal"/>
    <w:uiPriority w:val="72"/>
    <w:semiHidden/>
    <w:rsid w:val="000F50EA"/>
    <w:pPr>
      <w:spacing w:after="0" w:line="240" w:lineRule="auto"/>
    </w:pPr>
    <w:rPr>
      <w:rFonts w:ascii="Arial" w:eastAsia="Times New Roman" w:hAnsi="Arial"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1070A4"/>
      </w:tcPr>
    </w:tblStylePr>
    <w:tblStylePr w:type="lastRow">
      <w:rPr>
        <w:b/>
        <w:bCs/>
        <w:color w:val="1070A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Shading1">
    <w:name w:val="Colorful Shading1"/>
    <w:basedOn w:val="TableNormal"/>
    <w:uiPriority w:val="71"/>
    <w:semiHidden/>
    <w:rsid w:val="000F50EA"/>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24" w:space="0" w:color="148DC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148DC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Grid1">
    <w:name w:val="Colorful Grid1"/>
    <w:basedOn w:val="TableNormal"/>
    <w:uiPriority w:val="73"/>
    <w:semiHidden/>
    <w:rsid w:val="000F50EA"/>
    <w:pPr>
      <w:spacing w:after="0" w:line="240" w:lineRule="auto"/>
    </w:pPr>
    <w:rPr>
      <w:rFonts w:ascii="Arial" w:eastAsia="Times New Roman" w:hAnsi="Arial"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List1">
    <w:name w:val="Light List1"/>
    <w:basedOn w:val="TableNormal"/>
    <w:uiPriority w:val="61"/>
    <w:semiHidden/>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uiPriority w:val="61"/>
    <w:semiHidden/>
    <w:locked/>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8" w:space="0" w:color="121754"/>
        <w:left w:val="single" w:sz="8" w:space="0" w:color="121754"/>
        <w:bottom w:val="single" w:sz="8" w:space="0" w:color="121754"/>
        <w:right w:val="single" w:sz="8" w:space="0" w:color="12175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21754"/>
      </w:tcPr>
    </w:tblStylePr>
    <w:tblStylePr w:type="lastRow">
      <w:pPr>
        <w:spacing w:before="0" w:after="0" w:line="240" w:lineRule="auto"/>
      </w:pPr>
      <w:rPr>
        <w:b/>
        <w:bCs/>
      </w:rPr>
      <w:tblPr/>
      <w:tcPr>
        <w:tcBorders>
          <w:top w:val="double" w:sz="6" w:space="0" w:color="121754"/>
          <w:left w:val="single" w:sz="8" w:space="0" w:color="121754"/>
          <w:bottom w:val="single" w:sz="8" w:space="0" w:color="121754"/>
          <w:right w:val="single" w:sz="8" w:space="0" w:color="121754"/>
        </w:tcBorders>
      </w:tcPr>
    </w:tblStylePr>
    <w:tblStylePr w:type="firstCol">
      <w:rPr>
        <w:b/>
        <w:bCs/>
      </w:rPr>
    </w:tblStylePr>
    <w:tblStylePr w:type="lastCol">
      <w:rPr>
        <w:b/>
        <w:bCs/>
      </w:rPr>
    </w:tblStylePr>
    <w:tblStylePr w:type="band1Vert">
      <w:tblPr/>
      <w:tcPr>
        <w:tcBorders>
          <w:top w:val="single" w:sz="8" w:space="0" w:color="121754"/>
          <w:left w:val="single" w:sz="8" w:space="0" w:color="121754"/>
          <w:bottom w:val="single" w:sz="8" w:space="0" w:color="121754"/>
          <w:right w:val="single" w:sz="8" w:space="0" w:color="121754"/>
        </w:tcBorders>
      </w:tcPr>
    </w:tblStylePr>
    <w:tblStylePr w:type="band1Horz">
      <w:tblPr/>
      <w:tcPr>
        <w:tcBorders>
          <w:top w:val="single" w:sz="8" w:space="0" w:color="121754"/>
          <w:left w:val="single" w:sz="8" w:space="0" w:color="121754"/>
          <w:bottom w:val="single" w:sz="8" w:space="0" w:color="121754"/>
          <w:right w:val="single" w:sz="8" w:space="0" w:color="121754"/>
        </w:tcBorders>
      </w:tcPr>
    </w:tblStylePr>
  </w:style>
  <w:style w:type="table" w:customStyle="1" w:styleId="LightShading1">
    <w:name w:val="Light Shading1"/>
    <w:basedOn w:val="TableNormal"/>
    <w:uiPriority w:val="60"/>
    <w:semiHidden/>
    <w:locked/>
    <w:rsid w:val="000F50EA"/>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semiHidden/>
    <w:locked/>
    <w:rsid w:val="000F50EA"/>
    <w:pPr>
      <w:spacing w:after="0" w:line="240" w:lineRule="auto"/>
    </w:pPr>
    <w:rPr>
      <w:rFonts w:ascii="Arial" w:eastAsia="Times New Roman" w:hAnsi="Arial" w:cs="Times New Roman"/>
      <w:color w:val="0D113E"/>
      <w:sz w:val="20"/>
      <w:szCs w:val="20"/>
    </w:rPr>
    <w:tblPr>
      <w:tblStyleRowBandSize w:val="1"/>
      <w:tblStyleColBandSize w:val="1"/>
      <w:tblInd w:w="0" w:type="dxa"/>
      <w:tblBorders>
        <w:top w:val="single" w:sz="8" w:space="0" w:color="121754"/>
        <w:bottom w:val="single" w:sz="8" w:space="0" w:color="12175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21754"/>
          <w:left w:val="nil"/>
          <w:bottom w:val="single" w:sz="8" w:space="0" w:color="121754"/>
          <w:right w:val="nil"/>
          <w:insideH w:val="nil"/>
          <w:insideV w:val="nil"/>
        </w:tcBorders>
      </w:tcPr>
    </w:tblStylePr>
    <w:tblStylePr w:type="lastRow">
      <w:pPr>
        <w:spacing w:before="0" w:after="0" w:line="240" w:lineRule="auto"/>
      </w:pPr>
      <w:rPr>
        <w:b/>
        <w:bCs/>
      </w:rPr>
      <w:tblPr/>
      <w:tcPr>
        <w:tcBorders>
          <w:top w:val="single" w:sz="8" w:space="0" w:color="121754"/>
          <w:left w:val="nil"/>
          <w:bottom w:val="single" w:sz="8" w:space="0" w:color="12175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B0ED"/>
      </w:tcPr>
    </w:tblStylePr>
    <w:tblStylePr w:type="band1Horz">
      <w:tblPr/>
      <w:tcPr>
        <w:tcBorders>
          <w:left w:val="nil"/>
          <w:right w:val="nil"/>
          <w:insideH w:val="nil"/>
          <w:insideV w:val="nil"/>
        </w:tcBorders>
        <w:shd w:val="clear" w:color="auto" w:fill="ABB0ED"/>
      </w:tcPr>
    </w:tblStylePr>
  </w:style>
  <w:style w:type="table" w:customStyle="1" w:styleId="LightGrid1">
    <w:name w:val="Light Grid1"/>
    <w:basedOn w:val="TableNormal"/>
    <w:uiPriority w:val="62"/>
    <w:semiHidden/>
    <w:locked/>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rial" w:eastAsia="Times New Roman" w:hAnsi="Aria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w:eastAsia="Times New Roman" w:hAnsi="Aria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uiPriority w:val="62"/>
    <w:semiHidden/>
    <w:locked/>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8" w:space="0" w:color="121754"/>
        <w:left w:val="single" w:sz="8" w:space="0" w:color="121754"/>
        <w:bottom w:val="single" w:sz="8" w:space="0" w:color="121754"/>
        <w:right w:val="single" w:sz="8" w:space="0" w:color="121754"/>
        <w:insideH w:val="single" w:sz="8" w:space="0" w:color="121754"/>
        <w:insideV w:val="single" w:sz="8" w:space="0" w:color="121754"/>
      </w:tblBorders>
      <w:tblCellMar>
        <w:top w:w="0" w:type="dxa"/>
        <w:left w:w="108" w:type="dxa"/>
        <w:bottom w:w="0" w:type="dxa"/>
        <w:right w:w="108" w:type="dxa"/>
      </w:tblCellMar>
    </w:tblPr>
    <w:tblStylePr w:type="firstRow">
      <w:pPr>
        <w:spacing w:before="0" w:after="0" w:line="240" w:lineRule="auto"/>
      </w:pPr>
      <w:rPr>
        <w:rFonts w:ascii="Arial" w:eastAsia="Times New Roman" w:hAnsi="Arial" w:cs="Times New Roman"/>
        <w:b/>
        <w:bCs/>
      </w:rPr>
      <w:tblPr/>
      <w:tcPr>
        <w:tcBorders>
          <w:top w:val="single" w:sz="8" w:space="0" w:color="121754"/>
          <w:left w:val="single" w:sz="8" w:space="0" w:color="121754"/>
          <w:bottom w:val="single" w:sz="18" w:space="0" w:color="121754"/>
          <w:right w:val="single" w:sz="8" w:space="0" w:color="121754"/>
          <w:insideH w:val="nil"/>
          <w:insideV w:val="single" w:sz="8" w:space="0" w:color="121754"/>
        </w:tcBorders>
      </w:tcPr>
    </w:tblStylePr>
    <w:tblStylePr w:type="lastRow">
      <w:pPr>
        <w:spacing w:before="0" w:after="0" w:line="240" w:lineRule="auto"/>
      </w:pPr>
      <w:rPr>
        <w:rFonts w:ascii="Arial" w:eastAsia="Times New Roman" w:hAnsi="Arial" w:cs="Times New Roman"/>
        <w:b/>
        <w:bCs/>
      </w:rPr>
      <w:tblPr/>
      <w:tcPr>
        <w:tcBorders>
          <w:top w:val="double" w:sz="6" w:space="0" w:color="121754"/>
          <w:left w:val="single" w:sz="8" w:space="0" w:color="121754"/>
          <w:bottom w:val="single" w:sz="8" w:space="0" w:color="121754"/>
          <w:right w:val="single" w:sz="8" w:space="0" w:color="121754"/>
          <w:insideH w:val="nil"/>
          <w:insideV w:val="single" w:sz="8" w:space="0" w:color="121754"/>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121754"/>
          <w:left w:val="single" w:sz="8" w:space="0" w:color="121754"/>
          <w:bottom w:val="single" w:sz="8" w:space="0" w:color="121754"/>
          <w:right w:val="single" w:sz="8" w:space="0" w:color="121754"/>
        </w:tcBorders>
      </w:tcPr>
    </w:tblStylePr>
    <w:tblStylePr w:type="band1Vert">
      <w:tblPr/>
      <w:tcPr>
        <w:tcBorders>
          <w:top w:val="single" w:sz="8" w:space="0" w:color="121754"/>
          <w:left w:val="single" w:sz="8" w:space="0" w:color="121754"/>
          <w:bottom w:val="single" w:sz="8" w:space="0" w:color="121754"/>
          <w:right w:val="single" w:sz="8" w:space="0" w:color="121754"/>
        </w:tcBorders>
        <w:shd w:val="clear" w:color="auto" w:fill="ABB0ED"/>
      </w:tcPr>
    </w:tblStylePr>
    <w:tblStylePr w:type="band1Horz">
      <w:tblPr/>
      <w:tcPr>
        <w:tcBorders>
          <w:top w:val="single" w:sz="8" w:space="0" w:color="121754"/>
          <w:left w:val="single" w:sz="8" w:space="0" w:color="121754"/>
          <w:bottom w:val="single" w:sz="8" w:space="0" w:color="121754"/>
          <w:right w:val="single" w:sz="8" w:space="0" w:color="121754"/>
          <w:insideV w:val="single" w:sz="8" w:space="0" w:color="121754"/>
        </w:tcBorders>
        <w:shd w:val="clear" w:color="auto" w:fill="ABB0ED"/>
      </w:tcPr>
    </w:tblStylePr>
    <w:tblStylePr w:type="band2Horz">
      <w:tblPr/>
      <w:tcPr>
        <w:tcBorders>
          <w:top w:val="single" w:sz="8" w:space="0" w:color="121754"/>
          <w:left w:val="single" w:sz="8" w:space="0" w:color="121754"/>
          <w:bottom w:val="single" w:sz="8" w:space="0" w:color="121754"/>
          <w:right w:val="single" w:sz="8" w:space="0" w:color="121754"/>
          <w:insideV w:val="single" w:sz="8" w:space="0" w:color="121754"/>
        </w:tcBorders>
      </w:tcPr>
    </w:tblStylePr>
  </w:style>
  <w:style w:type="table" w:customStyle="1" w:styleId="MediumList11">
    <w:name w:val="Medium List 11"/>
    <w:basedOn w:val="TableNormal"/>
    <w:uiPriority w:val="65"/>
    <w:semiHidden/>
    <w:locked/>
    <w:rsid w:val="000F50EA"/>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w:eastAsia="Times New Roman" w:hAnsi="Arial"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uiPriority w:val="65"/>
    <w:semiHidden/>
    <w:locked/>
    <w:rsid w:val="000F50EA"/>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8" w:space="0" w:color="121754"/>
        <w:bottom w:val="single" w:sz="8" w:space="0" w:color="121754"/>
      </w:tblBorders>
      <w:tblCellMar>
        <w:top w:w="0" w:type="dxa"/>
        <w:left w:w="108" w:type="dxa"/>
        <w:bottom w:w="0" w:type="dxa"/>
        <w:right w:w="108" w:type="dxa"/>
      </w:tblCellMar>
    </w:tblPr>
    <w:tblStylePr w:type="firstRow">
      <w:rPr>
        <w:rFonts w:ascii="Arial" w:eastAsia="Times New Roman" w:hAnsi="Arial" w:cs="Times New Roman"/>
      </w:rPr>
      <w:tblPr/>
      <w:tcPr>
        <w:tcBorders>
          <w:top w:val="nil"/>
          <w:bottom w:val="single" w:sz="8" w:space="0" w:color="121754"/>
        </w:tcBorders>
      </w:tcPr>
    </w:tblStylePr>
    <w:tblStylePr w:type="lastRow">
      <w:rPr>
        <w:b/>
        <w:bCs/>
        <w:color w:val="1F497D"/>
      </w:rPr>
      <w:tblPr/>
      <w:tcPr>
        <w:tcBorders>
          <w:top w:val="single" w:sz="8" w:space="0" w:color="121754"/>
          <w:bottom w:val="single" w:sz="8" w:space="0" w:color="121754"/>
        </w:tcBorders>
      </w:tcPr>
    </w:tblStylePr>
    <w:tblStylePr w:type="firstCol">
      <w:rPr>
        <w:b/>
        <w:bCs/>
      </w:rPr>
    </w:tblStylePr>
    <w:tblStylePr w:type="lastCol">
      <w:rPr>
        <w:b/>
        <w:bCs/>
      </w:rPr>
      <w:tblPr/>
      <w:tcPr>
        <w:tcBorders>
          <w:top w:val="single" w:sz="8" w:space="0" w:color="121754"/>
          <w:bottom w:val="single" w:sz="8" w:space="0" w:color="121754"/>
        </w:tcBorders>
      </w:tcPr>
    </w:tblStylePr>
    <w:tblStylePr w:type="band1Vert">
      <w:tblPr/>
      <w:tcPr>
        <w:shd w:val="clear" w:color="auto" w:fill="ABB0ED"/>
      </w:tcPr>
    </w:tblStylePr>
    <w:tblStylePr w:type="band1Horz">
      <w:tblPr/>
      <w:tcPr>
        <w:shd w:val="clear" w:color="auto" w:fill="ABB0ED"/>
      </w:tcPr>
    </w:tblStylePr>
  </w:style>
  <w:style w:type="table" w:customStyle="1" w:styleId="MediumList21">
    <w:name w:val="Medium List 21"/>
    <w:basedOn w:val="TableNormal"/>
    <w:uiPriority w:val="66"/>
    <w:semiHidden/>
    <w:locked/>
    <w:rsid w:val="000F50EA"/>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uiPriority w:val="63"/>
    <w:semiHidden/>
    <w:locked/>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locked/>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8" w:space="0" w:color="242EA8"/>
        <w:left w:val="single" w:sz="8" w:space="0" w:color="242EA8"/>
        <w:bottom w:val="single" w:sz="8" w:space="0" w:color="242EA8"/>
        <w:right w:val="single" w:sz="8" w:space="0" w:color="242EA8"/>
        <w:insideH w:val="single" w:sz="8" w:space="0" w:color="242EA8"/>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42EA8"/>
          <w:left w:val="single" w:sz="8" w:space="0" w:color="242EA8"/>
          <w:bottom w:val="single" w:sz="8" w:space="0" w:color="242EA8"/>
          <w:right w:val="single" w:sz="8" w:space="0" w:color="242EA8"/>
          <w:insideH w:val="nil"/>
          <w:insideV w:val="nil"/>
        </w:tcBorders>
        <w:shd w:val="clear" w:color="auto" w:fill="121754"/>
      </w:tcPr>
    </w:tblStylePr>
    <w:tblStylePr w:type="lastRow">
      <w:pPr>
        <w:spacing w:before="0" w:after="0" w:line="240" w:lineRule="auto"/>
      </w:pPr>
      <w:rPr>
        <w:b/>
        <w:bCs/>
      </w:rPr>
      <w:tblPr/>
      <w:tcPr>
        <w:tcBorders>
          <w:top w:val="double" w:sz="6" w:space="0" w:color="242EA8"/>
          <w:left w:val="single" w:sz="8" w:space="0" w:color="242EA8"/>
          <w:bottom w:val="single" w:sz="8" w:space="0" w:color="242EA8"/>
          <w:right w:val="single" w:sz="8" w:space="0" w:color="242EA8"/>
          <w:insideH w:val="nil"/>
          <w:insideV w:val="nil"/>
        </w:tcBorders>
      </w:tcPr>
    </w:tblStylePr>
    <w:tblStylePr w:type="firstCol">
      <w:rPr>
        <w:b/>
        <w:bCs/>
      </w:rPr>
    </w:tblStylePr>
    <w:tblStylePr w:type="lastCol">
      <w:rPr>
        <w:b/>
        <w:bCs/>
      </w:rPr>
    </w:tblStylePr>
    <w:tblStylePr w:type="band1Vert">
      <w:tblPr/>
      <w:tcPr>
        <w:shd w:val="clear" w:color="auto" w:fill="ABB0ED"/>
      </w:tcPr>
    </w:tblStylePr>
    <w:tblStylePr w:type="band1Horz">
      <w:tblPr/>
      <w:tcPr>
        <w:tcBorders>
          <w:insideH w:val="nil"/>
          <w:insideV w:val="nil"/>
        </w:tcBorders>
        <w:shd w:val="clear" w:color="auto" w:fill="ABB0ED"/>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locked/>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locked/>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2175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21754"/>
      </w:tcPr>
    </w:tblStylePr>
    <w:tblStylePr w:type="lastCol">
      <w:rPr>
        <w:b/>
        <w:bCs/>
        <w:color w:val="FFFFFF"/>
      </w:rPr>
      <w:tblPr/>
      <w:tcPr>
        <w:tcBorders>
          <w:left w:val="nil"/>
          <w:right w:val="nil"/>
          <w:insideH w:val="nil"/>
          <w:insideV w:val="nil"/>
        </w:tcBorders>
        <w:shd w:val="clear" w:color="auto" w:fill="12175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
    <w:name w:val="Medium Grid 11"/>
    <w:basedOn w:val="TableNormal"/>
    <w:uiPriority w:val="67"/>
    <w:semiHidden/>
    <w:locked/>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21">
    <w:name w:val="Medium Grid 21"/>
    <w:basedOn w:val="TableNormal"/>
    <w:uiPriority w:val="68"/>
    <w:semiHidden/>
    <w:locked/>
    <w:rsid w:val="000F50EA"/>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31">
    <w:name w:val="Medium Grid 31"/>
    <w:basedOn w:val="TableNormal"/>
    <w:uiPriority w:val="69"/>
    <w:semiHidden/>
    <w:locked/>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footnote reference" w:qFormat="1"/>
    <w:lsdException w:name="List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067"/>
    <w:rPr>
      <w:rFonts w:ascii="Calibri" w:eastAsia="MS Mincho" w:hAnsi="Calibri" w:cs="Times New Roman"/>
    </w:rPr>
  </w:style>
  <w:style w:type="paragraph" w:styleId="Heading1">
    <w:name w:val="heading 1"/>
    <w:basedOn w:val="Normal"/>
    <w:next w:val="Normal"/>
    <w:link w:val="Heading1Char"/>
    <w:uiPriority w:val="9"/>
    <w:qFormat/>
    <w:rsid w:val="001D20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2540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Heading2"/>
    <w:next w:val="Normal"/>
    <w:link w:val="Heading3Char"/>
    <w:uiPriority w:val="9"/>
    <w:qFormat/>
    <w:rsid w:val="00492C9C"/>
    <w:pPr>
      <w:autoSpaceDE w:val="0"/>
      <w:autoSpaceDN w:val="0"/>
      <w:adjustRightInd w:val="0"/>
      <w:spacing w:before="240" w:after="120" w:line="300" w:lineRule="atLeast"/>
      <w:ind w:left="840" w:hanging="840"/>
      <w:outlineLvl w:val="2"/>
    </w:pPr>
    <w:rPr>
      <w:rFonts w:ascii="MS Mincho" w:eastAsia="MS Mincho" w:hAnsi="Times New Roman" w:cs="MS Mincho"/>
      <w:color w:val="121754"/>
      <w:sz w:val="22"/>
      <w:szCs w:val="22"/>
      <w:lang w:val="sq-AL"/>
    </w:rPr>
  </w:style>
  <w:style w:type="paragraph" w:styleId="Heading4">
    <w:name w:val="heading 4"/>
    <w:basedOn w:val="Heading3"/>
    <w:next w:val="Normal"/>
    <w:link w:val="Heading4Char"/>
    <w:qFormat/>
    <w:rsid w:val="00492C9C"/>
    <w:pPr>
      <w:ind w:left="1040" w:hanging="860"/>
      <w:outlineLvl w:val="3"/>
    </w:pPr>
  </w:style>
  <w:style w:type="paragraph" w:styleId="Heading5">
    <w:name w:val="heading 5"/>
    <w:basedOn w:val="Heading4"/>
    <w:next w:val="Normal"/>
    <w:link w:val="Heading5Char"/>
    <w:unhideWhenUsed/>
    <w:qFormat/>
    <w:rsid w:val="000F50EA"/>
    <w:pPr>
      <w:overflowPunct w:val="0"/>
      <w:spacing w:line="300" w:lineRule="exact"/>
      <w:ind w:left="1008" w:hanging="1008"/>
      <w:textAlignment w:val="baseline"/>
      <w:outlineLvl w:val="4"/>
    </w:pPr>
    <w:rPr>
      <w:rFonts w:ascii="Arial" w:hAnsi="Arial" w:cs="Arial"/>
      <w:b w:val="0"/>
      <w:bCs w:val="0"/>
      <w:spacing w:val="60"/>
      <w:szCs w:val="21"/>
      <w:lang w:eastAsia="de-DE"/>
    </w:rPr>
  </w:style>
  <w:style w:type="paragraph" w:styleId="Heading6">
    <w:name w:val="heading 6"/>
    <w:basedOn w:val="Heading5"/>
    <w:next w:val="Normal"/>
    <w:link w:val="Heading6Char"/>
    <w:unhideWhenUsed/>
    <w:qFormat/>
    <w:rsid w:val="000F50EA"/>
    <w:pPr>
      <w:ind w:left="1152" w:hanging="1152"/>
      <w:outlineLvl w:val="5"/>
    </w:pPr>
  </w:style>
  <w:style w:type="paragraph" w:styleId="Heading7">
    <w:name w:val="heading 7"/>
    <w:basedOn w:val="Heading6"/>
    <w:next w:val="Normal"/>
    <w:link w:val="Heading7Char"/>
    <w:semiHidden/>
    <w:unhideWhenUsed/>
    <w:qFormat/>
    <w:rsid w:val="000F50EA"/>
    <w:pPr>
      <w:tabs>
        <w:tab w:val="left" w:pos="1701"/>
      </w:tabs>
      <w:ind w:left="1296" w:hanging="1296"/>
      <w:outlineLvl w:val="6"/>
    </w:pPr>
  </w:style>
  <w:style w:type="paragraph" w:styleId="Heading8">
    <w:name w:val="heading 8"/>
    <w:basedOn w:val="Heading7"/>
    <w:next w:val="Normal"/>
    <w:link w:val="Heading8Char"/>
    <w:semiHidden/>
    <w:unhideWhenUsed/>
    <w:qFormat/>
    <w:rsid w:val="000F50EA"/>
    <w:pPr>
      <w:ind w:left="1440" w:hanging="1440"/>
      <w:outlineLvl w:val="7"/>
    </w:pPr>
  </w:style>
  <w:style w:type="paragraph" w:styleId="Heading9">
    <w:name w:val="heading 9"/>
    <w:basedOn w:val="Heading8"/>
    <w:next w:val="Normal"/>
    <w:link w:val="Heading9Char"/>
    <w:semiHidden/>
    <w:unhideWhenUsed/>
    <w:qFormat/>
    <w:rsid w:val="000F50EA"/>
    <w:pPr>
      <w:ind w:left="1584" w:hanging="1584"/>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Font: Geneva 9"/>
    <w:basedOn w:val="Normal"/>
    <w:link w:val="FootnoteTextChar"/>
    <w:uiPriority w:val="99"/>
    <w:unhideWhenUsed/>
    <w:qFormat/>
    <w:rsid w:val="001D2067"/>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qFormat/>
    <w:rsid w:val="001D2067"/>
    <w:rPr>
      <w:rFonts w:ascii="Times New Roman" w:eastAsia="Times New Roman" w:hAnsi="Times New Roman" w:cs="Times New Roman"/>
      <w:sz w:val="20"/>
      <w:szCs w:val="20"/>
      <w:lang w:val="x-none" w:eastAsia="x-none"/>
    </w:rPr>
  </w:style>
  <w:style w:type="character" w:styleId="FootnoteReference">
    <w:name w:val="footnote reference"/>
    <w:aliases w:val="ftref,BVI fnr,16 Point,Superscript 6 Point,Fußnotenzeichen DISS,Footnote,Footnote symbol,Char1 Char Char Char Char, Char1 Char Char Char Char,Odwołanie przypisu,Título 4 Car Zchn,Heading 4 Char1 Car Zchn,no vale 2 Zchn,fr"/>
    <w:link w:val="FootnotesymbolCharCharCharChar"/>
    <w:uiPriority w:val="99"/>
    <w:unhideWhenUsed/>
    <w:qFormat/>
    <w:rsid w:val="001D2067"/>
    <w:rPr>
      <w:vertAlign w:val="superscript"/>
    </w:rPr>
  </w:style>
  <w:style w:type="character" w:customStyle="1" w:styleId="Heading1Char">
    <w:name w:val="Heading 1 Char"/>
    <w:basedOn w:val="DefaultParagraphFont"/>
    <w:link w:val="Heading1"/>
    <w:uiPriority w:val="9"/>
    <w:rsid w:val="001D2067"/>
    <w:rPr>
      <w:rFonts w:asciiTheme="majorHAnsi" w:eastAsiaTheme="majorEastAsia" w:hAnsiTheme="majorHAnsi" w:cstheme="majorBidi"/>
      <w:b/>
      <w:bCs/>
      <w:color w:val="365F91" w:themeColor="accent1" w:themeShade="BF"/>
      <w:sz w:val="28"/>
      <w:szCs w:val="28"/>
    </w:rPr>
  </w:style>
  <w:style w:type="table" w:styleId="TableGrid">
    <w:name w:val="Table Grid"/>
    <w:aliases w:val="GFA Table Grid"/>
    <w:basedOn w:val="TableNormal"/>
    <w:uiPriority w:val="39"/>
    <w:rsid w:val="003923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4E42CD"/>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CommentReference">
    <w:name w:val="annotation reference"/>
    <w:basedOn w:val="DefaultParagraphFont"/>
    <w:uiPriority w:val="99"/>
    <w:semiHidden/>
    <w:unhideWhenUsed/>
    <w:rsid w:val="00944F32"/>
    <w:rPr>
      <w:sz w:val="16"/>
      <w:szCs w:val="16"/>
    </w:rPr>
  </w:style>
  <w:style w:type="paragraph" w:styleId="CommentText">
    <w:name w:val="annotation text"/>
    <w:basedOn w:val="Normal"/>
    <w:link w:val="CommentTextChar"/>
    <w:uiPriority w:val="99"/>
    <w:unhideWhenUsed/>
    <w:rsid w:val="00944F32"/>
    <w:pPr>
      <w:spacing w:line="240" w:lineRule="auto"/>
    </w:pPr>
    <w:rPr>
      <w:sz w:val="20"/>
      <w:szCs w:val="20"/>
    </w:rPr>
  </w:style>
  <w:style w:type="character" w:customStyle="1" w:styleId="CommentTextChar">
    <w:name w:val="Comment Text Char"/>
    <w:basedOn w:val="DefaultParagraphFont"/>
    <w:link w:val="CommentText"/>
    <w:uiPriority w:val="99"/>
    <w:rsid w:val="00944F3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44F32"/>
    <w:rPr>
      <w:b/>
      <w:bCs/>
    </w:rPr>
  </w:style>
  <w:style w:type="character" w:customStyle="1" w:styleId="CommentSubjectChar">
    <w:name w:val="Comment Subject Char"/>
    <w:basedOn w:val="CommentTextChar"/>
    <w:link w:val="CommentSubject"/>
    <w:uiPriority w:val="99"/>
    <w:semiHidden/>
    <w:rsid w:val="00944F32"/>
    <w:rPr>
      <w:rFonts w:ascii="Calibri" w:eastAsia="MS Mincho" w:hAnsi="Calibri" w:cs="Times New Roman"/>
      <w:b/>
      <w:bCs/>
      <w:sz w:val="20"/>
      <w:szCs w:val="20"/>
    </w:rPr>
  </w:style>
  <w:style w:type="paragraph" w:styleId="BalloonText">
    <w:name w:val="Balloon Text"/>
    <w:basedOn w:val="Normal"/>
    <w:link w:val="BalloonTextChar"/>
    <w:uiPriority w:val="99"/>
    <w:semiHidden/>
    <w:unhideWhenUsed/>
    <w:rsid w:val="00944F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F32"/>
    <w:rPr>
      <w:rFonts w:ascii="Tahoma" w:eastAsia="MS Mincho" w:hAnsi="Tahoma" w:cs="Tahoma"/>
      <w:sz w:val="16"/>
      <w:szCs w:val="16"/>
    </w:rPr>
  </w:style>
  <w:style w:type="paragraph" w:styleId="Header">
    <w:name w:val="header"/>
    <w:basedOn w:val="Normal"/>
    <w:link w:val="HeaderChar"/>
    <w:uiPriority w:val="99"/>
    <w:unhideWhenUsed/>
    <w:rsid w:val="004E19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9E4"/>
    <w:rPr>
      <w:rFonts w:ascii="Calibri" w:eastAsia="MS Mincho" w:hAnsi="Calibri" w:cs="Times New Roman"/>
    </w:rPr>
  </w:style>
  <w:style w:type="paragraph" w:styleId="Footer">
    <w:name w:val="footer"/>
    <w:basedOn w:val="Normal"/>
    <w:link w:val="FooterChar"/>
    <w:uiPriority w:val="99"/>
    <w:unhideWhenUsed/>
    <w:rsid w:val="004E19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9E4"/>
    <w:rPr>
      <w:rFonts w:ascii="Calibri" w:eastAsia="MS Mincho" w:hAnsi="Calibri" w:cs="Times New Roman"/>
    </w:rPr>
  </w:style>
  <w:style w:type="character" w:customStyle="1" w:styleId="Heading2Char">
    <w:name w:val="Heading 2 Char"/>
    <w:basedOn w:val="DefaultParagraphFont"/>
    <w:link w:val="Heading2"/>
    <w:uiPriority w:val="9"/>
    <w:rsid w:val="00625401"/>
    <w:rPr>
      <w:rFonts w:asciiTheme="majorHAnsi" w:eastAsiaTheme="majorEastAsia" w:hAnsiTheme="majorHAnsi" w:cstheme="majorBidi"/>
      <w:b/>
      <w:bCs/>
      <w:color w:val="4F81BD" w:themeColor="accent1"/>
      <w:sz w:val="26"/>
      <w:szCs w:val="26"/>
    </w:rPr>
  </w:style>
  <w:style w:type="character" w:customStyle="1" w:styleId="ColorfulList-Accent1Char">
    <w:name w:val="Colorful List - Accent 1 Char"/>
    <w:link w:val="ColorfulList-Accent1"/>
    <w:uiPriority w:val="34"/>
    <w:locked/>
    <w:rsid w:val="00625401"/>
    <w:rPr>
      <w:rFonts w:ascii="Times New Roman" w:eastAsia="Times New Roman" w:hAnsi="Times New Roman"/>
      <w:sz w:val="22"/>
      <w:szCs w:val="22"/>
      <w:lang w:val="en-GB"/>
    </w:rPr>
  </w:style>
  <w:style w:type="table" w:styleId="ColorfulList-Accent1">
    <w:name w:val="Colorful List Accent 1"/>
    <w:basedOn w:val="TableNormal"/>
    <w:link w:val="ColorfulList-Accent1Char"/>
    <w:uiPriority w:val="72"/>
    <w:rsid w:val="00625401"/>
    <w:pPr>
      <w:spacing w:after="0" w:line="240" w:lineRule="auto"/>
    </w:pPr>
    <w:rPr>
      <w:rFonts w:ascii="Times New Roman" w:eastAsia="Times New Roman" w:hAnsi="Times New Roman"/>
      <w:lang w:val="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styleId="NoSpacing">
    <w:name w:val="No Spacing"/>
    <w:link w:val="NoSpacingChar"/>
    <w:uiPriority w:val="1"/>
    <w:qFormat/>
    <w:rsid w:val="00B8691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8691F"/>
    <w:rPr>
      <w:rFonts w:eastAsiaTheme="minorEastAsia"/>
      <w:lang w:eastAsia="ja-JP"/>
    </w:rPr>
  </w:style>
  <w:style w:type="table" w:styleId="LightShading">
    <w:name w:val="Light Shading"/>
    <w:basedOn w:val="TableNormal"/>
    <w:uiPriority w:val="60"/>
    <w:rsid w:val="00B8691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Heading">
    <w:name w:val="TOC Heading"/>
    <w:basedOn w:val="Heading1"/>
    <w:next w:val="Normal"/>
    <w:uiPriority w:val="39"/>
    <w:unhideWhenUsed/>
    <w:qFormat/>
    <w:rsid w:val="00B8691F"/>
    <w:pPr>
      <w:outlineLvl w:val="9"/>
    </w:pPr>
    <w:rPr>
      <w:lang w:eastAsia="ja-JP"/>
    </w:rPr>
  </w:style>
  <w:style w:type="paragraph" w:styleId="TOC2">
    <w:name w:val="toc 2"/>
    <w:basedOn w:val="Normal"/>
    <w:next w:val="Normal"/>
    <w:autoRedefine/>
    <w:uiPriority w:val="39"/>
    <w:unhideWhenUsed/>
    <w:qFormat/>
    <w:rsid w:val="00B8691F"/>
    <w:pPr>
      <w:spacing w:after="100"/>
      <w:ind w:left="220"/>
    </w:pPr>
    <w:rPr>
      <w:rFonts w:asciiTheme="minorHAnsi" w:eastAsiaTheme="minorEastAsia" w:hAnsiTheme="minorHAnsi" w:cstheme="minorBidi"/>
      <w:lang w:eastAsia="ja-JP"/>
    </w:rPr>
  </w:style>
  <w:style w:type="paragraph" w:styleId="TOC1">
    <w:name w:val="toc 1"/>
    <w:basedOn w:val="Normal"/>
    <w:next w:val="Normal"/>
    <w:autoRedefine/>
    <w:uiPriority w:val="39"/>
    <w:unhideWhenUsed/>
    <w:qFormat/>
    <w:rsid w:val="00B8691F"/>
    <w:pPr>
      <w:spacing w:after="100"/>
    </w:pPr>
    <w:rPr>
      <w:rFonts w:asciiTheme="minorHAnsi" w:eastAsiaTheme="minorEastAsia" w:hAnsiTheme="minorHAnsi" w:cstheme="minorBidi"/>
      <w:lang w:eastAsia="ja-JP"/>
    </w:rPr>
  </w:style>
  <w:style w:type="paragraph" w:styleId="TOC3">
    <w:name w:val="toc 3"/>
    <w:basedOn w:val="Normal"/>
    <w:next w:val="Normal"/>
    <w:autoRedefine/>
    <w:uiPriority w:val="39"/>
    <w:unhideWhenUsed/>
    <w:qFormat/>
    <w:rsid w:val="00B8691F"/>
    <w:pPr>
      <w:spacing w:after="100"/>
      <w:ind w:left="440"/>
    </w:pPr>
    <w:rPr>
      <w:rFonts w:asciiTheme="minorHAnsi" w:eastAsiaTheme="minorEastAsia" w:hAnsiTheme="minorHAnsi" w:cstheme="minorBidi"/>
      <w:lang w:eastAsia="ja-JP"/>
    </w:rPr>
  </w:style>
  <w:style w:type="character" w:styleId="Hyperlink">
    <w:name w:val="Hyperlink"/>
    <w:basedOn w:val="DefaultParagraphFont"/>
    <w:uiPriority w:val="99"/>
    <w:unhideWhenUsed/>
    <w:rsid w:val="00B8691F"/>
    <w:rPr>
      <w:color w:val="0000FF" w:themeColor="hyperlink"/>
      <w:u w:val="single"/>
    </w:rPr>
  </w:style>
  <w:style w:type="character" w:customStyle="1" w:styleId="hps">
    <w:name w:val="hps"/>
    <w:basedOn w:val="DefaultParagraphFont"/>
    <w:rsid w:val="002E6FEB"/>
  </w:style>
  <w:style w:type="paragraph" w:styleId="ListParagraph">
    <w:name w:val="List Paragraph"/>
    <w:aliases w:val="En tête 1,Bullet Points,Liste Paragraf,List Paragraph in table,Akapit z listą,Table of contents numbered,Bullet List,Heading 2_sj,Dot pt,Numbered Para 1,List Paragraph Char Char Char,Indicator Text,Bullet 1,Annex,Indent,No Spacing1,ANNEX"/>
    <w:basedOn w:val="Normal"/>
    <w:link w:val="ListParagraphChar"/>
    <w:uiPriority w:val="34"/>
    <w:qFormat/>
    <w:rsid w:val="00826EAF"/>
    <w:pPr>
      <w:ind w:left="720"/>
      <w:contextualSpacing/>
    </w:pPr>
  </w:style>
  <w:style w:type="paragraph" w:styleId="Quote">
    <w:name w:val="Quote"/>
    <w:basedOn w:val="Normal"/>
    <w:next w:val="Normal"/>
    <w:link w:val="QuoteChar"/>
    <w:uiPriority w:val="29"/>
    <w:qFormat/>
    <w:rsid w:val="001D192A"/>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1D192A"/>
    <w:rPr>
      <w:rFonts w:eastAsiaTheme="minorEastAsia"/>
      <w:i/>
      <w:iCs/>
      <w:color w:val="000000" w:themeColor="text1"/>
      <w:lang w:eastAsia="ja-JP"/>
    </w:rPr>
  </w:style>
  <w:style w:type="paragraph" w:styleId="Subtitle">
    <w:name w:val="Subtitle"/>
    <w:basedOn w:val="Normal"/>
    <w:next w:val="Normal"/>
    <w:link w:val="SubtitleChar"/>
    <w:uiPriority w:val="11"/>
    <w:qFormat/>
    <w:rsid w:val="00E5597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5597E"/>
    <w:rPr>
      <w:rFonts w:asciiTheme="majorHAnsi" w:eastAsiaTheme="majorEastAsia" w:hAnsiTheme="majorHAnsi" w:cstheme="majorBidi"/>
      <w:i/>
      <w:iCs/>
      <w:color w:val="4F81BD" w:themeColor="accent1"/>
      <w:spacing w:val="15"/>
      <w:sz w:val="24"/>
      <w:szCs w:val="24"/>
    </w:rPr>
  </w:style>
  <w:style w:type="paragraph" w:customStyle="1" w:styleId="TEKSTIIII">
    <w:name w:val="TEKSTIIII"/>
    <w:basedOn w:val="Normal"/>
    <w:qFormat/>
    <w:rsid w:val="00071588"/>
    <w:pPr>
      <w:spacing w:after="0" w:line="240" w:lineRule="auto"/>
      <w:ind w:firstLine="284"/>
      <w:jc w:val="both"/>
    </w:pPr>
    <w:rPr>
      <w:rFonts w:ascii="Garamond" w:hAnsi="Garamond"/>
      <w:sz w:val="24"/>
      <w:szCs w:val="24"/>
    </w:rPr>
  </w:style>
  <w:style w:type="character" w:customStyle="1" w:styleId="Heading3Char">
    <w:name w:val="Heading 3 Char"/>
    <w:basedOn w:val="DefaultParagraphFont"/>
    <w:link w:val="Heading3"/>
    <w:uiPriority w:val="9"/>
    <w:rsid w:val="00492C9C"/>
    <w:rPr>
      <w:rFonts w:ascii="MS Mincho" w:eastAsia="MS Mincho" w:hAnsi="Times New Roman" w:cs="MS Mincho"/>
      <w:b/>
      <w:bCs/>
      <w:color w:val="121754"/>
      <w:lang w:val="sq-AL"/>
    </w:rPr>
  </w:style>
  <w:style w:type="character" w:customStyle="1" w:styleId="Heading4Char">
    <w:name w:val="Heading 4 Char"/>
    <w:basedOn w:val="DefaultParagraphFont"/>
    <w:link w:val="Heading4"/>
    <w:rsid w:val="00492C9C"/>
    <w:rPr>
      <w:rFonts w:ascii="MS Mincho" w:eastAsia="MS Mincho" w:hAnsi="Times New Roman" w:cs="MS Mincho"/>
      <w:b/>
      <w:bCs/>
      <w:color w:val="121754"/>
      <w:lang w:val="sq-AL"/>
    </w:rPr>
  </w:style>
  <w:style w:type="paragraph" w:styleId="Caption">
    <w:name w:val="caption"/>
    <w:aliases w:val="Textbox,Tab_Überschrift,Figure reference,Caption Char1,Caption Char Char,Caption Char1 Char Char Char,Caption Char Char Char Char Char,Caption Char1 Char Char Char Char Char,Caption Char Char Char Char Char Char Char,Caption-slika,Map Char"/>
    <w:basedOn w:val="Normal"/>
    <w:next w:val="Normal"/>
    <w:link w:val="CaptionChar"/>
    <w:uiPriority w:val="99"/>
    <w:qFormat/>
    <w:rsid w:val="00492C9C"/>
    <w:pPr>
      <w:tabs>
        <w:tab w:val="left" w:pos="1400"/>
      </w:tabs>
      <w:autoSpaceDE w:val="0"/>
      <w:autoSpaceDN w:val="0"/>
      <w:adjustRightInd w:val="0"/>
      <w:spacing w:after="120" w:line="240" w:lineRule="auto"/>
      <w:ind w:left="1400" w:hanging="1400"/>
    </w:pPr>
    <w:rPr>
      <w:rFonts w:ascii="Arial Narrow" w:eastAsiaTheme="minorHAnsi" w:hAnsi="Arial Narrow" w:cs="Arial Narrow"/>
      <w:b/>
      <w:bCs/>
      <w:color w:val="000000"/>
      <w:lang w:val="sq-AL"/>
    </w:rPr>
  </w:style>
  <w:style w:type="paragraph" w:styleId="NormalWeb">
    <w:name w:val="Normal (Web)"/>
    <w:basedOn w:val="Normal"/>
    <w:uiPriority w:val="99"/>
    <w:rsid w:val="00492C9C"/>
    <w:pPr>
      <w:autoSpaceDE w:val="0"/>
      <w:autoSpaceDN w:val="0"/>
      <w:adjustRightInd w:val="0"/>
      <w:spacing w:before="100" w:after="100" w:line="240" w:lineRule="auto"/>
    </w:pPr>
    <w:rPr>
      <w:rFonts w:ascii="Times New Roman" w:eastAsiaTheme="minorHAnsi" w:hAnsi="Times New Roman"/>
      <w:color w:val="000000"/>
      <w:sz w:val="24"/>
      <w:szCs w:val="24"/>
      <w:lang w:val="sq-AL"/>
    </w:rPr>
  </w:style>
  <w:style w:type="paragraph" w:customStyle="1" w:styleId="FootnotesymbolCharCharCharChar">
    <w:name w:val="Footnote symbol Char Char Char Char"/>
    <w:aliases w:val="Footnote reference number Char Char Char Char,Times 10 Point Char Char Char Char,Exposant 3 Point Char Char Char Char,Ref Char Char Char Char,de nota al pie Char Char Char Char,Footer Char2"/>
    <w:basedOn w:val="Normal"/>
    <w:link w:val="FootnoteReference"/>
    <w:uiPriority w:val="99"/>
    <w:rsid w:val="006B6399"/>
    <w:pPr>
      <w:spacing w:after="160" w:line="240" w:lineRule="exact"/>
      <w:jc w:val="both"/>
    </w:pPr>
    <w:rPr>
      <w:rFonts w:asciiTheme="minorHAnsi" w:eastAsiaTheme="minorHAnsi" w:hAnsiTheme="minorHAnsi" w:cstheme="minorBidi"/>
      <w:vertAlign w:val="superscript"/>
    </w:rPr>
  </w:style>
  <w:style w:type="character" w:customStyle="1" w:styleId="CaptionChar">
    <w:name w:val="Caption Char"/>
    <w:aliases w:val="Textbox Char,Tab_Überschrift Char,Figure reference Char,Caption Char1 Char,Caption Char Char Char,Caption Char1 Char Char Char Char,Caption Char Char Char Char Char Char,Caption Char1 Char Char Char Char Char Char,Caption-slika Char"/>
    <w:link w:val="Caption"/>
    <w:uiPriority w:val="99"/>
    <w:qFormat/>
    <w:rsid w:val="006B6119"/>
    <w:rPr>
      <w:rFonts w:ascii="Arial Narrow" w:hAnsi="Arial Narrow" w:cs="Arial Narrow"/>
      <w:b/>
      <w:bCs/>
      <w:color w:val="000000"/>
      <w:lang w:val="sq-AL"/>
    </w:rPr>
  </w:style>
  <w:style w:type="paragraph" w:customStyle="1" w:styleId="Fussnote">
    <w:name w:val="Fussnote"/>
    <w:basedOn w:val="FootnoteText"/>
    <w:link w:val="FussnoteZchn"/>
    <w:qFormat/>
    <w:rsid w:val="00CF57C7"/>
    <w:pPr>
      <w:tabs>
        <w:tab w:val="left" w:pos="227"/>
      </w:tabs>
      <w:overflowPunct w:val="0"/>
      <w:autoSpaceDE w:val="0"/>
      <w:autoSpaceDN w:val="0"/>
      <w:adjustRightInd w:val="0"/>
      <w:textAlignment w:val="baseline"/>
    </w:pPr>
    <w:rPr>
      <w:rFonts w:ascii="Arial" w:hAnsi="Arial"/>
      <w:sz w:val="16"/>
      <w:szCs w:val="21"/>
      <w:lang w:val="sq-AL" w:eastAsia="de-DE"/>
    </w:rPr>
  </w:style>
  <w:style w:type="character" w:customStyle="1" w:styleId="FussnoteZchn">
    <w:name w:val="Fussnote Zchn"/>
    <w:link w:val="Fussnote"/>
    <w:rsid w:val="00CF57C7"/>
    <w:rPr>
      <w:rFonts w:ascii="Arial" w:eastAsia="Times New Roman" w:hAnsi="Arial" w:cs="Times New Roman"/>
      <w:sz w:val="16"/>
      <w:szCs w:val="21"/>
      <w:lang w:val="sq-AL" w:eastAsia="de-DE"/>
    </w:rPr>
  </w:style>
  <w:style w:type="character" w:customStyle="1" w:styleId="Heading5Char">
    <w:name w:val="Heading 5 Char"/>
    <w:basedOn w:val="DefaultParagraphFont"/>
    <w:link w:val="Heading5"/>
    <w:rsid w:val="000F50EA"/>
    <w:rPr>
      <w:rFonts w:ascii="Arial" w:eastAsia="MS Mincho" w:hAnsi="Arial" w:cs="Arial"/>
      <w:color w:val="121754"/>
      <w:spacing w:val="60"/>
      <w:szCs w:val="21"/>
      <w:lang w:val="sq-AL" w:eastAsia="de-DE"/>
    </w:rPr>
  </w:style>
  <w:style w:type="character" w:customStyle="1" w:styleId="Heading6Char">
    <w:name w:val="Heading 6 Char"/>
    <w:basedOn w:val="DefaultParagraphFont"/>
    <w:link w:val="Heading6"/>
    <w:rsid w:val="000F50EA"/>
    <w:rPr>
      <w:rFonts w:ascii="Arial" w:eastAsia="MS Mincho" w:hAnsi="Arial" w:cs="Arial"/>
      <w:color w:val="121754"/>
      <w:spacing w:val="60"/>
      <w:szCs w:val="21"/>
      <w:lang w:val="sq-AL" w:eastAsia="de-DE"/>
    </w:rPr>
  </w:style>
  <w:style w:type="character" w:customStyle="1" w:styleId="Heading7Char">
    <w:name w:val="Heading 7 Char"/>
    <w:basedOn w:val="DefaultParagraphFont"/>
    <w:link w:val="Heading7"/>
    <w:semiHidden/>
    <w:rsid w:val="000F50EA"/>
    <w:rPr>
      <w:rFonts w:ascii="Arial" w:eastAsia="MS Mincho" w:hAnsi="Arial" w:cs="Arial"/>
      <w:color w:val="121754"/>
      <w:spacing w:val="60"/>
      <w:szCs w:val="21"/>
      <w:lang w:val="sq-AL" w:eastAsia="de-DE"/>
    </w:rPr>
  </w:style>
  <w:style w:type="character" w:customStyle="1" w:styleId="Heading8Char">
    <w:name w:val="Heading 8 Char"/>
    <w:basedOn w:val="DefaultParagraphFont"/>
    <w:link w:val="Heading8"/>
    <w:semiHidden/>
    <w:rsid w:val="000F50EA"/>
    <w:rPr>
      <w:rFonts w:ascii="Arial" w:eastAsia="MS Mincho" w:hAnsi="Arial" w:cs="Arial"/>
      <w:color w:val="121754"/>
      <w:spacing w:val="60"/>
      <w:szCs w:val="21"/>
      <w:lang w:val="sq-AL" w:eastAsia="de-DE"/>
    </w:rPr>
  </w:style>
  <w:style w:type="character" w:customStyle="1" w:styleId="Heading9Char">
    <w:name w:val="Heading 9 Char"/>
    <w:basedOn w:val="DefaultParagraphFont"/>
    <w:link w:val="Heading9"/>
    <w:semiHidden/>
    <w:rsid w:val="000F50EA"/>
    <w:rPr>
      <w:rFonts w:ascii="Arial" w:eastAsia="MS Mincho" w:hAnsi="Arial" w:cs="Arial"/>
      <w:color w:val="121754"/>
      <w:spacing w:val="60"/>
      <w:szCs w:val="21"/>
      <w:lang w:val="sq-AL" w:eastAsia="de-DE"/>
    </w:rPr>
  </w:style>
  <w:style w:type="paragraph" w:styleId="TOC4">
    <w:name w:val="toc 4"/>
    <w:basedOn w:val="TOC3"/>
    <w:next w:val="TOC5"/>
    <w:uiPriority w:val="39"/>
    <w:rsid w:val="000F50EA"/>
    <w:pPr>
      <w:widowControl w:val="0"/>
      <w:tabs>
        <w:tab w:val="left" w:pos="1134"/>
        <w:tab w:val="right" w:leader="dot" w:pos="9072"/>
      </w:tabs>
      <w:overflowPunct w:val="0"/>
      <w:autoSpaceDE w:val="0"/>
      <w:autoSpaceDN w:val="0"/>
      <w:adjustRightInd w:val="0"/>
      <w:spacing w:after="60" w:line="360" w:lineRule="exact"/>
      <w:ind w:left="1418" w:right="425" w:hanging="1134"/>
      <w:textAlignment w:val="baseline"/>
    </w:pPr>
    <w:rPr>
      <w:rFonts w:ascii="Arial" w:eastAsia="Times New Roman" w:hAnsi="Arial" w:cs="Arial"/>
      <w:noProof/>
      <w:color w:val="000000"/>
      <w:sz w:val="21"/>
      <w:szCs w:val="21"/>
      <w:lang w:val="sq-AL" w:eastAsia="de-DE"/>
    </w:rPr>
  </w:style>
  <w:style w:type="paragraph" w:styleId="Index3">
    <w:name w:val="index 3"/>
    <w:basedOn w:val="Normal"/>
    <w:next w:val="Normal"/>
    <w:uiPriority w:val="99"/>
    <w:semiHidden/>
    <w:rsid w:val="000F50EA"/>
    <w:pPr>
      <w:numPr>
        <w:numId w:val="2"/>
      </w:numPr>
      <w:overflowPunct w:val="0"/>
      <w:autoSpaceDE w:val="0"/>
      <w:autoSpaceDN w:val="0"/>
      <w:adjustRightInd w:val="0"/>
      <w:spacing w:after="120" w:line="240" w:lineRule="auto"/>
      <w:jc w:val="both"/>
      <w:textAlignment w:val="baseline"/>
    </w:pPr>
    <w:rPr>
      <w:rFonts w:ascii="Arial" w:eastAsia="Times New Roman" w:hAnsi="Arial"/>
      <w:szCs w:val="21"/>
      <w:lang w:val="sq-AL" w:eastAsia="de-DE"/>
    </w:rPr>
  </w:style>
  <w:style w:type="paragraph" w:styleId="Index2">
    <w:name w:val="index 2"/>
    <w:basedOn w:val="Normal"/>
    <w:next w:val="Normal"/>
    <w:uiPriority w:val="99"/>
    <w:semiHidden/>
    <w:rsid w:val="000F50EA"/>
    <w:pPr>
      <w:overflowPunct w:val="0"/>
      <w:autoSpaceDE w:val="0"/>
      <w:autoSpaceDN w:val="0"/>
      <w:adjustRightInd w:val="0"/>
      <w:spacing w:after="120" w:line="240" w:lineRule="auto"/>
      <w:ind w:left="283"/>
      <w:jc w:val="both"/>
      <w:textAlignment w:val="baseline"/>
    </w:pPr>
    <w:rPr>
      <w:rFonts w:ascii="Arial" w:eastAsia="Times New Roman" w:hAnsi="Arial"/>
      <w:szCs w:val="21"/>
      <w:lang w:val="sq-AL" w:eastAsia="de-DE"/>
    </w:rPr>
  </w:style>
  <w:style w:type="paragraph" w:styleId="Index1">
    <w:name w:val="index 1"/>
    <w:basedOn w:val="Normal"/>
    <w:next w:val="Normal"/>
    <w:uiPriority w:val="99"/>
    <w:semiHidden/>
    <w:rsid w:val="000F50EA"/>
    <w:pPr>
      <w:overflowPunct w:val="0"/>
      <w:autoSpaceDE w:val="0"/>
      <w:autoSpaceDN w:val="0"/>
      <w:adjustRightInd w:val="0"/>
      <w:spacing w:after="120" w:line="240" w:lineRule="auto"/>
      <w:jc w:val="both"/>
      <w:textAlignment w:val="baseline"/>
    </w:pPr>
    <w:rPr>
      <w:rFonts w:ascii="Arial" w:eastAsia="Times New Roman" w:hAnsi="Arial"/>
      <w:szCs w:val="21"/>
      <w:lang w:val="sq-AL" w:eastAsia="de-DE"/>
    </w:rPr>
  </w:style>
  <w:style w:type="character" w:styleId="LineNumber">
    <w:name w:val="line number"/>
    <w:basedOn w:val="DefaultParagraphFont"/>
    <w:uiPriority w:val="99"/>
    <w:semiHidden/>
    <w:rsid w:val="000F50EA"/>
  </w:style>
  <w:style w:type="paragraph" w:styleId="IndexHeading">
    <w:name w:val="index heading"/>
    <w:basedOn w:val="Normal"/>
    <w:next w:val="Normal"/>
    <w:uiPriority w:val="99"/>
    <w:semiHidden/>
    <w:rsid w:val="000F50EA"/>
    <w:pPr>
      <w:overflowPunct w:val="0"/>
      <w:autoSpaceDE w:val="0"/>
      <w:autoSpaceDN w:val="0"/>
      <w:adjustRightInd w:val="0"/>
      <w:spacing w:after="120" w:line="240" w:lineRule="auto"/>
      <w:jc w:val="both"/>
      <w:textAlignment w:val="baseline"/>
    </w:pPr>
    <w:rPr>
      <w:rFonts w:ascii="Arial" w:eastAsia="Times New Roman" w:hAnsi="Arial"/>
      <w:szCs w:val="21"/>
      <w:lang w:val="sq-AL" w:eastAsia="de-DE"/>
    </w:rPr>
  </w:style>
  <w:style w:type="paragraph" w:styleId="TableofFigures">
    <w:name w:val="table of figures"/>
    <w:basedOn w:val="Normal"/>
    <w:next w:val="Normal"/>
    <w:uiPriority w:val="99"/>
    <w:rsid w:val="000F50EA"/>
    <w:pPr>
      <w:tabs>
        <w:tab w:val="left" w:pos="1418"/>
        <w:tab w:val="right" w:leader="dot" w:pos="9072"/>
      </w:tabs>
      <w:overflowPunct w:val="0"/>
      <w:autoSpaceDE w:val="0"/>
      <w:autoSpaceDN w:val="0"/>
      <w:adjustRightInd w:val="0"/>
      <w:spacing w:after="120" w:line="240" w:lineRule="auto"/>
      <w:ind w:left="1418" w:right="567" w:hanging="1418"/>
      <w:textAlignment w:val="baseline"/>
    </w:pPr>
    <w:rPr>
      <w:rFonts w:ascii="Arial" w:eastAsia="Times New Roman" w:hAnsi="Arial"/>
      <w:szCs w:val="21"/>
      <w:lang w:val="sq-AL" w:eastAsia="de-DE"/>
    </w:rPr>
  </w:style>
  <w:style w:type="paragraph" w:customStyle="1" w:styleId="Quellenangabe">
    <w:name w:val="Quellenangabe"/>
    <w:basedOn w:val="Normal"/>
    <w:next w:val="Normal"/>
    <w:uiPriority w:val="99"/>
    <w:semiHidden/>
    <w:rsid w:val="000F50EA"/>
    <w:pPr>
      <w:tabs>
        <w:tab w:val="left" w:pos="851"/>
      </w:tabs>
      <w:overflowPunct w:val="0"/>
      <w:autoSpaceDE w:val="0"/>
      <w:autoSpaceDN w:val="0"/>
      <w:adjustRightInd w:val="0"/>
      <w:spacing w:before="60" w:after="220" w:line="240" w:lineRule="auto"/>
      <w:ind w:left="851" w:hanging="851"/>
      <w:jc w:val="both"/>
      <w:textAlignment w:val="baseline"/>
    </w:pPr>
    <w:rPr>
      <w:rFonts w:ascii="Arial" w:eastAsia="Times New Roman" w:hAnsi="Arial"/>
      <w:sz w:val="18"/>
      <w:szCs w:val="21"/>
      <w:lang w:val="sq-AL" w:eastAsia="de-DE"/>
    </w:rPr>
  </w:style>
  <w:style w:type="paragraph" w:styleId="TOC5">
    <w:name w:val="toc 5"/>
    <w:basedOn w:val="TOC4"/>
    <w:next w:val="TOC6"/>
    <w:uiPriority w:val="39"/>
    <w:semiHidden/>
    <w:rsid w:val="000F50EA"/>
    <w:pPr>
      <w:ind w:left="0" w:firstLine="0"/>
    </w:pPr>
  </w:style>
  <w:style w:type="paragraph" w:customStyle="1" w:styleId="Tabellenstandard">
    <w:name w:val="Tabellenstandard"/>
    <w:basedOn w:val="Normal"/>
    <w:uiPriority w:val="99"/>
    <w:semiHidden/>
    <w:rsid w:val="000F50EA"/>
    <w:pPr>
      <w:overflowPunct w:val="0"/>
      <w:autoSpaceDE w:val="0"/>
      <w:autoSpaceDN w:val="0"/>
      <w:adjustRightInd w:val="0"/>
      <w:spacing w:before="48" w:after="48" w:line="240" w:lineRule="auto"/>
      <w:contextualSpacing/>
      <w:jc w:val="both"/>
      <w:textAlignment w:val="baseline"/>
    </w:pPr>
    <w:rPr>
      <w:rFonts w:ascii="Arial" w:eastAsia="Times New Roman" w:hAnsi="Arial"/>
      <w:sz w:val="18"/>
      <w:szCs w:val="21"/>
      <w:lang w:val="sq-AL" w:eastAsia="de-DE"/>
    </w:rPr>
  </w:style>
  <w:style w:type="paragraph" w:styleId="ListBullet">
    <w:name w:val="List Bullet"/>
    <w:basedOn w:val="Normal"/>
    <w:uiPriority w:val="99"/>
    <w:semiHidden/>
    <w:rsid w:val="000F50EA"/>
    <w:pPr>
      <w:numPr>
        <w:numId w:val="10"/>
      </w:numPr>
      <w:tabs>
        <w:tab w:val="num" w:pos="360"/>
      </w:tabs>
      <w:overflowPunct w:val="0"/>
      <w:autoSpaceDE w:val="0"/>
      <w:autoSpaceDN w:val="0"/>
      <w:adjustRightInd w:val="0"/>
      <w:spacing w:after="120" w:line="240" w:lineRule="auto"/>
      <w:jc w:val="both"/>
      <w:textAlignment w:val="baseline"/>
    </w:pPr>
    <w:rPr>
      <w:rFonts w:ascii="Arial" w:eastAsia="Times New Roman" w:hAnsi="Arial"/>
      <w:szCs w:val="21"/>
      <w:lang w:val="sq-AL" w:eastAsia="de-DE"/>
    </w:rPr>
  </w:style>
  <w:style w:type="paragraph" w:styleId="ListBullet2">
    <w:name w:val="List Bullet 2"/>
    <w:basedOn w:val="ListBullet"/>
    <w:uiPriority w:val="99"/>
    <w:semiHidden/>
    <w:rsid w:val="000F50EA"/>
    <w:pPr>
      <w:tabs>
        <w:tab w:val="clear" w:pos="360"/>
        <w:tab w:val="num" w:pos="643"/>
      </w:tabs>
      <w:ind w:left="643"/>
    </w:pPr>
  </w:style>
  <w:style w:type="paragraph" w:styleId="ListBullet3">
    <w:name w:val="List Bullet 3"/>
    <w:basedOn w:val="ListBullet2"/>
    <w:uiPriority w:val="99"/>
    <w:semiHidden/>
    <w:rsid w:val="000F50EA"/>
    <w:pPr>
      <w:tabs>
        <w:tab w:val="clear" w:pos="643"/>
        <w:tab w:val="num" w:pos="926"/>
      </w:tabs>
      <w:ind w:left="926"/>
    </w:pPr>
  </w:style>
  <w:style w:type="character" w:styleId="PageNumber">
    <w:name w:val="page number"/>
    <w:basedOn w:val="DefaultParagraphFont"/>
    <w:uiPriority w:val="99"/>
    <w:semiHidden/>
    <w:rsid w:val="000F50EA"/>
  </w:style>
  <w:style w:type="numbering" w:customStyle="1" w:styleId="GFANumberedList">
    <w:name w:val="GFA Numbered List"/>
    <w:basedOn w:val="NoList"/>
    <w:uiPriority w:val="99"/>
    <w:rsid w:val="000F50EA"/>
    <w:pPr>
      <w:numPr>
        <w:numId w:val="3"/>
      </w:numPr>
    </w:pPr>
  </w:style>
  <w:style w:type="numbering" w:customStyle="1" w:styleId="GFABulletedList">
    <w:name w:val="GFA Bulleted List"/>
    <w:uiPriority w:val="99"/>
    <w:rsid w:val="000F50EA"/>
    <w:pPr>
      <w:numPr>
        <w:numId w:val="4"/>
      </w:numPr>
    </w:pPr>
  </w:style>
  <w:style w:type="character" w:customStyle="1" w:styleId="GFAleichteHervorhebung">
    <w:name w:val="GFA leichte Hervorhebung"/>
    <w:uiPriority w:val="3"/>
    <w:qFormat/>
    <w:rsid w:val="000F50EA"/>
    <w:rPr>
      <w:i/>
      <w:color w:val="121754"/>
    </w:rPr>
  </w:style>
  <w:style w:type="table" w:styleId="MediumGrid3-Accent2">
    <w:name w:val="Medium Grid 3 Accent 2"/>
    <w:basedOn w:val="TableNormal"/>
    <w:uiPriority w:val="69"/>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BEE4F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48DC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48DC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48DC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48DC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DC9F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DC9F2"/>
      </w:tcPr>
    </w:tblStylePr>
  </w:style>
  <w:style w:type="table" w:styleId="LightList-Accent2">
    <w:name w:val="Light List Accent 2"/>
    <w:basedOn w:val="TableNormal"/>
    <w:uiPriority w:val="61"/>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148DCD"/>
        <w:left w:val="single" w:sz="8" w:space="0" w:color="148DCD"/>
        <w:bottom w:val="single" w:sz="8" w:space="0" w:color="148DCD"/>
        <w:right w:val="single" w:sz="8" w:space="0" w:color="148DC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48DCD"/>
      </w:tcPr>
    </w:tblStylePr>
    <w:tblStylePr w:type="lastRow">
      <w:pPr>
        <w:spacing w:before="0" w:after="0" w:line="240" w:lineRule="auto"/>
      </w:pPr>
      <w:rPr>
        <w:b/>
        <w:bCs/>
      </w:rPr>
      <w:tblPr/>
      <w:tcPr>
        <w:tcBorders>
          <w:top w:val="double" w:sz="6" w:space="0" w:color="148DCD"/>
          <w:left w:val="single" w:sz="8" w:space="0" w:color="148DCD"/>
          <w:bottom w:val="single" w:sz="8" w:space="0" w:color="148DCD"/>
          <w:right w:val="single" w:sz="8" w:space="0" w:color="148DCD"/>
        </w:tcBorders>
      </w:tcPr>
    </w:tblStylePr>
    <w:tblStylePr w:type="firstCol">
      <w:rPr>
        <w:b/>
        <w:bCs/>
      </w:rPr>
    </w:tblStylePr>
    <w:tblStylePr w:type="lastCol">
      <w:rPr>
        <w:b/>
        <w:bCs/>
      </w:rPr>
    </w:tblStylePr>
    <w:tblStylePr w:type="band1Vert">
      <w:tblPr/>
      <w:tcPr>
        <w:tcBorders>
          <w:top w:val="single" w:sz="8" w:space="0" w:color="148DCD"/>
          <w:left w:val="single" w:sz="8" w:space="0" w:color="148DCD"/>
          <w:bottom w:val="single" w:sz="8" w:space="0" w:color="148DCD"/>
          <w:right w:val="single" w:sz="8" w:space="0" w:color="148DCD"/>
        </w:tcBorders>
      </w:tcPr>
    </w:tblStylePr>
    <w:tblStylePr w:type="band1Horz">
      <w:tblPr/>
      <w:tcPr>
        <w:tcBorders>
          <w:top w:val="single" w:sz="8" w:space="0" w:color="148DCD"/>
          <w:left w:val="single" w:sz="8" w:space="0" w:color="148DCD"/>
          <w:bottom w:val="single" w:sz="8" w:space="0" w:color="148DCD"/>
          <w:right w:val="single" w:sz="8" w:space="0" w:color="148DCD"/>
        </w:tcBorders>
      </w:tcPr>
    </w:tblStylePr>
  </w:style>
  <w:style w:type="paragraph" w:customStyle="1" w:styleId="Subheading">
    <w:name w:val="Subheading"/>
    <w:basedOn w:val="Heading4"/>
    <w:next w:val="Normal"/>
    <w:link w:val="SubheadingZchn"/>
    <w:uiPriority w:val="1"/>
    <w:qFormat/>
    <w:rsid w:val="000F50EA"/>
    <w:pPr>
      <w:overflowPunct w:val="0"/>
      <w:spacing w:before="120" w:line="300" w:lineRule="exact"/>
      <w:ind w:left="0" w:firstLine="0"/>
      <w:textAlignment w:val="baseline"/>
      <w:outlineLvl w:val="9"/>
    </w:pPr>
    <w:rPr>
      <w:rFonts w:ascii="Arial" w:hAnsi="Arial" w:cs="Arial"/>
      <w:bCs w:val="0"/>
      <w:szCs w:val="21"/>
      <w:lang w:eastAsia="de-DE"/>
    </w:rPr>
  </w:style>
  <w:style w:type="character" w:customStyle="1" w:styleId="SubheadingZchn">
    <w:name w:val="Subheading Zchn"/>
    <w:link w:val="Subheading"/>
    <w:uiPriority w:val="1"/>
    <w:rsid w:val="000F50EA"/>
    <w:rPr>
      <w:rFonts w:ascii="Arial" w:eastAsia="MS Mincho" w:hAnsi="Arial" w:cs="Arial"/>
      <w:b/>
      <w:color w:val="121754"/>
      <w:szCs w:val="21"/>
      <w:lang w:val="sq-AL" w:eastAsia="de-DE"/>
    </w:rPr>
  </w:style>
  <w:style w:type="paragraph" w:customStyle="1" w:styleId="GFANumberedLists1">
    <w:name w:val="GFA Numbered Lists 1"/>
    <w:basedOn w:val="ListParagraph"/>
    <w:link w:val="GFANumberedLists1Zchn"/>
    <w:uiPriority w:val="2"/>
    <w:qFormat/>
    <w:rsid w:val="000F50EA"/>
    <w:pPr>
      <w:numPr>
        <w:numId w:val="3"/>
      </w:numPr>
      <w:overflowPunct w:val="0"/>
      <w:autoSpaceDE w:val="0"/>
      <w:autoSpaceDN w:val="0"/>
      <w:adjustRightInd w:val="0"/>
      <w:spacing w:after="40" w:line="240" w:lineRule="auto"/>
      <w:textAlignment w:val="baseline"/>
    </w:pPr>
    <w:rPr>
      <w:rFonts w:ascii="Arial" w:eastAsia="Times New Roman" w:hAnsi="Arial"/>
      <w:szCs w:val="21"/>
      <w:lang w:val="sq-AL" w:eastAsia="de-DE"/>
    </w:rPr>
  </w:style>
  <w:style w:type="character" w:customStyle="1" w:styleId="ListParagraphChar">
    <w:name w:val="List Paragraph Char"/>
    <w:aliases w:val="En tête 1 Char,Bullet Points Char,Liste Paragraf Char,List Paragraph in table Char,Akapit z listą Char,Table of contents numbered Char,Bullet List Char,Heading 2_sj Char,Dot pt Char,Numbered Para 1 Char,Indicator Text Char,Annex Char"/>
    <w:link w:val="ListParagraph"/>
    <w:uiPriority w:val="34"/>
    <w:qFormat/>
    <w:rsid w:val="000F50EA"/>
    <w:rPr>
      <w:rFonts w:ascii="Calibri" w:eastAsia="MS Mincho" w:hAnsi="Calibri" w:cs="Times New Roman"/>
    </w:rPr>
  </w:style>
  <w:style w:type="paragraph" w:customStyle="1" w:styleId="GFABulletedLists1">
    <w:name w:val="GFA Bulleted Lists 1"/>
    <w:basedOn w:val="ListParagraph"/>
    <w:link w:val="GFABulletedLists1Zchn"/>
    <w:uiPriority w:val="2"/>
    <w:qFormat/>
    <w:rsid w:val="000F50EA"/>
    <w:pPr>
      <w:numPr>
        <w:numId w:val="9"/>
      </w:numPr>
      <w:overflowPunct w:val="0"/>
      <w:autoSpaceDE w:val="0"/>
      <w:autoSpaceDN w:val="0"/>
      <w:adjustRightInd w:val="0"/>
      <w:spacing w:before="60" w:after="60" w:line="240" w:lineRule="auto"/>
      <w:contextualSpacing w:val="0"/>
      <w:textAlignment w:val="baseline"/>
    </w:pPr>
    <w:rPr>
      <w:rFonts w:ascii="Arial" w:eastAsia="Times New Roman" w:hAnsi="Arial"/>
      <w:sz w:val="21"/>
      <w:szCs w:val="21"/>
      <w:lang w:val="sq-AL" w:eastAsia="de-DE"/>
    </w:rPr>
  </w:style>
  <w:style w:type="character" w:customStyle="1" w:styleId="GFANumberedLists1Zchn">
    <w:name w:val="GFA Numbered Lists 1 Zchn"/>
    <w:link w:val="GFANumberedLists1"/>
    <w:uiPriority w:val="2"/>
    <w:rsid w:val="000F50EA"/>
    <w:rPr>
      <w:rFonts w:ascii="Arial" w:eastAsia="Times New Roman" w:hAnsi="Arial" w:cs="Times New Roman"/>
      <w:szCs w:val="21"/>
      <w:lang w:val="sq-AL" w:eastAsia="de-DE"/>
    </w:rPr>
  </w:style>
  <w:style w:type="character" w:customStyle="1" w:styleId="GFABulletedLists1Zchn">
    <w:name w:val="GFA Bulleted Lists 1 Zchn"/>
    <w:link w:val="GFABulletedLists1"/>
    <w:uiPriority w:val="2"/>
    <w:rsid w:val="000F50EA"/>
    <w:rPr>
      <w:rFonts w:ascii="Arial" w:eastAsia="Times New Roman" w:hAnsi="Arial" w:cs="Times New Roman"/>
      <w:sz w:val="21"/>
      <w:szCs w:val="21"/>
      <w:lang w:val="sq-AL" w:eastAsia="de-DE"/>
    </w:rPr>
  </w:style>
  <w:style w:type="paragraph" w:styleId="TOC6">
    <w:name w:val="toc 6"/>
    <w:basedOn w:val="TOC5"/>
    <w:next w:val="TOC7"/>
    <w:uiPriority w:val="39"/>
    <w:semiHidden/>
    <w:rsid w:val="000F50EA"/>
    <w:pPr>
      <w:ind w:left="1134" w:hanging="1134"/>
    </w:pPr>
  </w:style>
  <w:style w:type="paragraph" w:styleId="TOC7">
    <w:name w:val="toc 7"/>
    <w:basedOn w:val="TOC6"/>
    <w:next w:val="TOC8"/>
    <w:uiPriority w:val="39"/>
    <w:semiHidden/>
    <w:rsid w:val="000F50EA"/>
  </w:style>
  <w:style w:type="paragraph" w:styleId="TOC8">
    <w:name w:val="toc 8"/>
    <w:basedOn w:val="TOC7"/>
    <w:next w:val="TOC9"/>
    <w:uiPriority w:val="39"/>
    <w:semiHidden/>
    <w:rsid w:val="000F50EA"/>
  </w:style>
  <w:style w:type="paragraph" w:styleId="TOC9">
    <w:name w:val="toc 9"/>
    <w:basedOn w:val="TOC8"/>
    <w:uiPriority w:val="39"/>
    <w:semiHidden/>
    <w:rsid w:val="000F50EA"/>
  </w:style>
  <w:style w:type="table" w:customStyle="1" w:styleId="GFAInvisible">
    <w:name w:val="GFA Invisible"/>
    <w:basedOn w:val="TableNormal"/>
    <w:uiPriority w:val="99"/>
    <w:qFormat/>
    <w:rsid w:val="000F50EA"/>
    <w:pPr>
      <w:spacing w:after="0" w:line="240" w:lineRule="auto"/>
    </w:pPr>
    <w:rPr>
      <w:rFonts w:ascii="Arial" w:eastAsia="Times New Roman" w:hAnsi="Arial" w:cs="Times New Roman"/>
      <w:sz w:val="20"/>
      <w:szCs w:val="20"/>
      <w:lang w:val="sq-AL" w:eastAsia="sq-AL"/>
    </w:rPr>
    <w:tblPr>
      <w:tblInd w:w="0" w:type="dxa"/>
      <w:tblCellMar>
        <w:top w:w="0" w:type="dxa"/>
        <w:left w:w="0" w:type="dxa"/>
        <w:bottom w:w="0" w:type="dxa"/>
        <w:right w:w="0" w:type="dxa"/>
      </w:tblCellMar>
    </w:tblPr>
  </w:style>
  <w:style w:type="table" w:customStyle="1" w:styleId="HelleSchattierung1">
    <w:name w:val="Helle Schattierung1"/>
    <w:basedOn w:val="TableNormal"/>
    <w:uiPriority w:val="60"/>
    <w:semiHidden/>
    <w:lock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styleId="111111">
    <w:name w:val="Outline List 2"/>
    <w:basedOn w:val="NoList"/>
    <w:uiPriority w:val="99"/>
    <w:semiHidden/>
    <w:unhideWhenUsed/>
    <w:rsid w:val="000F50EA"/>
    <w:pPr>
      <w:numPr>
        <w:numId w:val="2"/>
      </w:numPr>
    </w:pPr>
  </w:style>
  <w:style w:type="table" w:customStyle="1" w:styleId="HellesRaster-Akzent11">
    <w:name w:val="Helles Raster - Akzent 11"/>
    <w:basedOn w:val="TableNormal"/>
    <w:uiPriority w:val="62"/>
    <w:semiHidden/>
    <w:lock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121754"/>
        <w:left w:val="single" w:sz="8" w:space="0" w:color="121754"/>
        <w:bottom w:val="single" w:sz="8" w:space="0" w:color="121754"/>
        <w:right w:val="single" w:sz="8" w:space="0" w:color="121754"/>
        <w:insideH w:val="single" w:sz="8" w:space="0" w:color="121754"/>
        <w:insideV w:val="single" w:sz="8" w:space="0" w:color="121754"/>
      </w:tblBorders>
      <w:tblCellMar>
        <w:top w:w="0" w:type="dxa"/>
        <w:left w:w="108" w:type="dxa"/>
        <w:bottom w:w="0" w:type="dxa"/>
        <w:right w:w="108" w:type="dxa"/>
      </w:tblCellMar>
    </w:tblPr>
    <w:tblStylePr w:type="firstRow">
      <w:pPr>
        <w:spacing w:before="0" w:after="0" w:line="240" w:lineRule="auto"/>
      </w:pPr>
      <w:rPr>
        <w:rFonts w:ascii="Arial" w:eastAsia="MS Gothic" w:hAnsi="Arial" w:cs="Times New Roman"/>
        <w:b/>
        <w:bCs/>
      </w:rPr>
      <w:tblPr/>
      <w:tcPr>
        <w:tcBorders>
          <w:top w:val="single" w:sz="8" w:space="0" w:color="121754"/>
          <w:left w:val="single" w:sz="8" w:space="0" w:color="121754"/>
          <w:bottom w:val="single" w:sz="18" w:space="0" w:color="121754"/>
          <w:right w:val="single" w:sz="8" w:space="0" w:color="121754"/>
          <w:insideH w:val="nil"/>
          <w:insideV w:val="single" w:sz="8" w:space="0" w:color="121754"/>
        </w:tcBorders>
      </w:tcPr>
    </w:tblStylePr>
    <w:tblStylePr w:type="lastRow">
      <w:pPr>
        <w:spacing w:before="0" w:after="0" w:line="240" w:lineRule="auto"/>
      </w:pPr>
      <w:rPr>
        <w:rFonts w:ascii="Arial" w:eastAsia="MS Gothic" w:hAnsi="Arial" w:cs="Times New Roman"/>
        <w:b/>
        <w:bCs/>
      </w:rPr>
      <w:tblPr/>
      <w:tcPr>
        <w:tcBorders>
          <w:top w:val="double" w:sz="6" w:space="0" w:color="121754"/>
          <w:left w:val="single" w:sz="8" w:space="0" w:color="121754"/>
          <w:bottom w:val="single" w:sz="8" w:space="0" w:color="121754"/>
          <w:right w:val="single" w:sz="8" w:space="0" w:color="121754"/>
          <w:insideH w:val="nil"/>
          <w:insideV w:val="single" w:sz="8" w:space="0" w:color="121754"/>
        </w:tcBorders>
      </w:tcPr>
    </w:tblStylePr>
    <w:tblStylePr w:type="firstCol">
      <w:rPr>
        <w:rFonts w:ascii="Arial" w:eastAsia="MS Gothic" w:hAnsi="Arial" w:cs="Times New Roman"/>
        <w:b/>
        <w:bCs/>
      </w:rPr>
    </w:tblStylePr>
    <w:tblStylePr w:type="lastCol">
      <w:rPr>
        <w:rFonts w:ascii="Arial" w:eastAsia="MS Gothic" w:hAnsi="Arial" w:cs="Times New Roman"/>
        <w:b/>
        <w:bCs/>
      </w:rPr>
      <w:tblPr/>
      <w:tcPr>
        <w:tcBorders>
          <w:top w:val="single" w:sz="8" w:space="0" w:color="121754"/>
          <w:left w:val="single" w:sz="8" w:space="0" w:color="121754"/>
          <w:bottom w:val="single" w:sz="8" w:space="0" w:color="121754"/>
          <w:right w:val="single" w:sz="8" w:space="0" w:color="121754"/>
        </w:tcBorders>
      </w:tcPr>
    </w:tblStylePr>
    <w:tblStylePr w:type="band1Vert">
      <w:tblPr/>
      <w:tcPr>
        <w:tcBorders>
          <w:top w:val="single" w:sz="8" w:space="0" w:color="121754"/>
          <w:left w:val="single" w:sz="8" w:space="0" w:color="121754"/>
          <w:bottom w:val="single" w:sz="8" w:space="0" w:color="121754"/>
          <w:right w:val="single" w:sz="8" w:space="0" w:color="121754"/>
        </w:tcBorders>
        <w:shd w:val="clear" w:color="auto" w:fill="ABB0ED"/>
      </w:tcPr>
    </w:tblStylePr>
    <w:tblStylePr w:type="band1Horz">
      <w:tblPr/>
      <w:tcPr>
        <w:tcBorders>
          <w:top w:val="single" w:sz="8" w:space="0" w:color="121754"/>
          <w:left w:val="single" w:sz="8" w:space="0" w:color="121754"/>
          <w:bottom w:val="single" w:sz="8" w:space="0" w:color="121754"/>
          <w:right w:val="single" w:sz="8" w:space="0" w:color="121754"/>
          <w:insideV w:val="single" w:sz="8" w:space="0" w:color="121754"/>
        </w:tcBorders>
        <w:shd w:val="clear" w:color="auto" w:fill="ABB0ED"/>
      </w:tcPr>
    </w:tblStylePr>
    <w:tblStylePr w:type="band2Horz">
      <w:tblPr/>
      <w:tcPr>
        <w:tcBorders>
          <w:top w:val="single" w:sz="8" w:space="0" w:color="121754"/>
          <w:left w:val="single" w:sz="8" w:space="0" w:color="121754"/>
          <w:bottom w:val="single" w:sz="8" w:space="0" w:color="121754"/>
          <w:right w:val="single" w:sz="8" w:space="0" w:color="121754"/>
          <w:insideV w:val="single" w:sz="8" w:space="0" w:color="121754"/>
        </w:tcBorders>
      </w:tcPr>
    </w:tblStylePr>
  </w:style>
  <w:style w:type="table" w:customStyle="1" w:styleId="HelleSchattierung-Akzent11">
    <w:name w:val="Helle Schattierung - Akzent 11"/>
    <w:basedOn w:val="TableNormal"/>
    <w:uiPriority w:val="60"/>
    <w:semiHidden/>
    <w:locked/>
    <w:rsid w:val="000F50EA"/>
    <w:pPr>
      <w:spacing w:after="0" w:line="240" w:lineRule="auto"/>
    </w:pPr>
    <w:rPr>
      <w:rFonts w:ascii="Arial" w:eastAsia="Times New Roman" w:hAnsi="Arial" w:cs="Times New Roman"/>
      <w:color w:val="0D113E"/>
      <w:sz w:val="20"/>
      <w:szCs w:val="20"/>
      <w:lang w:val="sq-AL" w:eastAsia="sq-AL"/>
    </w:rPr>
    <w:tblPr>
      <w:tblStyleRowBandSize w:val="1"/>
      <w:tblStyleColBandSize w:val="1"/>
      <w:tblInd w:w="0" w:type="dxa"/>
      <w:tblBorders>
        <w:top w:val="single" w:sz="8" w:space="0" w:color="121754"/>
        <w:bottom w:val="single" w:sz="8" w:space="0" w:color="12175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21754"/>
          <w:left w:val="nil"/>
          <w:bottom w:val="single" w:sz="8" w:space="0" w:color="121754"/>
          <w:right w:val="nil"/>
          <w:insideH w:val="nil"/>
          <w:insideV w:val="nil"/>
        </w:tcBorders>
      </w:tcPr>
    </w:tblStylePr>
    <w:tblStylePr w:type="lastRow">
      <w:pPr>
        <w:spacing w:before="0" w:after="0" w:line="240" w:lineRule="auto"/>
      </w:pPr>
      <w:rPr>
        <w:b/>
        <w:bCs/>
      </w:rPr>
      <w:tblPr/>
      <w:tcPr>
        <w:tcBorders>
          <w:top w:val="single" w:sz="8" w:space="0" w:color="121754"/>
          <w:left w:val="nil"/>
          <w:bottom w:val="single" w:sz="8" w:space="0" w:color="12175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B0ED"/>
      </w:tcPr>
    </w:tblStylePr>
    <w:tblStylePr w:type="band1Horz">
      <w:tblPr/>
      <w:tcPr>
        <w:tcBorders>
          <w:left w:val="nil"/>
          <w:right w:val="nil"/>
          <w:insideH w:val="nil"/>
          <w:insideV w:val="nil"/>
        </w:tcBorders>
        <w:shd w:val="clear" w:color="auto" w:fill="ABB0ED"/>
      </w:tcPr>
    </w:tblStylePr>
  </w:style>
  <w:style w:type="table" w:customStyle="1" w:styleId="DunkleListe1">
    <w:name w:val="Dunkle Liste1"/>
    <w:basedOn w:val="TableNormal"/>
    <w:uiPriority w:val="70"/>
    <w:semiHidden/>
    <w:unhideWhenUsed/>
    <w:locked/>
    <w:rsid w:val="000F50EA"/>
    <w:pPr>
      <w:spacing w:after="0" w:line="240" w:lineRule="auto"/>
    </w:pPr>
    <w:rPr>
      <w:rFonts w:ascii="Arial" w:eastAsia="Times New Roman" w:hAnsi="Arial" w:cs="Times New Roman"/>
      <w:color w:val="FFFFFF"/>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unhideWhenUsed/>
    <w:rsid w:val="000F50EA"/>
    <w:pPr>
      <w:spacing w:after="0" w:line="240" w:lineRule="auto"/>
    </w:pPr>
    <w:rPr>
      <w:rFonts w:ascii="Arial" w:eastAsia="Times New Roman" w:hAnsi="Arial" w:cs="Times New Roman"/>
      <w:color w:val="FFFFFF"/>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12175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90B29"/>
      </w:tcPr>
    </w:tblStylePr>
    <w:tblStylePr w:type="firstCol">
      <w:tblPr/>
      <w:tcPr>
        <w:tcBorders>
          <w:top w:val="nil"/>
          <w:left w:val="nil"/>
          <w:bottom w:val="nil"/>
          <w:right w:val="single" w:sz="18" w:space="0" w:color="FFFFFF"/>
          <w:insideH w:val="nil"/>
          <w:insideV w:val="nil"/>
        </w:tcBorders>
        <w:shd w:val="clear" w:color="auto" w:fill="0D113E"/>
      </w:tcPr>
    </w:tblStylePr>
    <w:tblStylePr w:type="lastCol">
      <w:tblPr/>
      <w:tcPr>
        <w:tcBorders>
          <w:top w:val="nil"/>
          <w:left w:val="single" w:sz="18" w:space="0" w:color="FFFFFF"/>
          <w:bottom w:val="nil"/>
          <w:right w:val="nil"/>
          <w:insideH w:val="nil"/>
          <w:insideV w:val="nil"/>
        </w:tcBorders>
        <w:shd w:val="clear" w:color="auto" w:fill="0D113E"/>
      </w:tcPr>
    </w:tblStylePr>
    <w:tblStylePr w:type="band1Vert">
      <w:tblPr/>
      <w:tcPr>
        <w:tcBorders>
          <w:top w:val="nil"/>
          <w:left w:val="nil"/>
          <w:bottom w:val="nil"/>
          <w:right w:val="nil"/>
          <w:insideH w:val="nil"/>
          <w:insideV w:val="nil"/>
        </w:tcBorders>
        <w:shd w:val="clear" w:color="auto" w:fill="0D113E"/>
      </w:tcPr>
    </w:tblStylePr>
    <w:tblStylePr w:type="band1Horz">
      <w:tblPr/>
      <w:tcPr>
        <w:tcBorders>
          <w:top w:val="nil"/>
          <w:left w:val="nil"/>
          <w:bottom w:val="nil"/>
          <w:right w:val="nil"/>
          <w:insideH w:val="nil"/>
          <w:insideV w:val="nil"/>
        </w:tcBorders>
        <w:shd w:val="clear" w:color="auto" w:fill="0D113E"/>
      </w:tcPr>
    </w:tblStylePr>
  </w:style>
  <w:style w:type="table" w:styleId="DarkList-Accent2">
    <w:name w:val="Dark List Accent 2"/>
    <w:basedOn w:val="TableNormal"/>
    <w:uiPriority w:val="70"/>
    <w:unhideWhenUsed/>
    <w:rsid w:val="000F50EA"/>
    <w:pPr>
      <w:spacing w:after="0" w:line="240" w:lineRule="auto"/>
    </w:pPr>
    <w:rPr>
      <w:rFonts w:ascii="Arial" w:eastAsia="Times New Roman" w:hAnsi="Arial" w:cs="Times New Roman"/>
      <w:color w:val="FFFFFF"/>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148DC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A4566"/>
      </w:tcPr>
    </w:tblStylePr>
    <w:tblStylePr w:type="firstCol">
      <w:tblPr/>
      <w:tcPr>
        <w:tcBorders>
          <w:top w:val="nil"/>
          <w:left w:val="nil"/>
          <w:bottom w:val="nil"/>
          <w:right w:val="single" w:sz="18" w:space="0" w:color="FFFFFF"/>
          <w:insideH w:val="nil"/>
          <w:insideV w:val="nil"/>
        </w:tcBorders>
        <w:shd w:val="clear" w:color="auto" w:fill="0F6999"/>
      </w:tcPr>
    </w:tblStylePr>
    <w:tblStylePr w:type="lastCol">
      <w:tblPr/>
      <w:tcPr>
        <w:tcBorders>
          <w:top w:val="nil"/>
          <w:left w:val="single" w:sz="18" w:space="0" w:color="FFFFFF"/>
          <w:bottom w:val="nil"/>
          <w:right w:val="nil"/>
          <w:insideH w:val="nil"/>
          <w:insideV w:val="nil"/>
        </w:tcBorders>
        <w:shd w:val="clear" w:color="auto" w:fill="0F6999"/>
      </w:tcPr>
    </w:tblStylePr>
    <w:tblStylePr w:type="band1Vert">
      <w:tblPr/>
      <w:tcPr>
        <w:tcBorders>
          <w:top w:val="nil"/>
          <w:left w:val="nil"/>
          <w:bottom w:val="nil"/>
          <w:right w:val="nil"/>
          <w:insideH w:val="nil"/>
          <w:insideV w:val="nil"/>
        </w:tcBorders>
        <w:shd w:val="clear" w:color="auto" w:fill="0F6999"/>
      </w:tcPr>
    </w:tblStylePr>
    <w:tblStylePr w:type="band1Horz">
      <w:tblPr/>
      <w:tcPr>
        <w:tcBorders>
          <w:top w:val="nil"/>
          <w:left w:val="nil"/>
          <w:bottom w:val="nil"/>
          <w:right w:val="nil"/>
          <w:insideH w:val="nil"/>
          <w:insideV w:val="nil"/>
        </w:tcBorders>
        <w:shd w:val="clear" w:color="auto" w:fill="0F6999"/>
      </w:tcPr>
    </w:tblStylePr>
  </w:style>
  <w:style w:type="table" w:styleId="DarkList-Accent3">
    <w:name w:val="Dark List Accent 3"/>
    <w:basedOn w:val="TableNormal"/>
    <w:uiPriority w:val="70"/>
    <w:unhideWhenUsed/>
    <w:rsid w:val="000F50EA"/>
    <w:pPr>
      <w:spacing w:after="0" w:line="240" w:lineRule="auto"/>
    </w:pPr>
    <w:rPr>
      <w:rFonts w:ascii="Arial" w:eastAsia="Times New Roman" w:hAnsi="Arial" w:cs="Times New Roman"/>
      <w:color w:val="FFFFFF"/>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94BAE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5A93"/>
      </w:tcPr>
    </w:tblStylePr>
    <w:tblStylePr w:type="firstCol">
      <w:tblPr/>
      <w:tcPr>
        <w:tcBorders>
          <w:top w:val="nil"/>
          <w:left w:val="nil"/>
          <w:bottom w:val="nil"/>
          <w:right w:val="single" w:sz="18" w:space="0" w:color="FFFFFF"/>
          <w:insideH w:val="nil"/>
          <w:insideV w:val="nil"/>
        </w:tcBorders>
        <w:shd w:val="clear" w:color="auto" w:fill="4989CF"/>
      </w:tcPr>
    </w:tblStylePr>
    <w:tblStylePr w:type="lastCol">
      <w:tblPr/>
      <w:tcPr>
        <w:tcBorders>
          <w:top w:val="nil"/>
          <w:left w:val="single" w:sz="18" w:space="0" w:color="FFFFFF"/>
          <w:bottom w:val="nil"/>
          <w:right w:val="nil"/>
          <w:insideH w:val="nil"/>
          <w:insideV w:val="nil"/>
        </w:tcBorders>
        <w:shd w:val="clear" w:color="auto" w:fill="4989CF"/>
      </w:tcPr>
    </w:tblStylePr>
    <w:tblStylePr w:type="band1Vert">
      <w:tblPr/>
      <w:tcPr>
        <w:tcBorders>
          <w:top w:val="nil"/>
          <w:left w:val="nil"/>
          <w:bottom w:val="nil"/>
          <w:right w:val="nil"/>
          <w:insideH w:val="nil"/>
          <w:insideV w:val="nil"/>
        </w:tcBorders>
        <w:shd w:val="clear" w:color="auto" w:fill="4989CF"/>
      </w:tcPr>
    </w:tblStylePr>
    <w:tblStylePr w:type="band1Horz">
      <w:tblPr/>
      <w:tcPr>
        <w:tcBorders>
          <w:top w:val="nil"/>
          <w:left w:val="nil"/>
          <w:bottom w:val="nil"/>
          <w:right w:val="nil"/>
          <w:insideH w:val="nil"/>
          <w:insideV w:val="nil"/>
        </w:tcBorders>
        <w:shd w:val="clear" w:color="auto" w:fill="4989CF"/>
      </w:tcPr>
    </w:tblStylePr>
  </w:style>
  <w:style w:type="table" w:styleId="DarkList-Accent4">
    <w:name w:val="Dark List Accent 4"/>
    <w:basedOn w:val="TableNormal"/>
    <w:uiPriority w:val="70"/>
    <w:unhideWhenUsed/>
    <w:rsid w:val="000F50EA"/>
    <w:pPr>
      <w:spacing w:after="0" w:line="240" w:lineRule="auto"/>
    </w:pPr>
    <w:rPr>
      <w:rFonts w:ascii="Arial" w:eastAsia="Times New Roman" w:hAnsi="Arial" w:cs="Times New Roman"/>
      <w:color w:val="FFFFFF"/>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79B51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C5A0E"/>
      </w:tcPr>
    </w:tblStylePr>
    <w:tblStylePr w:type="firstCol">
      <w:tblPr/>
      <w:tcPr>
        <w:tcBorders>
          <w:top w:val="nil"/>
          <w:left w:val="nil"/>
          <w:bottom w:val="nil"/>
          <w:right w:val="single" w:sz="18" w:space="0" w:color="FFFFFF"/>
          <w:insideH w:val="nil"/>
          <w:insideV w:val="nil"/>
        </w:tcBorders>
        <w:shd w:val="clear" w:color="auto" w:fill="5A8715"/>
      </w:tcPr>
    </w:tblStylePr>
    <w:tblStylePr w:type="lastCol">
      <w:tblPr/>
      <w:tcPr>
        <w:tcBorders>
          <w:top w:val="nil"/>
          <w:left w:val="single" w:sz="18" w:space="0" w:color="FFFFFF"/>
          <w:bottom w:val="nil"/>
          <w:right w:val="nil"/>
          <w:insideH w:val="nil"/>
          <w:insideV w:val="nil"/>
        </w:tcBorders>
        <w:shd w:val="clear" w:color="auto" w:fill="5A8715"/>
      </w:tcPr>
    </w:tblStylePr>
    <w:tblStylePr w:type="band1Vert">
      <w:tblPr/>
      <w:tcPr>
        <w:tcBorders>
          <w:top w:val="nil"/>
          <w:left w:val="nil"/>
          <w:bottom w:val="nil"/>
          <w:right w:val="nil"/>
          <w:insideH w:val="nil"/>
          <w:insideV w:val="nil"/>
        </w:tcBorders>
        <w:shd w:val="clear" w:color="auto" w:fill="5A8715"/>
      </w:tcPr>
    </w:tblStylePr>
    <w:tblStylePr w:type="band1Horz">
      <w:tblPr/>
      <w:tcPr>
        <w:tcBorders>
          <w:top w:val="nil"/>
          <w:left w:val="nil"/>
          <w:bottom w:val="nil"/>
          <w:right w:val="nil"/>
          <w:insideH w:val="nil"/>
          <w:insideV w:val="nil"/>
        </w:tcBorders>
        <w:shd w:val="clear" w:color="auto" w:fill="5A8715"/>
      </w:tcPr>
    </w:tblStylePr>
  </w:style>
  <w:style w:type="table" w:styleId="DarkList-Accent5">
    <w:name w:val="Dark List Accent 5"/>
    <w:basedOn w:val="TableNormal"/>
    <w:uiPriority w:val="70"/>
    <w:unhideWhenUsed/>
    <w:rsid w:val="000F50EA"/>
    <w:pPr>
      <w:spacing w:after="0" w:line="240" w:lineRule="auto"/>
    </w:pPr>
    <w:rPr>
      <w:rFonts w:ascii="Arial" w:eastAsia="Times New Roman" w:hAnsi="Arial" w:cs="Times New Roman"/>
      <w:color w:val="FFFFFF"/>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ACC7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56202"/>
      </w:tcPr>
    </w:tblStylePr>
    <w:tblStylePr w:type="firstCol">
      <w:tblPr/>
      <w:tcPr>
        <w:tcBorders>
          <w:top w:val="nil"/>
          <w:left w:val="nil"/>
          <w:bottom w:val="nil"/>
          <w:right w:val="single" w:sz="18" w:space="0" w:color="FFFFFF"/>
          <w:insideH w:val="nil"/>
          <w:insideV w:val="nil"/>
        </w:tcBorders>
        <w:shd w:val="clear" w:color="auto" w:fill="809403"/>
      </w:tcPr>
    </w:tblStylePr>
    <w:tblStylePr w:type="lastCol">
      <w:tblPr/>
      <w:tcPr>
        <w:tcBorders>
          <w:top w:val="nil"/>
          <w:left w:val="single" w:sz="18" w:space="0" w:color="FFFFFF"/>
          <w:bottom w:val="nil"/>
          <w:right w:val="nil"/>
          <w:insideH w:val="nil"/>
          <w:insideV w:val="nil"/>
        </w:tcBorders>
        <w:shd w:val="clear" w:color="auto" w:fill="809403"/>
      </w:tcPr>
    </w:tblStylePr>
    <w:tblStylePr w:type="band1Vert">
      <w:tblPr/>
      <w:tcPr>
        <w:tcBorders>
          <w:top w:val="nil"/>
          <w:left w:val="nil"/>
          <w:bottom w:val="nil"/>
          <w:right w:val="nil"/>
          <w:insideH w:val="nil"/>
          <w:insideV w:val="nil"/>
        </w:tcBorders>
        <w:shd w:val="clear" w:color="auto" w:fill="809403"/>
      </w:tcPr>
    </w:tblStylePr>
    <w:tblStylePr w:type="band1Horz">
      <w:tblPr/>
      <w:tcPr>
        <w:tcBorders>
          <w:top w:val="nil"/>
          <w:left w:val="nil"/>
          <w:bottom w:val="nil"/>
          <w:right w:val="nil"/>
          <w:insideH w:val="nil"/>
          <w:insideV w:val="nil"/>
        </w:tcBorders>
        <w:shd w:val="clear" w:color="auto" w:fill="809403"/>
      </w:tcPr>
    </w:tblStylePr>
  </w:style>
  <w:style w:type="table" w:styleId="DarkList-Accent6">
    <w:name w:val="Dark List Accent 6"/>
    <w:basedOn w:val="TableNormal"/>
    <w:uiPriority w:val="70"/>
    <w:unhideWhenUsed/>
    <w:rsid w:val="000F50EA"/>
    <w:pPr>
      <w:spacing w:after="0" w:line="240" w:lineRule="auto"/>
    </w:pPr>
    <w:rPr>
      <w:rFonts w:ascii="Arial" w:eastAsia="Times New Roman" w:hAnsi="Arial" w:cs="Times New Roman"/>
      <w:color w:val="FFFFFF"/>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F392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94800"/>
      </w:tcPr>
    </w:tblStylePr>
    <w:tblStylePr w:type="firstCol">
      <w:tblPr/>
      <w:tcPr>
        <w:tcBorders>
          <w:top w:val="nil"/>
          <w:left w:val="nil"/>
          <w:bottom w:val="nil"/>
          <w:right w:val="single" w:sz="18" w:space="0" w:color="FFFFFF"/>
          <w:insideH w:val="nil"/>
          <w:insideV w:val="nil"/>
        </w:tcBorders>
        <w:shd w:val="clear" w:color="auto" w:fill="B66D00"/>
      </w:tcPr>
    </w:tblStylePr>
    <w:tblStylePr w:type="lastCol">
      <w:tblPr/>
      <w:tcPr>
        <w:tcBorders>
          <w:top w:val="nil"/>
          <w:left w:val="single" w:sz="18" w:space="0" w:color="FFFFFF"/>
          <w:bottom w:val="nil"/>
          <w:right w:val="nil"/>
          <w:insideH w:val="nil"/>
          <w:insideV w:val="nil"/>
        </w:tcBorders>
        <w:shd w:val="clear" w:color="auto" w:fill="B66D00"/>
      </w:tcPr>
    </w:tblStylePr>
    <w:tblStylePr w:type="band1Vert">
      <w:tblPr/>
      <w:tcPr>
        <w:tcBorders>
          <w:top w:val="nil"/>
          <w:left w:val="nil"/>
          <w:bottom w:val="nil"/>
          <w:right w:val="nil"/>
          <w:insideH w:val="nil"/>
          <w:insideV w:val="nil"/>
        </w:tcBorders>
        <w:shd w:val="clear" w:color="auto" w:fill="B66D00"/>
      </w:tcPr>
    </w:tblStylePr>
    <w:tblStylePr w:type="band1Horz">
      <w:tblPr/>
      <w:tcPr>
        <w:tcBorders>
          <w:top w:val="nil"/>
          <w:left w:val="nil"/>
          <w:bottom w:val="nil"/>
          <w:right w:val="nil"/>
          <w:insideH w:val="nil"/>
          <w:insideV w:val="nil"/>
        </w:tcBorders>
        <w:shd w:val="clear" w:color="auto" w:fill="B66D00"/>
      </w:tcPr>
    </w:tblStylePr>
  </w:style>
  <w:style w:type="table" w:customStyle="1" w:styleId="HelleListe1">
    <w:name w:val="Helle Liste1"/>
    <w:basedOn w:val="TableNormal"/>
    <w:uiPriority w:val="61"/>
    <w:semiHidden/>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HelleListe-Akzent11">
    <w:name w:val="Helle Liste - Akzent 11"/>
    <w:basedOn w:val="TableNormal"/>
    <w:uiPriority w:val="61"/>
    <w:semiHidden/>
    <w:lock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121754"/>
        <w:left w:val="single" w:sz="8" w:space="0" w:color="121754"/>
        <w:bottom w:val="single" w:sz="8" w:space="0" w:color="121754"/>
        <w:right w:val="single" w:sz="8" w:space="0" w:color="12175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21754"/>
      </w:tcPr>
    </w:tblStylePr>
    <w:tblStylePr w:type="lastRow">
      <w:pPr>
        <w:spacing w:before="0" w:after="0" w:line="240" w:lineRule="auto"/>
      </w:pPr>
      <w:rPr>
        <w:b/>
        <w:bCs/>
      </w:rPr>
      <w:tblPr/>
      <w:tcPr>
        <w:tcBorders>
          <w:top w:val="double" w:sz="6" w:space="0" w:color="121754"/>
          <w:left w:val="single" w:sz="8" w:space="0" w:color="121754"/>
          <w:bottom w:val="single" w:sz="8" w:space="0" w:color="121754"/>
          <w:right w:val="single" w:sz="8" w:space="0" w:color="121754"/>
        </w:tcBorders>
      </w:tcPr>
    </w:tblStylePr>
    <w:tblStylePr w:type="firstCol">
      <w:rPr>
        <w:b/>
        <w:bCs/>
      </w:rPr>
    </w:tblStylePr>
    <w:tblStylePr w:type="lastCol">
      <w:rPr>
        <w:b/>
        <w:bCs/>
      </w:rPr>
    </w:tblStylePr>
    <w:tblStylePr w:type="band1Vert">
      <w:tblPr/>
      <w:tcPr>
        <w:tcBorders>
          <w:top w:val="single" w:sz="8" w:space="0" w:color="121754"/>
          <w:left w:val="single" w:sz="8" w:space="0" w:color="121754"/>
          <w:bottom w:val="single" w:sz="8" w:space="0" w:color="121754"/>
          <w:right w:val="single" w:sz="8" w:space="0" w:color="121754"/>
        </w:tcBorders>
      </w:tcPr>
    </w:tblStylePr>
    <w:tblStylePr w:type="band1Horz">
      <w:tblPr/>
      <w:tcPr>
        <w:tcBorders>
          <w:top w:val="single" w:sz="8" w:space="0" w:color="121754"/>
          <w:left w:val="single" w:sz="8" w:space="0" w:color="121754"/>
          <w:bottom w:val="single" w:sz="8" w:space="0" w:color="121754"/>
          <w:right w:val="single" w:sz="8" w:space="0" w:color="121754"/>
        </w:tcBorders>
      </w:tcPr>
    </w:tblStylePr>
  </w:style>
  <w:style w:type="table" w:styleId="LightList-Accent3">
    <w:name w:val="Light List Accent 3"/>
    <w:basedOn w:val="TableNormal"/>
    <w:uiPriority w:val="61"/>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94BAE3"/>
        <w:left w:val="single" w:sz="8" w:space="0" w:color="94BAE3"/>
        <w:bottom w:val="single" w:sz="8" w:space="0" w:color="94BAE3"/>
        <w:right w:val="single" w:sz="8" w:space="0" w:color="94BAE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4BAE3"/>
      </w:tcPr>
    </w:tblStylePr>
    <w:tblStylePr w:type="lastRow">
      <w:pPr>
        <w:spacing w:before="0" w:after="0" w:line="240" w:lineRule="auto"/>
      </w:pPr>
      <w:rPr>
        <w:b/>
        <w:bCs/>
      </w:rPr>
      <w:tblPr/>
      <w:tcPr>
        <w:tcBorders>
          <w:top w:val="double" w:sz="6" w:space="0" w:color="94BAE3"/>
          <w:left w:val="single" w:sz="8" w:space="0" w:color="94BAE3"/>
          <w:bottom w:val="single" w:sz="8" w:space="0" w:color="94BAE3"/>
          <w:right w:val="single" w:sz="8" w:space="0" w:color="94BAE3"/>
        </w:tcBorders>
      </w:tcPr>
    </w:tblStylePr>
    <w:tblStylePr w:type="firstCol">
      <w:rPr>
        <w:b/>
        <w:bCs/>
      </w:rPr>
    </w:tblStylePr>
    <w:tblStylePr w:type="lastCol">
      <w:rPr>
        <w:b/>
        <w:bCs/>
      </w:rPr>
    </w:tblStylePr>
    <w:tblStylePr w:type="band1Vert">
      <w:tblPr/>
      <w:tcPr>
        <w:tcBorders>
          <w:top w:val="single" w:sz="8" w:space="0" w:color="94BAE3"/>
          <w:left w:val="single" w:sz="8" w:space="0" w:color="94BAE3"/>
          <w:bottom w:val="single" w:sz="8" w:space="0" w:color="94BAE3"/>
          <w:right w:val="single" w:sz="8" w:space="0" w:color="94BAE3"/>
        </w:tcBorders>
      </w:tcPr>
    </w:tblStylePr>
    <w:tblStylePr w:type="band1Horz">
      <w:tblPr/>
      <w:tcPr>
        <w:tcBorders>
          <w:top w:val="single" w:sz="8" w:space="0" w:color="94BAE3"/>
          <w:left w:val="single" w:sz="8" w:space="0" w:color="94BAE3"/>
          <w:bottom w:val="single" w:sz="8" w:space="0" w:color="94BAE3"/>
          <w:right w:val="single" w:sz="8" w:space="0" w:color="94BAE3"/>
        </w:tcBorders>
      </w:tcPr>
    </w:tblStylePr>
  </w:style>
  <w:style w:type="table" w:styleId="LightList-Accent4">
    <w:name w:val="Light List Accent 4"/>
    <w:basedOn w:val="TableNormal"/>
    <w:uiPriority w:val="61"/>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79B51C"/>
        <w:left w:val="single" w:sz="8" w:space="0" w:color="79B51C"/>
        <w:bottom w:val="single" w:sz="8" w:space="0" w:color="79B51C"/>
        <w:right w:val="single" w:sz="8" w:space="0" w:color="79B51C"/>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79B51C"/>
      </w:tcPr>
    </w:tblStylePr>
    <w:tblStylePr w:type="lastRow">
      <w:pPr>
        <w:spacing w:before="0" w:after="0" w:line="240" w:lineRule="auto"/>
      </w:pPr>
      <w:rPr>
        <w:b/>
        <w:bCs/>
      </w:rPr>
      <w:tblPr/>
      <w:tcPr>
        <w:tcBorders>
          <w:top w:val="double" w:sz="6" w:space="0" w:color="79B51C"/>
          <w:left w:val="single" w:sz="8" w:space="0" w:color="79B51C"/>
          <w:bottom w:val="single" w:sz="8" w:space="0" w:color="79B51C"/>
          <w:right w:val="single" w:sz="8" w:space="0" w:color="79B51C"/>
        </w:tcBorders>
      </w:tcPr>
    </w:tblStylePr>
    <w:tblStylePr w:type="firstCol">
      <w:rPr>
        <w:b/>
        <w:bCs/>
      </w:rPr>
    </w:tblStylePr>
    <w:tblStylePr w:type="lastCol">
      <w:rPr>
        <w:b/>
        <w:bCs/>
      </w:rPr>
    </w:tblStylePr>
    <w:tblStylePr w:type="band1Vert">
      <w:tblPr/>
      <w:tcPr>
        <w:tcBorders>
          <w:top w:val="single" w:sz="8" w:space="0" w:color="79B51C"/>
          <w:left w:val="single" w:sz="8" w:space="0" w:color="79B51C"/>
          <w:bottom w:val="single" w:sz="8" w:space="0" w:color="79B51C"/>
          <w:right w:val="single" w:sz="8" w:space="0" w:color="79B51C"/>
        </w:tcBorders>
      </w:tcPr>
    </w:tblStylePr>
    <w:tblStylePr w:type="band1Horz">
      <w:tblPr/>
      <w:tcPr>
        <w:tcBorders>
          <w:top w:val="single" w:sz="8" w:space="0" w:color="79B51C"/>
          <w:left w:val="single" w:sz="8" w:space="0" w:color="79B51C"/>
          <w:bottom w:val="single" w:sz="8" w:space="0" w:color="79B51C"/>
          <w:right w:val="single" w:sz="8" w:space="0" w:color="79B51C"/>
        </w:tcBorders>
      </w:tcPr>
    </w:tblStylePr>
  </w:style>
  <w:style w:type="table" w:styleId="LightList-Accent6">
    <w:name w:val="Light List Accent 6"/>
    <w:basedOn w:val="TableNormal"/>
    <w:uiPriority w:val="61"/>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39200"/>
        <w:left w:val="single" w:sz="8" w:space="0" w:color="F39200"/>
        <w:bottom w:val="single" w:sz="8" w:space="0" w:color="F39200"/>
        <w:right w:val="single" w:sz="8" w:space="0" w:color="F392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39200"/>
      </w:tcPr>
    </w:tblStylePr>
    <w:tblStylePr w:type="lastRow">
      <w:pPr>
        <w:spacing w:before="0" w:after="0" w:line="240" w:lineRule="auto"/>
      </w:pPr>
      <w:rPr>
        <w:b/>
        <w:bCs/>
      </w:rPr>
      <w:tblPr/>
      <w:tcPr>
        <w:tcBorders>
          <w:top w:val="double" w:sz="6" w:space="0" w:color="F39200"/>
          <w:left w:val="single" w:sz="8" w:space="0" w:color="F39200"/>
          <w:bottom w:val="single" w:sz="8" w:space="0" w:color="F39200"/>
          <w:right w:val="single" w:sz="8" w:space="0" w:color="F39200"/>
        </w:tcBorders>
      </w:tcPr>
    </w:tblStylePr>
    <w:tblStylePr w:type="firstCol">
      <w:rPr>
        <w:b/>
        <w:bCs/>
      </w:rPr>
    </w:tblStylePr>
    <w:tblStylePr w:type="lastCol">
      <w:rPr>
        <w:b/>
        <w:bCs/>
      </w:rPr>
    </w:tblStylePr>
    <w:tblStylePr w:type="band1Vert">
      <w:tblPr/>
      <w:tcPr>
        <w:tcBorders>
          <w:top w:val="single" w:sz="8" w:space="0" w:color="F39200"/>
          <w:left w:val="single" w:sz="8" w:space="0" w:color="F39200"/>
          <w:bottom w:val="single" w:sz="8" w:space="0" w:color="F39200"/>
          <w:right w:val="single" w:sz="8" w:space="0" w:color="F39200"/>
        </w:tcBorders>
      </w:tcPr>
    </w:tblStylePr>
    <w:tblStylePr w:type="band1Horz">
      <w:tblPr/>
      <w:tcPr>
        <w:tcBorders>
          <w:top w:val="single" w:sz="8" w:space="0" w:color="F39200"/>
          <w:left w:val="single" w:sz="8" w:space="0" w:color="F39200"/>
          <w:bottom w:val="single" w:sz="8" w:space="0" w:color="F39200"/>
          <w:right w:val="single" w:sz="8" w:space="0" w:color="F39200"/>
        </w:tcBorders>
      </w:tcPr>
    </w:tblStylePr>
  </w:style>
  <w:style w:type="table" w:styleId="LightShading-Accent2">
    <w:name w:val="Light Shading Accent 2"/>
    <w:basedOn w:val="TableNormal"/>
    <w:uiPriority w:val="60"/>
    <w:rsid w:val="000F50EA"/>
    <w:pPr>
      <w:numPr>
        <w:ilvl w:val="1"/>
        <w:numId w:val="16"/>
      </w:numPr>
      <w:tabs>
        <w:tab w:val="num" w:pos="907"/>
      </w:tabs>
      <w:spacing w:after="0" w:line="240" w:lineRule="auto"/>
      <w:ind w:left="907" w:hanging="453"/>
    </w:pPr>
    <w:rPr>
      <w:rFonts w:ascii="Arial" w:eastAsia="Times New Roman" w:hAnsi="Arial" w:cs="Times New Roman"/>
      <w:color w:val="0F6999"/>
      <w:sz w:val="20"/>
      <w:szCs w:val="20"/>
      <w:lang w:val="sq-AL" w:eastAsia="sq-AL"/>
    </w:rPr>
    <w:tblPr>
      <w:tblStyleRowBandSize w:val="1"/>
      <w:tblStyleColBandSize w:val="1"/>
      <w:tblInd w:w="0" w:type="dxa"/>
      <w:tblBorders>
        <w:top w:val="single" w:sz="8" w:space="0" w:color="148DCD"/>
        <w:bottom w:val="single" w:sz="8" w:space="0" w:color="148DC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48DCD"/>
          <w:left w:val="nil"/>
          <w:bottom w:val="single" w:sz="8" w:space="0" w:color="148DCD"/>
          <w:right w:val="nil"/>
          <w:insideH w:val="nil"/>
          <w:insideV w:val="nil"/>
        </w:tcBorders>
      </w:tcPr>
    </w:tblStylePr>
    <w:tblStylePr w:type="lastRow">
      <w:pPr>
        <w:spacing w:before="0" w:after="0" w:line="240" w:lineRule="auto"/>
      </w:pPr>
      <w:rPr>
        <w:b/>
        <w:bCs/>
      </w:rPr>
      <w:tblPr/>
      <w:tcPr>
        <w:tcBorders>
          <w:top w:val="single" w:sz="8" w:space="0" w:color="148DCD"/>
          <w:left w:val="nil"/>
          <w:bottom w:val="single" w:sz="8" w:space="0" w:color="148DC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EE4F8"/>
      </w:tcPr>
    </w:tblStylePr>
    <w:tblStylePr w:type="band1Horz">
      <w:tblPr/>
      <w:tcPr>
        <w:tcBorders>
          <w:left w:val="nil"/>
          <w:right w:val="nil"/>
          <w:insideH w:val="nil"/>
          <w:insideV w:val="nil"/>
        </w:tcBorders>
        <w:shd w:val="clear" w:color="auto" w:fill="BEE4F8"/>
      </w:tcPr>
    </w:tblStylePr>
  </w:style>
  <w:style w:type="table" w:styleId="LightShading-Accent3">
    <w:name w:val="Light Shading Accent 3"/>
    <w:basedOn w:val="TableNormal"/>
    <w:uiPriority w:val="60"/>
    <w:rsid w:val="000F50EA"/>
    <w:pPr>
      <w:numPr>
        <w:ilvl w:val="2"/>
        <w:numId w:val="16"/>
      </w:numPr>
      <w:tabs>
        <w:tab w:val="num" w:pos="1361"/>
      </w:tabs>
      <w:spacing w:after="0" w:line="240" w:lineRule="auto"/>
      <w:ind w:left="1361" w:hanging="454"/>
    </w:pPr>
    <w:rPr>
      <w:rFonts w:ascii="Arial" w:eastAsia="Times New Roman" w:hAnsi="Arial" w:cs="Times New Roman"/>
      <w:color w:val="4989CF"/>
      <w:sz w:val="20"/>
      <w:szCs w:val="20"/>
      <w:lang w:val="sq-AL" w:eastAsia="sq-AL"/>
    </w:rPr>
    <w:tblPr>
      <w:tblStyleRowBandSize w:val="1"/>
      <w:tblStyleColBandSize w:val="1"/>
      <w:tblInd w:w="0" w:type="dxa"/>
      <w:tblBorders>
        <w:top w:val="single" w:sz="8" w:space="0" w:color="94BAE3"/>
        <w:bottom w:val="single" w:sz="8" w:space="0" w:color="94BAE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4BAE3"/>
          <w:left w:val="nil"/>
          <w:bottom w:val="single" w:sz="8" w:space="0" w:color="94BAE3"/>
          <w:right w:val="nil"/>
          <w:insideH w:val="nil"/>
          <w:insideV w:val="nil"/>
        </w:tcBorders>
      </w:tcPr>
    </w:tblStylePr>
    <w:tblStylePr w:type="lastRow">
      <w:pPr>
        <w:spacing w:before="0" w:after="0" w:line="240" w:lineRule="auto"/>
      </w:pPr>
      <w:rPr>
        <w:b/>
        <w:bCs/>
      </w:rPr>
      <w:tblPr/>
      <w:tcPr>
        <w:tcBorders>
          <w:top w:val="single" w:sz="8" w:space="0" w:color="94BAE3"/>
          <w:left w:val="nil"/>
          <w:bottom w:val="single" w:sz="8" w:space="0" w:color="94BAE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DF8"/>
      </w:tcPr>
    </w:tblStylePr>
    <w:tblStylePr w:type="band1Horz">
      <w:tblPr/>
      <w:tcPr>
        <w:tcBorders>
          <w:left w:val="nil"/>
          <w:right w:val="nil"/>
          <w:insideH w:val="nil"/>
          <w:insideV w:val="nil"/>
        </w:tcBorders>
        <w:shd w:val="clear" w:color="auto" w:fill="E4EDF8"/>
      </w:tcPr>
    </w:tblStylePr>
  </w:style>
  <w:style w:type="table" w:styleId="LightShading-Accent4">
    <w:name w:val="Light Shading Accent 4"/>
    <w:basedOn w:val="TableNormal"/>
    <w:uiPriority w:val="60"/>
    <w:rsid w:val="000F50EA"/>
    <w:pPr>
      <w:spacing w:after="0" w:line="240" w:lineRule="auto"/>
    </w:pPr>
    <w:rPr>
      <w:rFonts w:ascii="Arial" w:eastAsia="Times New Roman" w:hAnsi="Arial" w:cs="Times New Roman"/>
      <w:color w:val="5A8715"/>
      <w:sz w:val="20"/>
      <w:szCs w:val="20"/>
      <w:lang w:val="sq-AL" w:eastAsia="sq-AL"/>
    </w:rPr>
    <w:tblPr>
      <w:tblStyleRowBandSize w:val="1"/>
      <w:tblStyleColBandSize w:val="1"/>
      <w:tblInd w:w="0" w:type="dxa"/>
      <w:tblBorders>
        <w:top w:val="single" w:sz="8" w:space="0" w:color="79B51C"/>
        <w:bottom w:val="single" w:sz="8" w:space="0" w:color="79B51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9B51C"/>
          <w:left w:val="nil"/>
          <w:bottom w:val="single" w:sz="8" w:space="0" w:color="79B51C"/>
          <w:right w:val="nil"/>
          <w:insideH w:val="nil"/>
          <w:insideV w:val="nil"/>
        </w:tcBorders>
      </w:tcPr>
    </w:tblStylePr>
    <w:tblStylePr w:type="lastRow">
      <w:pPr>
        <w:spacing w:before="0" w:after="0" w:line="240" w:lineRule="auto"/>
      </w:pPr>
      <w:rPr>
        <w:b/>
        <w:bCs/>
      </w:rPr>
      <w:tblPr/>
      <w:tcPr>
        <w:tcBorders>
          <w:top w:val="single" w:sz="8" w:space="0" w:color="79B51C"/>
          <w:left w:val="nil"/>
          <w:bottom w:val="single" w:sz="8" w:space="0" w:color="79B51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F5BE"/>
      </w:tcPr>
    </w:tblStylePr>
    <w:tblStylePr w:type="band1Horz">
      <w:tblPr/>
      <w:tcPr>
        <w:tcBorders>
          <w:left w:val="nil"/>
          <w:right w:val="nil"/>
          <w:insideH w:val="nil"/>
          <w:insideV w:val="nil"/>
        </w:tcBorders>
        <w:shd w:val="clear" w:color="auto" w:fill="DFF5BE"/>
      </w:tcPr>
    </w:tblStylePr>
  </w:style>
  <w:style w:type="table" w:styleId="LightShading-Accent5">
    <w:name w:val="Light Shading Accent 5"/>
    <w:basedOn w:val="TableNormal"/>
    <w:uiPriority w:val="60"/>
    <w:rsid w:val="000F50EA"/>
    <w:pPr>
      <w:spacing w:after="0" w:line="240" w:lineRule="auto"/>
    </w:pPr>
    <w:rPr>
      <w:rFonts w:ascii="Arial" w:eastAsia="Times New Roman" w:hAnsi="Arial" w:cs="Times New Roman"/>
      <w:color w:val="809403"/>
      <w:sz w:val="20"/>
      <w:szCs w:val="20"/>
      <w:lang w:val="sq-AL" w:eastAsia="sq-AL"/>
    </w:rPr>
    <w:tblPr>
      <w:tblStyleRowBandSize w:val="1"/>
      <w:tblStyleColBandSize w:val="1"/>
      <w:tblInd w:w="0" w:type="dxa"/>
      <w:tblBorders>
        <w:top w:val="single" w:sz="8" w:space="0" w:color="ACC705"/>
        <w:bottom w:val="single" w:sz="8" w:space="0" w:color="ACC70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CC705"/>
          <w:left w:val="nil"/>
          <w:bottom w:val="single" w:sz="8" w:space="0" w:color="ACC705"/>
          <w:right w:val="nil"/>
          <w:insideH w:val="nil"/>
          <w:insideV w:val="nil"/>
        </w:tcBorders>
      </w:tcPr>
    </w:tblStylePr>
    <w:tblStylePr w:type="lastRow">
      <w:pPr>
        <w:spacing w:before="0" w:after="0" w:line="240" w:lineRule="auto"/>
      </w:pPr>
      <w:rPr>
        <w:b/>
        <w:bCs/>
      </w:rPr>
      <w:tblPr/>
      <w:tcPr>
        <w:tcBorders>
          <w:top w:val="single" w:sz="8" w:space="0" w:color="ACC705"/>
          <w:left w:val="nil"/>
          <w:bottom w:val="single" w:sz="8" w:space="0" w:color="ACC70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DB5"/>
      </w:tcPr>
    </w:tblStylePr>
    <w:tblStylePr w:type="band1Horz">
      <w:tblPr/>
      <w:tcPr>
        <w:tcBorders>
          <w:left w:val="nil"/>
          <w:right w:val="nil"/>
          <w:insideH w:val="nil"/>
          <w:insideV w:val="nil"/>
        </w:tcBorders>
        <w:shd w:val="clear" w:color="auto" w:fill="F3FDB5"/>
      </w:tcPr>
    </w:tblStylePr>
  </w:style>
  <w:style w:type="table" w:styleId="LightShading-Accent6">
    <w:name w:val="Light Shading Accent 6"/>
    <w:basedOn w:val="TableNormal"/>
    <w:uiPriority w:val="60"/>
    <w:rsid w:val="000F50EA"/>
    <w:pPr>
      <w:spacing w:after="0" w:line="240" w:lineRule="auto"/>
    </w:pPr>
    <w:rPr>
      <w:rFonts w:ascii="Arial" w:eastAsia="Times New Roman" w:hAnsi="Arial" w:cs="Times New Roman"/>
      <w:color w:val="B66D00"/>
      <w:sz w:val="20"/>
      <w:szCs w:val="20"/>
      <w:lang w:val="sq-AL" w:eastAsia="sq-AL"/>
    </w:rPr>
    <w:tblPr>
      <w:tblStyleRowBandSize w:val="1"/>
      <w:tblStyleColBandSize w:val="1"/>
      <w:tblInd w:w="0" w:type="dxa"/>
      <w:tblBorders>
        <w:top w:val="single" w:sz="8" w:space="0" w:color="F39200"/>
        <w:bottom w:val="single" w:sz="8" w:space="0" w:color="F392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39200"/>
          <w:left w:val="nil"/>
          <w:bottom w:val="single" w:sz="8" w:space="0" w:color="F39200"/>
          <w:right w:val="nil"/>
          <w:insideH w:val="nil"/>
          <w:insideV w:val="nil"/>
        </w:tcBorders>
      </w:tcPr>
    </w:tblStylePr>
    <w:tblStylePr w:type="lastRow">
      <w:pPr>
        <w:spacing w:before="0" w:after="0" w:line="240" w:lineRule="auto"/>
      </w:pPr>
      <w:rPr>
        <w:b/>
        <w:bCs/>
      </w:rPr>
      <w:tblPr/>
      <w:tcPr>
        <w:tcBorders>
          <w:top w:val="single" w:sz="8" w:space="0" w:color="F39200"/>
          <w:left w:val="nil"/>
          <w:bottom w:val="single" w:sz="8" w:space="0" w:color="F392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4BD"/>
      </w:tcPr>
    </w:tblStylePr>
    <w:tblStylePr w:type="band1Horz">
      <w:tblPr/>
      <w:tcPr>
        <w:tcBorders>
          <w:left w:val="nil"/>
          <w:right w:val="nil"/>
          <w:insideH w:val="nil"/>
          <w:insideV w:val="nil"/>
        </w:tcBorders>
        <w:shd w:val="clear" w:color="auto" w:fill="FFE4BD"/>
      </w:tcPr>
    </w:tblStylePr>
  </w:style>
  <w:style w:type="table" w:customStyle="1" w:styleId="HellesRaster1">
    <w:name w:val="Helles Raster1"/>
    <w:basedOn w:val="TableNormal"/>
    <w:uiPriority w:val="62"/>
    <w:semiHidden/>
    <w:lock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rial" w:eastAsia="MS Gothic" w:hAnsi="Aria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w:eastAsia="MS Gothic" w:hAnsi="Aria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w:eastAsia="MS Gothic" w:hAnsi="Arial" w:cs="Times New Roman"/>
        <w:b/>
        <w:bCs/>
      </w:rPr>
    </w:tblStylePr>
    <w:tblStylePr w:type="lastCol">
      <w:rPr>
        <w:rFonts w:ascii="Arial" w:eastAsia="MS Gothic" w:hAnsi="Aria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2">
    <w:name w:val="Light Grid Accent 2"/>
    <w:basedOn w:val="TableNormal"/>
    <w:uiPriority w:val="62"/>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148DCD"/>
        <w:left w:val="single" w:sz="8" w:space="0" w:color="148DCD"/>
        <w:bottom w:val="single" w:sz="8" w:space="0" w:color="148DCD"/>
        <w:right w:val="single" w:sz="8" w:space="0" w:color="148DCD"/>
        <w:insideH w:val="single" w:sz="8" w:space="0" w:color="148DCD"/>
        <w:insideV w:val="single" w:sz="8" w:space="0" w:color="148DCD"/>
      </w:tblBorders>
      <w:tblCellMar>
        <w:top w:w="0" w:type="dxa"/>
        <w:left w:w="108" w:type="dxa"/>
        <w:bottom w:w="0" w:type="dxa"/>
        <w:right w:w="108" w:type="dxa"/>
      </w:tblCellMar>
    </w:tblPr>
    <w:tblStylePr w:type="firstRow">
      <w:pPr>
        <w:spacing w:before="0" w:after="0" w:line="240" w:lineRule="auto"/>
      </w:pPr>
      <w:rPr>
        <w:rFonts w:ascii="Arial" w:eastAsia="MS Gothic" w:hAnsi="Arial" w:cs="Times New Roman"/>
        <w:b/>
        <w:bCs/>
      </w:rPr>
      <w:tblPr/>
      <w:tcPr>
        <w:tcBorders>
          <w:top w:val="single" w:sz="8" w:space="0" w:color="148DCD"/>
          <w:left w:val="single" w:sz="8" w:space="0" w:color="148DCD"/>
          <w:bottom w:val="single" w:sz="18" w:space="0" w:color="148DCD"/>
          <w:right w:val="single" w:sz="8" w:space="0" w:color="148DCD"/>
          <w:insideH w:val="nil"/>
          <w:insideV w:val="single" w:sz="8" w:space="0" w:color="148DCD"/>
        </w:tcBorders>
      </w:tcPr>
    </w:tblStylePr>
    <w:tblStylePr w:type="lastRow">
      <w:pPr>
        <w:spacing w:before="0" w:after="0" w:line="240" w:lineRule="auto"/>
      </w:pPr>
      <w:rPr>
        <w:rFonts w:ascii="Arial" w:eastAsia="MS Gothic" w:hAnsi="Arial" w:cs="Times New Roman"/>
        <w:b/>
        <w:bCs/>
      </w:rPr>
      <w:tblPr/>
      <w:tcPr>
        <w:tcBorders>
          <w:top w:val="double" w:sz="6" w:space="0" w:color="148DCD"/>
          <w:left w:val="single" w:sz="8" w:space="0" w:color="148DCD"/>
          <w:bottom w:val="single" w:sz="8" w:space="0" w:color="148DCD"/>
          <w:right w:val="single" w:sz="8" w:space="0" w:color="148DCD"/>
          <w:insideH w:val="nil"/>
          <w:insideV w:val="single" w:sz="8" w:space="0" w:color="148DCD"/>
        </w:tcBorders>
      </w:tcPr>
    </w:tblStylePr>
    <w:tblStylePr w:type="firstCol">
      <w:rPr>
        <w:rFonts w:ascii="Arial" w:eastAsia="MS Gothic" w:hAnsi="Arial" w:cs="Times New Roman"/>
        <w:b/>
        <w:bCs/>
      </w:rPr>
    </w:tblStylePr>
    <w:tblStylePr w:type="lastCol">
      <w:rPr>
        <w:rFonts w:ascii="Arial" w:eastAsia="MS Gothic" w:hAnsi="Arial" w:cs="Times New Roman"/>
        <w:b/>
        <w:bCs/>
      </w:rPr>
      <w:tblPr/>
      <w:tcPr>
        <w:tcBorders>
          <w:top w:val="single" w:sz="8" w:space="0" w:color="148DCD"/>
          <w:left w:val="single" w:sz="8" w:space="0" w:color="148DCD"/>
          <w:bottom w:val="single" w:sz="8" w:space="0" w:color="148DCD"/>
          <w:right w:val="single" w:sz="8" w:space="0" w:color="148DCD"/>
        </w:tcBorders>
      </w:tcPr>
    </w:tblStylePr>
    <w:tblStylePr w:type="band1Vert">
      <w:tblPr/>
      <w:tcPr>
        <w:tcBorders>
          <w:top w:val="single" w:sz="8" w:space="0" w:color="148DCD"/>
          <w:left w:val="single" w:sz="8" w:space="0" w:color="148DCD"/>
          <w:bottom w:val="single" w:sz="8" w:space="0" w:color="148DCD"/>
          <w:right w:val="single" w:sz="8" w:space="0" w:color="148DCD"/>
        </w:tcBorders>
        <w:shd w:val="clear" w:color="auto" w:fill="BEE4F8"/>
      </w:tcPr>
    </w:tblStylePr>
    <w:tblStylePr w:type="band1Horz">
      <w:tblPr/>
      <w:tcPr>
        <w:tcBorders>
          <w:top w:val="single" w:sz="8" w:space="0" w:color="148DCD"/>
          <w:left w:val="single" w:sz="8" w:space="0" w:color="148DCD"/>
          <w:bottom w:val="single" w:sz="8" w:space="0" w:color="148DCD"/>
          <w:right w:val="single" w:sz="8" w:space="0" w:color="148DCD"/>
          <w:insideV w:val="single" w:sz="8" w:space="0" w:color="148DCD"/>
        </w:tcBorders>
        <w:shd w:val="clear" w:color="auto" w:fill="BEE4F8"/>
      </w:tcPr>
    </w:tblStylePr>
    <w:tblStylePr w:type="band2Horz">
      <w:tblPr/>
      <w:tcPr>
        <w:tcBorders>
          <w:top w:val="single" w:sz="8" w:space="0" w:color="148DCD"/>
          <w:left w:val="single" w:sz="8" w:space="0" w:color="148DCD"/>
          <w:bottom w:val="single" w:sz="8" w:space="0" w:color="148DCD"/>
          <w:right w:val="single" w:sz="8" w:space="0" w:color="148DCD"/>
          <w:insideV w:val="single" w:sz="8" w:space="0" w:color="148DCD"/>
        </w:tcBorders>
      </w:tcPr>
    </w:tblStylePr>
  </w:style>
  <w:style w:type="table" w:styleId="LightGrid-Accent3">
    <w:name w:val="Light Grid Accent 3"/>
    <w:basedOn w:val="TableNormal"/>
    <w:uiPriority w:val="62"/>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94BAE3"/>
        <w:left w:val="single" w:sz="8" w:space="0" w:color="94BAE3"/>
        <w:bottom w:val="single" w:sz="8" w:space="0" w:color="94BAE3"/>
        <w:right w:val="single" w:sz="8" w:space="0" w:color="94BAE3"/>
        <w:insideH w:val="single" w:sz="8" w:space="0" w:color="94BAE3"/>
        <w:insideV w:val="single" w:sz="8" w:space="0" w:color="94BAE3"/>
      </w:tblBorders>
      <w:tblCellMar>
        <w:top w:w="0" w:type="dxa"/>
        <w:left w:w="108" w:type="dxa"/>
        <w:bottom w:w="0" w:type="dxa"/>
        <w:right w:w="108" w:type="dxa"/>
      </w:tblCellMar>
    </w:tblPr>
    <w:tblStylePr w:type="firstRow">
      <w:pPr>
        <w:spacing w:before="0" w:after="0" w:line="240" w:lineRule="auto"/>
      </w:pPr>
      <w:rPr>
        <w:rFonts w:ascii="Arial" w:eastAsia="MS Gothic" w:hAnsi="Arial" w:cs="Times New Roman"/>
        <w:b/>
        <w:bCs/>
      </w:rPr>
      <w:tblPr/>
      <w:tcPr>
        <w:tcBorders>
          <w:top w:val="single" w:sz="8" w:space="0" w:color="94BAE3"/>
          <w:left w:val="single" w:sz="8" w:space="0" w:color="94BAE3"/>
          <w:bottom w:val="single" w:sz="18" w:space="0" w:color="94BAE3"/>
          <w:right w:val="single" w:sz="8" w:space="0" w:color="94BAE3"/>
          <w:insideH w:val="nil"/>
          <w:insideV w:val="single" w:sz="8" w:space="0" w:color="94BAE3"/>
        </w:tcBorders>
      </w:tcPr>
    </w:tblStylePr>
    <w:tblStylePr w:type="lastRow">
      <w:pPr>
        <w:spacing w:before="0" w:after="0" w:line="240" w:lineRule="auto"/>
      </w:pPr>
      <w:rPr>
        <w:rFonts w:ascii="Arial" w:eastAsia="MS Gothic" w:hAnsi="Arial" w:cs="Times New Roman"/>
        <w:b/>
        <w:bCs/>
      </w:rPr>
      <w:tblPr/>
      <w:tcPr>
        <w:tcBorders>
          <w:top w:val="double" w:sz="6" w:space="0" w:color="94BAE3"/>
          <w:left w:val="single" w:sz="8" w:space="0" w:color="94BAE3"/>
          <w:bottom w:val="single" w:sz="8" w:space="0" w:color="94BAE3"/>
          <w:right w:val="single" w:sz="8" w:space="0" w:color="94BAE3"/>
          <w:insideH w:val="nil"/>
          <w:insideV w:val="single" w:sz="8" w:space="0" w:color="94BAE3"/>
        </w:tcBorders>
      </w:tcPr>
    </w:tblStylePr>
    <w:tblStylePr w:type="firstCol">
      <w:rPr>
        <w:rFonts w:ascii="Arial" w:eastAsia="MS Gothic" w:hAnsi="Arial" w:cs="Times New Roman"/>
        <w:b/>
        <w:bCs/>
      </w:rPr>
    </w:tblStylePr>
    <w:tblStylePr w:type="lastCol">
      <w:rPr>
        <w:rFonts w:ascii="Arial" w:eastAsia="MS Gothic" w:hAnsi="Arial" w:cs="Times New Roman"/>
        <w:b/>
        <w:bCs/>
      </w:rPr>
      <w:tblPr/>
      <w:tcPr>
        <w:tcBorders>
          <w:top w:val="single" w:sz="8" w:space="0" w:color="94BAE3"/>
          <w:left w:val="single" w:sz="8" w:space="0" w:color="94BAE3"/>
          <w:bottom w:val="single" w:sz="8" w:space="0" w:color="94BAE3"/>
          <w:right w:val="single" w:sz="8" w:space="0" w:color="94BAE3"/>
        </w:tcBorders>
      </w:tcPr>
    </w:tblStylePr>
    <w:tblStylePr w:type="band1Vert">
      <w:tblPr/>
      <w:tcPr>
        <w:tcBorders>
          <w:top w:val="single" w:sz="8" w:space="0" w:color="94BAE3"/>
          <w:left w:val="single" w:sz="8" w:space="0" w:color="94BAE3"/>
          <w:bottom w:val="single" w:sz="8" w:space="0" w:color="94BAE3"/>
          <w:right w:val="single" w:sz="8" w:space="0" w:color="94BAE3"/>
        </w:tcBorders>
        <w:shd w:val="clear" w:color="auto" w:fill="E4EDF8"/>
      </w:tcPr>
    </w:tblStylePr>
    <w:tblStylePr w:type="band1Horz">
      <w:tblPr/>
      <w:tcPr>
        <w:tcBorders>
          <w:top w:val="single" w:sz="8" w:space="0" w:color="94BAE3"/>
          <w:left w:val="single" w:sz="8" w:space="0" w:color="94BAE3"/>
          <w:bottom w:val="single" w:sz="8" w:space="0" w:color="94BAE3"/>
          <w:right w:val="single" w:sz="8" w:space="0" w:color="94BAE3"/>
          <w:insideV w:val="single" w:sz="8" w:space="0" w:color="94BAE3"/>
        </w:tcBorders>
        <w:shd w:val="clear" w:color="auto" w:fill="E4EDF8"/>
      </w:tcPr>
    </w:tblStylePr>
    <w:tblStylePr w:type="band2Horz">
      <w:tblPr/>
      <w:tcPr>
        <w:tcBorders>
          <w:top w:val="single" w:sz="8" w:space="0" w:color="94BAE3"/>
          <w:left w:val="single" w:sz="8" w:space="0" w:color="94BAE3"/>
          <w:bottom w:val="single" w:sz="8" w:space="0" w:color="94BAE3"/>
          <w:right w:val="single" w:sz="8" w:space="0" w:color="94BAE3"/>
          <w:insideV w:val="single" w:sz="8" w:space="0" w:color="94BAE3"/>
        </w:tcBorders>
      </w:tcPr>
    </w:tblStylePr>
  </w:style>
  <w:style w:type="table" w:styleId="LightGrid-Accent4">
    <w:name w:val="Light Grid Accent 4"/>
    <w:basedOn w:val="TableNormal"/>
    <w:uiPriority w:val="62"/>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79B51C"/>
        <w:left w:val="single" w:sz="8" w:space="0" w:color="79B51C"/>
        <w:bottom w:val="single" w:sz="8" w:space="0" w:color="79B51C"/>
        <w:right w:val="single" w:sz="8" w:space="0" w:color="79B51C"/>
        <w:insideH w:val="single" w:sz="8" w:space="0" w:color="79B51C"/>
        <w:insideV w:val="single" w:sz="8" w:space="0" w:color="79B51C"/>
      </w:tblBorders>
      <w:tblCellMar>
        <w:top w:w="0" w:type="dxa"/>
        <w:left w:w="108" w:type="dxa"/>
        <w:bottom w:w="0" w:type="dxa"/>
        <w:right w:w="108" w:type="dxa"/>
      </w:tblCellMar>
    </w:tblPr>
    <w:tblStylePr w:type="firstRow">
      <w:pPr>
        <w:spacing w:before="0" w:after="0" w:line="240" w:lineRule="auto"/>
      </w:pPr>
      <w:rPr>
        <w:rFonts w:ascii="Arial" w:eastAsia="MS Gothic" w:hAnsi="Arial" w:cs="Times New Roman"/>
        <w:b/>
        <w:bCs/>
      </w:rPr>
      <w:tblPr/>
      <w:tcPr>
        <w:tcBorders>
          <w:top w:val="single" w:sz="8" w:space="0" w:color="79B51C"/>
          <w:left w:val="single" w:sz="8" w:space="0" w:color="79B51C"/>
          <w:bottom w:val="single" w:sz="18" w:space="0" w:color="79B51C"/>
          <w:right w:val="single" w:sz="8" w:space="0" w:color="79B51C"/>
          <w:insideH w:val="nil"/>
          <w:insideV w:val="single" w:sz="8" w:space="0" w:color="79B51C"/>
        </w:tcBorders>
      </w:tcPr>
    </w:tblStylePr>
    <w:tblStylePr w:type="lastRow">
      <w:pPr>
        <w:spacing w:before="0" w:after="0" w:line="240" w:lineRule="auto"/>
      </w:pPr>
      <w:rPr>
        <w:rFonts w:ascii="Arial" w:eastAsia="MS Gothic" w:hAnsi="Arial" w:cs="Times New Roman"/>
        <w:b/>
        <w:bCs/>
      </w:rPr>
      <w:tblPr/>
      <w:tcPr>
        <w:tcBorders>
          <w:top w:val="double" w:sz="6" w:space="0" w:color="79B51C"/>
          <w:left w:val="single" w:sz="8" w:space="0" w:color="79B51C"/>
          <w:bottom w:val="single" w:sz="8" w:space="0" w:color="79B51C"/>
          <w:right w:val="single" w:sz="8" w:space="0" w:color="79B51C"/>
          <w:insideH w:val="nil"/>
          <w:insideV w:val="single" w:sz="8" w:space="0" w:color="79B51C"/>
        </w:tcBorders>
      </w:tcPr>
    </w:tblStylePr>
    <w:tblStylePr w:type="firstCol">
      <w:rPr>
        <w:rFonts w:ascii="Arial" w:eastAsia="MS Gothic" w:hAnsi="Arial" w:cs="Times New Roman"/>
        <w:b/>
        <w:bCs/>
      </w:rPr>
    </w:tblStylePr>
    <w:tblStylePr w:type="lastCol">
      <w:rPr>
        <w:rFonts w:ascii="Arial" w:eastAsia="MS Gothic" w:hAnsi="Arial" w:cs="Times New Roman"/>
        <w:b/>
        <w:bCs/>
      </w:rPr>
      <w:tblPr/>
      <w:tcPr>
        <w:tcBorders>
          <w:top w:val="single" w:sz="8" w:space="0" w:color="79B51C"/>
          <w:left w:val="single" w:sz="8" w:space="0" w:color="79B51C"/>
          <w:bottom w:val="single" w:sz="8" w:space="0" w:color="79B51C"/>
          <w:right w:val="single" w:sz="8" w:space="0" w:color="79B51C"/>
        </w:tcBorders>
      </w:tcPr>
    </w:tblStylePr>
    <w:tblStylePr w:type="band1Vert">
      <w:tblPr/>
      <w:tcPr>
        <w:tcBorders>
          <w:top w:val="single" w:sz="8" w:space="0" w:color="79B51C"/>
          <w:left w:val="single" w:sz="8" w:space="0" w:color="79B51C"/>
          <w:bottom w:val="single" w:sz="8" w:space="0" w:color="79B51C"/>
          <w:right w:val="single" w:sz="8" w:space="0" w:color="79B51C"/>
        </w:tcBorders>
        <w:shd w:val="clear" w:color="auto" w:fill="DFF5BE"/>
      </w:tcPr>
    </w:tblStylePr>
    <w:tblStylePr w:type="band1Horz">
      <w:tblPr/>
      <w:tcPr>
        <w:tcBorders>
          <w:top w:val="single" w:sz="8" w:space="0" w:color="79B51C"/>
          <w:left w:val="single" w:sz="8" w:space="0" w:color="79B51C"/>
          <w:bottom w:val="single" w:sz="8" w:space="0" w:color="79B51C"/>
          <w:right w:val="single" w:sz="8" w:space="0" w:color="79B51C"/>
          <w:insideV w:val="single" w:sz="8" w:space="0" w:color="79B51C"/>
        </w:tcBorders>
        <w:shd w:val="clear" w:color="auto" w:fill="DFF5BE"/>
      </w:tcPr>
    </w:tblStylePr>
    <w:tblStylePr w:type="band2Horz">
      <w:tblPr/>
      <w:tcPr>
        <w:tcBorders>
          <w:top w:val="single" w:sz="8" w:space="0" w:color="79B51C"/>
          <w:left w:val="single" w:sz="8" w:space="0" w:color="79B51C"/>
          <w:bottom w:val="single" w:sz="8" w:space="0" w:color="79B51C"/>
          <w:right w:val="single" w:sz="8" w:space="0" w:color="79B51C"/>
          <w:insideV w:val="single" w:sz="8" w:space="0" w:color="79B51C"/>
        </w:tcBorders>
      </w:tcPr>
    </w:tblStylePr>
  </w:style>
  <w:style w:type="table" w:styleId="LightGrid-Accent5">
    <w:name w:val="Light Grid Accent 5"/>
    <w:basedOn w:val="TableNormal"/>
    <w:uiPriority w:val="62"/>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ACC705"/>
        <w:left w:val="single" w:sz="8" w:space="0" w:color="ACC705"/>
        <w:bottom w:val="single" w:sz="8" w:space="0" w:color="ACC705"/>
        <w:right w:val="single" w:sz="8" w:space="0" w:color="ACC705"/>
        <w:insideH w:val="single" w:sz="8" w:space="0" w:color="ACC705"/>
        <w:insideV w:val="single" w:sz="8" w:space="0" w:color="ACC705"/>
      </w:tblBorders>
      <w:tblCellMar>
        <w:top w:w="0" w:type="dxa"/>
        <w:left w:w="108" w:type="dxa"/>
        <w:bottom w:w="0" w:type="dxa"/>
        <w:right w:w="108" w:type="dxa"/>
      </w:tblCellMar>
    </w:tblPr>
    <w:tblStylePr w:type="firstRow">
      <w:pPr>
        <w:spacing w:before="0" w:after="0" w:line="240" w:lineRule="auto"/>
      </w:pPr>
      <w:rPr>
        <w:rFonts w:ascii="Arial" w:eastAsia="MS Gothic" w:hAnsi="Arial" w:cs="Times New Roman"/>
        <w:b/>
        <w:bCs/>
      </w:rPr>
      <w:tblPr/>
      <w:tcPr>
        <w:tcBorders>
          <w:top w:val="single" w:sz="8" w:space="0" w:color="ACC705"/>
          <w:left w:val="single" w:sz="8" w:space="0" w:color="ACC705"/>
          <w:bottom w:val="single" w:sz="18" w:space="0" w:color="ACC705"/>
          <w:right w:val="single" w:sz="8" w:space="0" w:color="ACC705"/>
          <w:insideH w:val="nil"/>
          <w:insideV w:val="single" w:sz="8" w:space="0" w:color="ACC705"/>
        </w:tcBorders>
      </w:tcPr>
    </w:tblStylePr>
    <w:tblStylePr w:type="lastRow">
      <w:pPr>
        <w:spacing w:before="0" w:after="0" w:line="240" w:lineRule="auto"/>
      </w:pPr>
      <w:rPr>
        <w:rFonts w:ascii="Arial" w:eastAsia="MS Gothic" w:hAnsi="Arial" w:cs="Times New Roman"/>
        <w:b/>
        <w:bCs/>
      </w:rPr>
      <w:tblPr/>
      <w:tcPr>
        <w:tcBorders>
          <w:top w:val="double" w:sz="6" w:space="0" w:color="ACC705"/>
          <w:left w:val="single" w:sz="8" w:space="0" w:color="ACC705"/>
          <w:bottom w:val="single" w:sz="8" w:space="0" w:color="ACC705"/>
          <w:right w:val="single" w:sz="8" w:space="0" w:color="ACC705"/>
          <w:insideH w:val="nil"/>
          <w:insideV w:val="single" w:sz="8" w:space="0" w:color="ACC705"/>
        </w:tcBorders>
      </w:tcPr>
    </w:tblStylePr>
    <w:tblStylePr w:type="firstCol">
      <w:rPr>
        <w:rFonts w:ascii="Arial" w:eastAsia="MS Gothic" w:hAnsi="Arial" w:cs="Times New Roman"/>
        <w:b/>
        <w:bCs/>
      </w:rPr>
    </w:tblStylePr>
    <w:tblStylePr w:type="lastCol">
      <w:rPr>
        <w:rFonts w:ascii="Arial" w:eastAsia="MS Gothic" w:hAnsi="Arial" w:cs="Times New Roman"/>
        <w:b/>
        <w:bCs/>
      </w:rPr>
      <w:tblPr/>
      <w:tcPr>
        <w:tcBorders>
          <w:top w:val="single" w:sz="8" w:space="0" w:color="ACC705"/>
          <w:left w:val="single" w:sz="8" w:space="0" w:color="ACC705"/>
          <w:bottom w:val="single" w:sz="8" w:space="0" w:color="ACC705"/>
          <w:right w:val="single" w:sz="8" w:space="0" w:color="ACC705"/>
        </w:tcBorders>
      </w:tcPr>
    </w:tblStylePr>
    <w:tblStylePr w:type="band1Vert">
      <w:tblPr/>
      <w:tcPr>
        <w:tcBorders>
          <w:top w:val="single" w:sz="8" w:space="0" w:color="ACC705"/>
          <w:left w:val="single" w:sz="8" w:space="0" w:color="ACC705"/>
          <w:bottom w:val="single" w:sz="8" w:space="0" w:color="ACC705"/>
          <w:right w:val="single" w:sz="8" w:space="0" w:color="ACC705"/>
        </w:tcBorders>
        <w:shd w:val="clear" w:color="auto" w:fill="F3FDB5"/>
      </w:tcPr>
    </w:tblStylePr>
    <w:tblStylePr w:type="band1Horz">
      <w:tblPr/>
      <w:tcPr>
        <w:tcBorders>
          <w:top w:val="single" w:sz="8" w:space="0" w:color="ACC705"/>
          <w:left w:val="single" w:sz="8" w:space="0" w:color="ACC705"/>
          <w:bottom w:val="single" w:sz="8" w:space="0" w:color="ACC705"/>
          <w:right w:val="single" w:sz="8" w:space="0" w:color="ACC705"/>
          <w:insideV w:val="single" w:sz="8" w:space="0" w:color="ACC705"/>
        </w:tcBorders>
        <w:shd w:val="clear" w:color="auto" w:fill="F3FDB5"/>
      </w:tcPr>
    </w:tblStylePr>
    <w:tblStylePr w:type="band2Horz">
      <w:tblPr/>
      <w:tcPr>
        <w:tcBorders>
          <w:top w:val="single" w:sz="8" w:space="0" w:color="ACC705"/>
          <w:left w:val="single" w:sz="8" w:space="0" w:color="ACC705"/>
          <w:bottom w:val="single" w:sz="8" w:space="0" w:color="ACC705"/>
          <w:right w:val="single" w:sz="8" w:space="0" w:color="ACC705"/>
          <w:insideV w:val="single" w:sz="8" w:space="0" w:color="ACC705"/>
        </w:tcBorders>
      </w:tcPr>
    </w:tblStylePr>
  </w:style>
  <w:style w:type="table" w:styleId="LightGrid-Accent6">
    <w:name w:val="Light Grid Accent 6"/>
    <w:basedOn w:val="TableNormal"/>
    <w:uiPriority w:val="62"/>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39200"/>
        <w:left w:val="single" w:sz="8" w:space="0" w:color="F39200"/>
        <w:bottom w:val="single" w:sz="8" w:space="0" w:color="F39200"/>
        <w:right w:val="single" w:sz="8" w:space="0" w:color="F39200"/>
        <w:insideH w:val="single" w:sz="8" w:space="0" w:color="F39200"/>
        <w:insideV w:val="single" w:sz="8" w:space="0" w:color="F39200"/>
      </w:tblBorders>
      <w:tblCellMar>
        <w:top w:w="0" w:type="dxa"/>
        <w:left w:w="108" w:type="dxa"/>
        <w:bottom w:w="0" w:type="dxa"/>
        <w:right w:w="108" w:type="dxa"/>
      </w:tblCellMar>
    </w:tblPr>
    <w:tblStylePr w:type="firstRow">
      <w:pPr>
        <w:spacing w:before="0" w:after="0" w:line="240" w:lineRule="auto"/>
      </w:pPr>
      <w:rPr>
        <w:rFonts w:ascii="Arial" w:eastAsia="MS Gothic" w:hAnsi="Arial" w:cs="Times New Roman"/>
        <w:b/>
        <w:bCs/>
      </w:rPr>
      <w:tblPr/>
      <w:tcPr>
        <w:tcBorders>
          <w:top w:val="single" w:sz="8" w:space="0" w:color="F39200"/>
          <w:left w:val="single" w:sz="8" w:space="0" w:color="F39200"/>
          <w:bottom w:val="single" w:sz="18" w:space="0" w:color="F39200"/>
          <w:right w:val="single" w:sz="8" w:space="0" w:color="F39200"/>
          <w:insideH w:val="nil"/>
          <w:insideV w:val="single" w:sz="8" w:space="0" w:color="F39200"/>
        </w:tcBorders>
      </w:tcPr>
    </w:tblStylePr>
    <w:tblStylePr w:type="lastRow">
      <w:pPr>
        <w:spacing w:before="0" w:after="0" w:line="240" w:lineRule="auto"/>
      </w:pPr>
      <w:rPr>
        <w:rFonts w:ascii="Arial" w:eastAsia="MS Gothic" w:hAnsi="Arial" w:cs="Times New Roman"/>
        <w:b/>
        <w:bCs/>
      </w:rPr>
      <w:tblPr/>
      <w:tcPr>
        <w:tcBorders>
          <w:top w:val="double" w:sz="6" w:space="0" w:color="F39200"/>
          <w:left w:val="single" w:sz="8" w:space="0" w:color="F39200"/>
          <w:bottom w:val="single" w:sz="8" w:space="0" w:color="F39200"/>
          <w:right w:val="single" w:sz="8" w:space="0" w:color="F39200"/>
          <w:insideH w:val="nil"/>
          <w:insideV w:val="single" w:sz="8" w:space="0" w:color="F39200"/>
        </w:tcBorders>
      </w:tcPr>
    </w:tblStylePr>
    <w:tblStylePr w:type="firstCol">
      <w:rPr>
        <w:rFonts w:ascii="Arial" w:eastAsia="MS Gothic" w:hAnsi="Arial" w:cs="Times New Roman"/>
        <w:b/>
        <w:bCs/>
      </w:rPr>
    </w:tblStylePr>
    <w:tblStylePr w:type="lastCol">
      <w:rPr>
        <w:rFonts w:ascii="Arial" w:eastAsia="MS Gothic" w:hAnsi="Arial" w:cs="Times New Roman"/>
        <w:b/>
        <w:bCs/>
      </w:rPr>
      <w:tblPr/>
      <w:tcPr>
        <w:tcBorders>
          <w:top w:val="single" w:sz="8" w:space="0" w:color="F39200"/>
          <w:left w:val="single" w:sz="8" w:space="0" w:color="F39200"/>
          <w:bottom w:val="single" w:sz="8" w:space="0" w:color="F39200"/>
          <w:right w:val="single" w:sz="8" w:space="0" w:color="F39200"/>
        </w:tcBorders>
      </w:tcPr>
    </w:tblStylePr>
    <w:tblStylePr w:type="band1Vert">
      <w:tblPr/>
      <w:tcPr>
        <w:tcBorders>
          <w:top w:val="single" w:sz="8" w:space="0" w:color="F39200"/>
          <w:left w:val="single" w:sz="8" w:space="0" w:color="F39200"/>
          <w:bottom w:val="single" w:sz="8" w:space="0" w:color="F39200"/>
          <w:right w:val="single" w:sz="8" w:space="0" w:color="F39200"/>
        </w:tcBorders>
        <w:shd w:val="clear" w:color="auto" w:fill="FFE4BD"/>
      </w:tcPr>
    </w:tblStylePr>
    <w:tblStylePr w:type="band1Horz">
      <w:tblPr/>
      <w:tcPr>
        <w:tcBorders>
          <w:top w:val="single" w:sz="8" w:space="0" w:color="F39200"/>
          <w:left w:val="single" w:sz="8" w:space="0" w:color="F39200"/>
          <w:bottom w:val="single" w:sz="8" w:space="0" w:color="F39200"/>
          <w:right w:val="single" w:sz="8" w:space="0" w:color="F39200"/>
          <w:insideV w:val="single" w:sz="8" w:space="0" w:color="F39200"/>
        </w:tcBorders>
        <w:shd w:val="clear" w:color="auto" w:fill="FFE4BD"/>
      </w:tcPr>
    </w:tblStylePr>
    <w:tblStylePr w:type="band2Horz">
      <w:tblPr/>
      <w:tcPr>
        <w:tcBorders>
          <w:top w:val="single" w:sz="8" w:space="0" w:color="F39200"/>
          <w:left w:val="single" w:sz="8" w:space="0" w:color="F39200"/>
          <w:bottom w:val="single" w:sz="8" w:space="0" w:color="F39200"/>
          <w:right w:val="single" w:sz="8" w:space="0" w:color="F39200"/>
          <w:insideV w:val="single" w:sz="8" w:space="0" w:color="F39200"/>
        </w:tcBorders>
      </w:tcPr>
    </w:tblStylePr>
  </w:style>
  <w:style w:type="table" w:customStyle="1" w:styleId="FarbigeListe1">
    <w:name w:val="Farbige Liste1"/>
    <w:basedOn w:val="TableNormal"/>
    <w:uiPriority w:val="72"/>
    <w:semiHidden/>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1070A4"/>
      </w:tcPr>
    </w:tblStylePr>
    <w:tblStylePr w:type="lastRow">
      <w:rPr>
        <w:b/>
        <w:bCs/>
        <w:color w:val="1070A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2">
    <w:name w:val="Colorful List Accent 2"/>
    <w:basedOn w:val="TableNormal"/>
    <w:uiPriority w:val="72"/>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E5F4FC"/>
    </w:tcPr>
    <w:tblStylePr w:type="firstRow">
      <w:rPr>
        <w:b/>
        <w:bCs/>
        <w:color w:val="FFFFFF"/>
      </w:rPr>
      <w:tblPr/>
      <w:tcPr>
        <w:tcBorders>
          <w:bottom w:val="single" w:sz="12" w:space="0" w:color="FFFFFF"/>
        </w:tcBorders>
        <w:shd w:val="clear" w:color="auto" w:fill="1070A4"/>
      </w:tcPr>
    </w:tblStylePr>
    <w:tblStylePr w:type="lastRow">
      <w:rPr>
        <w:b/>
        <w:bCs/>
        <w:color w:val="1070A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EE4F8"/>
      </w:tcPr>
    </w:tblStylePr>
    <w:tblStylePr w:type="band1Horz">
      <w:tblPr/>
      <w:tcPr>
        <w:shd w:val="clear" w:color="auto" w:fill="CBE9FA"/>
      </w:tcPr>
    </w:tblStylePr>
  </w:style>
  <w:style w:type="table" w:styleId="ColorfulList-Accent3">
    <w:name w:val="Colorful List Accent 3"/>
    <w:basedOn w:val="TableNormal"/>
    <w:uiPriority w:val="72"/>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F4F8FC"/>
    </w:tcPr>
    <w:tblStylePr w:type="firstRow">
      <w:rPr>
        <w:b/>
        <w:bCs/>
        <w:color w:val="FFFFFF"/>
      </w:rPr>
      <w:tblPr/>
      <w:tcPr>
        <w:tcBorders>
          <w:bottom w:val="single" w:sz="12" w:space="0" w:color="FFFFFF"/>
        </w:tcBorders>
        <w:shd w:val="clear" w:color="auto" w:fill="609016"/>
      </w:tcPr>
    </w:tblStylePr>
    <w:tblStylePr w:type="lastRow">
      <w:rPr>
        <w:b/>
        <w:bCs/>
        <w:color w:val="6090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DF8"/>
      </w:tcPr>
    </w:tblStylePr>
    <w:tblStylePr w:type="band1Horz">
      <w:tblPr/>
      <w:tcPr>
        <w:shd w:val="clear" w:color="auto" w:fill="E9F1F9"/>
      </w:tcPr>
    </w:tblStylePr>
  </w:style>
  <w:style w:type="table" w:styleId="ColorfulList-Accent4">
    <w:name w:val="Colorful List Accent 4"/>
    <w:basedOn w:val="TableNormal"/>
    <w:uiPriority w:val="72"/>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F2FBE5"/>
    </w:tcPr>
    <w:tblStylePr w:type="firstRow">
      <w:rPr>
        <w:b/>
        <w:bCs/>
        <w:color w:val="FFFFFF"/>
      </w:rPr>
      <w:tblPr/>
      <w:tcPr>
        <w:tcBorders>
          <w:bottom w:val="single" w:sz="12" w:space="0" w:color="FFFFFF"/>
        </w:tcBorders>
        <w:shd w:val="clear" w:color="auto" w:fill="5893D3"/>
      </w:tcPr>
    </w:tblStylePr>
    <w:tblStylePr w:type="lastRow">
      <w:rPr>
        <w:b/>
        <w:bCs/>
        <w:color w:val="5893D3"/>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F5BE"/>
      </w:tcPr>
    </w:tblStylePr>
    <w:tblStylePr w:type="band1Horz">
      <w:tblPr/>
      <w:tcPr>
        <w:shd w:val="clear" w:color="auto" w:fill="E5F7CA"/>
      </w:tcPr>
    </w:tblStylePr>
  </w:style>
  <w:style w:type="table" w:styleId="ColorfulList-Accent5">
    <w:name w:val="Colorful List Accent 5"/>
    <w:basedOn w:val="TableNormal"/>
    <w:uiPriority w:val="72"/>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FAFEE1"/>
    </w:tcPr>
    <w:tblStylePr w:type="firstRow">
      <w:rPr>
        <w:b/>
        <w:bCs/>
        <w:color w:val="FFFFFF"/>
      </w:rPr>
      <w:tblPr/>
      <w:tcPr>
        <w:tcBorders>
          <w:bottom w:val="single" w:sz="12" w:space="0" w:color="FFFFFF"/>
        </w:tcBorders>
        <w:shd w:val="clear" w:color="auto" w:fill="C27400"/>
      </w:tcPr>
    </w:tblStylePr>
    <w:tblStylePr w:type="lastRow">
      <w:rPr>
        <w:b/>
        <w:bCs/>
        <w:color w:val="C274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FDB5"/>
      </w:tcPr>
    </w:tblStylePr>
    <w:tblStylePr w:type="band1Horz">
      <w:tblPr/>
      <w:tcPr>
        <w:shd w:val="clear" w:color="auto" w:fill="F5FDC3"/>
      </w:tcPr>
    </w:tblStylePr>
  </w:style>
  <w:style w:type="table" w:styleId="ColorfulList-Accent6">
    <w:name w:val="Colorful List Accent 6"/>
    <w:basedOn w:val="TableNormal"/>
    <w:uiPriority w:val="72"/>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FFF4E4"/>
    </w:tcPr>
    <w:tblStylePr w:type="firstRow">
      <w:rPr>
        <w:b/>
        <w:bCs/>
        <w:color w:val="FFFFFF"/>
      </w:rPr>
      <w:tblPr/>
      <w:tcPr>
        <w:tcBorders>
          <w:bottom w:val="single" w:sz="12" w:space="0" w:color="FFFFFF"/>
        </w:tcBorders>
        <w:shd w:val="clear" w:color="auto" w:fill="899F04"/>
      </w:tcPr>
    </w:tblStylePr>
    <w:tblStylePr w:type="lastRow">
      <w:rPr>
        <w:b/>
        <w:bCs/>
        <w:color w:val="899F0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4BD"/>
      </w:tcPr>
    </w:tblStylePr>
    <w:tblStylePr w:type="band1Horz">
      <w:tblPr/>
      <w:tcPr>
        <w:shd w:val="clear" w:color="auto" w:fill="FFE9C9"/>
      </w:tcPr>
    </w:tblStylePr>
  </w:style>
  <w:style w:type="table" w:customStyle="1" w:styleId="FarbigeSchattierung1">
    <w:name w:val="Farbige Schattierung1"/>
    <w:basedOn w:val="TableNormal"/>
    <w:uiPriority w:val="71"/>
    <w:semiHidden/>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24" w:space="0" w:color="148DC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148DC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24" w:space="0" w:color="148DCD"/>
        <w:left w:val="single" w:sz="4" w:space="0" w:color="121754"/>
        <w:bottom w:val="single" w:sz="4" w:space="0" w:color="121754"/>
        <w:right w:val="single" w:sz="4" w:space="0" w:color="121754"/>
        <w:insideH w:val="single" w:sz="4" w:space="0" w:color="FFFFFF"/>
        <w:insideV w:val="single" w:sz="4" w:space="0" w:color="FFFFFF"/>
      </w:tblBorders>
      <w:tblCellMar>
        <w:top w:w="0" w:type="dxa"/>
        <w:left w:w="108" w:type="dxa"/>
        <w:bottom w:w="0" w:type="dxa"/>
        <w:right w:w="108" w:type="dxa"/>
      </w:tblCellMar>
    </w:tblPr>
    <w:tcPr>
      <w:shd w:val="clear" w:color="auto" w:fill="DEDFF8"/>
    </w:tcPr>
    <w:tblStylePr w:type="firstRow">
      <w:rPr>
        <w:b/>
        <w:bCs/>
      </w:rPr>
      <w:tblPr/>
      <w:tcPr>
        <w:tcBorders>
          <w:top w:val="nil"/>
          <w:left w:val="nil"/>
          <w:bottom w:val="single" w:sz="24" w:space="0" w:color="148DC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A0D32"/>
      </w:tcPr>
    </w:tblStylePr>
    <w:tblStylePr w:type="firstCol">
      <w:rPr>
        <w:color w:val="FFFFFF"/>
      </w:rPr>
      <w:tblPr/>
      <w:tcPr>
        <w:tcBorders>
          <w:top w:val="nil"/>
          <w:left w:val="nil"/>
          <w:bottom w:val="nil"/>
          <w:right w:val="nil"/>
          <w:insideH w:val="single" w:sz="4" w:space="0" w:color="0A0D32"/>
          <w:insideV w:val="nil"/>
        </w:tcBorders>
        <w:shd w:val="clear" w:color="auto" w:fill="0A0D32"/>
      </w:tcPr>
    </w:tblStylePr>
    <w:tblStylePr w:type="lastCol">
      <w:rPr>
        <w:color w:val="FFFFFF"/>
      </w:rPr>
      <w:tblPr/>
      <w:tcPr>
        <w:tcBorders>
          <w:top w:val="nil"/>
          <w:left w:val="nil"/>
          <w:bottom w:val="nil"/>
          <w:right w:val="nil"/>
          <w:insideH w:val="nil"/>
          <w:insideV w:val="nil"/>
        </w:tcBorders>
        <w:shd w:val="clear" w:color="auto" w:fill="0A0D32"/>
      </w:tcPr>
    </w:tblStylePr>
    <w:tblStylePr w:type="band1Vert">
      <w:tblPr/>
      <w:tcPr>
        <w:shd w:val="clear" w:color="auto" w:fill="7880E2"/>
      </w:tcPr>
    </w:tblStylePr>
    <w:tblStylePr w:type="band1Horz">
      <w:tblPr/>
      <w:tcPr>
        <w:shd w:val="clear" w:color="auto" w:fill="5761DB"/>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24" w:space="0" w:color="148DCD"/>
        <w:left w:val="single" w:sz="4" w:space="0" w:color="148DCD"/>
        <w:bottom w:val="single" w:sz="4" w:space="0" w:color="148DCD"/>
        <w:right w:val="single" w:sz="4" w:space="0" w:color="148DCD"/>
        <w:insideH w:val="single" w:sz="4" w:space="0" w:color="FFFFFF"/>
        <w:insideV w:val="single" w:sz="4" w:space="0" w:color="FFFFFF"/>
      </w:tblBorders>
      <w:tblCellMar>
        <w:top w:w="0" w:type="dxa"/>
        <w:left w:w="108" w:type="dxa"/>
        <w:bottom w:w="0" w:type="dxa"/>
        <w:right w:w="108" w:type="dxa"/>
      </w:tblCellMar>
    </w:tblPr>
    <w:tcPr>
      <w:shd w:val="clear" w:color="auto" w:fill="E5F4FC"/>
    </w:tcPr>
    <w:tblStylePr w:type="firstRow">
      <w:rPr>
        <w:b/>
        <w:bCs/>
      </w:rPr>
      <w:tblPr/>
      <w:tcPr>
        <w:tcBorders>
          <w:top w:val="nil"/>
          <w:left w:val="nil"/>
          <w:bottom w:val="single" w:sz="24" w:space="0" w:color="148DC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C547B"/>
      </w:tcPr>
    </w:tblStylePr>
    <w:tblStylePr w:type="firstCol">
      <w:rPr>
        <w:color w:val="FFFFFF"/>
      </w:rPr>
      <w:tblPr/>
      <w:tcPr>
        <w:tcBorders>
          <w:top w:val="nil"/>
          <w:left w:val="nil"/>
          <w:bottom w:val="nil"/>
          <w:right w:val="nil"/>
          <w:insideH w:val="single" w:sz="4" w:space="0" w:color="0C547B"/>
          <w:insideV w:val="nil"/>
        </w:tcBorders>
        <w:shd w:val="clear" w:color="auto" w:fill="0C547B"/>
      </w:tcPr>
    </w:tblStylePr>
    <w:tblStylePr w:type="lastCol">
      <w:rPr>
        <w:color w:val="FFFFFF"/>
      </w:rPr>
      <w:tblPr/>
      <w:tcPr>
        <w:tcBorders>
          <w:top w:val="nil"/>
          <w:left w:val="nil"/>
          <w:bottom w:val="nil"/>
          <w:right w:val="nil"/>
          <w:insideH w:val="nil"/>
          <w:insideV w:val="nil"/>
        </w:tcBorders>
        <w:shd w:val="clear" w:color="auto" w:fill="0C547B"/>
      </w:tcPr>
    </w:tblStylePr>
    <w:tblStylePr w:type="band1Vert">
      <w:tblPr/>
      <w:tcPr>
        <w:shd w:val="clear" w:color="auto" w:fill="97D4F5"/>
      </w:tcPr>
    </w:tblStylePr>
    <w:tblStylePr w:type="band1Horz">
      <w:tblPr/>
      <w:tcPr>
        <w:shd w:val="clear" w:color="auto" w:fill="7DC9F2"/>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24" w:space="0" w:color="79B51C"/>
        <w:left w:val="single" w:sz="4" w:space="0" w:color="94BAE3"/>
        <w:bottom w:val="single" w:sz="4" w:space="0" w:color="94BAE3"/>
        <w:right w:val="single" w:sz="4" w:space="0" w:color="94BAE3"/>
        <w:insideH w:val="single" w:sz="4" w:space="0" w:color="FFFFFF"/>
        <w:insideV w:val="single" w:sz="4" w:space="0" w:color="FFFFFF"/>
      </w:tblBorders>
      <w:tblCellMar>
        <w:top w:w="0" w:type="dxa"/>
        <w:left w:w="108" w:type="dxa"/>
        <w:bottom w:w="0" w:type="dxa"/>
        <w:right w:w="108" w:type="dxa"/>
      </w:tblCellMar>
    </w:tblPr>
    <w:tcPr>
      <w:shd w:val="clear" w:color="auto" w:fill="F4F8FC"/>
    </w:tcPr>
    <w:tblStylePr w:type="firstRow">
      <w:rPr>
        <w:b/>
        <w:bCs/>
      </w:rPr>
      <w:tblPr/>
      <w:tcPr>
        <w:tcBorders>
          <w:top w:val="nil"/>
          <w:left w:val="nil"/>
          <w:bottom w:val="single" w:sz="24" w:space="0" w:color="79B51C"/>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E6DB2"/>
      </w:tcPr>
    </w:tblStylePr>
    <w:tblStylePr w:type="firstCol">
      <w:rPr>
        <w:color w:val="FFFFFF"/>
      </w:rPr>
      <w:tblPr/>
      <w:tcPr>
        <w:tcBorders>
          <w:top w:val="nil"/>
          <w:left w:val="nil"/>
          <w:bottom w:val="nil"/>
          <w:right w:val="nil"/>
          <w:insideH w:val="single" w:sz="4" w:space="0" w:color="2E6DB2"/>
          <w:insideV w:val="nil"/>
        </w:tcBorders>
        <w:shd w:val="clear" w:color="auto" w:fill="2E6DB2"/>
      </w:tcPr>
    </w:tblStylePr>
    <w:tblStylePr w:type="lastCol">
      <w:rPr>
        <w:color w:val="FFFFFF"/>
      </w:rPr>
      <w:tblPr/>
      <w:tcPr>
        <w:tcBorders>
          <w:top w:val="nil"/>
          <w:left w:val="nil"/>
          <w:bottom w:val="nil"/>
          <w:right w:val="nil"/>
          <w:insideH w:val="nil"/>
          <w:insideV w:val="nil"/>
        </w:tcBorders>
        <w:shd w:val="clear" w:color="auto" w:fill="2E6DB2"/>
      </w:tcPr>
    </w:tblStylePr>
    <w:tblStylePr w:type="band1Vert">
      <w:tblPr/>
      <w:tcPr>
        <w:shd w:val="clear" w:color="auto" w:fill="D4E3F3"/>
      </w:tcPr>
    </w:tblStylePr>
    <w:tblStylePr w:type="band1Horz">
      <w:tblPr/>
      <w:tcPr>
        <w:shd w:val="clear" w:color="auto" w:fill="C9DCF1"/>
      </w:tcPr>
    </w:tblStylePr>
  </w:style>
  <w:style w:type="table" w:styleId="ColorfulShading-Accent4">
    <w:name w:val="Colorful Shading Accent 4"/>
    <w:basedOn w:val="TableNormal"/>
    <w:uiPriority w:val="71"/>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24" w:space="0" w:color="94BAE3"/>
        <w:left w:val="single" w:sz="4" w:space="0" w:color="79B51C"/>
        <w:bottom w:val="single" w:sz="4" w:space="0" w:color="79B51C"/>
        <w:right w:val="single" w:sz="4" w:space="0" w:color="79B51C"/>
        <w:insideH w:val="single" w:sz="4" w:space="0" w:color="FFFFFF"/>
        <w:insideV w:val="single" w:sz="4" w:space="0" w:color="FFFFFF"/>
      </w:tblBorders>
      <w:tblCellMar>
        <w:top w:w="0" w:type="dxa"/>
        <w:left w:w="108" w:type="dxa"/>
        <w:bottom w:w="0" w:type="dxa"/>
        <w:right w:w="108" w:type="dxa"/>
      </w:tblCellMar>
    </w:tblPr>
    <w:tcPr>
      <w:shd w:val="clear" w:color="auto" w:fill="F2FBE5"/>
    </w:tcPr>
    <w:tblStylePr w:type="firstRow">
      <w:rPr>
        <w:b/>
        <w:bCs/>
      </w:rPr>
      <w:tblPr/>
      <w:tcPr>
        <w:tcBorders>
          <w:top w:val="nil"/>
          <w:left w:val="nil"/>
          <w:bottom w:val="single" w:sz="24" w:space="0" w:color="94BAE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86C10"/>
      </w:tcPr>
    </w:tblStylePr>
    <w:tblStylePr w:type="firstCol">
      <w:rPr>
        <w:color w:val="FFFFFF"/>
      </w:rPr>
      <w:tblPr/>
      <w:tcPr>
        <w:tcBorders>
          <w:top w:val="nil"/>
          <w:left w:val="nil"/>
          <w:bottom w:val="nil"/>
          <w:right w:val="nil"/>
          <w:insideH w:val="single" w:sz="4" w:space="0" w:color="486C10"/>
          <w:insideV w:val="nil"/>
        </w:tcBorders>
        <w:shd w:val="clear" w:color="auto" w:fill="486C10"/>
      </w:tcPr>
    </w:tblStylePr>
    <w:tblStylePr w:type="lastCol">
      <w:rPr>
        <w:color w:val="FFFFFF"/>
      </w:rPr>
      <w:tblPr/>
      <w:tcPr>
        <w:tcBorders>
          <w:top w:val="nil"/>
          <w:left w:val="nil"/>
          <w:bottom w:val="nil"/>
          <w:right w:val="nil"/>
          <w:insideH w:val="nil"/>
          <w:insideV w:val="nil"/>
        </w:tcBorders>
        <w:shd w:val="clear" w:color="auto" w:fill="486C10"/>
      </w:tcPr>
    </w:tblStylePr>
    <w:tblStylePr w:type="band1Vert">
      <w:tblPr/>
      <w:tcPr>
        <w:shd w:val="clear" w:color="auto" w:fill="CCEE96"/>
      </w:tcPr>
    </w:tblStylePr>
    <w:tblStylePr w:type="band1Horz">
      <w:tblPr/>
      <w:tcPr>
        <w:shd w:val="clear" w:color="auto" w:fill="BFEB7D"/>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24" w:space="0" w:color="F39200"/>
        <w:left w:val="single" w:sz="4" w:space="0" w:color="ACC705"/>
        <w:bottom w:val="single" w:sz="4" w:space="0" w:color="ACC705"/>
        <w:right w:val="single" w:sz="4" w:space="0" w:color="ACC705"/>
        <w:insideH w:val="single" w:sz="4" w:space="0" w:color="FFFFFF"/>
        <w:insideV w:val="single" w:sz="4" w:space="0" w:color="FFFFFF"/>
      </w:tblBorders>
      <w:tblCellMar>
        <w:top w:w="0" w:type="dxa"/>
        <w:left w:w="108" w:type="dxa"/>
        <w:bottom w:w="0" w:type="dxa"/>
        <w:right w:w="108" w:type="dxa"/>
      </w:tblCellMar>
    </w:tblPr>
    <w:tcPr>
      <w:shd w:val="clear" w:color="auto" w:fill="FAFEE1"/>
    </w:tcPr>
    <w:tblStylePr w:type="firstRow">
      <w:rPr>
        <w:b/>
        <w:bCs/>
      </w:rPr>
      <w:tblPr/>
      <w:tcPr>
        <w:tcBorders>
          <w:top w:val="nil"/>
          <w:left w:val="nil"/>
          <w:bottom w:val="single" w:sz="24" w:space="0" w:color="F392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67703"/>
      </w:tcPr>
    </w:tblStylePr>
    <w:tblStylePr w:type="firstCol">
      <w:rPr>
        <w:color w:val="FFFFFF"/>
      </w:rPr>
      <w:tblPr/>
      <w:tcPr>
        <w:tcBorders>
          <w:top w:val="nil"/>
          <w:left w:val="nil"/>
          <w:bottom w:val="nil"/>
          <w:right w:val="nil"/>
          <w:insideH w:val="single" w:sz="4" w:space="0" w:color="667703"/>
          <w:insideV w:val="nil"/>
        </w:tcBorders>
        <w:shd w:val="clear" w:color="auto" w:fill="667703"/>
      </w:tcPr>
    </w:tblStylePr>
    <w:tblStylePr w:type="lastCol">
      <w:rPr>
        <w:color w:val="FFFFFF"/>
      </w:rPr>
      <w:tblPr/>
      <w:tcPr>
        <w:tcBorders>
          <w:top w:val="nil"/>
          <w:left w:val="nil"/>
          <w:bottom w:val="nil"/>
          <w:right w:val="nil"/>
          <w:insideH w:val="nil"/>
          <w:insideV w:val="nil"/>
        </w:tcBorders>
        <w:shd w:val="clear" w:color="auto" w:fill="667703"/>
      </w:tcPr>
    </w:tblStylePr>
    <w:tblStylePr w:type="band1Vert">
      <w:tblPr/>
      <w:tcPr>
        <w:shd w:val="clear" w:color="auto" w:fill="EBFC87"/>
      </w:tcPr>
    </w:tblStylePr>
    <w:tblStylePr w:type="band1Horz">
      <w:tblPr/>
      <w:tcPr>
        <w:shd w:val="clear" w:color="auto" w:fill="E6FB6A"/>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24" w:space="0" w:color="ACC705"/>
        <w:left w:val="single" w:sz="4" w:space="0" w:color="F39200"/>
        <w:bottom w:val="single" w:sz="4" w:space="0" w:color="F39200"/>
        <w:right w:val="single" w:sz="4" w:space="0" w:color="F39200"/>
        <w:insideH w:val="single" w:sz="4" w:space="0" w:color="FFFFFF"/>
        <w:insideV w:val="single" w:sz="4" w:space="0" w:color="FFFFFF"/>
      </w:tblBorders>
      <w:tblCellMar>
        <w:top w:w="0" w:type="dxa"/>
        <w:left w:w="108" w:type="dxa"/>
        <w:bottom w:w="0" w:type="dxa"/>
        <w:right w:w="108" w:type="dxa"/>
      </w:tblCellMar>
    </w:tblPr>
    <w:tcPr>
      <w:shd w:val="clear" w:color="auto" w:fill="FFF4E4"/>
    </w:tcPr>
    <w:tblStylePr w:type="firstRow">
      <w:rPr>
        <w:b/>
        <w:bCs/>
      </w:rPr>
      <w:tblPr/>
      <w:tcPr>
        <w:tcBorders>
          <w:top w:val="nil"/>
          <w:left w:val="nil"/>
          <w:bottom w:val="single" w:sz="24" w:space="0" w:color="ACC70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15700"/>
      </w:tcPr>
    </w:tblStylePr>
    <w:tblStylePr w:type="firstCol">
      <w:rPr>
        <w:color w:val="FFFFFF"/>
      </w:rPr>
      <w:tblPr/>
      <w:tcPr>
        <w:tcBorders>
          <w:top w:val="nil"/>
          <w:left w:val="nil"/>
          <w:bottom w:val="nil"/>
          <w:right w:val="nil"/>
          <w:insideH w:val="single" w:sz="4" w:space="0" w:color="915700"/>
          <w:insideV w:val="nil"/>
        </w:tcBorders>
        <w:shd w:val="clear" w:color="auto" w:fill="915700"/>
      </w:tcPr>
    </w:tblStylePr>
    <w:tblStylePr w:type="lastCol">
      <w:rPr>
        <w:color w:val="FFFFFF"/>
      </w:rPr>
      <w:tblPr/>
      <w:tcPr>
        <w:tcBorders>
          <w:top w:val="nil"/>
          <w:left w:val="nil"/>
          <w:bottom w:val="nil"/>
          <w:right w:val="nil"/>
          <w:insideH w:val="nil"/>
          <w:insideV w:val="nil"/>
        </w:tcBorders>
        <w:shd w:val="clear" w:color="auto" w:fill="915700"/>
      </w:tcPr>
    </w:tblStylePr>
    <w:tblStylePr w:type="band1Vert">
      <w:tblPr/>
      <w:tcPr>
        <w:shd w:val="clear" w:color="auto" w:fill="FFD494"/>
      </w:tcPr>
    </w:tblStylePr>
    <w:tblStylePr w:type="band1Horz">
      <w:tblPr/>
      <w:tcPr>
        <w:shd w:val="clear" w:color="auto" w:fill="FFC97A"/>
      </w:tcPr>
    </w:tblStylePr>
    <w:tblStylePr w:type="neCell">
      <w:rPr>
        <w:color w:val="000000"/>
      </w:rPr>
    </w:tblStylePr>
    <w:tblStylePr w:type="nwCell">
      <w:rPr>
        <w:color w:val="000000"/>
      </w:rPr>
    </w:tblStylePr>
  </w:style>
  <w:style w:type="table" w:customStyle="1" w:styleId="FarbigesRaster1">
    <w:name w:val="Farbiges Raster1"/>
    <w:basedOn w:val="TableNormal"/>
    <w:uiPriority w:val="73"/>
    <w:semiHidden/>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BBBFF0"/>
    </w:tcPr>
    <w:tblStylePr w:type="firstRow">
      <w:rPr>
        <w:b/>
        <w:bCs/>
      </w:rPr>
      <w:tblPr/>
      <w:tcPr>
        <w:shd w:val="clear" w:color="auto" w:fill="7880E2"/>
      </w:tcPr>
    </w:tblStylePr>
    <w:tblStylePr w:type="lastRow">
      <w:rPr>
        <w:b/>
        <w:bCs/>
        <w:color w:val="000000"/>
      </w:rPr>
      <w:tblPr/>
      <w:tcPr>
        <w:shd w:val="clear" w:color="auto" w:fill="7880E2"/>
      </w:tcPr>
    </w:tblStylePr>
    <w:tblStylePr w:type="firstCol">
      <w:rPr>
        <w:color w:val="FFFFFF"/>
      </w:rPr>
      <w:tblPr/>
      <w:tcPr>
        <w:shd w:val="clear" w:color="auto" w:fill="0D113E"/>
      </w:tcPr>
    </w:tblStylePr>
    <w:tblStylePr w:type="lastCol">
      <w:rPr>
        <w:color w:val="FFFFFF"/>
      </w:rPr>
      <w:tblPr/>
      <w:tcPr>
        <w:shd w:val="clear" w:color="auto" w:fill="0D113E"/>
      </w:tcPr>
    </w:tblStylePr>
    <w:tblStylePr w:type="band1Vert">
      <w:tblPr/>
      <w:tcPr>
        <w:shd w:val="clear" w:color="auto" w:fill="5761DB"/>
      </w:tcPr>
    </w:tblStylePr>
    <w:tblStylePr w:type="band1Horz">
      <w:tblPr/>
      <w:tcPr>
        <w:shd w:val="clear" w:color="auto" w:fill="5761DB"/>
      </w:tcPr>
    </w:tblStylePr>
  </w:style>
  <w:style w:type="table" w:styleId="ColorfulGrid-Accent2">
    <w:name w:val="Colorful Grid Accent 2"/>
    <w:basedOn w:val="TableNormal"/>
    <w:uiPriority w:val="73"/>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BE9FA"/>
    </w:tcPr>
    <w:tblStylePr w:type="firstRow">
      <w:rPr>
        <w:b/>
        <w:bCs/>
      </w:rPr>
      <w:tblPr/>
      <w:tcPr>
        <w:shd w:val="clear" w:color="auto" w:fill="97D4F5"/>
      </w:tcPr>
    </w:tblStylePr>
    <w:tblStylePr w:type="lastRow">
      <w:rPr>
        <w:b/>
        <w:bCs/>
        <w:color w:val="000000"/>
      </w:rPr>
      <w:tblPr/>
      <w:tcPr>
        <w:shd w:val="clear" w:color="auto" w:fill="97D4F5"/>
      </w:tcPr>
    </w:tblStylePr>
    <w:tblStylePr w:type="firstCol">
      <w:rPr>
        <w:color w:val="FFFFFF"/>
      </w:rPr>
      <w:tblPr/>
      <w:tcPr>
        <w:shd w:val="clear" w:color="auto" w:fill="0F6999"/>
      </w:tcPr>
    </w:tblStylePr>
    <w:tblStylePr w:type="lastCol">
      <w:rPr>
        <w:color w:val="FFFFFF"/>
      </w:rPr>
      <w:tblPr/>
      <w:tcPr>
        <w:shd w:val="clear" w:color="auto" w:fill="0F6999"/>
      </w:tcPr>
    </w:tblStylePr>
    <w:tblStylePr w:type="band1Vert">
      <w:tblPr/>
      <w:tcPr>
        <w:shd w:val="clear" w:color="auto" w:fill="7DC9F2"/>
      </w:tcPr>
    </w:tblStylePr>
    <w:tblStylePr w:type="band1Horz">
      <w:tblPr/>
      <w:tcPr>
        <w:shd w:val="clear" w:color="auto" w:fill="7DC9F2"/>
      </w:tcPr>
    </w:tblStylePr>
  </w:style>
  <w:style w:type="table" w:styleId="ColorfulGrid-Accent3">
    <w:name w:val="Colorful Grid Accent 3"/>
    <w:basedOn w:val="TableNormal"/>
    <w:uiPriority w:val="73"/>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9F1F9"/>
    </w:tcPr>
    <w:tblStylePr w:type="firstRow">
      <w:rPr>
        <w:b/>
        <w:bCs/>
      </w:rPr>
      <w:tblPr/>
      <w:tcPr>
        <w:shd w:val="clear" w:color="auto" w:fill="D4E3F3"/>
      </w:tcPr>
    </w:tblStylePr>
    <w:tblStylePr w:type="lastRow">
      <w:rPr>
        <w:b/>
        <w:bCs/>
        <w:color w:val="000000"/>
      </w:rPr>
      <w:tblPr/>
      <w:tcPr>
        <w:shd w:val="clear" w:color="auto" w:fill="D4E3F3"/>
      </w:tcPr>
    </w:tblStylePr>
    <w:tblStylePr w:type="firstCol">
      <w:rPr>
        <w:color w:val="FFFFFF"/>
      </w:rPr>
      <w:tblPr/>
      <w:tcPr>
        <w:shd w:val="clear" w:color="auto" w:fill="4989CF"/>
      </w:tcPr>
    </w:tblStylePr>
    <w:tblStylePr w:type="lastCol">
      <w:rPr>
        <w:color w:val="FFFFFF"/>
      </w:rPr>
      <w:tblPr/>
      <w:tcPr>
        <w:shd w:val="clear" w:color="auto" w:fill="4989CF"/>
      </w:tcPr>
    </w:tblStylePr>
    <w:tblStylePr w:type="band1Vert">
      <w:tblPr/>
      <w:tcPr>
        <w:shd w:val="clear" w:color="auto" w:fill="C9DCF1"/>
      </w:tcPr>
    </w:tblStylePr>
    <w:tblStylePr w:type="band1Horz">
      <w:tblPr/>
      <w:tcPr>
        <w:shd w:val="clear" w:color="auto" w:fill="C9DCF1"/>
      </w:tcPr>
    </w:tblStylePr>
  </w:style>
  <w:style w:type="table" w:styleId="ColorfulGrid-Accent4">
    <w:name w:val="Colorful Grid Accent 4"/>
    <w:basedOn w:val="TableNormal"/>
    <w:uiPriority w:val="73"/>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F7CA"/>
    </w:tcPr>
    <w:tblStylePr w:type="firstRow">
      <w:rPr>
        <w:b/>
        <w:bCs/>
      </w:rPr>
      <w:tblPr/>
      <w:tcPr>
        <w:shd w:val="clear" w:color="auto" w:fill="CCEE96"/>
      </w:tcPr>
    </w:tblStylePr>
    <w:tblStylePr w:type="lastRow">
      <w:rPr>
        <w:b/>
        <w:bCs/>
        <w:color w:val="000000"/>
      </w:rPr>
      <w:tblPr/>
      <w:tcPr>
        <w:shd w:val="clear" w:color="auto" w:fill="CCEE96"/>
      </w:tcPr>
    </w:tblStylePr>
    <w:tblStylePr w:type="firstCol">
      <w:rPr>
        <w:color w:val="FFFFFF"/>
      </w:rPr>
      <w:tblPr/>
      <w:tcPr>
        <w:shd w:val="clear" w:color="auto" w:fill="5A8715"/>
      </w:tcPr>
    </w:tblStylePr>
    <w:tblStylePr w:type="lastCol">
      <w:rPr>
        <w:color w:val="FFFFFF"/>
      </w:rPr>
      <w:tblPr/>
      <w:tcPr>
        <w:shd w:val="clear" w:color="auto" w:fill="5A8715"/>
      </w:tcPr>
    </w:tblStylePr>
    <w:tblStylePr w:type="band1Vert">
      <w:tblPr/>
      <w:tcPr>
        <w:shd w:val="clear" w:color="auto" w:fill="BFEB7D"/>
      </w:tcPr>
    </w:tblStylePr>
    <w:tblStylePr w:type="band1Horz">
      <w:tblPr/>
      <w:tcPr>
        <w:shd w:val="clear" w:color="auto" w:fill="BFEB7D"/>
      </w:tcPr>
    </w:tblStylePr>
  </w:style>
  <w:style w:type="table" w:styleId="ColorfulGrid-Accent5">
    <w:name w:val="Colorful Grid Accent 5"/>
    <w:basedOn w:val="TableNormal"/>
    <w:uiPriority w:val="73"/>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5FDC3"/>
    </w:tcPr>
    <w:tblStylePr w:type="firstRow">
      <w:rPr>
        <w:b/>
        <w:bCs/>
      </w:rPr>
      <w:tblPr/>
      <w:tcPr>
        <w:shd w:val="clear" w:color="auto" w:fill="EBFC87"/>
      </w:tcPr>
    </w:tblStylePr>
    <w:tblStylePr w:type="lastRow">
      <w:rPr>
        <w:b/>
        <w:bCs/>
        <w:color w:val="000000"/>
      </w:rPr>
      <w:tblPr/>
      <w:tcPr>
        <w:shd w:val="clear" w:color="auto" w:fill="EBFC87"/>
      </w:tcPr>
    </w:tblStylePr>
    <w:tblStylePr w:type="firstCol">
      <w:rPr>
        <w:color w:val="FFFFFF"/>
      </w:rPr>
      <w:tblPr/>
      <w:tcPr>
        <w:shd w:val="clear" w:color="auto" w:fill="809403"/>
      </w:tcPr>
    </w:tblStylePr>
    <w:tblStylePr w:type="lastCol">
      <w:rPr>
        <w:color w:val="FFFFFF"/>
      </w:rPr>
      <w:tblPr/>
      <w:tcPr>
        <w:shd w:val="clear" w:color="auto" w:fill="809403"/>
      </w:tcPr>
    </w:tblStylePr>
    <w:tblStylePr w:type="band1Vert">
      <w:tblPr/>
      <w:tcPr>
        <w:shd w:val="clear" w:color="auto" w:fill="E6FB6A"/>
      </w:tcPr>
    </w:tblStylePr>
    <w:tblStylePr w:type="band1Horz">
      <w:tblPr/>
      <w:tcPr>
        <w:shd w:val="clear" w:color="auto" w:fill="E6FB6A"/>
      </w:tcPr>
    </w:tblStylePr>
  </w:style>
  <w:style w:type="table" w:styleId="ColorfulGrid-Accent6">
    <w:name w:val="Colorful Grid Accent 6"/>
    <w:basedOn w:val="TableNormal"/>
    <w:uiPriority w:val="73"/>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FE9C9"/>
    </w:tcPr>
    <w:tblStylePr w:type="firstRow">
      <w:rPr>
        <w:b/>
        <w:bCs/>
      </w:rPr>
      <w:tblPr/>
      <w:tcPr>
        <w:shd w:val="clear" w:color="auto" w:fill="FFD494"/>
      </w:tcPr>
    </w:tblStylePr>
    <w:tblStylePr w:type="lastRow">
      <w:rPr>
        <w:b/>
        <w:bCs/>
        <w:color w:val="000000"/>
      </w:rPr>
      <w:tblPr/>
      <w:tcPr>
        <w:shd w:val="clear" w:color="auto" w:fill="FFD494"/>
      </w:tcPr>
    </w:tblStylePr>
    <w:tblStylePr w:type="firstCol">
      <w:rPr>
        <w:color w:val="FFFFFF"/>
      </w:rPr>
      <w:tblPr/>
      <w:tcPr>
        <w:shd w:val="clear" w:color="auto" w:fill="B66D00"/>
      </w:tcPr>
    </w:tblStylePr>
    <w:tblStylePr w:type="lastCol">
      <w:rPr>
        <w:color w:val="FFFFFF"/>
      </w:rPr>
      <w:tblPr/>
      <w:tcPr>
        <w:shd w:val="clear" w:color="auto" w:fill="B66D00"/>
      </w:tcPr>
    </w:tblStylePr>
    <w:tblStylePr w:type="band1Vert">
      <w:tblPr/>
      <w:tcPr>
        <w:shd w:val="clear" w:color="auto" w:fill="FFC97A"/>
      </w:tcPr>
    </w:tblStylePr>
    <w:tblStylePr w:type="band1Horz">
      <w:tblPr/>
      <w:tcPr>
        <w:shd w:val="clear" w:color="auto" w:fill="FFC97A"/>
      </w:tcPr>
    </w:tblStylePr>
  </w:style>
  <w:style w:type="table" w:customStyle="1" w:styleId="MittlereSchattierung11">
    <w:name w:val="Mittlere Schattierung 11"/>
    <w:basedOn w:val="TableNormal"/>
    <w:uiPriority w:val="63"/>
    <w:semiHidden/>
    <w:unhideWhenUsed/>
    <w:lock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ittlereSchattierung1-Akzent11">
    <w:name w:val="Mittlere Schattierung 1 - Akzent 11"/>
    <w:basedOn w:val="TableNormal"/>
    <w:uiPriority w:val="63"/>
    <w:semiHidden/>
    <w:unhideWhenUsed/>
    <w:lock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242EA8"/>
        <w:left w:val="single" w:sz="8" w:space="0" w:color="242EA8"/>
        <w:bottom w:val="single" w:sz="8" w:space="0" w:color="242EA8"/>
        <w:right w:val="single" w:sz="8" w:space="0" w:color="242EA8"/>
        <w:insideH w:val="single" w:sz="8" w:space="0" w:color="242EA8"/>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42EA8"/>
          <w:left w:val="single" w:sz="8" w:space="0" w:color="242EA8"/>
          <w:bottom w:val="single" w:sz="8" w:space="0" w:color="242EA8"/>
          <w:right w:val="single" w:sz="8" w:space="0" w:color="242EA8"/>
          <w:insideH w:val="nil"/>
          <w:insideV w:val="nil"/>
        </w:tcBorders>
        <w:shd w:val="clear" w:color="auto" w:fill="121754"/>
      </w:tcPr>
    </w:tblStylePr>
    <w:tblStylePr w:type="lastRow">
      <w:pPr>
        <w:spacing w:before="0" w:after="0" w:line="240" w:lineRule="auto"/>
      </w:pPr>
      <w:rPr>
        <w:b/>
        <w:bCs/>
      </w:rPr>
      <w:tblPr/>
      <w:tcPr>
        <w:tcBorders>
          <w:top w:val="double" w:sz="6" w:space="0" w:color="242EA8"/>
          <w:left w:val="single" w:sz="8" w:space="0" w:color="242EA8"/>
          <w:bottom w:val="single" w:sz="8" w:space="0" w:color="242EA8"/>
          <w:right w:val="single" w:sz="8" w:space="0" w:color="242EA8"/>
          <w:insideH w:val="nil"/>
          <w:insideV w:val="nil"/>
        </w:tcBorders>
      </w:tcPr>
    </w:tblStylePr>
    <w:tblStylePr w:type="firstCol">
      <w:rPr>
        <w:b/>
        <w:bCs/>
      </w:rPr>
    </w:tblStylePr>
    <w:tblStylePr w:type="lastCol">
      <w:rPr>
        <w:b/>
        <w:bCs/>
      </w:rPr>
    </w:tblStylePr>
    <w:tblStylePr w:type="band1Vert">
      <w:tblPr/>
      <w:tcPr>
        <w:shd w:val="clear" w:color="auto" w:fill="ABB0ED"/>
      </w:tcPr>
    </w:tblStylePr>
    <w:tblStylePr w:type="band1Horz">
      <w:tblPr/>
      <w:tcPr>
        <w:tcBorders>
          <w:insideH w:val="nil"/>
          <w:insideV w:val="nil"/>
        </w:tcBorders>
        <w:shd w:val="clear" w:color="auto" w:fill="ABB0ED"/>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3CAEEC"/>
        <w:left w:val="single" w:sz="8" w:space="0" w:color="3CAEEC"/>
        <w:bottom w:val="single" w:sz="8" w:space="0" w:color="3CAEEC"/>
        <w:right w:val="single" w:sz="8" w:space="0" w:color="3CAEEC"/>
        <w:insideH w:val="single" w:sz="8" w:space="0" w:color="3CAEEC"/>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3CAEEC"/>
          <w:left w:val="single" w:sz="8" w:space="0" w:color="3CAEEC"/>
          <w:bottom w:val="single" w:sz="8" w:space="0" w:color="3CAEEC"/>
          <w:right w:val="single" w:sz="8" w:space="0" w:color="3CAEEC"/>
          <w:insideH w:val="nil"/>
          <w:insideV w:val="nil"/>
        </w:tcBorders>
        <w:shd w:val="clear" w:color="auto" w:fill="148DCD"/>
      </w:tcPr>
    </w:tblStylePr>
    <w:tblStylePr w:type="lastRow">
      <w:pPr>
        <w:spacing w:before="0" w:after="0" w:line="240" w:lineRule="auto"/>
      </w:pPr>
      <w:rPr>
        <w:b/>
        <w:bCs/>
      </w:rPr>
      <w:tblPr/>
      <w:tcPr>
        <w:tcBorders>
          <w:top w:val="double" w:sz="6" w:space="0" w:color="3CAEEC"/>
          <w:left w:val="single" w:sz="8" w:space="0" w:color="3CAEEC"/>
          <w:bottom w:val="single" w:sz="8" w:space="0" w:color="3CAEEC"/>
          <w:right w:val="single" w:sz="8" w:space="0" w:color="3CAEEC"/>
          <w:insideH w:val="nil"/>
          <w:insideV w:val="nil"/>
        </w:tcBorders>
      </w:tcPr>
    </w:tblStylePr>
    <w:tblStylePr w:type="firstCol">
      <w:rPr>
        <w:b/>
        <w:bCs/>
      </w:rPr>
    </w:tblStylePr>
    <w:tblStylePr w:type="lastCol">
      <w:rPr>
        <w:b/>
        <w:bCs/>
      </w:rPr>
    </w:tblStylePr>
    <w:tblStylePr w:type="band1Vert">
      <w:tblPr/>
      <w:tcPr>
        <w:shd w:val="clear" w:color="auto" w:fill="BEE4F8"/>
      </w:tcPr>
    </w:tblStylePr>
    <w:tblStylePr w:type="band1Horz">
      <w:tblPr/>
      <w:tcPr>
        <w:tcBorders>
          <w:insideH w:val="nil"/>
          <w:insideV w:val="nil"/>
        </w:tcBorders>
        <w:shd w:val="clear" w:color="auto" w:fill="BEE4F8"/>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AECBEA"/>
        <w:left w:val="single" w:sz="8" w:space="0" w:color="AECBEA"/>
        <w:bottom w:val="single" w:sz="8" w:space="0" w:color="AECBEA"/>
        <w:right w:val="single" w:sz="8" w:space="0" w:color="AECBEA"/>
        <w:insideH w:val="single" w:sz="8" w:space="0" w:color="AECBEA"/>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AECBEA"/>
          <w:left w:val="single" w:sz="8" w:space="0" w:color="AECBEA"/>
          <w:bottom w:val="single" w:sz="8" w:space="0" w:color="AECBEA"/>
          <w:right w:val="single" w:sz="8" w:space="0" w:color="AECBEA"/>
          <w:insideH w:val="nil"/>
          <w:insideV w:val="nil"/>
        </w:tcBorders>
        <w:shd w:val="clear" w:color="auto" w:fill="94BAE3"/>
      </w:tcPr>
    </w:tblStylePr>
    <w:tblStylePr w:type="lastRow">
      <w:pPr>
        <w:spacing w:before="0" w:after="0" w:line="240" w:lineRule="auto"/>
      </w:pPr>
      <w:rPr>
        <w:b/>
        <w:bCs/>
      </w:rPr>
      <w:tblPr/>
      <w:tcPr>
        <w:tcBorders>
          <w:top w:val="double" w:sz="6" w:space="0" w:color="AECBEA"/>
          <w:left w:val="single" w:sz="8" w:space="0" w:color="AECBEA"/>
          <w:bottom w:val="single" w:sz="8" w:space="0" w:color="AECBEA"/>
          <w:right w:val="single" w:sz="8" w:space="0" w:color="AECBEA"/>
          <w:insideH w:val="nil"/>
          <w:insideV w:val="nil"/>
        </w:tcBorders>
      </w:tcPr>
    </w:tblStylePr>
    <w:tblStylePr w:type="firstCol">
      <w:rPr>
        <w:b/>
        <w:bCs/>
      </w:rPr>
    </w:tblStylePr>
    <w:tblStylePr w:type="lastCol">
      <w:rPr>
        <w:b/>
        <w:bCs/>
      </w:rPr>
    </w:tblStylePr>
    <w:tblStylePr w:type="band1Vert">
      <w:tblPr/>
      <w:tcPr>
        <w:shd w:val="clear" w:color="auto" w:fill="E4EDF8"/>
      </w:tcPr>
    </w:tblStylePr>
    <w:tblStylePr w:type="band1Horz">
      <w:tblPr/>
      <w:tcPr>
        <w:tcBorders>
          <w:insideH w:val="nil"/>
          <w:insideV w:val="nil"/>
        </w:tcBorders>
        <w:shd w:val="clear" w:color="auto" w:fill="E4EDF8"/>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9FE03B"/>
        <w:left w:val="single" w:sz="8" w:space="0" w:color="9FE03B"/>
        <w:bottom w:val="single" w:sz="8" w:space="0" w:color="9FE03B"/>
        <w:right w:val="single" w:sz="8" w:space="0" w:color="9FE03B"/>
        <w:insideH w:val="single" w:sz="8" w:space="0" w:color="9FE03B"/>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E03B"/>
          <w:left w:val="single" w:sz="8" w:space="0" w:color="9FE03B"/>
          <w:bottom w:val="single" w:sz="8" w:space="0" w:color="9FE03B"/>
          <w:right w:val="single" w:sz="8" w:space="0" w:color="9FE03B"/>
          <w:insideH w:val="nil"/>
          <w:insideV w:val="nil"/>
        </w:tcBorders>
        <w:shd w:val="clear" w:color="auto" w:fill="79B51C"/>
      </w:tcPr>
    </w:tblStylePr>
    <w:tblStylePr w:type="lastRow">
      <w:pPr>
        <w:spacing w:before="0" w:after="0" w:line="240" w:lineRule="auto"/>
      </w:pPr>
      <w:rPr>
        <w:b/>
        <w:bCs/>
      </w:rPr>
      <w:tblPr/>
      <w:tcPr>
        <w:tcBorders>
          <w:top w:val="double" w:sz="6" w:space="0" w:color="9FE03B"/>
          <w:left w:val="single" w:sz="8" w:space="0" w:color="9FE03B"/>
          <w:bottom w:val="single" w:sz="8" w:space="0" w:color="9FE03B"/>
          <w:right w:val="single" w:sz="8" w:space="0" w:color="9FE03B"/>
          <w:insideH w:val="nil"/>
          <w:insideV w:val="nil"/>
        </w:tcBorders>
      </w:tcPr>
    </w:tblStylePr>
    <w:tblStylePr w:type="firstCol">
      <w:rPr>
        <w:b/>
        <w:bCs/>
      </w:rPr>
    </w:tblStylePr>
    <w:tblStylePr w:type="lastCol">
      <w:rPr>
        <w:b/>
        <w:bCs/>
      </w:rPr>
    </w:tblStylePr>
    <w:tblStylePr w:type="band1Vert">
      <w:tblPr/>
      <w:tcPr>
        <w:shd w:val="clear" w:color="auto" w:fill="DFF5BE"/>
      </w:tcPr>
    </w:tblStylePr>
    <w:tblStylePr w:type="band1Horz">
      <w:tblPr/>
      <w:tcPr>
        <w:tcBorders>
          <w:insideH w:val="nil"/>
          <w:insideV w:val="nil"/>
        </w:tcBorders>
        <w:shd w:val="clear" w:color="auto" w:fill="DFF5BE"/>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DAF91F"/>
        <w:left w:val="single" w:sz="8" w:space="0" w:color="DAF91F"/>
        <w:bottom w:val="single" w:sz="8" w:space="0" w:color="DAF91F"/>
        <w:right w:val="single" w:sz="8" w:space="0" w:color="DAF91F"/>
        <w:insideH w:val="single" w:sz="8" w:space="0" w:color="DAF91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DAF91F"/>
          <w:left w:val="single" w:sz="8" w:space="0" w:color="DAF91F"/>
          <w:bottom w:val="single" w:sz="8" w:space="0" w:color="DAF91F"/>
          <w:right w:val="single" w:sz="8" w:space="0" w:color="DAF91F"/>
          <w:insideH w:val="nil"/>
          <w:insideV w:val="nil"/>
        </w:tcBorders>
        <w:shd w:val="clear" w:color="auto" w:fill="ACC705"/>
      </w:tcPr>
    </w:tblStylePr>
    <w:tblStylePr w:type="lastRow">
      <w:pPr>
        <w:spacing w:before="0" w:after="0" w:line="240" w:lineRule="auto"/>
      </w:pPr>
      <w:rPr>
        <w:b/>
        <w:bCs/>
      </w:rPr>
      <w:tblPr/>
      <w:tcPr>
        <w:tcBorders>
          <w:top w:val="double" w:sz="6" w:space="0" w:color="DAF91F"/>
          <w:left w:val="single" w:sz="8" w:space="0" w:color="DAF91F"/>
          <w:bottom w:val="single" w:sz="8" w:space="0" w:color="DAF91F"/>
          <w:right w:val="single" w:sz="8" w:space="0" w:color="DAF91F"/>
          <w:insideH w:val="nil"/>
          <w:insideV w:val="nil"/>
        </w:tcBorders>
      </w:tcPr>
    </w:tblStylePr>
    <w:tblStylePr w:type="firstCol">
      <w:rPr>
        <w:b/>
        <w:bCs/>
      </w:rPr>
    </w:tblStylePr>
    <w:tblStylePr w:type="lastCol">
      <w:rPr>
        <w:b/>
        <w:bCs/>
      </w:rPr>
    </w:tblStylePr>
    <w:tblStylePr w:type="band1Vert">
      <w:tblPr/>
      <w:tcPr>
        <w:shd w:val="clear" w:color="auto" w:fill="F3FDB5"/>
      </w:tcPr>
    </w:tblStylePr>
    <w:tblStylePr w:type="band1Horz">
      <w:tblPr/>
      <w:tcPr>
        <w:tcBorders>
          <w:insideH w:val="nil"/>
          <w:insideV w:val="nil"/>
        </w:tcBorders>
        <w:shd w:val="clear" w:color="auto" w:fill="F3FDB5"/>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AF37"/>
        <w:left w:val="single" w:sz="8" w:space="0" w:color="FFAF37"/>
        <w:bottom w:val="single" w:sz="8" w:space="0" w:color="FFAF37"/>
        <w:right w:val="single" w:sz="8" w:space="0" w:color="FFAF37"/>
        <w:insideH w:val="single" w:sz="8" w:space="0" w:color="FFAF37"/>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FAF37"/>
          <w:left w:val="single" w:sz="8" w:space="0" w:color="FFAF37"/>
          <w:bottom w:val="single" w:sz="8" w:space="0" w:color="FFAF37"/>
          <w:right w:val="single" w:sz="8" w:space="0" w:color="FFAF37"/>
          <w:insideH w:val="nil"/>
          <w:insideV w:val="nil"/>
        </w:tcBorders>
        <w:shd w:val="clear" w:color="auto" w:fill="F39200"/>
      </w:tcPr>
    </w:tblStylePr>
    <w:tblStylePr w:type="lastRow">
      <w:pPr>
        <w:spacing w:before="0" w:after="0" w:line="240" w:lineRule="auto"/>
      </w:pPr>
      <w:rPr>
        <w:b/>
        <w:bCs/>
      </w:rPr>
      <w:tblPr/>
      <w:tcPr>
        <w:tcBorders>
          <w:top w:val="double" w:sz="6" w:space="0" w:color="FFAF37"/>
          <w:left w:val="single" w:sz="8" w:space="0" w:color="FFAF37"/>
          <w:bottom w:val="single" w:sz="8" w:space="0" w:color="FFAF37"/>
          <w:right w:val="single" w:sz="8" w:space="0" w:color="FFAF37"/>
          <w:insideH w:val="nil"/>
          <w:insideV w:val="nil"/>
        </w:tcBorders>
      </w:tcPr>
    </w:tblStylePr>
    <w:tblStylePr w:type="firstCol">
      <w:rPr>
        <w:b/>
        <w:bCs/>
      </w:rPr>
    </w:tblStylePr>
    <w:tblStylePr w:type="lastCol">
      <w:rPr>
        <w:b/>
        <w:bCs/>
      </w:rPr>
    </w:tblStylePr>
    <w:tblStylePr w:type="band1Vert">
      <w:tblPr/>
      <w:tcPr>
        <w:shd w:val="clear" w:color="auto" w:fill="FFE4BD"/>
      </w:tcPr>
    </w:tblStylePr>
    <w:tblStylePr w:type="band1Horz">
      <w:tblPr/>
      <w:tcPr>
        <w:tcBorders>
          <w:insideH w:val="nil"/>
          <w:insideV w:val="nil"/>
        </w:tcBorders>
        <w:shd w:val="clear" w:color="auto" w:fill="FFE4BD"/>
      </w:tcPr>
    </w:tblStylePr>
    <w:tblStylePr w:type="band2Horz">
      <w:tblPr/>
      <w:tcPr>
        <w:tcBorders>
          <w:insideH w:val="nil"/>
          <w:insideV w:val="nil"/>
        </w:tcBorders>
      </w:tcPr>
    </w:tblStylePr>
  </w:style>
  <w:style w:type="table" w:customStyle="1" w:styleId="MittlereSchattierung21">
    <w:name w:val="Mittlere Schattierung 21"/>
    <w:basedOn w:val="TableNormal"/>
    <w:uiPriority w:val="64"/>
    <w:semiHidden/>
    <w:unhideWhenUsed/>
    <w:lock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ittlereSchattierung2-Akzent11">
    <w:name w:val="Mittlere Schattierung 2 - Akzent 11"/>
    <w:basedOn w:val="TableNormal"/>
    <w:uiPriority w:val="64"/>
    <w:semiHidden/>
    <w:unhideWhenUsed/>
    <w:lock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2175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21754"/>
      </w:tcPr>
    </w:tblStylePr>
    <w:tblStylePr w:type="lastCol">
      <w:rPr>
        <w:b/>
        <w:bCs/>
        <w:color w:val="FFFFFF"/>
      </w:rPr>
      <w:tblPr/>
      <w:tcPr>
        <w:tcBorders>
          <w:left w:val="nil"/>
          <w:right w:val="nil"/>
          <w:insideH w:val="nil"/>
          <w:insideV w:val="nil"/>
        </w:tcBorders>
        <w:shd w:val="clear" w:color="auto" w:fill="12175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48DC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48DCD"/>
      </w:tcPr>
    </w:tblStylePr>
    <w:tblStylePr w:type="lastCol">
      <w:rPr>
        <w:b/>
        <w:bCs/>
        <w:color w:val="FFFFFF"/>
      </w:rPr>
      <w:tblPr/>
      <w:tcPr>
        <w:tcBorders>
          <w:left w:val="nil"/>
          <w:right w:val="nil"/>
          <w:insideH w:val="nil"/>
          <w:insideV w:val="nil"/>
        </w:tcBorders>
        <w:shd w:val="clear" w:color="auto" w:fill="148DC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4BAE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4BAE3"/>
      </w:tcPr>
    </w:tblStylePr>
    <w:tblStylePr w:type="lastCol">
      <w:rPr>
        <w:b/>
        <w:bCs/>
        <w:color w:val="FFFFFF"/>
      </w:rPr>
      <w:tblPr/>
      <w:tcPr>
        <w:tcBorders>
          <w:left w:val="nil"/>
          <w:right w:val="nil"/>
          <w:insideH w:val="nil"/>
          <w:insideV w:val="nil"/>
        </w:tcBorders>
        <w:shd w:val="clear" w:color="auto" w:fill="94BAE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9B51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9B51C"/>
      </w:tcPr>
    </w:tblStylePr>
    <w:tblStylePr w:type="lastCol">
      <w:rPr>
        <w:b/>
        <w:bCs/>
        <w:color w:val="FFFFFF"/>
      </w:rPr>
      <w:tblPr/>
      <w:tcPr>
        <w:tcBorders>
          <w:left w:val="nil"/>
          <w:right w:val="nil"/>
          <w:insideH w:val="nil"/>
          <w:insideV w:val="nil"/>
        </w:tcBorders>
        <w:shd w:val="clear" w:color="auto" w:fill="79B51C"/>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CC70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CC705"/>
      </w:tcPr>
    </w:tblStylePr>
    <w:tblStylePr w:type="lastCol">
      <w:rPr>
        <w:b/>
        <w:bCs/>
        <w:color w:val="FFFFFF"/>
      </w:rPr>
      <w:tblPr/>
      <w:tcPr>
        <w:tcBorders>
          <w:left w:val="nil"/>
          <w:right w:val="nil"/>
          <w:insideH w:val="nil"/>
          <w:insideV w:val="nil"/>
        </w:tcBorders>
        <w:shd w:val="clear" w:color="auto" w:fill="ACC70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392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39200"/>
      </w:tcPr>
    </w:tblStylePr>
    <w:tblStylePr w:type="lastCol">
      <w:rPr>
        <w:b/>
        <w:bCs/>
        <w:color w:val="FFFFFF"/>
      </w:rPr>
      <w:tblPr/>
      <w:tcPr>
        <w:tcBorders>
          <w:left w:val="nil"/>
          <w:right w:val="nil"/>
          <w:insideH w:val="nil"/>
          <w:insideV w:val="nil"/>
        </w:tcBorders>
        <w:shd w:val="clear" w:color="auto" w:fill="F392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ittlereListe11">
    <w:name w:val="Mittlere Liste 11"/>
    <w:basedOn w:val="TableNormal"/>
    <w:uiPriority w:val="65"/>
    <w:semiHidden/>
    <w:unhideWhenUsed/>
    <w:lock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w:eastAsia="MS Gothic" w:hAnsi="Arial"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ittlereListe1-Akzent11">
    <w:name w:val="Mittlere Liste 1 - Akzent 11"/>
    <w:basedOn w:val="TableNormal"/>
    <w:uiPriority w:val="65"/>
    <w:semiHidden/>
    <w:unhideWhenUsed/>
    <w:lock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121754"/>
        <w:bottom w:val="single" w:sz="8" w:space="0" w:color="121754"/>
      </w:tblBorders>
      <w:tblCellMar>
        <w:top w:w="0" w:type="dxa"/>
        <w:left w:w="108" w:type="dxa"/>
        <w:bottom w:w="0" w:type="dxa"/>
        <w:right w:w="108" w:type="dxa"/>
      </w:tblCellMar>
    </w:tblPr>
    <w:tblStylePr w:type="firstRow">
      <w:rPr>
        <w:rFonts w:ascii="Arial" w:eastAsia="MS Gothic" w:hAnsi="Arial" w:cs="Times New Roman"/>
      </w:rPr>
      <w:tblPr/>
      <w:tcPr>
        <w:tcBorders>
          <w:top w:val="nil"/>
          <w:bottom w:val="single" w:sz="8" w:space="0" w:color="121754"/>
        </w:tcBorders>
      </w:tcPr>
    </w:tblStylePr>
    <w:tblStylePr w:type="lastRow">
      <w:rPr>
        <w:b/>
        <w:bCs/>
        <w:color w:val="1F497D"/>
      </w:rPr>
      <w:tblPr/>
      <w:tcPr>
        <w:tcBorders>
          <w:top w:val="single" w:sz="8" w:space="0" w:color="121754"/>
          <w:bottom w:val="single" w:sz="8" w:space="0" w:color="121754"/>
        </w:tcBorders>
      </w:tcPr>
    </w:tblStylePr>
    <w:tblStylePr w:type="firstCol">
      <w:rPr>
        <w:b/>
        <w:bCs/>
      </w:rPr>
    </w:tblStylePr>
    <w:tblStylePr w:type="lastCol">
      <w:rPr>
        <w:b/>
        <w:bCs/>
      </w:rPr>
      <w:tblPr/>
      <w:tcPr>
        <w:tcBorders>
          <w:top w:val="single" w:sz="8" w:space="0" w:color="121754"/>
          <w:bottom w:val="single" w:sz="8" w:space="0" w:color="121754"/>
        </w:tcBorders>
      </w:tcPr>
    </w:tblStylePr>
    <w:tblStylePr w:type="band1Vert">
      <w:tblPr/>
      <w:tcPr>
        <w:shd w:val="clear" w:color="auto" w:fill="ABB0ED"/>
      </w:tcPr>
    </w:tblStylePr>
    <w:tblStylePr w:type="band1Horz">
      <w:tblPr/>
      <w:tcPr>
        <w:shd w:val="clear" w:color="auto" w:fill="ABB0ED"/>
      </w:tcPr>
    </w:tblStylePr>
  </w:style>
  <w:style w:type="table" w:styleId="MediumList1-Accent2">
    <w:name w:val="Medium List 1 Accent 2"/>
    <w:basedOn w:val="TableNormal"/>
    <w:uiPriority w:val="65"/>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148DCD"/>
        <w:bottom w:val="single" w:sz="8" w:space="0" w:color="148DCD"/>
      </w:tblBorders>
      <w:tblCellMar>
        <w:top w:w="0" w:type="dxa"/>
        <w:left w:w="108" w:type="dxa"/>
        <w:bottom w:w="0" w:type="dxa"/>
        <w:right w:w="108" w:type="dxa"/>
      </w:tblCellMar>
    </w:tblPr>
    <w:tblStylePr w:type="firstRow">
      <w:rPr>
        <w:rFonts w:ascii="Arial" w:eastAsia="MS Gothic" w:hAnsi="Arial" w:cs="Times New Roman"/>
      </w:rPr>
      <w:tblPr/>
      <w:tcPr>
        <w:tcBorders>
          <w:top w:val="nil"/>
          <w:bottom w:val="single" w:sz="8" w:space="0" w:color="148DCD"/>
        </w:tcBorders>
      </w:tcPr>
    </w:tblStylePr>
    <w:tblStylePr w:type="lastRow">
      <w:rPr>
        <w:b/>
        <w:bCs/>
        <w:color w:val="1F497D"/>
      </w:rPr>
      <w:tblPr/>
      <w:tcPr>
        <w:tcBorders>
          <w:top w:val="single" w:sz="8" w:space="0" w:color="148DCD"/>
          <w:bottom w:val="single" w:sz="8" w:space="0" w:color="148DCD"/>
        </w:tcBorders>
      </w:tcPr>
    </w:tblStylePr>
    <w:tblStylePr w:type="firstCol">
      <w:rPr>
        <w:b/>
        <w:bCs/>
      </w:rPr>
    </w:tblStylePr>
    <w:tblStylePr w:type="lastCol">
      <w:rPr>
        <w:b/>
        <w:bCs/>
      </w:rPr>
      <w:tblPr/>
      <w:tcPr>
        <w:tcBorders>
          <w:top w:val="single" w:sz="8" w:space="0" w:color="148DCD"/>
          <w:bottom w:val="single" w:sz="8" w:space="0" w:color="148DCD"/>
        </w:tcBorders>
      </w:tcPr>
    </w:tblStylePr>
    <w:tblStylePr w:type="band1Vert">
      <w:tblPr/>
      <w:tcPr>
        <w:shd w:val="clear" w:color="auto" w:fill="BEE4F8"/>
      </w:tcPr>
    </w:tblStylePr>
    <w:tblStylePr w:type="band1Horz">
      <w:tblPr/>
      <w:tcPr>
        <w:shd w:val="clear" w:color="auto" w:fill="BEE4F8"/>
      </w:tcPr>
    </w:tblStylePr>
  </w:style>
  <w:style w:type="table" w:styleId="MediumList1-Accent3">
    <w:name w:val="Medium List 1 Accent 3"/>
    <w:basedOn w:val="TableNormal"/>
    <w:uiPriority w:val="65"/>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94BAE3"/>
        <w:bottom w:val="single" w:sz="8" w:space="0" w:color="94BAE3"/>
      </w:tblBorders>
      <w:tblCellMar>
        <w:top w:w="0" w:type="dxa"/>
        <w:left w:w="108" w:type="dxa"/>
        <w:bottom w:w="0" w:type="dxa"/>
        <w:right w:w="108" w:type="dxa"/>
      </w:tblCellMar>
    </w:tblPr>
    <w:tblStylePr w:type="firstRow">
      <w:rPr>
        <w:rFonts w:ascii="Arial" w:eastAsia="MS Gothic" w:hAnsi="Arial" w:cs="Times New Roman"/>
      </w:rPr>
      <w:tblPr/>
      <w:tcPr>
        <w:tcBorders>
          <w:top w:val="nil"/>
          <w:bottom w:val="single" w:sz="8" w:space="0" w:color="94BAE3"/>
        </w:tcBorders>
      </w:tcPr>
    </w:tblStylePr>
    <w:tblStylePr w:type="lastRow">
      <w:rPr>
        <w:b/>
        <w:bCs/>
        <w:color w:val="1F497D"/>
      </w:rPr>
      <w:tblPr/>
      <w:tcPr>
        <w:tcBorders>
          <w:top w:val="single" w:sz="8" w:space="0" w:color="94BAE3"/>
          <w:bottom w:val="single" w:sz="8" w:space="0" w:color="94BAE3"/>
        </w:tcBorders>
      </w:tcPr>
    </w:tblStylePr>
    <w:tblStylePr w:type="firstCol">
      <w:rPr>
        <w:b/>
        <w:bCs/>
      </w:rPr>
    </w:tblStylePr>
    <w:tblStylePr w:type="lastCol">
      <w:rPr>
        <w:b/>
        <w:bCs/>
      </w:rPr>
      <w:tblPr/>
      <w:tcPr>
        <w:tcBorders>
          <w:top w:val="single" w:sz="8" w:space="0" w:color="94BAE3"/>
          <w:bottom w:val="single" w:sz="8" w:space="0" w:color="94BAE3"/>
        </w:tcBorders>
      </w:tcPr>
    </w:tblStylePr>
    <w:tblStylePr w:type="band1Vert">
      <w:tblPr/>
      <w:tcPr>
        <w:shd w:val="clear" w:color="auto" w:fill="E4EDF8"/>
      </w:tcPr>
    </w:tblStylePr>
    <w:tblStylePr w:type="band1Horz">
      <w:tblPr/>
      <w:tcPr>
        <w:shd w:val="clear" w:color="auto" w:fill="E4EDF8"/>
      </w:tcPr>
    </w:tblStylePr>
  </w:style>
  <w:style w:type="table" w:styleId="MediumList1-Accent4">
    <w:name w:val="Medium List 1 Accent 4"/>
    <w:basedOn w:val="TableNormal"/>
    <w:uiPriority w:val="65"/>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79B51C"/>
        <w:bottom w:val="single" w:sz="8" w:space="0" w:color="79B51C"/>
      </w:tblBorders>
      <w:tblCellMar>
        <w:top w:w="0" w:type="dxa"/>
        <w:left w:w="108" w:type="dxa"/>
        <w:bottom w:w="0" w:type="dxa"/>
        <w:right w:w="108" w:type="dxa"/>
      </w:tblCellMar>
    </w:tblPr>
    <w:tblStylePr w:type="firstRow">
      <w:rPr>
        <w:rFonts w:ascii="Arial" w:eastAsia="MS Gothic" w:hAnsi="Arial" w:cs="Times New Roman"/>
      </w:rPr>
      <w:tblPr/>
      <w:tcPr>
        <w:tcBorders>
          <w:top w:val="nil"/>
          <w:bottom w:val="single" w:sz="8" w:space="0" w:color="79B51C"/>
        </w:tcBorders>
      </w:tcPr>
    </w:tblStylePr>
    <w:tblStylePr w:type="lastRow">
      <w:rPr>
        <w:b/>
        <w:bCs/>
        <w:color w:val="1F497D"/>
      </w:rPr>
      <w:tblPr/>
      <w:tcPr>
        <w:tcBorders>
          <w:top w:val="single" w:sz="8" w:space="0" w:color="79B51C"/>
          <w:bottom w:val="single" w:sz="8" w:space="0" w:color="79B51C"/>
        </w:tcBorders>
      </w:tcPr>
    </w:tblStylePr>
    <w:tblStylePr w:type="firstCol">
      <w:rPr>
        <w:b/>
        <w:bCs/>
      </w:rPr>
    </w:tblStylePr>
    <w:tblStylePr w:type="lastCol">
      <w:rPr>
        <w:b/>
        <w:bCs/>
      </w:rPr>
      <w:tblPr/>
      <w:tcPr>
        <w:tcBorders>
          <w:top w:val="single" w:sz="8" w:space="0" w:color="79B51C"/>
          <w:bottom w:val="single" w:sz="8" w:space="0" w:color="79B51C"/>
        </w:tcBorders>
      </w:tcPr>
    </w:tblStylePr>
    <w:tblStylePr w:type="band1Vert">
      <w:tblPr/>
      <w:tcPr>
        <w:shd w:val="clear" w:color="auto" w:fill="DFF5BE"/>
      </w:tcPr>
    </w:tblStylePr>
    <w:tblStylePr w:type="band1Horz">
      <w:tblPr/>
      <w:tcPr>
        <w:shd w:val="clear" w:color="auto" w:fill="DFF5BE"/>
      </w:tcPr>
    </w:tblStylePr>
  </w:style>
  <w:style w:type="table" w:styleId="MediumList1-Accent5">
    <w:name w:val="Medium List 1 Accent 5"/>
    <w:basedOn w:val="TableNormal"/>
    <w:uiPriority w:val="65"/>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ACC705"/>
        <w:bottom w:val="single" w:sz="8" w:space="0" w:color="ACC705"/>
      </w:tblBorders>
      <w:tblCellMar>
        <w:top w:w="0" w:type="dxa"/>
        <w:left w:w="108" w:type="dxa"/>
        <w:bottom w:w="0" w:type="dxa"/>
        <w:right w:w="108" w:type="dxa"/>
      </w:tblCellMar>
    </w:tblPr>
    <w:tblStylePr w:type="firstRow">
      <w:rPr>
        <w:rFonts w:ascii="Arial" w:eastAsia="MS Gothic" w:hAnsi="Arial" w:cs="Times New Roman"/>
      </w:rPr>
      <w:tblPr/>
      <w:tcPr>
        <w:tcBorders>
          <w:top w:val="nil"/>
          <w:bottom w:val="single" w:sz="8" w:space="0" w:color="ACC705"/>
        </w:tcBorders>
      </w:tcPr>
    </w:tblStylePr>
    <w:tblStylePr w:type="lastRow">
      <w:rPr>
        <w:b/>
        <w:bCs/>
        <w:color w:val="1F497D"/>
      </w:rPr>
      <w:tblPr/>
      <w:tcPr>
        <w:tcBorders>
          <w:top w:val="single" w:sz="8" w:space="0" w:color="ACC705"/>
          <w:bottom w:val="single" w:sz="8" w:space="0" w:color="ACC705"/>
        </w:tcBorders>
      </w:tcPr>
    </w:tblStylePr>
    <w:tblStylePr w:type="firstCol">
      <w:rPr>
        <w:b/>
        <w:bCs/>
      </w:rPr>
    </w:tblStylePr>
    <w:tblStylePr w:type="lastCol">
      <w:rPr>
        <w:b/>
        <w:bCs/>
      </w:rPr>
      <w:tblPr/>
      <w:tcPr>
        <w:tcBorders>
          <w:top w:val="single" w:sz="8" w:space="0" w:color="ACC705"/>
          <w:bottom w:val="single" w:sz="8" w:space="0" w:color="ACC705"/>
        </w:tcBorders>
      </w:tcPr>
    </w:tblStylePr>
    <w:tblStylePr w:type="band1Vert">
      <w:tblPr/>
      <w:tcPr>
        <w:shd w:val="clear" w:color="auto" w:fill="F3FDB5"/>
      </w:tcPr>
    </w:tblStylePr>
    <w:tblStylePr w:type="band1Horz">
      <w:tblPr/>
      <w:tcPr>
        <w:shd w:val="clear" w:color="auto" w:fill="F3FDB5"/>
      </w:tcPr>
    </w:tblStylePr>
  </w:style>
  <w:style w:type="table" w:styleId="MediumList1-Accent6">
    <w:name w:val="Medium List 1 Accent 6"/>
    <w:basedOn w:val="TableNormal"/>
    <w:uiPriority w:val="65"/>
    <w:unhideWhenUsed/>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F39200"/>
        <w:bottom w:val="single" w:sz="8" w:space="0" w:color="F39200"/>
      </w:tblBorders>
      <w:tblCellMar>
        <w:top w:w="0" w:type="dxa"/>
        <w:left w:w="108" w:type="dxa"/>
        <w:bottom w:w="0" w:type="dxa"/>
        <w:right w:w="108" w:type="dxa"/>
      </w:tblCellMar>
    </w:tblPr>
    <w:tblStylePr w:type="firstRow">
      <w:rPr>
        <w:rFonts w:ascii="Arial" w:eastAsia="MS Gothic" w:hAnsi="Arial" w:cs="Times New Roman"/>
      </w:rPr>
      <w:tblPr/>
      <w:tcPr>
        <w:tcBorders>
          <w:top w:val="nil"/>
          <w:bottom w:val="single" w:sz="8" w:space="0" w:color="F39200"/>
        </w:tcBorders>
      </w:tcPr>
    </w:tblStylePr>
    <w:tblStylePr w:type="lastRow">
      <w:rPr>
        <w:b/>
        <w:bCs/>
        <w:color w:val="1F497D"/>
      </w:rPr>
      <w:tblPr/>
      <w:tcPr>
        <w:tcBorders>
          <w:top w:val="single" w:sz="8" w:space="0" w:color="F39200"/>
          <w:bottom w:val="single" w:sz="8" w:space="0" w:color="F39200"/>
        </w:tcBorders>
      </w:tcPr>
    </w:tblStylePr>
    <w:tblStylePr w:type="firstCol">
      <w:rPr>
        <w:b/>
        <w:bCs/>
      </w:rPr>
    </w:tblStylePr>
    <w:tblStylePr w:type="lastCol">
      <w:rPr>
        <w:b/>
        <w:bCs/>
      </w:rPr>
      <w:tblPr/>
      <w:tcPr>
        <w:tcBorders>
          <w:top w:val="single" w:sz="8" w:space="0" w:color="F39200"/>
          <w:bottom w:val="single" w:sz="8" w:space="0" w:color="F39200"/>
        </w:tcBorders>
      </w:tcPr>
    </w:tblStylePr>
    <w:tblStylePr w:type="band1Vert">
      <w:tblPr/>
      <w:tcPr>
        <w:shd w:val="clear" w:color="auto" w:fill="FFE4BD"/>
      </w:tcPr>
    </w:tblStylePr>
    <w:tblStylePr w:type="band1Horz">
      <w:tblPr/>
      <w:tcPr>
        <w:shd w:val="clear" w:color="auto" w:fill="FFE4BD"/>
      </w:tcPr>
    </w:tblStylePr>
  </w:style>
  <w:style w:type="table" w:customStyle="1" w:styleId="MittlereListe21">
    <w:name w:val="Mittlere Liste 21"/>
    <w:basedOn w:val="TableNormal"/>
    <w:uiPriority w:val="66"/>
    <w:semiHidden/>
    <w:unhideWhenUsed/>
    <w:lock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121754"/>
        <w:left w:val="single" w:sz="8" w:space="0" w:color="121754"/>
        <w:bottom w:val="single" w:sz="8" w:space="0" w:color="121754"/>
        <w:right w:val="single" w:sz="8" w:space="0" w:color="121754"/>
      </w:tblBorders>
      <w:tblCellMar>
        <w:top w:w="0" w:type="dxa"/>
        <w:left w:w="108" w:type="dxa"/>
        <w:bottom w:w="0" w:type="dxa"/>
        <w:right w:w="108" w:type="dxa"/>
      </w:tblCellMar>
    </w:tblPr>
    <w:tblStylePr w:type="firstRow">
      <w:rPr>
        <w:sz w:val="24"/>
        <w:szCs w:val="24"/>
      </w:rPr>
      <w:tblPr/>
      <w:tcPr>
        <w:tcBorders>
          <w:top w:val="nil"/>
          <w:left w:val="nil"/>
          <w:bottom w:val="single" w:sz="24" w:space="0" w:color="121754"/>
          <w:right w:val="nil"/>
          <w:insideH w:val="nil"/>
          <w:insideV w:val="nil"/>
        </w:tcBorders>
        <w:shd w:val="clear" w:color="auto" w:fill="FFFFFF"/>
      </w:tcPr>
    </w:tblStylePr>
    <w:tblStylePr w:type="lastRow">
      <w:tblPr/>
      <w:tcPr>
        <w:tcBorders>
          <w:top w:val="single" w:sz="8" w:space="0" w:color="121754"/>
          <w:left w:val="nil"/>
          <w:bottom w:val="nil"/>
          <w:right w:val="nil"/>
          <w:insideH w:val="nil"/>
          <w:insideV w:val="nil"/>
        </w:tcBorders>
        <w:shd w:val="clear" w:color="auto" w:fill="FFFFFF"/>
      </w:tcPr>
    </w:tblStylePr>
    <w:tblStylePr w:type="firstCol">
      <w:tblPr/>
      <w:tcPr>
        <w:tcBorders>
          <w:top w:val="nil"/>
          <w:left w:val="nil"/>
          <w:bottom w:val="nil"/>
          <w:right w:val="single" w:sz="8" w:space="0" w:color="121754"/>
          <w:insideH w:val="nil"/>
          <w:insideV w:val="nil"/>
        </w:tcBorders>
        <w:shd w:val="clear" w:color="auto" w:fill="FFFFFF"/>
      </w:tcPr>
    </w:tblStylePr>
    <w:tblStylePr w:type="lastCol">
      <w:tblPr/>
      <w:tcPr>
        <w:tcBorders>
          <w:top w:val="nil"/>
          <w:left w:val="single" w:sz="8" w:space="0" w:color="12175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BB0ED"/>
      </w:tcPr>
    </w:tblStylePr>
    <w:tblStylePr w:type="band1Horz">
      <w:tblPr/>
      <w:tcPr>
        <w:tcBorders>
          <w:top w:val="nil"/>
          <w:bottom w:val="nil"/>
          <w:insideH w:val="nil"/>
          <w:insideV w:val="nil"/>
        </w:tcBorders>
        <w:shd w:val="clear" w:color="auto" w:fill="ABB0ED"/>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148DCD"/>
        <w:left w:val="single" w:sz="8" w:space="0" w:color="148DCD"/>
        <w:bottom w:val="single" w:sz="8" w:space="0" w:color="148DCD"/>
        <w:right w:val="single" w:sz="8" w:space="0" w:color="148DCD"/>
      </w:tblBorders>
      <w:tblCellMar>
        <w:top w:w="0" w:type="dxa"/>
        <w:left w:w="108" w:type="dxa"/>
        <w:bottom w:w="0" w:type="dxa"/>
        <w:right w:w="108" w:type="dxa"/>
      </w:tblCellMar>
    </w:tblPr>
    <w:tblStylePr w:type="firstRow">
      <w:rPr>
        <w:sz w:val="24"/>
        <w:szCs w:val="24"/>
      </w:rPr>
      <w:tblPr/>
      <w:tcPr>
        <w:tcBorders>
          <w:top w:val="nil"/>
          <w:left w:val="nil"/>
          <w:bottom w:val="single" w:sz="24" w:space="0" w:color="148DCD"/>
          <w:right w:val="nil"/>
          <w:insideH w:val="nil"/>
          <w:insideV w:val="nil"/>
        </w:tcBorders>
        <w:shd w:val="clear" w:color="auto" w:fill="FFFFFF"/>
      </w:tcPr>
    </w:tblStylePr>
    <w:tblStylePr w:type="lastRow">
      <w:tblPr/>
      <w:tcPr>
        <w:tcBorders>
          <w:top w:val="single" w:sz="8" w:space="0" w:color="148DCD"/>
          <w:left w:val="nil"/>
          <w:bottom w:val="nil"/>
          <w:right w:val="nil"/>
          <w:insideH w:val="nil"/>
          <w:insideV w:val="nil"/>
        </w:tcBorders>
        <w:shd w:val="clear" w:color="auto" w:fill="FFFFFF"/>
      </w:tcPr>
    </w:tblStylePr>
    <w:tblStylePr w:type="firstCol">
      <w:tblPr/>
      <w:tcPr>
        <w:tcBorders>
          <w:top w:val="nil"/>
          <w:left w:val="nil"/>
          <w:bottom w:val="nil"/>
          <w:right w:val="single" w:sz="8" w:space="0" w:color="148DCD"/>
          <w:insideH w:val="nil"/>
          <w:insideV w:val="nil"/>
        </w:tcBorders>
        <w:shd w:val="clear" w:color="auto" w:fill="FFFFFF"/>
      </w:tcPr>
    </w:tblStylePr>
    <w:tblStylePr w:type="lastCol">
      <w:tblPr/>
      <w:tcPr>
        <w:tcBorders>
          <w:top w:val="nil"/>
          <w:left w:val="single" w:sz="8" w:space="0" w:color="148DC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EE4F8"/>
      </w:tcPr>
    </w:tblStylePr>
    <w:tblStylePr w:type="band1Horz">
      <w:tblPr/>
      <w:tcPr>
        <w:tcBorders>
          <w:top w:val="nil"/>
          <w:bottom w:val="nil"/>
          <w:insideH w:val="nil"/>
          <w:insideV w:val="nil"/>
        </w:tcBorders>
        <w:shd w:val="clear" w:color="auto" w:fill="BEE4F8"/>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94BAE3"/>
        <w:left w:val="single" w:sz="8" w:space="0" w:color="94BAE3"/>
        <w:bottom w:val="single" w:sz="8" w:space="0" w:color="94BAE3"/>
        <w:right w:val="single" w:sz="8" w:space="0" w:color="94BAE3"/>
      </w:tblBorders>
      <w:tblCellMar>
        <w:top w:w="0" w:type="dxa"/>
        <w:left w:w="108" w:type="dxa"/>
        <w:bottom w:w="0" w:type="dxa"/>
        <w:right w:w="108" w:type="dxa"/>
      </w:tblCellMar>
    </w:tblPr>
    <w:tblStylePr w:type="firstRow">
      <w:rPr>
        <w:sz w:val="24"/>
        <w:szCs w:val="24"/>
      </w:rPr>
      <w:tblPr/>
      <w:tcPr>
        <w:tcBorders>
          <w:top w:val="nil"/>
          <w:left w:val="nil"/>
          <w:bottom w:val="single" w:sz="24" w:space="0" w:color="94BAE3"/>
          <w:right w:val="nil"/>
          <w:insideH w:val="nil"/>
          <w:insideV w:val="nil"/>
        </w:tcBorders>
        <w:shd w:val="clear" w:color="auto" w:fill="FFFFFF"/>
      </w:tcPr>
    </w:tblStylePr>
    <w:tblStylePr w:type="lastRow">
      <w:tblPr/>
      <w:tcPr>
        <w:tcBorders>
          <w:top w:val="single" w:sz="8" w:space="0" w:color="94BAE3"/>
          <w:left w:val="nil"/>
          <w:bottom w:val="nil"/>
          <w:right w:val="nil"/>
          <w:insideH w:val="nil"/>
          <w:insideV w:val="nil"/>
        </w:tcBorders>
        <w:shd w:val="clear" w:color="auto" w:fill="FFFFFF"/>
      </w:tcPr>
    </w:tblStylePr>
    <w:tblStylePr w:type="firstCol">
      <w:tblPr/>
      <w:tcPr>
        <w:tcBorders>
          <w:top w:val="nil"/>
          <w:left w:val="nil"/>
          <w:bottom w:val="nil"/>
          <w:right w:val="single" w:sz="8" w:space="0" w:color="94BAE3"/>
          <w:insideH w:val="nil"/>
          <w:insideV w:val="nil"/>
        </w:tcBorders>
        <w:shd w:val="clear" w:color="auto" w:fill="FFFFFF"/>
      </w:tcPr>
    </w:tblStylePr>
    <w:tblStylePr w:type="lastCol">
      <w:tblPr/>
      <w:tcPr>
        <w:tcBorders>
          <w:top w:val="nil"/>
          <w:left w:val="single" w:sz="8" w:space="0" w:color="94BAE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4EDF8"/>
      </w:tcPr>
    </w:tblStylePr>
    <w:tblStylePr w:type="band1Horz">
      <w:tblPr/>
      <w:tcPr>
        <w:tcBorders>
          <w:top w:val="nil"/>
          <w:bottom w:val="nil"/>
          <w:insideH w:val="nil"/>
          <w:insideV w:val="nil"/>
        </w:tcBorders>
        <w:shd w:val="clear" w:color="auto" w:fill="E4EDF8"/>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79B51C"/>
        <w:left w:val="single" w:sz="8" w:space="0" w:color="79B51C"/>
        <w:bottom w:val="single" w:sz="8" w:space="0" w:color="79B51C"/>
        <w:right w:val="single" w:sz="8" w:space="0" w:color="79B51C"/>
      </w:tblBorders>
      <w:tblCellMar>
        <w:top w:w="0" w:type="dxa"/>
        <w:left w:w="108" w:type="dxa"/>
        <w:bottom w:w="0" w:type="dxa"/>
        <w:right w:w="108" w:type="dxa"/>
      </w:tblCellMar>
    </w:tblPr>
    <w:tblStylePr w:type="firstRow">
      <w:rPr>
        <w:sz w:val="24"/>
        <w:szCs w:val="24"/>
      </w:rPr>
      <w:tblPr/>
      <w:tcPr>
        <w:tcBorders>
          <w:top w:val="nil"/>
          <w:left w:val="nil"/>
          <w:bottom w:val="single" w:sz="24" w:space="0" w:color="79B51C"/>
          <w:right w:val="nil"/>
          <w:insideH w:val="nil"/>
          <w:insideV w:val="nil"/>
        </w:tcBorders>
        <w:shd w:val="clear" w:color="auto" w:fill="FFFFFF"/>
      </w:tcPr>
    </w:tblStylePr>
    <w:tblStylePr w:type="lastRow">
      <w:tblPr/>
      <w:tcPr>
        <w:tcBorders>
          <w:top w:val="single" w:sz="8" w:space="0" w:color="79B51C"/>
          <w:left w:val="nil"/>
          <w:bottom w:val="nil"/>
          <w:right w:val="nil"/>
          <w:insideH w:val="nil"/>
          <w:insideV w:val="nil"/>
        </w:tcBorders>
        <w:shd w:val="clear" w:color="auto" w:fill="FFFFFF"/>
      </w:tcPr>
    </w:tblStylePr>
    <w:tblStylePr w:type="firstCol">
      <w:tblPr/>
      <w:tcPr>
        <w:tcBorders>
          <w:top w:val="nil"/>
          <w:left w:val="nil"/>
          <w:bottom w:val="nil"/>
          <w:right w:val="single" w:sz="8" w:space="0" w:color="79B51C"/>
          <w:insideH w:val="nil"/>
          <w:insideV w:val="nil"/>
        </w:tcBorders>
        <w:shd w:val="clear" w:color="auto" w:fill="FFFFFF"/>
      </w:tcPr>
    </w:tblStylePr>
    <w:tblStylePr w:type="lastCol">
      <w:tblPr/>
      <w:tcPr>
        <w:tcBorders>
          <w:top w:val="nil"/>
          <w:left w:val="single" w:sz="8" w:space="0" w:color="79B51C"/>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F5BE"/>
      </w:tcPr>
    </w:tblStylePr>
    <w:tblStylePr w:type="band1Horz">
      <w:tblPr/>
      <w:tcPr>
        <w:tcBorders>
          <w:top w:val="nil"/>
          <w:bottom w:val="nil"/>
          <w:insideH w:val="nil"/>
          <w:insideV w:val="nil"/>
        </w:tcBorders>
        <w:shd w:val="clear" w:color="auto" w:fill="DFF5BE"/>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ACC705"/>
        <w:left w:val="single" w:sz="8" w:space="0" w:color="ACC705"/>
        <w:bottom w:val="single" w:sz="8" w:space="0" w:color="ACC705"/>
        <w:right w:val="single" w:sz="8" w:space="0" w:color="ACC705"/>
      </w:tblBorders>
      <w:tblCellMar>
        <w:top w:w="0" w:type="dxa"/>
        <w:left w:w="108" w:type="dxa"/>
        <w:bottom w:w="0" w:type="dxa"/>
        <w:right w:w="108" w:type="dxa"/>
      </w:tblCellMar>
    </w:tblPr>
    <w:tblStylePr w:type="firstRow">
      <w:rPr>
        <w:sz w:val="24"/>
        <w:szCs w:val="24"/>
      </w:rPr>
      <w:tblPr/>
      <w:tcPr>
        <w:tcBorders>
          <w:top w:val="nil"/>
          <w:left w:val="nil"/>
          <w:bottom w:val="single" w:sz="24" w:space="0" w:color="ACC705"/>
          <w:right w:val="nil"/>
          <w:insideH w:val="nil"/>
          <w:insideV w:val="nil"/>
        </w:tcBorders>
        <w:shd w:val="clear" w:color="auto" w:fill="FFFFFF"/>
      </w:tcPr>
    </w:tblStylePr>
    <w:tblStylePr w:type="lastRow">
      <w:tblPr/>
      <w:tcPr>
        <w:tcBorders>
          <w:top w:val="single" w:sz="8" w:space="0" w:color="ACC705"/>
          <w:left w:val="nil"/>
          <w:bottom w:val="nil"/>
          <w:right w:val="nil"/>
          <w:insideH w:val="nil"/>
          <w:insideV w:val="nil"/>
        </w:tcBorders>
        <w:shd w:val="clear" w:color="auto" w:fill="FFFFFF"/>
      </w:tcPr>
    </w:tblStylePr>
    <w:tblStylePr w:type="firstCol">
      <w:tblPr/>
      <w:tcPr>
        <w:tcBorders>
          <w:top w:val="nil"/>
          <w:left w:val="nil"/>
          <w:bottom w:val="nil"/>
          <w:right w:val="single" w:sz="8" w:space="0" w:color="ACC705"/>
          <w:insideH w:val="nil"/>
          <w:insideV w:val="nil"/>
        </w:tcBorders>
        <w:shd w:val="clear" w:color="auto" w:fill="FFFFFF"/>
      </w:tcPr>
    </w:tblStylePr>
    <w:tblStylePr w:type="lastCol">
      <w:tblPr/>
      <w:tcPr>
        <w:tcBorders>
          <w:top w:val="nil"/>
          <w:left w:val="single" w:sz="8" w:space="0" w:color="ACC70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3FDB5"/>
      </w:tcPr>
    </w:tblStylePr>
    <w:tblStylePr w:type="band1Horz">
      <w:tblPr/>
      <w:tcPr>
        <w:tcBorders>
          <w:top w:val="nil"/>
          <w:bottom w:val="nil"/>
          <w:insideH w:val="nil"/>
          <w:insideV w:val="nil"/>
        </w:tcBorders>
        <w:shd w:val="clear" w:color="auto" w:fill="F3FDB5"/>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F39200"/>
        <w:left w:val="single" w:sz="8" w:space="0" w:color="F39200"/>
        <w:bottom w:val="single" w:sz="8" w:space="0" w:color="F39200"/>
        <w:right w:val="single" w:sz="8" w:space="0" w:color="F39200"/>
      </w:tblBorders>
      <w:tblCellMar>
        <w:top w:w="0" w:type="dxa"/>
        <w:left w:w="108" w:type="dxa"/>
        <w:bottom w:w="0" w:type="dxa"/>
        <w:right w:w="108" w:type="dxa"/>
      </w:tblCellMar>
    </w:tblPr>
    <w:tblStylePr w:type="firstRow">
      <w:rPr>
        <w:sz w:val="24"/>
        <w:szCs w:val="24"/>
      </w:rPr>
      <w:tblPr/>
      <w:tcPr>
        <w:tcBorders>
          <w:top w:val="nil"/>
          <w:left w:val="nil"/>
          <w:bottom w:val="single" w:sz="24" w:space="0" w:color="F39200"/>
          <w:right w:val="nil"/>
          <w:insideH w:val="nil"/>
          <w:insideV w:val="nil"/>
        </w:tcBorders>
        <w:shd w:val="clear" w:color="auto" w:fill="FFFFFF"/>
      </w:tcPr>
    </w:tblStylePr>
    <w:tblStylePr w:type="lastRow">
      <w:tblPr/>
      <w:tcPr>
        <w:tcBorders>
          <w:top w:val="single" w:sz="8" w:space="0" w:color="F392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39200"/>
          <w:insideH w:val="nil"/>
          <w:insideV w:val="nil"/>
        </w:tcBorders>
        <w:shd w:val="clear" w:color="auto" w:fill="FFFFFF"/>
      </w:tcPr>
    </w:tblStylePr>
    <w:tblStylePr w:type="lastCol">
      <w:tblPr/>
      <w:tcPr>
        <w:tcBorders>
          <w:top w:val="nil"/>
          <w:left w:val="single" w:sz="8" w:space="0" w:color="F392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4BD"/>
      </w:tcPr>
    </w:tblStylePr>
    <w:tblStylePr w:type="band1Horz">
      <w:tblPr/>
      <w:tcPr>
        <w:tcBorders>
          <w:top w:val="nil"/>
          <w:bottom w:val="nil"/>
          <w:insideH w:val="nil"/>
          <w:insideV w:val="nil"/>
        </w:tcBorders>
        <w:shd w:val="clear" w:color="auto" w:fill="FFE4BD"/>
      </w:tcPr>
    </w:tblStylePr>
    <w:tblStylePr w:type="nwCell">
      <w:tblPr/>
      <w:tcPr>
        <w:shd w:val="clear" w:color="auto" w:fill="FFFFFF"/>
      </w:tcPr>
    </w:tblStylePr>
    <w:tblStylePr w:type="swCell">
      <w:tblPr/>
      <w:tcPr>
        <w:tcBorders>
          <w:top w:val="nil"/>
        </w:tcBorders>
      </w:tcPr>
    </w:tblStylePr>
  </w:style>
  <w:style w:type="table" w:customStyle="1" w:styleId="MittleresRaster11">
    <w:name w:val="Mittleres Raster 11"/>
    <w:basedOn w:val="TableNormal"/>
    <w:uiPriority w:val="67"/>
    <w:semiHidden/>
    <w:unhideWhenUsed/>
    <w:lock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242EA8"/>
        <w:left w:val="single" w:sz="8" w:space="0" w:color="242EA8"/>
        <w:bottom w:val="single" w:sz="8" w:space="0" w:color="242EA8"/>
        <w:right w:val="single" w:sz="8" w:space="0" w:color="242EA8"/>
        <w:insideH w:val="single" w:sz="8" w:space="0" w:color="242EA8"/>
        <w:insideV w:val="single" w:sz="8" w:space="0" w:color="242EA8"/>
      </w:tblBorders>
      <w:tblCellMar>
        <w:top w:w="0" w:type="dxa"/>
        <w:left w:w="108" w:type="dxa"/>
        <w:bottom w:w="0" w:type="dxa"/>
        <w:right w:w="108" w:type="dxa"/>
      </w:tblCellMar>
    </w:tblPr>
    <w:tcPr>
      <w:shd w:val="clear" w:color="auto" w:fill="ABB0ED"/>
    </w:tcPr>
    <w:tblStylePr w:type="firstRow">
      <w:rPr>
        <w:b/>
        <w:bCs/>
      </w:rPr>
    </w:tblStylePr>
    <w:tblStylePr w:type="lastRow">
      <w:rPr>
        <w:b/>
        <w:bCs/>
      </w:rPr>
      <w:tblPr/>
      <w:tcPr>
        <w:tcBorders>
          <w:top w:val="single" w:sz="18" w:space="0" w:color="242EA8"/>
        </w:tcBorders>
      </w:tcPr>
    </w:tblStylePr>
    <w:tblStylePr w:type="firstCol">
      <w:rPr>
        <w:b/>
        <w:bCs/>
      </w:rPr>
    </w:tblStylePr>
    <w:tblStylePr w:type="lastCol">
      <w:rPr>
        <w:b/>
        <w:bCs/>
      </w:rPr>
    </w:tblStylePr>
    <w:tblStylePr w:type="band1Vert">
      <w:tblPr/>
      <w:tcPr>
        <w:shd w:val="clear" w:color="auto" w:fill="5761DB"/>
      </w:tcPr>
    </w:tblStylePr>
    <w:tblStylePr w:type="band1Horz">
      <w:tblPr/>
      <w:tcPr>
        <w:shd w:val="clear" w:color="auto" w:fill="5761DB"/>
      </w:tcPr>
    </w:tblStylePr>
  </w:style>
  <w:style w:type="table" w:styleId="MediumGrid1-Accent2">
    <w:name w:val="Medium Grid 1 Accent 2"/>
    <w:basedOn w:val="TableNormal"/>
    <w:uiPriority w:val="67"/>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3CAEEC"/>
        <w:left w:val="single" w:sz="8" w:space="0" w:color="3CAEEC"/>
        <w:bottom w:val="single" w:sz="8" w:space="0" w:color="3CAEEC"/>
        <w:right w:val="single" w:sz="8" w:space="0" w:color="3CAEEC"/>
        <w:insideH w:val="single" w:sz="8" w:space="0" w:color="3CAEEC"/>
        <w:insideV w:val="single" w:sz="8" w:space="0" w:color="3CAEEC"/>
      </w:tblBorders>
      <w:tblCellMar>
        <w:top w:w="0" w:type="dxa"/>
        <w:left w:w="108" w:type="dxa"/>
        <w:bottom w:w="0" w:type="dxa"/>
        <w:right w:w="108" w:type="dxa"/>
      </w:tblCellMar>
    </w:tblPr>
    <w:tcPr>
      <w:shd w:val="clear" w:color="auto" w:fill="BEE4F8"/>
    </w:tcPr>
    <w:tblStylePr w:type="firstRow">
      <w:rPr>
        <w:b/>
        <w:bCs/>
      </w:rPr>
    </w:tblStylePr>
    <w:tblStylePr w:type="lastRow">
      <w:rPr>
        <w:b/>
        <w:bCs/>
      </w:rPr>
      <w:tblPr/>
      <w:tcPr>
        <w:tcBorders>
          <w:top w:val="single" w:sz="18" w:space="0" w:color="3CAEEC"/>
        </w:tcBorders>
      </w:tcPr>
    </w:tblStylePr>
    <w:tblStylePr w:type="firstCol">
      <w:rPr>
        <w:b/>
        <w:bCs/>
      </w:rPr>
    </w:tblStylePr>
    <w:tblStylePr w:type="lastCol">
      <w:rPr>
        <w:b/>
        <w:bCs/>
      </w:rPr>
    </w:tblStylePr>
    <w:tblStylePr w:type="band1Vert">
      <w:tblPr/>
      <w:tcPr>
        <w:shd w:val="clear" w:color="auto" w:fill="7DC9F2"/>
      </w:tcPr>
    </w:tblStylePr>
    <w:tblStylePr w:type="band1Horz">
      <w:tblPr/>
      <w:tcPr>
        <w:shd w:val="clear" w:color="auto" w:fill="7DC9F2"/>
      </w:tcPr>
    </w:tblStylePr>
  </w:style>
  <w:style w:type="table" w:styleId="MediumGrid1-Accent3">
    <w:name w:val="Medium Grid 1 Accent 3"/>
    <w:basedOn w:val="TableNormal"/>
    <w:uiPriority w:val="67"/>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AECBEA"/>
        <w:left w:val="single" w:sz="8" w:space="0" w:color="AECBEA"/>
        <w:bottom w:val="single" w:sz="8" w:space="0" w:color="AECBEA"/>
        <w:right w:val="single" w:sz="8" w:space="0" w:color="AECBEA"/>
        <w:insideH w:val="single" w:sz="8" w:space="0" w:color="AECBEA"/>
        <w:insideV w:val="single" w:sz="8" w:space="0" w:color="AECBEA"/>
      </w:tblBorders>
      <w:tblCellMar>
        <w:top w:w="0" w:type="dxa"/>
        <w:left w:w="108" w:type="dxa"/>
        <w:bottom w:w="0" w:type="dxa"/>
        <w:right w:w="108" w:type="dxa"/>
      </w:tblCellMar>
    </w:tblPr>
    <w:tcPr>
      <w:shd w:val="clear" w:color="auto" w:fill="E4EDF8"/>
    </w:tcPr>
    <w:tblStylePr w:type="firstRow">
      <w:rPr>
        <w:b/>
        <w:bCs/>
      </w:rPr>
    </w:tblStylePr>
    <w:tblStylePr w:type="lastRow">
      <w:rPr>
        <w:b/>
        <w:bCs/>
      </w:rPr>
      <w:tblPr/>
      <w:tcPr>
        <w:tcBorders>
          <w:top w:val="single" w:sz="18" w:space="0" w:color="AECBEA"/>
        </w:tcBorders>
      </w:tcPr>
    </w:tblStylePr>
    <w:tblStylePr w:type="firstCol">
      <w:rPr>
        <w:b/>
        <w:bCs/>
      </w:rPr>
    </w:tblStylePr>
    <w:tblStylePr w:type="lastCol">
      <w:rPr>
        <w:b/>
        <w:bCs/>
      </w:rPr>
    </w:tblStylePr>
    <w:tblStylePr w:type="band1Vert">
      <w:tblPr/>
      <w:tcPr>
        <w:shd w:val="clear" w:color="auto" w:fill="C9DCF1"/>
      </w:tcPr>
    </w:tblStylePr>
    <w:tblStylePr w:type="band1Horz">
      <w:tblPr/>
      <w:tcPr>
        <w:shd w:val="clear" w:color="auto" w:fill="C9DCF1"/>
      </w:tcPr>
    </w:tblStylePr>
  </w:style>
  <w:style w:type="table" w:styleId="MediumGrid1-Accent4">
    <w:name w:val="Medium Grid 1 Accent 4"/>
    <w:basedOn w:val="TableNormal"/>
    <w:uiPriority w:val="67"/>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9FE03B"/>
        <w:left w:val="single" w:sz="8" w:space="0" w:color="9FE03B"/>
        <w:bottom w:val="single" w:sz="8" w:space="0" w:color="9FE03B"/>
        <w:right w:val="single" w:sz="8" w:space="0" w:color="9FE03B"/>
        <w:insideH w:val="single" w:sz="8" w:space="0" w:color="9FE03B"/>
        <w:insideV w:val="single" w:sz="8" w:space="0" w:color="9FE03B"/>
      </w:tblBorders>
      <w:tblCellMar>
        <w:top w:w="0" w:type="dxa"/>
        <w:left w:w="108" w:type="dxa"/>
        <w:bottom w:w="0" w:type="dxa"/>
        <w:right w:w="108" w:type="dxa"/>
      </w:tblCellMar>
    </w:tblPr>
    <w:tcPr>
      <w:shd w:val="clear" w:color="auto" w:fill="DFF5BE"/>
    </w:tcPr>
    <w:tblStylePr w:type="firstRow">
      <w:rPr>
        <w:b/>
        <w:bCs/>
      </w:rPr>
    </w:tblStylePr>
    <w:tblStylePr w:type="lastRow">
      <w:rPr>
        <w:b/>
        <w:bCs/>
      </w:rPr>
      <w:tblPr/>
      <w:tcPr>
        <w:tcBorders>
          <w:top w:val="single" w:sz="18" w:space="0" w:color="9FE03B"/>
        </w:tcBorders>
      </w:tcPr>
    </w:tblStylePr>
    <w:tblStylePr w:type="firstCol">
      <w:rPr>
        <w:b/>
        <w:bCs/>
      </w:rPr>
    </w:tblStylePr>
    <w:tblStylePr w:type="lastCol">
      <w:rPr>
        <w:b/>
        <w:bCs/>
      </w:rPr>
    </w:tblStylePr>
    <w:tblStylePr w:type="band1Vert">
      <w:tblPr/>
      <w:tcPr>
        <w:shd w:val="clear" w:color="auto" w:fill="BFEB7D"/>
      </w:tcPr>
    </w:tblStylePr>
    <w:tblStylePr w:type="band1Horz">
      <w:tblPr/>
      <w:tcPr>
        <w:shd w:val="clear" w:color="auto" w:fill="BFEB7D"/>
      </w:tcPr>
    </w:tblStylePr>
  </w:style>
  <w:style w:type="table" w:styleId="MediumGrid1-Accent5">
    <w:name w:val="Medium Grid 1 Accent 5"/>
    <w:basedOn w:val="TableNormal"/>
    <w:uiPriority w:val="67"/>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DAF91F"/>
        <w:left w:val="single" w:sz="8" w:space="0" w:color="DAF91F"/>
        <w:bottom w:val="single" w:sz="8" w:space="0" w:color="DAF91F"/>
        <w:right w:val="single" w:sz="8" w:space="0" w:color="DAF91F"/>
        <w:insideH w:val="single" w:sz="8" w:space="0" w:color="DAF91F"/>
        <w:insideV w:val="single" w:sz="8" w:space="0" w:color="DAF91F"/>
      </w:tblBorders>
      <w:tblCellMar>
        <w:top w:w="0" w:type="dxa"/>
        <w:left w:w="108" w:type="dxa"/>
        <w:bottom w:w="0" w:type="dxa"/>
        <w:right w:w="108" w:type="dxa"/>
      </w:tblCellMar>
    </w:tblPr>
    <w:tcPr>
      <w:shd w:val="clear" w:color="auto" w:fill="F3FDB5"/>
    </w:tcPr>
    <w:tblStylePr w:type="firstRow">
      <w:rPr>
        <w:b/>
        <w:bCs/>
      </w:rPr>
    </w:tblStylePr>
    <w:tblStylePr w:type="lastRow">
      <w:rPr>
        <w:b/>
        <w:bCs/>
      </w:rPr>
      <w:tblPr/>
      <w:tcPr>
        <w:tcBorders>
          <w:top w:val="single" w:sz="18" w:space="0" w:color="DAF91F"/>
        </w:tcBorders>
      </w:tcPr>
    </w:tblStylePr>
    <w:tblStylePr w:type="firstCol">
      <w:rPr>
        <w:b/>
        <w:bCs/>
      </w:rPr>
    </w:tblStylePr>
    <w:tblStylePr w:type="lastCol">
      <w:rPr>
        <w:b/>
        <w:bCs/>
      </w:rPr>
    </w:tblStylePr>
    <w:tblStylePr w:type="band1Vert">
      <w:tblPr/>
      <w:tcPr>
        <w:shd w:val="clear" w:color="auto" w:fill="E6FB6A"/>
      </w:tcPr>
    </w:tblStylePr>
    <w:tblStylePr w:type="band1Horz">
      <w:tblPr/>
      <w:tcPr>
        <w:shd w:val="clear" w:color="auto" w:fill="E6FB6A"/>
      </w:tcPr>
    </w:tblStylePr>
  </w:style>
  <w:style w:type="table" w:styleId="MediumGrid1-Accent6">
    <w:name w:val="Medium Grid 1 Accent 6"/>
    <w:basedOn w:val="TableNormal"/>
    <w:uiPriority w:val="67"/>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AF37"/>
        <w:left w:val="single" w:sz="8" w:space="0" w:color="FFAF37"/>
        <w:bottom w:val="single" w:sz="8" w:space="0" w:color="FFAF37"/>
        <w:right w:val="single" w:sz="8" w:space="0" w:color="FFAF37"/>
        <w:insideH w:val="single" w:sz="8" w:space="0" w:color="FFAF37"/>
        <w:insideV w:val="single" w:sz="8" w:space="0" w:color="FFAF37"/>
      </w:tblBorders>
      <w:tblCellMar>
        <w:top w:w="0" w:type="dxa"/>
        <w:left w:w="108" w:type="dxa"/>
        <w:bottom w:w="0" w:type="dxa"/>
        <w:right w:w="108" w:type="dxa"/>
      </w:tblCellMar>
    </w:tblPr>
    <w:tcPr>
      <w:shd w:val="clear" w:color="auto" w:fill="FFE4BD"/>
    </w:tcPr>
    <w:tblStylePr w:type="firstRow">
      <w:rPr>
        <w:b/>
        <w:bCs/>
      </w:rPr>
    </w:tblStylePr>
    <w:tblStylePr w:type="lastRow">
      <w:rPr>
        <w:b/>
        <w:bCs/>
      </w:rPr>
      <w:tblPr/>
      <w:tcPr>
        <w:tcBorders>
          <w:top w:val="single" w:sz="18" w:space="0" w:color="FFAF37"/>
        </w:tcBorders>
      </w:tcPr>
    </w:tblStylePr>
    <w:tblStylePr w:type="firstCol">
      <w:rPr>
        <w:b/>
        <w:bCs/>
      </w:rPr>
    </w:tblStylePr>
    <w:tblStylePr w:type="lastCol">
      <w:rPr>
        <w:b/>
        <w:bCs/>
      </w:rPr>
    </w:tblStylePr>
    <w:tblStylePr w:type="band1Vert">
      <w:tblPr/>
      <w:tcPr>
        <w:shd w:val="clear" w:color="auto" w:fill="FFC97A"/>
      </w:tcPr>
    </w:tblStylePr>
    <w:tblStylePr w:type="band1Horz">
      <w:tblPr/>
      <w:tcPr>
        <w:shd w:val="clear" w:color="auto" w:fill="FFC97A"/>
      </w:tcPr>
    </w:tblStylePr>
  </w:style>
  <w:style w:type="table" w:customStyle="1" w:styleId="MittleresRaster21">
    <w:name w:val="Mittleres Raster 21"/>
    <w:basedOn w:val="TableNormal"/>
    <w:uiPriority w:val="68"/>
    <w:semiHidden/>
    <w:unhideWhenUsed/>
    <w:lock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121754"/>
        <w:left w:val="single" w:sz="8" w:space="0" w:color="121754"/>
        <w:bottom w:val="single" w:sz="8" w:space="0" w:color="121754"/>
        <w:right w:val="single" w:sz="8" w:space="0" w:color="121754"/>
        <w:insideH w:val="single" w:sz="8" w:space="0" w:color="121754"/>
        <w:insideV w:val="single" w:sz="8" w:space="0" w:color="121754"/>
      </w:tblBorders>
      <w:tblCellMar>
        <w:top w:w="0" w:type="dxa"/>
        <w:left w:w="108" w:type="dxa"/>
        <w:bottom w:w="0" w:type="dxa"/>
        <w:right w:w="108" w:type="dxa"/>
      </w:tblCellMar>
    </w:tblPr>
    <w:tcPr>
      <w:shd w:val="clear" w:color="auto" w:fill="ABB0ED"/>
    </w:tcPr>
    <w:tblStylePr w:type="firstRow">
      <w:rPr>
        <w:b/>
        <w:bCs/>
        <w:color w:val="000000"/>
      </w:rPr>
      <w:tblPr/>
      <w:tcPr>
        <w:shd w:val="clear" w:color="auto" w:fill="DEDF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BBBFF0"/>
      </w:tcPr>
    </w:tblStylePr>
    <w:tblStylePr w:type="band1Vert">
      <w:tblPr/>
      <w:tcPr>
        <w:shd w:val="clear" w:color="auto" w:fill="5761DB"/>
      </w:tcPr>
    </w:tblStylePr>
    <w:tblStylePr w:type="band1Horz">
      <w:tblPr/>
      <w:tcPr>
        <w:tcBorders>
          <w:insideH w:val="single" w:sz="6" w:space="0" w:color="121754"/>
          <w:insideV w:val="single" w:sz="6" w:space="0" w:color="121754"/>
        </w:tcBorders>
        <w:shd w:val="clear" w:color="auto" w:fill="5761DB"/>
      </w:tcPr>
    </w:tblStylePr>
    <w:tblStylePr w:type="nwCell">
      <w:tblPr/>
      <w:tcPr>
        <w:shd w:val="clear" w:color="auto" w:fill="FFFFFF"/>
      </w:tcPr>
    </w:tblStylePr>
  </w:style>
  <w:style w:type="table" w:styleId="MediumGrid2-Accent2">
    <w:name w:val="Medium Grid 2 Accent 2"/>
    <w:basedOn w:val="TableNormal"/>
    <w:uiPriority w:val="68"/>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148DCD"/>
        <w:left w:val="single" w:sz="8" w:space="0" w:color="148DCD"/>
        <w:bottom w:val="single" w:sz="8" w:space="0" w:color="148DCD"/>
        <w:right w:val="single" w:sz="8" w:space="0" w:color="148DCD"/>
        <w:insideH w:val="single" w:sz="8" w:space="0" w:color="148DCD"/>
        <w:insideV w:val="single" w:sz="8" w:space="0" w:color="148DCD"/>
      </w:tblBorders>
      <w:tblCellMar>
        <w:top w:w="0" w:type="dxa"/>
        <w:left w:w="108" w:type="dxa"/>
        <w:bottom w:w="0" w:type="dxa"/>
        <w:right w:w="108" w:type="dxa"/>
      </w:tblCellMar>
    </w:tblPr>
    <w:tcPr>
      <w:shd w:val="clear" w:color="auto" w:fill="BEE4F8"/>
    </w:tcPr>
    <w:tblStylePr w:type="firstRow">
      <w:rPr>
        <w:b/>
        <w:bCs/>
        <w:color w:val="000000"/>
      </w:rPr>
      <w:tblPr/>
      <w:tcPr>
        <w:shd w:val="clear" w:color="auto" w:fill="E5F4F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BE9FA"/>
      </w:tcPr>
    </w:tblStylePr>
    <w:tblStylePr w:type="band1Vert">
      <w:tblPr/>
      <w:tcPr>
        <w:shd w:val="clear" w:color="auto" w:fill="7DC9F2"/>
      </w:tcPr>
    </w:tblStylePr>
    <w:tblStylePr w:type="band1Horz">
      <w:tblPr/>
      <w:tcPr>
        <w:tcBorders>
          <w:insideH w:val="single" w:sz="6" w:space="0" w:color="148DCD"/>
          <w:insideV w:val="single" w:sz="6" w:space="0" w:color="148DCD"/>
        </w:tcBorders>
        <w:shd w:val="clear" w:color="auto" w:fill="7DC9F2"/>
      </w:tcPr>
    </w:tblStylePr>
    <w:tblStylePr w:type="nwCell">
      <w:tblPr/>
      <w:tcPr>
        <w:shd w:val="clear" w:color="auto" w:fill="FFFFFF"/>
      </w:tcPr>
    </w:tblStylePr>
  </w:style>
  <w:style w:type="table" w:styleId="MediumGrid2-Accent3">
    <w:name w:val="Medium Grid 2 Accent 3"/>
    <w:basedOn w:val="TableNormal"/>
    <w:uiPriority w:val="68"/>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94BAE3"/>
        <w:left w:val="single" w:sz="8" w:space="0" w:color="94BAE3"/>
        <w:bottom w:val="single" w:sz="8" w:space="0" w:color="94BAE3"/>
        <w:right w:val="single" w:sz="8" w:space="0" w:color="94BAE3"/>
        <w:insideH w:val="single" w:sz="8" w:space="0" w:color="94BAE3"/>
        <w:insideV w:val="single" w:sz="8" w:space="0" w:color="94BAE3"/>
      </w:tblBorders>
      <w:tblCellMar>
        <w:top w:w="0" w:type="dxa"/>
        <w:left w:w="108" w:type="dxa"/>
        <w:bottom w:w="0" w:type="dxa"/>
        <w:right w:w="108" w:type="dxa"/>
      </w:tblCellMar>
    </w:tblPr>
    <w:tcPr>
      <w:shd w:val="clear" w:color="auto" w:fill="E4EDF8"/>
    </w:tcPr>
    <w:tblStylePr w:type="firstRow">
      <w:rPr>
        <w:b/>
        <w:bCs/>
        <w:color w:val="000000"/>
      </w:rPr>
      <w:tblPr/>
      <w:tcPr>
        <w:shd w:val="clear" w:color="auto" w:fill="F4F8F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9F1F9"/>
      </w:tcPr>
    </w:tblStylePr>
    <w:tblStylePr w:type="band1Vert">
      <w:tblPr/>
      <w:tcPr>
        <w:shd w:val="clear" w:color="auto" w:fill="C9DCF1"/>
      </w:tcPr>
    </w:tblStylePr>
    <w:tblStylePr w:type="band1Horz">
      <w:tblPr/>
      <w:tcPr>
        <w:tcBorders>
          <w:insideH w:val="single" w:sz="6" w:space="0" w:color="94BAE3"/>
          <w:insideV w:val="single" w:sz="6" w:space="0" w:color="94BAE3"/>
        </w:tcBorders>
        <w:shd w:val="clear" w:color="auto" w:fill="C9DCF1"/>
      </w:tcPr>
    </w:tblStylePr>
    <w:tblStylePr w:type="nwCell">
      <w:tblPr/>
      <w:tcPr>
        <w:shd w:val="clear" w:color="auto" w:fill="FFFFFF"/>
      </w:tcPr>
    </w:tblStylePr>
  </w:style>
  <w:style w:type="table" w:styleId="MediumGrid2-Accent4">
    <w:name w:val="Medium Grid 2 Accent 4"/>
    <w:basedOn w:val="TableNormal"/>
    <w:uiPriority w:val="68"/>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79B51C"/>
        <w:left w:val="single" w:sz="8" w:space="0" w:color="79B51C"/>
        <w:bottom w:val="single" w:sz="8" w:space="0" w:color="79B51C"/>
        <w:right w:val="single" w:sz="8" w:space="0" w:color="79B51C"/>
        <w:insideH w:val="single" w:sz="8" w:space="0" w:color="79B51C"/>
        <w:insideV w:val="single" w:sz="8" w:space="0" w:color="79B51C"/>
      </w:tblBorders>
      <w:tblCellMar>
        <w:top w:w="0" w:type="dxa"/>
        <w:left w:w="108" w:type="dxa"/>
        <w:bottom w:w="0" w:type="dxa"/>
        <w:right w:w="108" w:type="dxa"/>
      </w:tblCellMar>
    </w:tblPr>
    <w:tcPr>
      <w:shd w:val="clear" w:color="auto" w:fill="DFF5BE"/>
    </w:tcPr>
    <w:tblStylePr w:type="firstRow">
      <w:rPr>
        <w:b/>
        <w:bCs/>
        <w:color w:val="000000"/>
      </w:rPr>
      <w:tblPr/>
      <w:tcPr>
        <w:shd w:val="clear" w:color="auto" w:fill="F2FBE5"/>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F7CA"/>
      </w:tcPr>
    </w:tblStylePr>
    <w:tblStylePr w:type="band1Vert">
      <w:tblPr/>
      <w:tcPr>
        <w:shd w:val="clear" w:color="auto" w:fill="BFEB7D"/>
      </w:tcPr>
    </w:tblStylePr>
    <w:tblStylePr w:type="band1Horz">
      <w:tblPr/>
      <w:tcPr>
        <w:tcBorders>
          <w:insideH w:val="single" w:sz="6" w:space="0" w:color="79B51C"/>
          <w:insideV w:val="single" w:sz="6" w:space="0" w:color="79B51C"/>
        </w:tcBorders>
        <w:shd w:val="clear" w:color="auto" w:fill="BFEB7D"/>
      </w:tcPr>
    </w:tblStylePr>
    <w:tblStylePr w:type="nwCell">
      <w:tblPr/>
      <w:tcPr>
        <w:shd w:val="clear" w:color="auto" w:fill="FFFFFF"/>
      </w:tcPr>
    </w:tblStylePr>
  </w:style>
  <w:style w:type="table" w:styleId="MediumGrid2-Accent5">
    <w:name w:val="Medium Grid 2 Accent 5"/>
    <w:basedOn w:val="TableNormal"/>
    <w:uiPriority w:val="68"/>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ACC705"/>
        <w:left w:val="single" w:sz="8" w:space="0" w:color="ACC705"/>
        <w:bottom w:val="single" w:sz="8" w:space="0" w:color="ACC705"/>
        <w:right w:val="single" w:sz="8" w:space="0" w:color="ACC705"/>
        <w:insideH w:val="single" w:sz="8" w:space="0" w:color="ACC705"/>
        <w:insideV w:val="single" w:sz="8" w:space="0" w:color="ACC705"/>
      </w:tblBorders>
      <w:tblCellMar>
        <w:top w:w="0" w:type="dxa"/>
        <w:left w:w="108" w:type="dxa"/>
        <w:bottom w:w="0" w:type="dxa"/>
        <w:right w:w="108" w:type="dxa"/>
      </w:tblCellMar>
    </w:tblPr>
    <w:tcPr>
      <w:shd w:val="clear" w:color="auto" w:fill="F3FDB5"/>
    </w:tcPr>
    <w:tblStylePr w:type="firstRow">
      <w:rPr>
        <w:b/>
        <w:bCs/>
        <w:color w:val="000000"/>
      </w:rPr>
      <w:tblPr/>
      <w:tcPr>
        <w:shd w:val="clear" w:color="auto" w:fill="FAFEE1"/>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5FDC3"/>
      </w:tcPr>
    </w:tblStylePr>
    <w:tblStylePr w:type="band1Vert">
      <w:tblPr/>
      <w:tcPr>
        <w:shd w:val="clear" w:color="auto" w:fill="E6FB6A"/>
      </w:tcPr>
    </w:tblStylePr>
    <w:tblStylePr w:type="band1Horz">
      <w:tblPr/>
      <w:tcPr>
        <w:tcBorders>
          <w:insideH w:val="single" w:sz="6" w:space="0" w:color="ACC705"/>
          <w:insideV w:val="single" w:sz="6" w:space="0" w:color="ACC705"/>
        </w:tcBorders>
        <w:shd w:val="clear" w:color="auto" w:fill="E6FB6A"/>
      </w:tcPr>
    </w:tblStylePr>
    <w:tblStylePr w:type="nwCell">
      <w:tblPr/>
      <w:tcPr>
        <w:shd w:val="clear" w:color="auto" w:fill="FFFFFF"/>
      </w:tcPr>
    </w:tblStylePr>
  </w:style>
  <w:style w:type="table" w:styleId="MediumGrid2-Accent6">
    <w:name w:val="Medium Grid 2 Accent 6"/>
    <w:basedOn w:val="TableNormal"/>
    <w:uiPriority w:val="68"/>
    <w:unhideWhenUsed/>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F39200"/>
        <w:left w:val="single" w:sz="8" w:space="0" w:color="F39200"/>
        <w:bottom w:val="single" w:sz="8" w:space="0" w:color="F39200"/>
        <w:right w:val="single" w:sz="8" w:space="0" w:color="F39200"/>
        <w:insideH w:val="single" w:sz="8" w:space="0" w:color="F39200"/>
        <w:insideV w:val="single" w:sz="8" w:space="0" w:color="F39200"/>
      </w:tblBorders>
      <w:tblCellMar>
        <w:top w:w="0" w:type="dxa"/>
        <w:left w:w="108" w:type="dxa"/>
        <w:bottom w:w="0" w:type="dxa"/>
        <w:right w:w="108" w:type="dxa"/>
      </w:tblCellMar>
    </w:tblPr>
    <w:tcPr>
      <w:shd w:val="clear" w:color="auto" w:fill="FFE4BD"/>
    </w:tcPr>
    <w:tblStylePr w:type="firstRow">
      <w:rPr>
        <w:b/>
        <w:bCs/>
        <w:color w:val="000000"/>
      </w:rPr>
      <w:tblPr/>
      <w:tcPr>
        <w:shd w:val="clear" w:color="auto" w:fill="FFF4E4"/>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E9C9"/>
      </w:tcPr>
    </w:tblStylePr>
    <w:tblStylePr w:type="band1Vert">
      <w:tblPr/>
      <w:tcPr>
        <w:shd w:val="clear" w:color="auto" w:fill="FFC97A"/>
      </w:tcPr>
    </w:tblStylePr>
    <w:tblStylePr w:type="band1Horz">
      <w:tblPr/>
      <w:tcPr>
        <w:tcBorders>
          <w:insideH w:val="single" w:sz="6" w:space="0" w:color="F39200"/>
          <w:insideV w:val="single" w:sz="6" w:space="0" w:color="F39200"/>
        </w:tcBorders>
        <w:shd w:val="clear" w:color="auto" w:fill="FFC97A"/>
      </w:tcPr>
    </w:tblStylePr>
    <w:tblStylePr w:type="nwCell">
      <w:tblPr/>
      <w:tcPr>
        <w:shd w:val="clear" w:color="auto" w:fill="FFFFFF"/>
      </w:tcPr>
    </w:tblStylePr>
  </w:style>
  <w:style w:type="table" w:customStyle="1" w:styleId="MittleresRaster31">
    <w:name w:val="Mittleres Raster 31"/>
    <w:basedOn w:val="TableNormal"/>
    <w:uiPriority w:val="69"/>
    <w:semiHidden/>
    <w:unhideWhenUsed/>
    <w:lock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ABB0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2175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2175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2175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2175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5761DB"/>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5761DB"/>
      </w:tcPr>
    </w:tblStylePr>
  </w:style>
  <w:style w:type="table" w:styleId="MediumGrid3-Accent3">
    <w:name w:val="Medium Grid 3 Accent 3"/>
    <w:basedOn w:val="TableNormal"/>
    <w:uiPriority w:val="69"/>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4EDF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4BAE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4BAE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4BAE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4BAE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9DCF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9DCF1"/>
      </w:tcPr>
    </w:tblStylePr>
  </w:style>
  <w:style w:type="table" w:styleId="MediumGrid3-Accent4">
    <w:name w:val="Medium Grid 3 Accent 4"/>
    <w:basedOn w:val="TableNormal"/>
    <w:uiPriority w:val="69"/>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F5B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9B51C"/>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9B51C"/>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9B51C"/>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9B51C"/>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EB7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EB7D"/>
      </w:tcPr>
    </w:tblStylePr>
  </w:style>
  <w:style w:type="table" w:styleId="MediumGrid3-Accent5">
    <w:name w:val="Medium Grid 3 Accent 5"/>
    <w:basedOn w:val="TableNormal"/>
    <w:uiPriority w:val="69"/>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3FDB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CC70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CC70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CC70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CC70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6FB6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6FB6A"/>
      </w:tcPr>
    </w:tblStylePr>
  </w:style>
  <w:style w:type="table" w:styleId="MediumGrid3-Accent6">
    <w:name w:val="Medium Grid 3 Accent 6"/>
    <w:basedOn w:val="TableNormal"/>
    <w:uiPriority w:val="69"/>
    <w:unhideWhenUsed/>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E4B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392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392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392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392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C97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C97A"/>
      </w:tcPr>
    </w:tblStylePr>
  </w:style>
  <w:style w:type="paragraph" w:customStyle="1" w:styleId="GFABulletedLists2">
    <w:name w:val="GFA Bulleted Lists 2"/>
    <w:basedOn w:val="GFABulletedLists1"/>
    <w:link w:val="GFABulletedLists2Zchn"/>
    <w:uiPriority w:val="2"/>
    <w:unhideWhenUsed/>
    <w:qFormat/>
    <w:rsid w:val="000F50EA"/>
    <w:pPr>
      <w:ind w:left="1080"/>
    </w:pPr>
  </w:style>
  <w:style w:type="paragraph" w:customStyle="1" w:styleId="GFABulletedLists3">
    <w:name w:val="GFA Bulleted Lists 3"/>
    <w:basedOn w:val="GFABulletedLists1"/>
    <w:link w:val="GFABulletedLists3Zchn"/>
    <w:uiPriority w:val="2"/>
    <w:unhideWhenUsed/>
    <w:qFormat/>
    <w:rsid w:val="000F50EA"/>
    <w:pPr>
      <w:ind w:left="1800"/>
    </w:pPr>
  </w:style>
  <w:style w:type="character" w:customStyle="1" w:styleId="GFABulletedLists2Zchn">
    <w:name w:val="GFA Bulleted Lists 2 Zchn"/>
    <w:basedOn w:val="GFABulletedLists1Zchn"/>
    <w:link w:val="GFABulletedLists2"/>
    <w:uiPriority w:val="2"/>
    <w:rsid w:val="000F50EA"/>
    <w:rPr>
      <w:rFonts w:ascii="Arial" w:eastAsia="Times New Roman" w:hAnsi="Arial" w:cs="Times New Roman"/>
      <w:sz w:val="21"/>
      <w:szCs w:val="21"/>
      <w:lang w:val="sq-AL" w:eastAsia="de-DE"/>
    </w:rPr>
  </w:style>
  <w:style w:type="paragraph" w:customStyle="1" w:styleId="GFABulletedLists4">
    <w:name w:val="GFA Bulleted Lists 4"/>
    <w:basedOn w:val="GFABulletedLists1"/>
    <w:link w:val="GFABulletedLists4Zchn"/>
    <w:uiPriority w:val="2"/>
    <w:unhideWhenUsed/>
    <w:qFormat/>
    <w:rsid w:val="000F50EA"/>
    <w:pPr>
      <w:ind w:left="2520"/>
    </w:pPr>
  </w:style>
  <w:style w:type="character" w:customStyle="1" w:styleId="GFABulletedLists3Zchn">
    <w:name w:val="GFA Bulleted Lists 3 Zchn"/>
    <w:basedOn w:val="GFABulletedLists1Zchn"/>
    <w:link w:val="GFABulletedLists3"/>
    <w:uiPriority w:val="2"/>
    <w:rsid w:val="000F50EA"/>
    <w:rPr>
      <w:rFonts w:ascii="Arial" w:eastAsia="Times New Roman" w:hAnsi="Arial" w:cs="Times New Roman"/>
      <w:sz w:val="21"/>
      <w:szCs w:val="21"/>
      <w:lang w:val="sq-AL" w:eastAsia="de-DE"/>
    </w:rPr>
  </w:style>
  <w:style w:type="paragraph" w:customStyle="1" w:styleId="GFABulletedLists5">
    <w:name w:val="GFA Bulleted Lists 5"/>
    <w:basedOn w:val="GFABulletedLists1"/>
    <w:link w:val="GFABulletedLists5Zchn"/>
    <w:uiPriority w:val="2"/>
    <w:semiHidden/>
    <w:qFormat/>
    <w:rsid w:val="000F50EA"/>
    <w:pPr>
      <w:ind w:left="3240"/>
    </w:pPr>
  </w:style>
  <w:style w:type="character" w:customStyle="1" w:styleId="GFABulletedLists4Zchn">
    <w:name w:val="GFA Bulleted Lists 4 Zchn"/>
    <w:basedOn w:val="GFABulletedLists1Zchn"/>
    <w:link w:val="GFABulletedLists4"/>
    <w:uiPriority w:val="2"/>
    <w:rsid w:val="000F50EA"/>
    <w:rPr>
      <w:rFonts w:ascii="Arial" w:eastAsia="Times New Roman" w:hAnsi="Arial" w:cs="Times New Roman"/>
      <w:sz w:val="21"/>
      <w:szCs w:val="21"/>
      <w:lang w:val="sq-AL" w:eastAsia="de-DE"/>
    </w:rPr>
  </w:style>
  <w:style w:type="paragraph" w:customStyle="1" w:styleId="GFABulletedLists6">
    <w:name w:val="GFA Bulleted Lists 6"/>
    <w:basedOn w:val="GFABulletedLists1"/>
    <w:link w:val="GFABulletedLists6Zchn"/>
    <w:uiPriority w:val="2"/>
    <w:semiHidden/>
    <w:qFormat/>
    <w:rsid w:val="000F50EA"/>
    <w:pPr>
      <w:ind w:left="3960"/>
    </w:pPr>
  </w:style>
  <w:style w:type="character" w:customStyle="1" w:styleId="GFABulletedLists5Zchn">
    <w:name w:val="GFA Bulleted Lists 5 Zchn"/>
    <w:basedOn w:val="GFABulletedLists1Zchn"/>
    <w:link w:val="GFABulletedLists5"/>
    <w:uiPriority w:val="2"/>
    <w:semiHidden/>
    <w:rsid w:val="000F50EA"/>
    <w:rPr>
      <w:rFonts w:ascii="Arial" w:eastAsia="Times New Roman" w:hAnsi="Arial" w:cs="Times New Roman"/>
      <w:sz w:val="21"/>
      <w:szCs w:val="21"/>
      <w:lang w:val="sq-AL" w:eastAsia="de-DE"/>
    </w:rPr>
  </w:style>
  <w:style w:type="paragraph" w:customStyle="1" w:styleId="GFABulletedLists7">
    <w:name w:val="GFA Bulleted Lists 7"/>
    <w:basedOn w:val="GFABulletedLists1"/>
    <w:link w:val="GFABulletedLists7Zchn"/>
    <w:uiPriority w:val="2"/>
    <w:semiHidden/>
    <w:qFormat/>
    <w:rsid w:val="000F50EA"/>
    <w:pPr>
      <w:ind w:left="4680"/>
    </w:pPr>
  </w:style>
  <w:style w:type="character" w:customStyle="1" w:styleId="GFABulletedLists6Zchn">
    <w:name w:val="GFA Bulleted Lists 6 Zchn"/>
    <w:basedOn w:val="GFABulletedLists1Zchn"/>
    <w:link w:val="GFABulletedLists6"/>
    <w:uiPriority w:val="2"/>
    <w:semiHidden/>
    <w:rsid w:val="000F50EA"/>
    <w:rPr>
      <w:rFonts w:ascii="Arial" w:eastAsia="Times New Roman" w:hAnsi="Arial" w:cs="Times New Roman"/>
      <w:sz w:val="21"/>
      <w:szCs w:val="21"/>
      <w:lang w:val="sq-AL" w:eastAsia="de-DE"/>
    </w:rPr>
  </w:style>
  <w:style w:type="paragraph" w:customStyle="1" w:styleId="GFABulletedLists8">
    <w:name w:val="GFA Bulleted Lists 8"/>
    <w:basedOn w:val="GFABulletedLists1"/>
    <w:link w:val="GFABulletedLists8Zchn"/>
    <w:uiPriority w:val="2"/>
    <w:semiHidden/>
    <w:qFormat/>
    <w:rsid w:val="000F50EA"/>
    <w:pPr>
      <w:ind w:left="5400"/>
    </w:pPr>
  </w:style>
  <w:style w:type="character" w:customStyle="1" w:styleId="GFABulletedLists7Zchn">
    <w:name w:val="GFA Bulleted Lists 7 Zchn"/>
    <w:basedOn w:val="GFABulletedLists1Zchn"/>
    <w:link w:val="GFABulletedLists7"/>
    <w:uiPriority w:val="2"/>
    <w:semiHidden/>
    <w:rsid w:val="000F50EA"/>
    <w:rPr>
      <w:rFonts w:ascii="Arial" w:eastAsia="Times New Roman" w:hAnsi="Arial" w:cs="Times New Roman"/>
      <w:sz w:val="21"/>
      <w:szCs w:val="21"/>
      <w:lang w:val="sq-AL" w:eastAsia="de-DE"/>
    </w:rPr>
  </w:style>
  <w:style w:type="paragraph" w:customStyle="1" w:styleId="GFABulletedLists9">
    <w:name w:val="GFA Bulleted Lists 9"/>
    <w:basedOn w:val="GFABulletedLists1"/>
    <w:link w:val="GFABulletedLists9Zchn"/>
    <w:uiPriority w:val="2"/>
    <w:semiHidden/>
    <w:qFormat/>
    <w:rsid w:val="000F50EA"/>
    <w:pPr>
      <w:ind w:left="6120"/>
    </w:pPr>
  </w:style>
  <w:style w:type="character" w:customStyle="1" w:styleId="GFABulletedLists8Zchn">
    <w:name w:val="GFA Bulleted Lists 8 Zchn"/>
    <w:basedOn w:val="GFABulletedLists1Zchn"/>
    <w:link w:val="GFABulletedLists8"/>
    <w:uiPriority w:val="2"/>
    <w:semiHidden/>
    <w:rsid w:val="000F50EA"/>
    <w:rPr>
      <w:rFonts w:ascii="Arial" w:eastAsia="Times New Roman" w:hAnsi="Arial" w:cs="Times New Roman"/>
      <w:sz w:val="21"/>
      <w:szCs w:val="21"/>
      <w:lang w:val="sq-AL" w:eastAsia="de-DE"/>
    </w:rPr>
  </w:style>
  <w:style w:type="character" w:customStyle="1" w:styleId="GFABulletedLists9Zchn">
    <w:name w:val="GFA Bulleted Lists 9 Zchn"/>
    <w:basedOn w:val="GFABulletedLists1Zchn"/>
    <w:link w:val="GFABulletedLists9"/>
    <w:uiPriority w:val="2"/>
    <w:semiHidden/>
    <w:rsid w:val="000F50EA"/>
    <w:rPr>
      <w:rFonts w:ascii="Arial" w:eastAsia="Times New Roman" w:hAnsi="Arial" w:cs="Times New Roman"/>
      <w:sz w:val="21"/>
      <w:szCs w:val="21"/>
      <w:lang w:val="sq-AL" w:eastAsia="de-DE"/>
    </w:rPr>
  </w:style>
  <w:style w:type="paragraph" w:customStyle="1" w:styleId="GFANumberedLists2">
    <w:name w:val="GFA Numbered Lists 2"/>
    <w:basedOn w:val="GFANumberedLists1"/>
    <w:link w:val="GFANumberedLists2Zchn"/>
    <w:uiPriority w:val="2"/>
    <w:unhideWhenUsed/>
    <w:qFormat/>
    <w:rsid w:val="000F50EA"/>
    <w:pPr>
      <w:numPr>
        <w:ilvl w:val="1"/>
      </w:numPr>
    </w:pPr>
  </w:style>
  <w:style w:type="paragraph" w:customStyle="1" w:styleId="GFANumberedLists3">
    <w:name w:val="GFA Numbered Lists 3"/>
    <w:basedOn w:val="GFANumberedLists1"/>
    <w:link w:val="GFANumberedLists3Zchn"/>
    <w:uiPriority w:val="2"/>
    <w:unhideWhenUsed/>
    <w:qFormat/>
    <w:rsid w:val="000F50EA"/>
    <w:pPr>
      <w:numPr>
        <w:ilvl w:val="2"/>
      </w:numPr>
    </w:pPr>
  </w:style>
  <w:style w:type="character" w:customStyle="1" w:styleId="GFANumberedLists2Zchn">
    <w:name w:val="GFA Numbered Lists 2 Zchn"/>
    <w:basedOn w:val="GFANumberedLists1Zchn"/>
    <w:link w:val="GFANumberedLists2"/>
    <w:uiPriority w:val="2"/>
    <w:rsid w:val="000F50EA"/>
    <w:rPr>
      <w:rFonts w:ascii="Arial" w:eastAsia="Times New Roman" w:hAnsi="Arial" w:cs="Times New Roman"/>
      <w:szCs w:val="21"/>
      <w:lang w:val="sq-AL" w:eastAsia="de-DE"/>
    </w:rPr>
  </w:style>
  <w:style w:type="paragraph" w:customStyle="1" w:styleId="GFANumberedLists4">
    <w:name w:val="GFA Numbered Lists 4"/>
    <w:basedOn w:val="GFANumberedLists1"/>
    <w:link w:val="GFANumberedLists4Zchn"/>
    <w:uiPriority w:val="2"/>
    <w:unhideWhenUsed/>
    <w:qFormat/>
    <w:rsid w:val="000F50EA"/>
    <w:pPr>
      <w:numPr>
        <w:ilvl w:val="3"/>
      </w:numPr>
    </w:pPr>
  </w:style>
  <w:style w:type="character" w:customStyle="1" w:styleId="GFANumberedLists3Zchn">
    <w:name w:val="GFA Numbered Lists 3 Zchn"/>
    <w:basedOn w:val="GFANumberedLists1Zchn"/>
    <w:link w:val="GFANumberedLists3"/>
    <w:uiPriority w:val="2"/>
    <w:rsid w:val="000F50EA"/>
    <w:rPr>
      <w:rFonts w:ascii="Arial" w:eastAsia="Times New Roman" w:hAnsi="Arial" w:cs="Times New Roman"/>
      <w:szCs w:val="21"/>
      <w:lang w:val="sq-AL" w:eastAsia="de-DE"/>
    </w:rPr>
  </w:style>
  <w:style w:type="paragraph" w:customStyle="1" w:styleId="GFANumberedLists5">
    <w:name w:val="GFA Numbered Lists 5"/>
    <w:basedOn w:val="GFANumberedLists1"/>
    <w:link w:val="GFANumberedLists5Zchn"/>
    <w:uiPriority w:val="2"/>
    <w:semiHidden/>
    <w:qFormat/>
    <w:rsid w:val="000F50EA"/>
    <w:pPr>
      <w:numPr>
        <w:ilvl w:val="4"/>
      </w:numPr>
    </w:pPr>
  </w:style>
  <w:style w:type="character" w:customStyle="1" w:styleId="GFANumberedLists4Zchn">
    <w:name w:val="GFA Numbered Lists 4 Zchn"/>
    <w:basedOn w:val="GFANumberedLists1Zchn"/>
    <w:link w:val="GFANumberedLists4"/>
    <w:uiPriority w:val="2"/>
    <w:rsid w:val="000F50EA"/>
    <w:rPr>
      <w:rFonts w:ascii="Arial" w:eastAsia="Times New Roman" w:hAnsi="Arial" w:cs="Times New Roman"/>
      <w:szCs w:val="21"/>
      <w:lang w:val="sq-AL" w:eastAsia="de-DE"/>
    </w:rPr>
  </w:style>
  <w:style w:type="paragraph" w:customStyle="1" w:styleId="GFANumberedLists6">
    <w:name w:val="GFA Numbered Lists 6"/>
    <w:basedOn w:val="GFANumberedLists1"/>
    <w:link w:val="GFANumberedLists6Zchn"/>
    <w:uiPriority w:val="2"/>
    <w:semiHidden/>
    <w:qFormat/>
    <w:rsid w:val="000F50EA"/>
    <w:pPr>
      <w:numPr>
        <w:ilvl w:val="5"/>
      </w:numPr>
    </w:pPr>
  </w:style>
  <w:style w:type="character" w:customStyle="1" w:styleId="GFANumberedLists5Zchn">
    <w:name w:val="GFA Numbered Lists 5 Zchn"/>
    <w:basedOn w:val="GFANumberedLists1Zchn"/>
    <w:link w:val="GFANumberedLists5"/>
    <w:uiPriority w:val="2"/>
    <w:semiHidden/>
    <w:rsid w:val="000F50EA"/>
    <w:rPr>
      <w:rFonts w:ascii="Arial" w:eastAsia="Times New Roman" w:hAnsi="Arial" w:cs="Times New Roman"/>
      <w:szCs w:val="21"/>
      <w:lang w:val="sq-AL" w:eastAsia="de-DE"/>
    </w:rPr>
  </w:style>
  <w:style w:type="paragraph" w:customStyle="1" w:styleId="GFANumberedLists7">
    <w:name w:val="GFA Numbered Lists 7"/>
    <w:basedOn w:val="GFANumberedLists1"/>
    <w:link w:val="GFANumberedLists7Zchn"/>
    <w:uiPriority w:val="2"/>
    <w:semiHidden/>
    <w:qFormat/>
    <w:rsid w:val="000F50EA"/>
    <w:pPr>
      <w:numPr>
        <w:ilvl w:val="6"/>
      </w:numPr>
    </w:pPr>
  </w:style>
  <w:style w:type="character" w:customStyle="1" w:styleId="GFANumberedLists6Zchn">
    <w:name w:val="GFA Numbered Lists 6 Zchn"/>
    <w:basedOn w:val="GFANumberedLists1Zchn"/>
    <w:link w:val="GFANumberedLists6"/>
    <w:uiPriority w:val="2"/>
    <w:semiHidden/>
    <w:rsid w:val="000F50EA"/>
    <w:rPr>
      <w:rFonts w:ascii="Arial" w:eastAsia="Times New Roman" w:hAnsi="Arial" w:cs="Times New Roman"/>
      <w:szCs w:val="21"/>
      <w:lang w:val="sq-AL" w:eastAsia="de-DE"/>
    </w:rPr>
  </w:style>
  <w:style w:type="paragraph" w:customStyle="1" w:styleId="GFANumberedLists8">
    <w:name w:val="GFA Numbered Lists 8"/>
    <w:basedOn w:val="GFANumberedLists1"/>
    <w:link w:val="GFANumberedLists8Zchn"/>
    <w:uiPriority w:val="2"/>
    <w:semiHidden/>
    <w:qFormat/>
    <w:rsid w:val="000F50EA"/>
    <w:pPr>
      <w:numPr>
        <w:ilvl w:val="7"/>
      </w:numPr>
    </w:pPr>
  </w:style>
  <w:style w:type="character" w:customStyle="1" w:styleId="GFANumberedLists7Zchn">
    <w:name w:val="GFA Numbered Lists 7 Zchn"/>
    <w:basedOn w:val="GFANumberedLists1Zchn"/>
    <w:link w:val="GFANumberedLists7"/>
    <w:uiPriority w:val="2"/>
    <w:semiHidden/>
    <w:rsid w:val="000F50EA"/>
    <w:rPr>
      <w:rFonts w:ascii="Arial" w:eastAsia="Times New Roman" w:hAnsi="Arial" w:cs="Times New Roman"/>
      <w:szCs w:val="21"/>
      <w:lang w:val="sq-AL" w:eastAsia="de-DE"/>
    </w:rPr>
  </w:style>
  <w:style w:type="paragraph" w:customStyle="1" w:styleId="GFANumberedLists9">
    <w:name w:val="GFA Numbered Lists 9"/>
    <w:basedOn w:val="GFANumberedLists1"/>
    <w:link w:val="GFANumberedLists9Zchn"/>
    <w:uiPriority w:val="2"/>
    <w:semiHidden/>
    <w:qFormat/>
    <w:rsid w:val="000F50EA"/>
    <w:pPr>
      <w:numPr>
        <w:ilvl w:val="8"/>
      </w:numPr>
    </w:pPr>
  </w:style>
  <w:style w:type="character" w:customStyle="1" w:styleId="GFANumberedLists8Zchn">
    <w:name w:val="GFA Numbered Lists 8 Zchn"/>
    <w:basedOn w:val="GFANumberedLists1Zchn"/>
    <w:link w:val="GFANumberedLists8"/>
    <w:uiPriority w:val="2"/>
    <w:semiHidden/>
    <w:rsid w:val="000F50EA"/>
    <w:rPr>
      <w:rFonts w:ascii="Arial" w:eastAsia="Times New Roman" w:hAnsi="Arial" w:cs="Times New Roman"/>
      <w:szCs w:val="21"/>
      <w:lang w:val="sq-AL" w:eastAsia="de-DE"/>
    </w:rPr>
  </w:style>
  <w:style w:type="character" w:customStyle="1" w:styleId="GFANumberedLists9Zchn">
    <w:name w:val="GFA Numbered Lists 9 Zchn"/>
    <w:basedOn w:val="GFANumberedLists1Zchn"/>
    <w:link w:val="GFANumberedLists9"/>
    <w:uiPriority w:val="2"/>
    <w:semiHidden/>
    <w:rsid w:val="000F50EA"/>
    <w:rPr>
      <w:rFonts w:ascii="Arial" w:eastAsia="Times New Roman" w:hAnsi="Arial" w:cs="Times New Roman"/>
      <w:szCs w:val="21"/>
      <w:lang w:val="sq-AL" w:eastAsia="de-DE"/>
    </w:rPr>
  </w:style>
  <w:style w:type="table" w:customStyle="1" w:styleId="TAB-BLUE-1">
    <w:name w:val="TAB-BLUE-1"/>
    <w:basedOn w:val="TableNormal"/>
    <w:uiPriority w:val="99"/>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E9F1F9"/>
    </w:tcPr>
    <w:tblStylePr w:type="firstRow">
      <w:rPr>
        <w:b/>
        <w:color w:val="FFFFFF"/>
      </w:rPr>
      <w:tblPr/>
      <w:trPr>
        <w:tblHeader/>
      </w:trPr>
      <w:tcPr>
        <w:shd w:val="clear" w:color="auto" w:fill="148DCD"/>
      </w:tcPr>
    </w:tblStylePr>
    <w:tblStylePr w:type="lastRow">
      <w:rPr>
        <w:b/>
        <w:color w:val="FFFFFF"/>
      </w:rPr>
      <w:tblPr/>
      <w:tcPr>
        <w:shd w:val="clear" w:color="auto" w:fill="148DCD"/>
      </w:tcPr>
    </w:tblStylePr>
    <w:tblStylePr w:type="firstCol">
      <w:rPr>
        <w:b/>
        <w:color w:val="FFFFFF"/>
      </w:rPr>
      <w:tblPr/>
      <w:tcPr>
        <w:shd w:val="clear" w:color="auto" w:fill="148DCD"/>
      </w:tcPr>
    </w:tblStylePr>
    <w:tblStylePr w:type="lastCol">
      <w:rPr>
        <w:b/>
        <w:color w:val="FFFFFF"/>
      </w:rPr>
      <w:tblPr/>
      <w:tcPr>
        <w:shd w:val="clear" w:color="auto" w:fill="148DCD"/>
      </w:tcPr>
    </w:tblStylePr>
    <w:tblStylePr w:type="band1Vert">
      <w:tblPr>
        <w:tblCellMar>
          <w:top w:w="57" w:type="dxa"/>
          <w:left w:w="57" w:type="dxa"/>
          <w:bottom w:w="57" w:type="dxa"/>
          <w:right w:w="57" w:type="dxa"/>
        </w:tblCellMar>
      </w:tblPr>
      <w:tcPr>
        <w:shd w:val="clear" w:color="auto" w:fill="CBE9FA"/>
      </w:tcPr>
    </w:tblStylePr>
    <w:tblStylePr w:type="band1Horz">
      <w:tblPr/>
      <w:tcPr>
        <w:shd w:val="clear" w:color="auto" w:fill="CBE9FA"/>
      </w:tcPr>
    </w:tblStylePr>
  </w:style>
  <w:style w:type="table" w:customStyle="1" w:styleId="TAB-BLUE-2">
    <w:name w:val="TAB-BLUE-2"/>
    <w:basedOn w:val="TableNormal"/>
    <w:uiPriority w:val="99"/>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E9F1F9"/>
    </w:tcPr>
    <w:tblStylePr w:type="firstRow">
      <w:rPr>
        <w:b/>
        <w:color w:val="FFFFFF"/>
        <w:sz w:val="20"/>
      </w:rPr>
      <w:tblPr/>
      <w:trPr>
        <w:tblHeader/>
      </w:trPr>
      <w:tcPr>
        <w:shd w:val="clear" w:color="auto" w:fill="1F497D"/>
      </w:tcPr>
    </w:tblStylePr>
    <w:tblStylePr w:type="lastRow">
      <w:rPr>
        <w:b/>
        <w:color w:val="FFFFFF"/>
      </w:rPr>
      <w:tblPr/>
      <w:tcPr>
        <w:shd w:val="clear" w:color="auto" w:fill="1F497D"/>
      </w:tcPr>
    </w:tblStylePr>
    <w:tblStylePr w:type="firstCol">
      <w:rPr>
        <w:b/>
        <w:color w:val="FFFFFF"/>
      </w:rPr>
      <w:tblPr/>
      <w:tcPr>
        <w:shd w:val="clear" w:color="auto" w:fill="548DD4"/>
      </w:tcPr>
    </w:tblStylePr>
    <w:tblStylePr w:type="lastCol">
      <w:rPr>
        <w:b/>
        <w:color w:val="FFFFFF"/>
      </w:rPr>
      <w:tblPr/>
      <w:tcPr>
        <w:shd w:val="clear" w:color="auto" w:fill="548DD4"/>
      </w:tcPr>
    </w:tblStylePr>
    <w:tblStylePr w:type="band1Vert">
      <w:tblPr/>
      <w:tcPr>
        <w:shd w:val="clear" w:color="auto" w:fill="C6D9F1"/>
      </w:tcPr>
    </w:tblStylePr>
    <w:tblStylePr w:type="band1Horz">
      <w:tblPr/>
      <w:tcPr>
        <w:shd w:val="clear" w:color="auto" w:fill="C6D9F1"/>
      </w:tcPr>
    </w:tblStylePr>
  </w:style>
  <w:style w:type="table" w:customStyle="1" w:styleId="TableGridLight1">
    <w:name w:val="Table Grid Light1"/>
    <w:basedOn w:val="TableNormal"/>
    <w:uiPriority w:val="40"/>
    <w:rsid w:val="000F50EA"/>
    <w:pPr>
      <w:spacing w:after="0" w:line="240" w:lineRule="auto"/>
    </w:pPr>
    <w:rPr>
      <w:rFonts w:ascii="Arial" w:eastAsia="Times New Roman" w:hAnsi="Arial" w:cs="Times New Roman"/>
      <w:sz w:val="20"/>
      <w:szCs w:val="20"/>
      <w:lang w:val="sq-AL" w:eastAsia="sq-AL"/>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GOLD">
    <w:name w:val="TAB-GOLD"/>
    <w:basedOn w:val="TableNormal"/>
    <w:uiPriority w:val="99"/>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FBF6EB"/>
    </w:tcPr>
    <w:tblStylePr w:type="firstRow">
      <w:rPr>
        <w:b/>
        <w:color w:val="FFFFFF"/>
      </w:rPr>
      <w:tblPr/>
      <w:trPr>
        <w:tblHeader/>
      </w:trPr>
      <w:tcPr>
        <w:shd w:val="clear" w:color="auto" w:fill="F39200"/>
      </w:tcPr>
    </w:tblStylePr>
    <w:tblStylePr w:type="lastRow">
      <w:rPr>
        <w:b/>
        <w:color w:val="FFFFFF"/>
      </w:rPr>
      <w:tblPr/>
      <w:tcPr>
        <w:shd w:val="clear" w:color="auto" w:fill="F39200"/>
      </w:tcPr>
    </w:tblStylePr>
    <w:tblStylePr w:type="firstCol">
      <w:rPr>
        <w:b/>
      </w:rPr>
      <w:tblPr/>
      <w:tcPr>
        <w:shd w:val="clear" w:color="auto" w:fill="FFD494"/>
      </w:tcPr>
    </w:tblStylePr>
    <w:tblStylePr w:type="lastCol">
      <w:rPr>
        <w:b/>
      </w:rPr>
      <w:tblPr>
        <w:tblCellMar>
          <w:top w:w="57" w:type="dxa"/>
          <w:left w:w="57" w:type="dxa"/>
          <w:bottom w:w="57" w:type="dxa"/>
          <w:right w:w="57" w:type="dxa"/>
        </w:tblCellMar>
      </w:tblPr>
      <w:tcPr>
        <w:shd w:val="clear" w:color="auto" w:fill="FFD494"/>
      </w:tcPr>
    </w:tblStylePr>
    <w:tblStylePr w:type="band1Vert">
      <w:tblPr/>
      <w:tcPr>
        <w:shd w:val="clear" w:color="auto" w:fill="FFE9C9"/>
      </w:tcPr>
    </w:tblStylePr>
    <w:tblStylePr w:type="band1Horz">
      <w:tblPr/>
      <w:tcPr>
        <w:shd w:val="clear" w:color="auto" w:fill="FFE9C9"/>
      </w:tcPr>
    </w:tblStylePr>
  </w:style>
  <w:style w:type="table" w:customStyle="1" w:styleId="TAB-GRAY">
    <w:name w:val="TAB-GRAY"/>
    <w:basedOn w:val="TableNormal"/>
    <w:uiPriority w:val="99"/>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F2F2F2"/>
    </w:tcPr>
    <w:tblStylePr w:type="firstRow">
      <w:rPr>
        <w:b/>
        <w:color w:val="FFFFFF"/>
      </w:rPr>
      <w:tblPr/>
      <w:trPr>
        <w:tblHeader/>
      </w:trPr>
      <w:tcPr>
        <w:shd w:val="clear" w:color="auto" w:fill="808080"/>
      </w:tcPr>
    </w:tblStylePr>
    <w:tblStylePr w:type="lastRow">
      <w:rPr>
        <w:b/>
        <w:color w:val="FFFFFF"/>
      </w:rPr>
      <w:tblPr/>
      <w:tcPr>
        <w:shd w:val="clear" w:color="auto" w:fill="808080"/>
      </w:tcPr>
    </w:tblStylePr>
    <w:tblStylePr w:type="firstCol">
      <w:rPr>
        <w:b/>
      </w:rPr>
      <w:tblPr/>
      <w:tcPr>
        <w:shd w:val="clear" w:color="auto" w:fill="BFBFBF"/>
      </w:tcPr>
    </w:tblStylePr>
    <w:tblStylePr w:type="lastCol">
      <w:rPr>
        <w:b/>
      </w:rPr>
      <w:tblPr/>
      <w:tcPr>
        <w:shd w:val="clear" w:color="auto" w:fill="BFBFBF"/>
      </w:tcPr>
    </w:tblStylePr>
    <w:tblStylePr w:type="band1Vert">
      <w:tblPr/>
      <w:tcPr>
        <w:shd w:val="clear" w:color="auto" w:fill="D9D9D9"/>
      </w:tcPr>
    </w:tblStylePr>
    <w:tblStylePr w:type="band1Horz">
      <w:tblPr/>
      <w:tcPr>
        <w:shd w:val="clear" w:color="auto" w:fill="D9D9D9"/>
      </w:tcPr>
    </w:tblStylePr>
  </w:style>
  <w:style w:type="table" w:styleId="DarkList">
    <w:name w:val="Dark List"/>
    <w:basedOn w:val="TableNormal"/>
    <w:uiPriority w:val="70"/>
    <w:rsid w:val="000F50EA"/>
    <w:pPr>
      <w:spacing w:after="0" w:line="240" w:lineRule="auto"/>
    </w:pPr>
    <w:rPr>
      <w:rFonts w:ascii="Arial" w:eastAsia="Times New Roman" w:hAnsi="Arial" w:cs="Times New Roman"/>
      <w:color w:val="FFFFFF"/>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ColorfulList">
    <w:name w:val="Colorful List"/>
    <w:basedOn w:val="TableNormal"/>
    <w:uiPriority w:val="72"/>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1070A4"/>
      </w:tcPr>
    </w:tblStylePr>
    <w:tblStylePr w:type="lastRow">
      <w:rPr>
        <w:b/>
        <w:bCs/>
        <w:color w:val="1070A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Shading">
    <w:name w:val="Colorful Shading"/>
    <w:basedOn w:val="TableNormal"/>
    <w:uiPriority w:val="71"/>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24" w:space="0" w:color="148DC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148DC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Grid">
    <w:name w:val="Colorful Grid"/>
    <w:basedOn w:val="TableNormal"/>
    <w:uiPriority w:val="73"/>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LightList">
    <w:name w:val="Light List"/>
    <w:basedOn w:val="TableNormal"/>
    <w:uiPriority w:val="61"/>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121754"/>
        <w:left w:val="single" w:sz="8" w:space="0" w:color="121754"/>
        <w:bottom w:val="single" w:sz="8" w:space="0" w:color="121754"/>
        <w:right w:val="single" w:sz="8" w:space="0" w:color="12175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21754"/>
      </w:tcPr>
    </w:tblStylePr>
    <w:tblStylePr w:type="lastRow">
      <w:pPr>
        <w:spacing w:before="0" w:after="0" w:line="240" w:lineRule="auto"/>
      </w:pPr>
      <w:rPr>
        <w:b/>
        <w:bCs/>
      </w:rPr>
      <w:tblPr/>
      <w:tcPr>
        <w:tcBorders>
          <w:top w:val="double" w:sz="6" w:space="0" w:color="121754"/>
          <w:left w:val="single" w:sz="8" w:space="0" w:color="121754"/>
          <w:bottom w:val="single" w:sz="8" w:space="0" w:color="121754"/>
          <w:right w:val="single" w:sz="8" w:space="0" w:color="121754"/>
        </w:tcBorders>
      </w:tcPr>
    </w:tblStylePr>
    <w:tblStylePr w:type="firstCol">
      <w:rPr>
        <w:b/>
        <w:bCs/>
      </w:rPr>
    </w:tblStylePr>
    <w:tblStylePr w:type="lastCol">
      <w:rPr>
        <w:b/>
        <w:bCs/>
      </w:rPr>
    </w:tblStylePr>
    <w:tblStylePr w:type="band1Vert">
      <w:tblPr/>
      <w:tcPr>
        <w:tcBorders>
          <w:top w:val="single" w:sz="8" w:space="0" w:color="121754"/>
          <w:left w:val="single" w:sz="8" w:space="0" w:color="121754"/>
          <w:bottom w:val="single" w:sz="8" w:space="0" w:color="121754"/>
          <w:right w:val="single" w:sz="8" w:space="0" w:color="121754"/>
        </w:tcBorders>
      </w:tcPr>
    </w:tblStylePr>
    <w:tblStylePr w:type="band1Horz">
      <w:tblPr/>
      <w:tcPr>
        <w:tcBorders>
          <w:top w:val="single" w:sz="8" w:space="0" w:color="121754"/>
          <w:left w:val="single" w:sz="8" w:space="0" w:color="121754"/>
          <w:bottom w:val="single" w:sz="8" w:space="0" w:color="121754"/>
          <w:right w:val="single" w:sz="8" w:space="0" w:color="121754"/>
        </w:tcBorders>
      </w:tcPr>
    </w:tblStylePr>
  </w:style>
  <w:style w:type="table" w:styleId="LightShading-Accent1">
    <w:name w:val="Light Shading Accent 1"/>
    <w:basedOn w:val="TableNormal"/>
    <w:uiPriority w:val="60"/>
    <w:rsid w:val="000F50EA"/>
    <w:pPr>
      <w:spacing w:after="0" w:line="240" w:lineRule="auto"/>
    </w:pPr>
    <w:rPr>
      <w:rFonts w:ascii="Arial" w:eastAsia="Times New Roman" w:hAnsi="Arial" w:cs="Times New Roman"/>
      <w:color w:val="0D113E"/>
      <w:sz w:val="20"/>
      <w:szCs w:val="20"/>
      <w:lang w:val="sq-AL" w:eastAsia="sq-AL"/>
    </w:rPr>
    <w:tblPr>
      <w:tblStyleRowBandSize w:val="1"/>
      <w:tblStyleColBandSize w:val="1"/>
      <w:tblInd w:w="0" w:type="dxa"/>
      <w:tblBorders>
        <w:top w:val="single" w:sz="8" w:space="0" w:color="121754"/>
        <w:bottom w:val="single" w:sz="8" w:space="0" w:color="12175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21754"/>
          <w:left w:val="nil"/>
          <w:bottom w:val="single" w:sz="8" w:space="0" w:color="121754"/>
          <w:right w:val="nil"/>
          <w:insideH w:val="nil"/>
          <w:insideV w:val="nil"/>
        </w:tcBorders>
      </w:tcPr>
    </w:tblStylePr>
    <w:tblStylePr w:type="lastRow">
      <w:pPr>
        <w:spacing w:before="0" w:after="0" w:line="240" w:lineRule="auto"/>
      </w:pPr>
      <w:rPr>
        <w:b/>
        <w:bCs/>
      </w:rPr>
      <w:tblPr/>
      <w:tcPr>
        <w:tcBorders>
          <w:top w:val="single" w:sz="8" w:space="0" w:color="121754"/>
          <w:left w:val="nil"/>
          <w:bottom w:val="single" w:sz="8" w:space="0" w:color="12175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B0ED"/>
      </w:tcPr>
    </w:tblStylePr>
    <w:tblStylePr w:type="band1Horz">
      <w:tblPr/>
      <w:tcPr>
        <w:tcBorders>
          <w:left w:val="nil"/>
          <w:right w:val="nil"/>
          <w:insideH w:val="nil"/>
          <w:insideV w:val="nil"/>
        </w:tcBorders>
        <w:shd w:val="clear" w:color="auto" w:fill="ABB0ED"/>
      </w:tcPr>
    </w:tblStylePr>
  </w:style>
  <w:style w:type="table" w:styleId="LightGrid">
    <w:name w:val="Light Grid"/>
    <w:basedOn w:val="TableNormal"/>
    <w:uiPriority w:val="62"/>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rial" w:eastAsia="MS Gothic" w:hAnsi="Aria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w:eastAsia="MS Gothic" w:hAnsi="Aria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w:eastAsia="MS Gothic" w:hAnsi="Arial" w:cs="Times New Roman"/>
        <w:b/>
        <w:bCs/>
      </w:rPr>
    </w:tblStylePr>
    <w:tblStylePr w:type="lastCol">
      <w:rPr>
        <w:rFonts w:ascii="Arial" w:eastAsia="MS Gothic" w:hAnsi="Aria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121754"/>
        <w:left w:val="single" w:sz="8" w:space="0" w:color="121754"/>
        <w:bottom w:val="single" w:sz="8" w:space="0" w:color="121754"/>
        <w:right w:val="single" w:sz="8" w:space="0" w:color="121754"/>
        <w:insideH w:val="single" w:sz="8" w:space="0" w:color="121754"/>
        <w:insideV w:val="single" w:sz="8" w:space="0" w:color="121754"/>
      </w:tblBorders>
      <w:tblCellMar>
        <w:top w:w="0" w:type="dxa"/>
        <w:left w:w="108" w:type="dxa"/>
        <w:bottom w:w="0" w:type="dxa"/>
        <w:right w:w="108" w:type="dxa"/>
      </w:tblCellMar>
    </w:tblPr>
    <w:tblStylePr w:type="firstRow">
      <w:pPr>
        <w:spacing w:before="0" w:after="0" w:line="240" w:lineRule="auto"/>
      </w:pPr>
      <w:rPr>
        <w:rFonts w:ascii="Arial" w:eastAsia="MS Gothic" w:hAnsi="Arial" w:cs="Times New Roman"/>
        <w:b/>
        <w:bCs/>
      </w:rPr>
      <w:tblPr/>
      <w:tcPr>
        <w:tcBorders>
          <w:top w:val="single" w:sz="8" w:space="0" w:color="121754"/>
          <w:left w:val="single" w:sz="8" w:space="0" w:color="121754"/>
          <w:bottom w:val="single" w:sz="18" w:space="0" w:color="121754"/>
          <w:right w:val="single" w:sz="8" w:space="0" w:color="121754"/>
          <w:insideH w:val="nil"/>
          <w:insideV w:val="single" w:sz="8" w:space="0" w:color="121754"/>
        </w:tcBorders>
      </w:tcPr>
    </w:tblStylePr>
    <w:tblStylePr w:type="lastRow">
      <w:pPr>
        <w:spacing w:before="0" w:after="0" w:line="240" w:lineRule="auto"/>
      </w:pPr>
      <w:rPr>
        <w:rFonts w:ascii="Arial" w:eastAsia="MS Gothic" w:hAnsi="Arial" w:cs="Times New Roman"/>
        <w:b/>
        <w:bCs/>
      </w:rPr>
      <w:tblPr/>
      <w:tcPr>
        <w:tcBorders>
          <w:top w:val="double" w:sz="6" w:space="0" w:color="121754"/>
          <w:left w:val="single" w:sz="8" w:space="0" w:color="121754"/>
          <w:bottom w:val="single" w:sz="8" w:space="0" w:color="121754"/>
          <w:right w:val="single" w:sz="8" w:space="0" w:color="121754"/>
          <w:insideH w:val="nil"/>
          <w:insideV w:val="single" w:sz="8" w:space="0" w:color="121754"/>
        </w:tcBorders>
      </w:tcPr>
    </w:tblStylePr>
    <w:tblStylePr w:type="firstCol">
      <w:rPr>
        <w:rFonts w:ascii="Arial" w:eastAsia="MS Gothic" w:hAnsi="Arial" w:cs="Times New Roman"/>
        <w:b/>
        <w:bCs/>
      </w:rPr>
    </w:tblStylePr>
    <w:tblStylePr w:type="lastCol">
      <w:rPr>
        <w:rFonts w:ascii="Arial" w:eastAsia="MS Gothic" w:hAnsi="Arial" w:cs="Times New Roman"/>
        <w:b/>
        <w:bCs/>
      </w:rPr>
      <w:tblPr/>
      <w:tcPr>
        <w:tcBorders>
          <w:top w:val="single" w:sz="8" w:space="0" w:color="121754"/>
          <w:left w:val="single" w:sz="8" w:space="0" w:color="121754"/>
          <w:bottom w:val="single" w:sz="8" w:space="0" w:color="121754"/>
          <w:right w:val="single" w:sz="8" w:space="0" w:color="121754"/>
        </w:tcBorders>
      </w:tcPr>
    </w:tblStylePr>
    <w:tblStylePr w:type="band1Vert">
      <w:tblPr/>
      <w:tcPr>
        <w:tcBorders>
          <w:top w:val="single" w:sz="8" w:space="0" w:color="121754"/>
          <w:left w:val="single" w:sz="8" w:space="0" w:color="121754"/>
          <w:bottom w:val="single" w:sz="8" w:space="0" w:color="121754"/>
          <w:right w:val="single" w:sz="8" w:space="0" w:color="121754"/>
        </w:tcBorders>
        <w:shd w:val="clear" w:color="auto" w:fill="ABB0ED"/>
      </w:tcPr>
    </w:tblStylePr>
    <w:tblStylePr w:type="band1Horz">
      <w:tblPr/>
      <w:tcPr>
        <w:tcBorders>
          <w:top w:val="single" w:sz="8" w:space="0" w:color="121754"/>
          <w:left w:val="single" w:sz="8" w:space="0" w:color="121754"/>
          <w:bottom w:val="single" w:sz="8" w:space="0" w:color="121754"/>
          <w:right w:val="single" w:sz="8" w:space="0" w:color="121754"/>
          <w:insideV w:val="single" w:sz="8" w:space="0" w:color="121754"/>
        </w:tcBorders>
        <w:shd w:val="clear" w:color="auto" w:fill="ABB0ED"/>
      </w:tcPr>
    </w:tblStylePr>
    <w:tblStylePr w:type="band2Horz">
      <w:tblPr/>
      <w:tcPr>
        <w:tcBorders>
          <w:top w:val="single" w:sz="8" w:space="0" w:color="121754"/>
          <w:left w:val="single" w:sz="8" w:space="0" w:color="121754"/>
          <w:bottom w:val="single" w:sz="8" w:space="0" w:color="121754"/>
          <w:right w:val="single" w:sz="8" w:space="0" w:color="121754"/>
          <w:insideV w:val="single" w:sz="8" w:space="0" w:color="121754"/>
        </w:tcBorders>
      </w:tcPr>
    </w:tblStylePr>
  </w:style>
  <w:style w:type="table" w:styleId="MediumList1">
    <w:name w:val="Medium List 1"/>
    <w:basedOn w:val="TableNormal"/>
    <w:uiPriority w:val="65"/>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w:eastAsia="MS Gothic" w:hAnsi="Arial"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0F50EA"/>
    <w:pPr>
      <w:spacing w:after="0" w:line="240" w:lineRule="auto"/>
    </w:pPr>
    <w:rPr>
      <w:rFonts w:ascii="Arial" w:eastAsia="Times New Roman" w:hAnsi="Arial" w:cs="Times New Roman"/>
      <w:color w:val="000000"/>
      <w:sz w:val="20"/>
      <w:szCs w:val="20"/>
      <w:lang w:val="sq-AL" w:eastAsia="sq-AL"/>
    </w:rPr>
    <w:tblPr>
      <w:tblStyleRowBandSize w:val="1"/>
      <w:tblStyleColBandSize w:val="1"/>
      <w:tblInd w:w="0" w:type="dxa"/>
      <w:tblBorders>
        <w:top w:val="single" w:sz="8" w:space="0" w:color="121754"/>
        <w:bottom w:val="single" w:sz="8" w:space="0" w:color="121754"/>
      </w:tblBorders>
      <w:tblCellMar>
        <w:top w:w="0" w:type="dxa"/>
        <w:left w:w="108" w:type="dxa"/>
        <w:bottom w:w="0" w:type="dxa"/>
        <w:right w:w="108" w:type="dxa"/>
      </w:tblCellMar>
    </w:tblPr>
    <w:tblStylePr w:type="firstRow">
      <w:rPr>
        <w:rFonts w:ascii="Arial" w:eastAsia="MS Gothic" w:hAnsi="Arial" w:cs="Times New Roman"/>
      </w:rPr>
      <w:tblPr/>
      <w:tcPr>
        <w:tcBorders>
          <w:top w:val="nil"/>
          <w:bottom w:val="single" w:sz="8" w:space="0" w:color="121754"/>
        </w:tcBorders>
      </w:tcPr>
    </w:tblStylePr>
    <w:tblStylePr w:type="lastRow">
      <w:rPr>
        <w:b/>
        <w:bCs/>
        <w:color w:val="1F497D"/>
      </w:rPr>
      <w:tblPr/>
      <w:tcPr>
        <w:tcBorders>
          <w:top w:val="single" w:sz="8" w:space="0" w:color="121754"/>
          <w:bottom w:val="single" w:sz="8" w:space="0" w:color="121754"/>
        </w:tcBorders>
      </w:tcPr>
    </w:tblStylePr>
    <w:tblStylePr w:type="firstCol">
      <w:rPr>
        <w:b/>
        <w:bCs/>
      </w:rPr>
    </w:tblStylePr>
    <w:tblStylePr w:type="lastCol">
      <w:rPr>
        <w:b/>
        <w:bCs/>
      </w:rPr>
      <w:tblPr/>
      <w:tcPr>
        <w:tcBorders>
          <w:top w:val="single" w:sz="8" w:space="0" w:color="121754"/>
          <w:bottom w:val="single" w:sz="8" w:space="0" w:color="121754"/>
        </w:tcBorders>
      </w:tcPr>
    </w:tblStylePr>
    <w:tblStylePr w:type="band1Vert">
      <w:tblPr/>
      <w:tcPr>
        <w:shd w:val="clear" w:color="auto" w:fill="ABB0ED"/>
      </w:tcPr>
    </w:tblStylePr>
    <w:tblStylePr w:type="band1Horz">
      <w:tblPr/>
      <w:tcPr>
        <w:shd w:val="clear" w:color="auto" w:fill="ABB0ED"/>
      </w:tcPr>
    </w:tblStylePr>
  </w:style>
  <w:style w:type="table" w:styleId="MediumList2">
    <w:name w:val="Medium List 2"/>
    <w:basedOn w:val="TableNormal"/>
    <w:uiPriority w:val="66"/>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242EA8"/>
        <w:left w:val="single" w:sz="8" w:space="0" w:color="242EA8"/>
        <w:bottom w:val="single" w:sz="8" w:space="0" w:color="242EA8"/>
        <w:right w:val="single" w:sz="8" w:space="0" w:color="242EA8"/>
        <w:insideH w:val="single" w:sz="8" w:space="0" w:color="242EA8"/>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42EA8"/>
          <w:left w:val="single" w:sz="8" w:space="0" w:color="242EA8"/>
          <w:bottom w:val="single" w:sz="8" w:space="0" w:color="242EA8"/>
          <w:right w:val="single" w:sz="8" w:space="0" w:color="242EA8"/>
          <w:insideH w:val="nil"/>
          <w:insideV w:val="nil"/>
        </w:tcBorders>
        <w:shd w:val="clear" w:color="auto" w:fill="121754"/>
      </w:tcPr>
    </w:tblStylePr>
    <w:tblStylePr w:type="lastRow">
      <w:pPr>
        <w:spacing w:before="0" w:after="0" w:line="240" w:lineRule="auto"/>
      </w:pPr>
      <w:rPr>
        <w:b/>
        <w:bCs/>
      </w:rPr>
      <w:tblPr/>
      <w:tcPr>
        <w:tcBorders>
          <w:top w:val="double" w:sz="6" w:space="0" w:color="242EA8"/>
          <w:left w:val="single" w:sz="8" w:space="0" w:color="242EA8"/>
          <w:bottom w:val="single" w:sz="8" w:space="0" w:color="242EA8"/>
          <w:right w:val="single" w:sz="8" w:space="0" w:color="242EA8"/>
          <w:insideH w:val="nil"/>
          <w:insideV w:val="nil"/>
        </w:tcBorders>
      </w:tcPr>
    </w:tblStylePr>
    <w:tblStylePr w:type="firstCol">
      <w:rPr>
        <w:b/>
        <w:bCs/>
      </w:rPr>
    </w:tblStylePr>
    <w:tblStylePr w:type="lastCol">
      <w:rPr>
        <w:b/>
        <w:bCs/>
      </w:rPr>
    </w:tblStylePr>
    <w:tblStylePr w:type="band1Vert">
      <w:tblPr/>
      <w:tcPr>
        <w:shd w:val="clear" w:color="auto" w:fill="ABB0ED"/>
      </w:tcPr>
    </w:tblStylePr>
    <w:tblStylePr w:type="band1Horz">
      <w:tblPr/>
      <w:tcPr>
        <w:tcBorders>
          <w:insideH w:val="nil"/>
          <w:insideV w:val="nil"/>
        </w:tcBorders>
        <w:shd w:val="clear" w:color="auto" w:fill="ABB0ED"/>
      </w:tcPr>
    </w:tblStylePr>
    <w:tblStylePr w:type="band2Horz">
      <w:tblPr/>
      <w:tcPr>
        <w:tcBorders>
          <w:insideH w:val="nil"/>
          <w:insideV w:val="nil"/>
        </w:tcBorders>
      </w:tcPr>
    </w:tblStylePr>
  </w:style>
  <w:style w:type="table" w:styleId="MediumShading2">
    <w:name w:val="Medium Shading 2"/>
    <w:basedOn w:val="TableNormal"/>
    <w:uiPriority w:val="64"/>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2175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21754"/>
      </w:tcPr>
    </w:tblStylePr>
    <w:tblStylePr w:type="lastCol">
      <w:rPr>
        <w:b/>
        <w:bCs/>
        <w:color w:val="FFFFFF"/>
      </w:rPr>
      <w:tblPr/>
      <w:tcPr>
        <w:tcBorders>
          <w:left w:val="nil"/>
          <w:right w:val="nil"/>
          <w:insideH w:val="nil"/>
          <w:insideV w:val="nil"/>
        </w:tcBorders>
        <w:shd w:val="clear" w:color="auto" w:fill="12175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1">
    <w:name w:val="Medium Grid 1"/>
    <w:basedOn w:val="TableNormal"/>
    <w:uiPriority w:val="67"/>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2">
    <w:name w:val="Medium Grid 2"/>
    <w:basedOn w:val="TableNormal"/>
    <w:uiPriority w:val="68"/>
    <w:rsid w:val="000F50EA"/>
    <w:pPr>
      <w:spacing w:after="0" w:line="240" w:lineRule="auto"/>
    </w:pPr>
    <w:rPr>
      <w:rFonts w:ascii="Arial" w:eastAsia="MS Gothic" w:hAnsi="Arial" w:cs="Times New Roman"/>
      <w:color w:val="000000"/>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3">
    <w:name w:val="Medium Grid 3"/>
    <w:basedOn w:val="TableNormal"/>
    <w:uiPriority w:val="69"/>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TAB-GREEN">
    <w:name w:val="TAB-GREEN"/>
    <w:basedOn w:val="TableNormal"/>
    <w:uiPriority w:val="99"/>
    <w:rsid w:val="000F50EA"/>
    <w:pPr>
      <w:spacing w:after="0" w:line="240" w:lineRule="auto"/>
    </w:pPr>
    <w:rPr>
      <w:rFonts w:ascii="Arial" w:eastAsia="Times New Roman" w:hAnsi="Arial" w:cs="Times New Roman"/>
      <w:sz w:val="20"/>
      <w:szCs w:val="20"/>
      <w:lang w:val="sq-AL" w:eastAsia="sq-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FAFDF5"/>
    </w:tcPr>
    <w:tblStylePr w:type="firstRow">
      <w:rPr>
        <w:b/>
        <w:color w:val="FFFFFF"/>
      </w:rPr>
      <w:tblPr/>
      <w:trPr>
        <w:tblHeader/>
      </w:trPr>
      <w:tcPr>
        <w:shd w:val="clear" w:color="auto" w:fill="79B51C"/>
      </w:tcPr>
    </w:tblStylePr>
    <w:tblStylePr w:type="lastRow">
      <w:rPr>
        <w:b/>
        <w:color w:val="FFFFFF"/>
      </w:rPr>
      <w:tblPr/>
      <w:tcPr>
        <w:shd w:val="clear" w:color="auto" w:fill="79B51C"/>
      </w:tcPr>
    </w:tblStylePr>
    <w:tblStylePr w:type="firstCol">
      <w:rPr>
        <w:b/>
      </w:rPr>
      <w:tblPr/>
      <w:tcPr>
        <w:shd w:val="clear" w:color="auto" w:fill="B2E662"/>
      </w:tcPr>
    </w:tblStylePr>
    <w:tblStylePr w:type="lastCol">
      <w:rPr>
        <w:b/>
      </w:rPr>
      <w:tblPr/>
      <w:tcPr>
        <w:shd w:val="clear" w:color="auto" w:fill="B2E662"/>
      </w:tcPr>
    </w:tblStylePr>
    <w:tblStylePr w:type="band1Vert">
      <w:tblPr/>
      <w:tcPr>
        <w:shd w:val="clear" w:color="auto" w:fill="E5F7CA"/>
      </w:tcPr>
    </w:tblStylePr>
    <w:tblStylePr w:type="band1Horz">
      <w:tblPr/>
      <w:tcPr>
        <w:shd w:val="clear" w:color="auto" w:fill="E5F7CA"/>
      </w:tcPr>
    </w:tblStylePr>
  </w:style>
  <w:style w:type="character" w:customStyle="1" w:styleId="normaltextrun">
    <w:name w:val="normaltextrun"/>
    <w:basedOn w:val="DefaultParagraphFont"/>
    <w:rsid w:val="000F50EA"/>
  </w:style>
  <w:style w:type="character" w:customStyle="1" w:styleId="eop">
    <w:name w:val="eop"/>
    <w:basedOn w:val="DefaultParagraphFont"/>
    <w:rsid w:val="000F50EA"/>
  </w:style>
  <w:style w:type="paragraph" w:customStyle="1" w:styleId="paragraph">
    <w:name w:val="paragraph"/>
    <w:basedOn w:val="Normal"/>
    <w:rsid w:val="000F50EA"/>
    <w:pPr>
      <w:spacing w:before="100" w:beforeAutospacing="1" w:after="100" w:afterAutospacing="1" w:line="240" w:lineRule="auto"/>
    </w:pPr>
    <w:rPr>
      <w:rFonts w:ascii="Times New Roman" w:eastAsia="Times New Roman" w:hAnsi="Times New Roman"/>
      <w:sz w:val="24"/>
      <w:szCs w:val="24"/>
      <w:lang w:val="sq-AL" w:eastAsia="en-GB"/>
    </w:rPr>
  </w:style>
  <w:style w:type="character" w:customStyle="1" w:styleId="superscript">
    <w:name w:val="superscript"/>
    <w:basedOn w:val="DefaultParagraphFont"/>
    <w:rsid w:val="000F50EA"/>
  </w:style>
  <w:style w:type="character" w:styleId="Strong">
    <w:name w:val="Strong"/>
    <w:uiPriority w:val="22"/>
    <w:qFormat/>
    <w:rsid w:val="000F50EA"/>
    <w:rPr>
      <w:b/>
      <w:bCs/>
    </w:rPr>
  </w:style>
  <w:style w:type="table" w:customStyle="1" w:styleId="TableGridLight10">
    <w:name w:val="Table Grid Light1"/>
    <w:basedOn w:val="TableNormal"/>
    <w:uiPriority w:val="40"/>
    <w:rsid w:val="000F50EA"/>
    <w:pPr>
      <w:spacing w:after="0" w:line="240" w:lineRule="auto"/>
    </w:pPr>
    <w:rPr>
      <w:rFonts w:ascii="Arial" w:eastAsia="Arial" w:hAnsi="Arial" w:cs="Times New Roman"/>
      <w:lang w:val="fr-BE"/>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ListBullet1">
    <w:name w:val="List Bullet 1"/>
    <w:basedOn w:val="Normal"/>
    <w:rsid w:val="000F50EA"/>
    <w:pPr>
      <w:numPr>
        <w:numId w:val="8"/>
      </w:numPr>
      <w:spacing w:after="120" w:line="240" w:lineRule="auto"/>
      <w:jc w:val="both"/>
    </w:pPr>
    <w:rPr>
      <w:rFonts w:ascii="Times New Roman" w:eastAsia="Times New Roman" w:hAnsi="Times New Roman"/>
      <w:sz w:val="24"/>
      <w:lang w:val="sq-AL" w:eastAsia="de-DE"/>
    </w:rPr>
  </w:style>
  <w:style w:type="paragraph" w:customStyle="1" w:styleId="Text1">
    <w:name w:val="Text 1"/>
    <w:basedOn w:val="Normal"/>
    <w:link w:val="Text1Char"/>
    <w:qFormat/>
    <w:rsid w:val="000F50EA"/>
    <w:pPr>
      <w:spacing w:after="240" w:line="240" w:lineRule="auto"/>
      <w:ind w:left="482"/>
      <w:jc w:val="both"/>
    </w:pPr>
    <w:rPr>
      <w:rFonts w:ascii="Times New Roman" w:eastAsia="Times New Roman" w:hAnsi="Times New Roman"/>
      <w:sz w:val="24"/>
      <w:szCs w:val="20"/>
      <w:lang w:val="sq-AL" w:eastAsia="en-GB"/>
    </w:rPr>
  </w:style>
  <w:style w:type="character" w:customStyle="1" w:styleId="Text1Char">
    <w:name w:val="Text 1 Char"/>
    <w:link w:val="Text1"/>
    <w:locked/>
    <w:rsid w:val="000F50EA"/>
    <w:rPr>
      <w:rFonts w:ascii="Times New Roman" w:eastAsia="Times New Roman" w:hAnsi="Times New Roman" w:cs="Times New Roman"/>
      <w:sz w:val="24"/>
      <w:szCs w:val="20"/>
      <w:lang w:val="sq-AL" w:eastAsia="en-GB"/>
    </w:rPr>
  </w:style>
  <w:style w:type="character" w:customStyle="1" w:styleId="NichtaufgelsteErwhnung1">
    <w:name w:val="Nicht aufgelöste Erwähnung1"/>
    <w:uiPriority w:val="99"/>
    <w:semiHidden/>
    <w:unhideWhenUsed/>
    <w:rsid w:val="000F50EA"/>
    <w:rPr>
      <w:color w:val="605E5C"/>
      <w:shd w:val="clear" w:color="auto" w:fill="E1DFDD"/>
    </w:rPr>
  </w:style>
  <w:style w:type="paragraph" w:customStyle="1" w:styleId="Point0number">
    <w:name w:val="Point 0 (number)"/>
    <w:basedOn w:val="Normal"/>
    <w:rsid w:val="000F50EA"/>
    <w:pPr>
      <w:tabs>
        <w:tab w:val="num" w:pos="360"/>
      </w:tabs>
      <w:spacing w:after="120" w:line="240" w:lineRule="auto"/>
      <w:ind w:left="360" w:hanging="360"/>
      <w:jc w:val="both"/>
    </w:pPr>
    <w:rPr>
      <w:rFonts w:ascii="Times New Roman" w:eastAsia="Arial" w:hAnsi="Times New Roman"/>
      <w:sz w:val="24"/>
      <w:lang w:val="sq-AL"/>
    </w:rPr>
  </w:style>
  <w:style w:type="paragraph" w:customStyle="1" w:styleId="Point1number">
    <w:name w:val="Point 1 (number)"/>
    <w:basedOn w:val="Normal"/>
    <w:rsid w:val="000F50EA"/>
    <w:pPr>
      <w:tabs>
        <w:tab w:val="num" w:pos="360"/>
      </w:tabs>
      <w:spacing w:after="120" w:line="240" w:lineRule="auto"/>
      <w:ind w:left="1800" w:hanging="360"/>
      <w:jc w:val="both"/>
    </w:pPr>
    <w:rPr>
      <w:rFonts w:ascii="Times New Roman" w:eastAsia="Arial" w:hAnsi="Times New Roman"/>
      <w:sz w:val="24"/>
      <w:lang w:val="sq-AL"/>
    </w:rPr>
  </w:style>
  <w:style w:type="paragraph" w:customStyle="1" w:styleId="Point2number">
    <w:name w:val="Point 2 (number)"/>
    <w:basedOn w:val="Normal"/>
    <w:rsid w:val="000F50EA"/>
    <w:pPr>
      <w:tabs>
        <w:tab w:val="num" w:pos="360"/>
      </w:tabs>
      <w:spacing w:after="120" w:line="240" w:lineRule="auto"/>
      <w:ind w:left="3240" w:hanging="360"/>
      <w:jc w:val="both"/>
    </w:pPr>
    <w:rPr>
      <w:rFonts w:ascii="Times New Roman" w:eastAsia="Arial" w:hAnsi="Times New Roman"/>
      <w:sz w:val="24"/>
      <w:lang w:val="sq-AL"/>
    </w:rPr>
  </w:style>
  <w:style w:type="paragraph" w:customStyle="1" w:styleId="Point3number">
    <w:name w:val="Point 3 (number)"/>
    <w:basedOn w:val="Normal"/>
    <w:rsid w:val="000F50EA"/>
    <w:pPr>
      <w:tabs>
        <w:tab w:val="num" w:pos="360"/>
      </w:tabs>
      <w:spacing w:after="120" w:line="240" w:lineRule="auto"/>
      <w:ind w:left="4680" w:hanging="360"/>
      <w:jc w:val="both"/>
    </w:pPr>
    <w:rPr>
      <w:rFonts w:ascii="Times New Roman" w:eastAsia="Arial" w:hAnsi="Times New Roman"/>
      <w:sz w:val="24"/>
      <w:lang w:val="sq-AL"/>
    </w:rPr>
  </w:style>
  <w:style w:type="paragraph" w:customStyle="1" w:styleId="Point0letter">
    <w:name w:val="Point 0 (letter)"/>
    <w:basedOn w:val="Normal"/>
    <w:rsid w:val="000F50EA"/>
    <w:pPr>
      <w:tabs>
        <w:tab w:val="num" w:pos="360"/>
      </w:tabs>
      <w:spacing w:after="120" w:line="240" w:lineRule="auto"/>
      <w:ind w:left="1080" w:hanging="360"/>
      <w:jc w:val="both"/>
    </w:pPr>
    <w:rPr>
      <w:rFonts w:ascii="Times New Roman" w:eastAsia="Arial" w:hAnsi="Times New Roman"/>
      <w:sz w:val="24"/>
      <w:lang w:val="sq-AL"/>
    </w:rPr>
  </w:style>
  <w:style w:type="paragraph" w:customStyle="1" w:styleId="Point1letter">
    <w:name w:val="Point 1 (letter)"/>
    <w:basedOn w:val="Normal"/>
    <w:rsid w:val="000F50EA"/>
    <w:pPr>
      <w:tabs>
        <w:tab w:val="num" w:pos="360"/>
      </w:tabs>
      <w:spacing w:after="120" w:line="240" w:lineRule="auto"/>
      <w:ind w:left="2520" w:hanging="360"/>
      <w:jc w:val="both"/>
    </w:pPr>
    <w:rPr>
      <w:rFonts w:ascii="Times New Roman" w:eastAsia="Arial" w:hAnsi="Times New Roman"/>
      <w:sz w:val="24"/>
      <w:lang w:val="sq-AL"/>
    </w:rPr>
  </w:style>
  <w:style w:type="paragraph" w:customStyle="1" w:styleId="Point2letter">
    <w:name w:val="Point 2 (letter)"/>
    <w:basedOn w:val="Normal"/>
    <w:rsid w:val="000F50EA"/>
    <w:pPr>
      <w:tabs>
        <w:tab w:val="num" w:pos="360"/>
      </w:tabs>
      <w:spacing w:after="120" w:line="240" w:lineRule="auto"/>
      <w:ind w:left="3960" w:hanging="360"/>
      <w:jc w:val="both"/>
    </w:pPr>
    <w:rPr>
      <w:rFonts w:ascii="Times New Roman" w:eastAsia="Arial" w:hAnsi="Times New Roman"/>
      <w:sz w:val="24"/>
      <w:lang w:val="sq-AL"/>
    </w:rPr>
  </w:style>
  <w:style w:type="paragraph" w:customStyle="1" w:styleId="Point3letter">
    <w:name w:val="Point 3 (letter)"/>
    <w:basedOn w:val="Normal"/>
    <w:rsid w:val="000F50EA"/>
    <w:pPr>
      <w:tabs>
        <w:tab w:val="num" w:pos="360"/>
      </w:tabs>
      <w:spacing w:after="120" w:line="240" w:lineRule="auto"/>
      <w:ind w:left="5400" w:hanging="360"/>
      <w:jc w:val="both"/>
    </w:pPr>
    <w:rPr>
      <w:rFonts w:ascii="Times New Roman" w:eastAsia="Arial" w:hAnsi="Times New Roman"/>
      <w:sz w:val="24"/>
      <w:lang w:val="sq-AL"/>
    </w:rPr>
  </w:style>
  <w:style w:type="paragraph" w:customStyle="1" w:styleId="Point4letter">
    <w:name w:val="Point 4 (letter)"/>
    <w:basedOn w:val="Normal"/>
    <w:rsid w:val="000F50EA"/>
    <w:pPr>
      <w:tabs>
        <w:tab w:val="num" w:pos="360"/>
      </w:tabs>
      <w:spacing w:after="120" w:line="240" w:lineRule="auto"/>
      <w:ind w:left="6120" w:hanging="360"/>
      <w:jc w:val="both"/>
    </w:pPr>
    <w:rPr>
      <w:rFonts w:ascii="Times New Roman" w:eastAsia="Arial" w:hAnsi="Times New Roman"/>
      <w:sz w:val="24"/>
      <w:lang w:val="sq-AL"/>
    </w:rPr>
  </w:style>
  <w:style w:type="character" w:customStyle="1" w:styleId="fontstyle01">
    <w:name w:val="fontstyle01"/>
    <w:rsid w:val="000F50EA"/>
    <w:rPr>
      <w:rFonts w:ascii="TimesNewRomanPSMT" w:hAnsi="TimesNewRomanPSMT" w:hint="default"/>
      <w:b w:val="0"/>
      <w:bCs w:val="0"/>
      <w:i w:val="0"/>
      <w:iCs w:val="0"/>
      <w:color w:val="000000"/>
      <w:sz w:val="24"/>
      <w:szCs w:val="24"/>
    </w:rPr>
  </w:style>
  <w:style w:type="character" w:customStyle="1" w:styleId="fontstyle21">
    <w:name w:val="fontstyle21"/>
    <w:rsid w:val="000F50EA"/>
    <w:rPr>
      <w:rFonts w:ascii="SymbolMT" w:hAnsi="SymbolMT" w:hint="default"/>
      <w:b w:val="0"/>
      <w:bCs w:val="0"/>
      <w:i w:val="0"/>
      <w:iCs w:val="0"/>
      <w:color w:val="1F497D"/>
      <w:sz w:val="24"/>
      <w:szCs w:val="24"/>
    </w:rPr>
  </w:style>
  <w:style w:type="paragraph" w:styleId="ListNumber">
    <w:name w:val="List Number"/>
    <w:basedOn w:val="Normal"/>
    <w:rsid w:val="000F50EA"/>
    <w:pPr>
      <w:numPr>
        <w:numId w:val="7"/>
      </w:numPr>
      <w:spacing w:after="120" w:line="240" w:lineRule="auto"/>
      <w:jc w:val="both"/>
    </w:pPr>
    <w:rPr>
      <w:rFonts w:ascii="Times New Roman" w:eastAsia="Times New Roman" w:hAnsi="Times New Roman"/>
      <w:sz w:val="24"/>
      <w:lang w:val="sq-AL" w:eastAsia="de-DE"/>
    </w:rPr>
  </w:style>
  <w:style w:type="paragraph" w:customStyle="1" w:styleId="ListNumberLevel2">
    <w:name w:val="List Number (Level 2)"/>
    <w:basedOn w:val="Normal"/>
    <w:rsid w:val="000F50EA"/>
    <w:pPr>
      <w:numPr>
        <w:ilvl w:val="1"/>
        <w:numId w:val="7"/>
      </w:numPr>
      <w:spacing w:after="120" w:line="240" w:lineRule="auto"/>
      <w:jc w:val="both"/>
    </w:pPr>
    <w:rPr>
      <w:rFonts w:ascii="Times New Roman" w:eastAsia="Times New Roman" w:hAnsi="Times New Roman"/>
      <w:sz w:val="24"/>
      <w:lang w:val="sq-AL" w:eastAsia="de-DE"/>
    </w:rPr>
  </w:style>
  <w:style w:type="paragraph" w:customStyle="1" w:styleId="ListNumberLevel3">
    <w:name w:val="List Number (Level 3)"/>
    <w:basedOn w:val="Normal"/>
    <w:rsid w:val="000F50EA"/>
    <w:pPr>
      <w:numPr>
        <w:ilvl w:val="2"/>
        <w:numId w:val="7"/>
      </w:numPr>
      <w:spacing w:after="120" w:line="240" w:lineRule="auto"/>
      <w:jc w:val="both"/>
    </w:pPr>
    <w:rPr>
      <w:rFonts w:ascii="Times New Roman" w:eastAsia="Times New Roman" w:hAnsi="Times New Roman"/>
      <w:sz w:val="24"/>
      <w:lang w:val="sq-AL" w:eastAsia="de-DE"/>
    </w:rPr>
  </w:style>
  <w:style w:type="paragraph" w:customStyle="1" w:styleId="ListNumberLevel4">
    <w:name w:val="List Number (Level 4)"/>
    <w:basedOn w:val="Normal"/>
    <w:rsid w:val="000F50EA"/>
    <w:pPr>
      <w:numPr>
        <w:ilvl w:val="3"/>
        <w:numId w:val="7"/>
      </w:numPr>
      <w:spacing w:after="120" w:line="240" w:lineRule="auto"/>
      <w:jc w:val="both"/>
    </w:pPr>
    <w:rPr>
      <w:rFonts w:ascii="Times New Roman" w:eastAsia="Times New Roman" w:hAnsi="Times New Roman"/>
      <w:sz w:val="24"/>
      <w:lang w:val="sq-AL" w:eastAsia="de-DE"/>
    </w:rPr>
  </w:style>
  <w:style w:type="character" w:styleId="FollowedHyperlink">
    <w:name w:val="FollowedHyperlink"/>
    <w:uiPriority w:val="99"/>
    <w:semiHidden/>
    <w:rsid w:val="000F50EA"/>
    <w:rPr>
      <w:color w:val="7F7F7F"/>
      <w:u w:val="single"/>
    </w:rPr>
  </w:style>
  <w:style w:type="character" w:customStyle="1" w:styleId="ydpa0e98ed7jlqj4b">
    <w:name w:val="ydpa0e98ed7jlqj4b"/>
    <w:basedOn w:val="DefaultParagraphFont"/>
    <w:rsid w:val="000F50EA"/>
  </w:style>
  <w:style w:type="paragraph" w:customStyle="1" w:styleId="NumPar2">
    <w:name w:val="NumPar 2"/>
    <w:basedOn w:val="Heading2"/>
    <w:next w:val="Normal"/>
    <w:rsid w:val="000F50EA"/>
    <w:pPr>
      <w:keepNext w:val="0"/>
      <w:keepLines w:val="0"/>
      <w:numPr>
        <w:ilvl w:val="1"/>
        <w:numId w:val="6"/>
      </w:numPr>
      <w:spacing w:before="0" w:after="240" w:line="240" w:lineRule="auto"/>
      <w:jc w:val="both"/>
      <w:outlineLvl w:val="9"/>
    </w:pPr>
    <w:rPr>
      <w:rFonts w:ascii="Arial" w:eastAsia="Times New Roman" w:hAnsi="Arial" w:cs="Times New Roman"/>
      <w:bCs w:val="0"/>
      <w:snapToGrid w:val="0"/>
      <w:color w:val="auto"/>
      <w:sz w:val="24"/>
      <w:szCs w:val="24"/>
      <w:lang w:val="fr-FR"/>
    </w:rPr>
  </w:style>
  <w:style w:type="character" w:customStyle="1" w:styleId="FootnoteCharacters">
    <w:name w:val="Footnote Characters"/>
    <w:rsid w:val="000F50EA"/>
    <w:rPr>
      <w:rFonts w:cs="Times New Roman"/>
      <w:vertAlign w:val="superscript"/>
    </w:rPr>
  </w:style>
  <w:style w:type="paragraph" w:customStyle="1" w:styleId="Default">
    <w:name w:val="Default"/>
    <w:rsid w:val="000F50EA"/>
    <w:pPr>
      <w:autoSpaceDE w:val="0"/>
      <w:autoSpaceDN w:val="0"/>
      <w:adjustRightInd w:val="0"/>
      <w:spacing w:after="0" w:line="240" w:lineRule="auto"/>
    </w:pPr>
    <w:rPr>
      <w:rFonts w:ascii="Times New Roman" w:eastAsia="Times New Roman" w:hAnsi="Times New Roman" w:cs="Times New Roman"/>
      <w:color w:val="000000"/>
      <w:sz w:val="24"/>
      <w:szCs w:val="24"/>
      <w:lang w:eastAsia="de-DE"/>
    </w:rPr>
  </w:style>
  <w:style w:type="paragraph" w:styleId="Revision">
    <w:name w:val="Revision"/>
    <w:hidden/>
    <w:uiPriority w:val="99"/>
    <w:semiHidden/>
    <w:rsid w:val="000F50EA"/>
    <w:pPr>
      <w:spacing w:after="0" w:line="240" w:lineRule="auto"/>
    </w:pPr>
    <w:rPr>
      <w:rFonts w:ascii="Arial" w:eastAsia="Times New Roman" w:hAnsi="Arial" w:cs="Times New Roman"/>
      <w:szCs w:val="21"/>
      <w:lang w:val="en-GB" w:eastAsia="de-DE"/>
    </w:rPr>
  </w:style>
  <w:style w:type="paragraph" w:customStyle="1" w:styleId="Table1">
    <w:name w:val="Table 1"/>
    <w:basedOn w:val="Normal"/>
    <w:link w:val="Table1Zchn"/>
    <w:qFormat/>
    <w:rsid w:val="000F50EA"/>
    <w:pPr>
      <w:spacing w:after="0" w:line="240" w:lineRule="auto"/>
    </w:pPr>
    <w:rPr>
      <w:rFonts w:ascii="Arial Narrow" w:eastAsia="Times New Roman" w:hAnsi="Arial Narrow" w:cs="Arial"/>
      <w:lang w:val="sq-AL"/>
    </w:rPr>
  </w:style>
  <w:style w:type="character" w:customStyle="1" w:styleId="Table1Zchn">
    <w:name w:val="Table 1 Zchn"/>
    <w:link w:val="Table1"/>
    <w:rsid w:val="000F50EA"/>
    <w:rPr>
      <w:rFonts w:ascii="Arial Narrow" w:eastAsia="Times New Roman" w:hAnsi="Arial Narrow" w:cs="Arial"/>
      <w:lang w:val="sq-AL"/>
    </w:rPr>
  </w:style>
  <w:style w:type="character" w:customStyle="1" w:styleId="NichtaufgelsteErwhnung2">
    <w:name w:val="Nicht aufgelöste Erwähnung2"/>
    <w:uiPriority w:val="99"/>
    <w:semiHidden/>
    <w:unhideWhenUsed/>
    <w:rsid w:val="000F50EA"/>
    <w:rPr>
      <w:color w:val="605E5C"/>
      <w:shd w:val="clear" w:color="auto" w:fill="E1DFDD"/>
    </w:rPr>
  </w:style>
  <w:style w:type="paragraph" w:customStyle="1" w:styleId="1">
    <w:name w:val="Абзац списка1"/>
    <w:basedOn w:val="Normal"/>
    <w:uiPriority w:val="99"/>
    <w:rsid w:val="000F50EA"/>
    <w:pPr>
      <w:suppressAutoHyphens/>
      <w:ind w:left="720" w:firstLine="360"/>
    </w:pPr>
    <w:rPr>
      <w:rFonts w:eastAsia="SimSun"/>
      <w:lang w:eastAsia="ar-SA"/>
    </w:rPr>
  </w:style>
  <w:style w:type="character" w:styleId="Emphasis">
    <w:name w:val="Emphasis"/>
    <w:uiPriority w:val="20"/>
    <w:qFormat/>
    <w:rsid w:val="000F50EA"/>
    <w:rPr>
      <w:i/>
      <w:iCs/>
    </w:rPr>
  </w:style>
  <w:style w:type="character" w:customStyle="1" w:styleId="UnresolvedMention">
    <w:name w:val="Unresolved Mention"/>
    <w:uiPriority w:val="99"/>
    <w:semiHidden/>
    <w:unhideWhenUsed/>
    <w:rsid w:val="000F50EA"/>
    <w:rPr>
      <w:color w:val="605E5C"/>
      <w:shd w:val="clear" w:color="auto" w:fill="E1DFDD"/>
    </w:rPr>
  </w:style>
  <w:style w:type="paragraph" w:customStyle="1" w:styleId="TableParagraph">
    <w:name w:val="Table Paragraph"/>
    <w:basedOn w:val="Normal"/>
    <w:uiPriority w:val="1"/>
    <w:qFormat/>
    <w:rsid w:val="000F50EA"/>
    <w:pPr>
      <w:widowControl w:val="0"/>
      <w:autoSpaceDE w:val="0"/>
      <w:autoSpaceDN w:val="0"/>
      <w:spacing w:after="0" w:line="240" w:lineRule="auto"/>
    </w:pPr>
    <w:rPr>
      <w:rFonts w:ascii="Tahoma" w:eastAsia="Tahoma" w:hAnsi="Tahoma" w:cs="Tahoma"/>
    </w:rPr>
  </w:style>
  <w:style w:type="paragraph" w:customStyle="1" w:styleId="ListDash2">
    <w:name w:val="List Dash 2"/>
    <w:basedOn w:val="Normal"/>
    <w:rsid w:val="000F50EA"/>
    <w:pPr>
      <w:numPr>
        <w:numId w:val="11"/>
      </w:numPr>
      <w:tabs>
        <w:tab w:val="clear" w:pos="283"/>
      </w:tabs>
      <w:ind w:left="454" w:hanging="454"/>
      <w:jc w:val="both"/>
    </w:pPr>
    <w:rPr>
      <w:rFonts w:eastAsia="Times New Roman"/>
      <w:szCs w:val="20"/>
      <w:lang w:val="x-none"/>
    </w:rPr>
  </w:style>
  <w:style w:type="table" w:customStyle="1" w:styleId="GFAInvisible1">
    <w:name w:val="GFA Invisible1"/>
    <w:basedOn w:val="TableNormal"/>
    <w:uiPriority w:val="99"/>
    <w:qFormat/>
    <w:rsid w:val="000F50EA"/>
    <w:pPr>
      <w:spacing w:after="0" w:line="240" w:lineRule="auto"/>
    </w:pPr>
    <w:rPr>
      <w:rFonts w:ascii="Arial Narrow" w:eastAsia="Times New Roman" w:hAnsi="Arial Narrow" w:cs="Times New Roman"/>
      <w:sz w:val="20"/>
      <w:szCs w:val="20"/>
      <w:lang w:val="sq-AL" w:eastAsia="sq-AL"/>
    </w:rPr>
    <w:tblPr>
      <w:tblStyleRowBandSize w:val="1"/>
      <w:tblStyleColBandSize w:val="1"/>
      <w:tblInd w:w="0" w:type="dxa"/>
      <w:tblCellMar>
        <w:top w:w="0" w:type="dxa"/>
        <w:left w:w="108" w:type="dxa"/>
        <w:bottom w:w="0" w:type="dxa"/>
        <w:right w:w="108" w:type="dxa"/>
      </w:tblCellMar>
    </w:tblPr>
    <w:tblStylePr w:type="firstRow">
      <w:rPr>
        <w:rFonts w:ascii="Georgia" w:hAnsi="Georgia"/>
        <w:sz w:val="21"/>
      </w:rPr>
    </w:tblStylePr>
    <w:tblStylePr w:type="lastRow">
      <w:rPr>
        <w:rFonts w:ascii="Georgia" w:hAnsi="Georgia"/>
        <w:sz w:val="21"/>
      </w:rPr>
    </w:tblStylePr>
    <w:tblStylePr w:type="firstCol">
      <w:rPr>
        <w:rFonts w:ascii="Georgia" w:hAnsi="Georgia"/>
        <w:sz w:val="21"/>
      </w:rPr>
    </w:tblStylePr>
    <w:tblStylePr w:type="lastCol">
      <w:rPr>
        <w:rFonts w:ascii="Georgia" w:hAnsi="Georgia"/>
        <w:sz w:val="21"/>
      </w:rPr>
    </w:tblStylePr>
    <w:tblStylePr w:type="band1Vert">
      <w:rPr>
        <w:rFonts w:ascii="Georgia" w:hAnsi="Georgia"/>
        <w:sz w:val="21"/>
      </w:rPr>
    </w:tblStylePr>
    <w:tblStylePr w:type="band2Vert">
      <w:rPr>
        <w:rFonts w:ascii="Georgia" w:hAnsi="Georgia"/>
        <w:sz w:val="21"/>
      </w:rPr>
    </w:tblStylePr>
    <w:tblStylePr w:type="band1Horz">
      <w:rPr>
        <w:rFonts w:ascii="Georgia" w:hAnsi="Georgia"/>
        <w:sz w:val="21"/>
      </w:rPr>
    </w:tblStylePr>
    <w:tblStylePr w:type="band2Horz">
      <w:rPr>
        <w:rFonts w:ascii="Georgia" w:hAnsi="Georgia"/>
        <w:sz w:val="21"/>
      </w:rPr>
    </w:tblStylePr>
    <w:tblStylePr w:type="neCell">
      <w:rPr>
        <w:rFonts w:ascii="Georgia" w:hAnsi="Georgia"/>
        <w:sz w:val="21"/>
      </w:rPr>
    </w:tblStylePr>
    <w:tblStylePr w:type="nwCell">
      <w:rPr>
        <w:rFonts w:ascii="Georgia" w:hAnsi="Georgia"/>
      </w:rPr>
    </w:tblStylePr>
    <w:tblStylePr w:type="seCell">
      <w:rPr>
        <w:rFonts w:ascii="Georgia" w:hAnsi="Georgia"/>
        <w:sz w:val="21"/>
      </w:rPr>
    </w:tblStylePr>
    <w:tblStylePr w:type="swCell">
      <w:rPr>
        <w:rFonts w:ascii="Georgia" w:hAnsi="Georgia"/>
        <w:sz w:val="21"/>
      </w:rPr>
    </w:tblStylePr>
  </w:style>
  <w:style w:type="paragraph" w:customStyle="1" w:styleId="ListParagraph0">
    <w:name w:val="List Paragraph_0"/>
    <w:basedOn w:val="Normal"/>
    <w:uiPriority w:val="34"/>
    <w:qFormat/>
    <w:rsid w:val="000F50EA"/>
    <w:pPr>
      <w:widowControl w:val="0"/>
      <w:autoSpaceDE w:val="0"/>
      <w:autoSpaceDN w:val="0"/>
      <w:adjustRightInd w:val="0"/>
      <w:spacing w:after="0" w:line="240" w:lineRule="auto"/>
      <w:ind w:left="720"/>
      <w:contextualSpacing/>
    </w:pPr>
    <w:rPr>
      <w:rFonts w:ascii="Arial" w:hAnsi="Arial" w:cs="Arial"/>
      <w:color w:val="000000"/>
      <w:sz w:val="24"/>
      <w:szCs w:val="24"/>
    </w:rPr>
  </w:style>
  <w:style w:type="paragraph" w:styleId="BodyText">
    <w:name w:val="Body Text"/>
    <w:basedOn w:val="Normal"/>
    <w:link w:val="BodyTextChar"/>
    <w:uiPriority w:val="1"/>
    <w:qFormat/>
    <w:rsid w:val="000F50EA"/>
    <w:pPr>
      <w:widowControl w:val="0"/>
      <w:spacing w:after="0" w:line="240" w:lineRule="auto"/>
      <w:ind w:left="1394"/>
    </w:pPr>
    <w:rPr>
      <w:rFonts w:ascii="Arial" w:eastAsia="Arial" w:hAnsi="Arial"/>
      <w:sz w:val="19"/>
      <w:szCs w:val="19"/>
    </w:rPr>
  </w:style>
  <w:style w:type="character" w:customStyle="1" w:styleId="BodyTextChar">
    <w:name w:val="Body Text Char"/>
    <w:basedOn w:val="DefaultParagraphFont"/>
    <w:link w:val="BodyText"/>
    <w:uiPriority w:val="1"/>
    <w:rsid w:val="000F50EA"/>
    <w:rPr>
      <w:rFonts w:ascii="Arial" w:eastAsia="Arial" w:hAnsi="Arial" w:cs="Times New Roman"/>
      <w:sz w:val="19"/>
      <w:szCs w:val="19"/>
    </w:rPr>
  </w:style>
  <w:style w:type="character" w:customStyle="1" w:styleId="delimiter">
    <w:name w:val="delimiter"/>
    <w:basedOn w:val="DefaultParagraphFont"/>
    <w:rsid w:val="000F50EA"/>
  </w:style>
  <w:style w:type="character" w:styleId="PlaceholderText">
    <w:name w:val="Placeholder Text"/>
    <w:uiPriority w:val="99"/>
    <w:semiHidden/>
    <w:rsid w:val="000F50EA"/>
    <w:rPr>
      <w:rFonts w:ascii="Arial" w:hAnsi="Arial"/>
      <w:color w:val="808080"/>
    </w:rPr>
  </w:style>
  <w:style w:type="character" w:customStyle="1" w:styleId="jlqj4b">
    <w:name w:val="jlqj4b"/>
    <w:basedOn w:val="DefaultParagraphFont"/>
    <w:rsid w:val="000F50EA"/>
  </w:style>
  <w:style w:type="numbering" w:customStyle="1" w:styleId="NoList1">
    <w:name w:val="No List1"/>
    <w:next w:val="NoList"/>
    <w:uiPriority w:val="99"/>
    <w:semiHidden/>
    <w:unhideWhenUsed/>
    <w:rsid w:val="000F50EA"/>
  </w:style>
  <w:style w:type="table" w:customStyle="1" w:styleId="TableGridLight11">
    <w:name w:val="Table Grid Light11"/>
    <w:basedOn w:val="TableNormal"/>
    <w:uiPriority w:val="40"/>
    <w:rsid w:val="000F50EA"/>
    <w:pPr>
      <w:spacing w:after="0" w:line="240" w:lineRule="auto"/>
    </w:pPr>
    <w:rPr>
      <w:rFonts w:ascii="Arial" w:eastAsia="Arial" w:hAnsi="Arial" w:cs="Times New Roman"/>
      <w:sz w:val="20"/>
      <w:szCs w:val="20"/>
      <w:lang w:val="fr-BE"/>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DarkList1">
    <w:name w:val="Dark List1"/>
    <w:basedOn w:val="TableNormal"/>
    <w:uiPriority w:val="70"/>
    <w:semiHidden/>
    <w:locked/>
    <w:rsid w:val="000F50EA"/>
    <w:pPr>
      <w:spacing w:after="0" w:line="240" w:lineRule="auto"/>
    </w:pPr>
    <w:rPr>
      <w:rFonts w:ascii="Arial" w:eastAsia="Times New Roman" w:hAnsi="Arial" w:cs="Times New Roman"/>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ColorfulList1">
    <w:name w:val="Colorful List1"/>
    <w:basedOn w:val="TableNormal"/>
    <w:uiPriority w:val="72"/>
    <w:semiHidden/>
    <w:rsid w:val="000F50EA"/>
    <w:pPr>
      <w:spacing w:after="0" w:line="240" w:lineRule="auto"/>
    </w:pPr>
    <w:rPr>
      <w:rFonts w:ascii="Arial" w:eastAsia="Times New Roman" w:hAnsi="Arial"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1070A4"/>
      </w:tcPr>
    </w:tblStylePr>
    <w:tblStylePr w:type="lastRow">
      <w:rPr>
        <w:b/>
        <w:bCs/>
        <w:color w:val="1070A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Shading1">
    <w:name w:val="Colorful Shading1"/>
    <w:basedOn w:val="TableNormal"/>
    <w:uiPriority w:val="71"/>
    <w:semiHidden/>
    <w:rsid w:val="000F50EA"/>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24" w:space="0" w:color="148DC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148DC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Grid1">
    <w:name w:val="Colorful Grid1"/>
    <w:basedOn w:val="TableNormal"/>
    <w:uiPriority w:val="73"/>
    <w:semiHidden/>
    <w:rsid w:val="000F50EA"/>
    <w:pPr>
      <w:spacing w:after="0" w:line="240" w:lineRule="auto"/>
    </w:pPr>
    <w:rPr>
      <w:rFonts w:ascii="Arial" w:eastAsia="Times New Roman" w:hAnsi="Arial"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List1">
    <w:name w:val="Light List1"/>
    <w:basedOn w:val="TableNormal"/>
    <w:uiPriority w:val="61"/>
    <w:semiHidden/>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uiPriority w:val="61"/>
    <w:semiHidden/>
    <w:locked/>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8" w:space="0" w:color="121754"/>
        <w:left w:val="single" w:sz="8" w:space="0" w:color="121754"/>
        <w:bottom w:val="single" w:sz="8" w:space="0" w:color="121754"/>
        <w:right w:val="single" w:sz="8" w:space="0" w:color="12175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21754"/>
      </w:tcPr>
    </w:tblStylePr>
    <w:tblStylePr w:type="lastRow">
      <w:pPr>
        <w:spacing w:before="0" w:after="0" w:line="240" w:lineRule="auto"/>
      </w:pPr>
      <w:rPr>
        <w:b/>
        <w:bCs/>
      </w:rPr>
      <w:tblPr/>
      <w:tcPr>
        <w:tcBorders>
          <w:top w:val="double" w:sz="6" w:space="0" w:color="121754"/>
          <w:left w:val="single" w:sz="8" w:space="0" w:color="121754"/>
          <w:bottom w:val="single" w:sz="8" w:space="0" w:color="121754"/>
          <w:right w:val="single" w:sz="8" w:space="0" w:color="121754"/>
        </w:tcBorders>
      </w:tcPr>
    </w:tblStylePr>
    <w:tblStylePr w:type="firstCol">
      <w:rPr>
        <w:b/>
        <w:bCs/>
      </w:rPr>
    </w:tblStylePr>
    <w:tblStylePr w:type="lastCol">
      <w:rPr>
        <w:b/>
        <w:bCs/>
      </w:rPr>
    </w:tblStylePr>
    <w:tblStylePr w:type="band1Vert">
      <w:tblPr/>
      <w:tcPr>
        <w:tcBorders>
          <w:top w:val="single" w:sz="8" w:space="0" w:color="121754"/>
          <w:left w:val="single" w:sz="8" w:space="0" w:color="121754"/>
          <w:bottom w:val="single" w:sz="8" w:space="0" w:color="121754"/>
          <w:right w:val="single" w:sz="8" w:space="0" w:color="121754"/>
        </w:tcBorders>
      </w:tcPr>
    </w:tblStylePr>
    <w:tblStylePr w:type="band1Horz">
      <w:tblPr/>
      <w:tcPr>
        <w:tcBorders>
          <w:top w:val="single" w:sz="8" w:space="0" w:color="121754"/>
          <w:left w:val="single" w:sz="8" w:space="0" w:color="121754"/>
          <w:bottom w:val="single" w:sz="8" w:space="0" w:color="121754"/>
          <w:right w:val="single" w:sz="8" w:space="0" w:color="121754"/>
        </w:tcBorders>
      </w:tcPr>
    </w:tblStylePr>
  </w:style>
  <w:style w:type="table" w:customStyle="1" w:styleId="LightShading1">
    <w:name w:val="Light Shading1"/>
    <w:basedOn w:val="TableNormal"/>
    <w:uiPriority w:val="60"/>
    <w:semiHidden/>
    <w:locked/>
    <w:rsid w:val="000F50EA"/>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semiHidden/>
    <w:locked/>
    <w:rsid w:val="000F50EA"/>
    <w:pPr>
      <w:spacing w:after="0" w:line="240" w:lineRule="auto"/>
    </w:pPr>
    <w:rPr>
      <w:rFonts w:ascii="Arial" w:eastAsia="Times New Roman" w:hAnsi="Arial" w:cs="Times New Roman"/>
      <w:color w:val="0D113E"/>
      <w:sz w:val="20"/>
      <w:szCs w:val="20"/>
    </w:rPr>
    <w:tblPr>
      <w:tblStyleRowBandSize w:val="1"/>
      <w:tblStyleColBandSize w:val="1"/>
      <w:tblInd w:w="0" w:type="dxa"/>
      <w:tblBorders>
        <w:top w:val="single" w:sz="8" w:space="0" w:color="121754"/>
        <w:bottom w:val="single" w:sz="8" w:space="0" w:color="12175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21754"/>
          <w:left w:val="nil"/>
          <w:bottom w:val="single" w:sz="8" w:space="0" w:color="121754"/>
          <w:right w:val="nil"/>
          <w:insideH w:val="nil"/>
          <w:insideV w:val="nil"/>
        </w:tcBorders>
      </w:tcPr>
    </w:tblStylePr>
    <w:tblStylePr w:type="lastRow">
      <w:pPr>
        <w:spacing w:before="0" w:after="0" w:line="240" w:lineRule="auto"/>
      </w:pPr>
      <w:rPr>
        <w:b/>
        <w:bCs/>
      </w:rPr>
      <w:tblPr/>
      <w:tcPr>
        <w:tcBorders>
          <w:top w:val="single" w:sz="8" w:space="0" w:color="121754"/>
          <w:left w:val="nil"/>
          <w:bottom w:val="single" w:sz="8" w:space="0" w:color="12175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B0ED"/>
      </w:tcPr>
    </w:tblStylePr>
    <w:tblStylePr w:type="band1Horz">
      <w:tblPr/>
      <w:tcPr>
        <w:tcBorders>
          <w:left w:val="nil"/>
          <w:right w:val="nil"/>
          <w:insideH w:val="nil"/>
          <w:insideV w:val="nil"/>
        </w:tcBorders>
        <w:shd w:val="clear" w:color="auto" w:fill="ABB0ED"/>
      </w:tcPr>
    </w:tblStylePr>
  </w:style>
  <w:style w:type="table" w:customStyle="1" w:styleId="LightGrid1">
    <w:name w:val="Light Grid1"/>
    <w:basedOn w:val="TableNormal"/>
    <w:uiPriority w:val="62"/>
    <w:semiHidden/>
    <w:locked/>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rial" w:eastAsia="Times New Roman" w:hAnsi="Aria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w:eastAsia="Times New Roman" w:hAnsi="Aria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uiPriority w:val="62"/>
    <w:semiHidden/>
    <w:locked/>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8" w:space="0" w:color="121754"/>
        <w:left w:val="single" w:sz="8" w:space="0" w:color="121754"/>
        <w:bottom w:val="single" w:sz="8" w:space="0" w:color="121754"/>
        <w:right w:val="single" w:sz="8" w:space="0" w:color="121754"/>
        <w:insideH w:val="single" w:sz="8" w:space="0" w:color="121754"/>
        <w:insideV w:val="single" w:sz="8" w:space="0" w:color="121754"/>
      </w:tblBorders>
      <w:tblCellMar>
        <w:top w:w="0" w:type="dxa"/>
        <w:left w:w="108" w:type="dxa"/>
        <w:bottom w:w="0" w:type="dxa"/>
        <w:right w:w="108" w:type="dxa"/>
      </w:tblCellMar>
    </w:tblPr>
    <w:tblStylePr w:type="firstRow">
      <w:pPr>
        <w:spacing w:before="0" w:after="0" w:line="240" w:lineRule="auto"/>
      </w:pPr>
      <w:rPr>
        <w:rFonts w:ascii="Arial" w:eastAsia="Times New Roman" w:hAnsi="Arial" w:cs="Times New Roman"/>
        <w:b/>
        <w:bCs/>
      </w:rPr>
      <w:tblPr/>
      <w:tcPr>
        <w:tcBorders>
          <w:top w:val="single" w:sz="8" w:space="0" w:color="121754"/>
          <w:left w:val="single" w:sz="8" w:space="0" w:color="121754"/>
          <w:bottom w:val="single" w:sz="18" w:space="0" w:color="121754"/>
          <w:right w:val="single" w:sz="8" w:space="0" w:color="121754"/>
          <w:insideH w:val="nil"/>
          <w:insideV w:val="single" w:sz="8" w:space="0" w:color="121754"/>
        </w:tcBorders>
      </w:tcPr>
    </w:tblStylePr>
    <w:tblStylePr w:type="lastRow">
      <w:pPr>
        <w:spacing w:before="0" w:after="0" w:line="240" w:lineRule="auto"/>
      </w:pPr>
      <w:rPr>
        <w:rFonts w:ascii="Arial" w:eastAsia="Times New Roman" w:hAnsi="Arial" w:cs="Times New Roman"/>
        <w:b/>
        <w:bCs/>
      </w:rPr>
      <w:tblPr/>
      <w:tcPr>
        <w:tcBorders>
          <w:top w:val="double" w:sz="6" w:space="0" w:color="121754"/>
          <w:left w:val="single" w:sz="8" w:space="0" w:color="121754"/>
          <w:bottom w:val="single" w:sz="8" w:space="0" w:color="121754"/>
          <w:right w:val="single" w:sz="8" w:space="0" w:color="121754"/>
          <w:insideH w:val="nil"/>
          <w:insideV w:val="single" w:sz="8" w:space="0" w:color="121754"/>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121754"/>
          <w:left w:val="single" w:sz="8" w:space="0" w:color="121754"/>
          <w:bottom w:val="single" w:sz="8" w:space="0" w:color="121754"/>
          <w:right w:val="single" w:sz="8" w:space="0" w:color="121754"/>
        </w:tcBorders>
      </w:tcPr>
    </w:tblStylePr>
    <w:tblStylePr w:type="band1Vert">
      <w:tblPr/>
      <w:tcPr>
        <w:tcBorders>
          <w:top w:val="single" w:sz="8" w:space="0" w:color="121754"/>
          <w:left w:val="single" w:sz="8" w:space="0" w:color="121754"/>
          <w:bottom w:val="single" w:sz="8" w:space="0" w:color="121754"/>
          <w:right w:val="single" w:sz="8" w:space="0" w:color="121754"/>
        </w:tcBorders>
        <w:shd w:val="clear" w:color="auto" w:fill="ABB0ED"/>
      </w:tcPr>
    </w:tblStylePr>
    <w:tblStylePr w:type="band1Horz">
      <w:tblPr/>
      <w:tcPr>
        <w:tcBorders>
          <w:top w:val="single" w:sz="8" w:space="0" w:color="121754"/>
          <w:left w:val="single" w:sz="8" w:space="0" w:color="121754"/>
          <w:bottom w:val="single" w:sz="8" w:space="0" w:color="121754"/>
          <w:right w:val="single" w:sz="8" w:space="0" w:color="121754"/>
          <w:insideV w:val="single" w:sz="8" w:space="0" w:color="121754"/>
        </w:tcBorders>
        <w:shd w:val="clear" w:color="auto" w:fill="ABB0ED"/>
      </w:tcPr>
    </w:tblStylePr>
    <w:tblStylePr w:type="band2Horz">
      <w:tblPr/>
      <w:tcPr>
        <w:tcBorders>
          <w:top w:val="single" w:sz="8" w:space="0" w:color="121754"/>
          <w:left w:val="single" w:sz="8" w:space="0" w:color="121754"/>
          <w:bottom w:val="single" w:sz="8" w:space="0" w:color="121754"/>
          <w:right w:val="single" w:sz="8" w:space="0" w:color="121754"/>
          <w:insideV w:val="single" w:sz="8" w:space="0" w:color="121754"/>
        </w:tcBorders>
      </w:tcPr>
    </w:tblStylePr>
  </w:style>
  <w:style w:type="table" w:customStyle="1" w:styleId="MediumList11">
    <w:name w:val="Medium List 11"/>
    <w:basedOn w:val="TableNormal"/>
    <w:uiPriority w:val="65"/>
    <w:semiHidden/>
    <w:locked/>
    <w:rsid w:val="000F50EA"/>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w:eastAsia="Times New Roman" w:hAnsi="Arial"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uiPriority w:val="65"/>
    <w:semiHidden/>
    <w:locked/>
    <w:rsid w:val="000F50EA"/>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8" w:space="0" w:color="121754"/>
        <w:bottom w:val="single" w:sz="8" w:space="0" w:color="121754"/>
      </w:tblBorders>
      <w:tblCellMar>
        <w:top w:w="0" w:type="dxa"/>
        <w:left w:w="108" w:type="dxa"/>
        <w:bottom w:w="0" w:type="dxa"/>
        <w:right w:w="108" w:type="dxa"/>
      </w:tblCellMar>
    </w:tblPr>
    <w:tblStylePr w:type="firstRow">
      <w:rPr>
        <w:rFonts w:ascii="Arial" w:eastAsia="Times New Roman" w:hAnsi="Arial" w:cs="Times New Roman"/>
      </w:rPr>
      <w:tblPr/>
      <w:tcPr>
        <w:tcBorders>
          <w:top w:val="nil"/>
          <w:bottom w:val="single" w:sz="8" w:space="0" w:color="121754"/>
        </w:tcBorders>
      </w:tcPr>
    </w:tblStylePr>
    <w:tblStylePr w:type="lastRow">
      <w:rPr>
        <w:b/>
        <w:bCs/>
        <w:color w:val="1F497D"/>
      </w:rPr>
      <w:tblPr/>
      <w:tcPr>
        <w:tcBorders>
          <w:top w:val="single" w:sz="8" w:space="0" w:color="121754"/>
          <w:bottom w:val="single" w:sz="8" w:space="0" w:color="121754"/>
        </w:tcBorders>
      </w:tcPr>
    </w:tblStylePr>
    <w:tblStylePr w:type="firstCol">
      <w:rPr>
        <w:b/>
        <w:bCs/>
      </w:rPr>
    </w:tblStylePr>
    <w:tblStylePr w:type="lastCol">
      <w:rPr>
        <w:b/>
        <w:bCs/>
      </w:rPr>
      <w:tblPr/>
      <w:tcPr>
        <w:tcBorders>
          <w:top w:val="single" w:sz="8" w:space="0" w:color="121754"/>
          <w:bottom w:val="single" w:sz="8" w:space="0" w:color="121754"/>
        </w:tcBorders>
      </w:tcPr>
    </w:tblStylePr>
    <w:tblStylePr w:type="band1Vert">
      <w:tblPr/>
      <w:tcPr>
        <w:shd w:val="clear" w:color="auto" w:fill="ABB0ED"/>
      </w:tcPr>
    </w:tblStylePr>
    <w:tblStylePr w:type="band1Horz">
      <w:tblPr/>
      <w:tcPr>
        <w:shd w:val="clear" w:color="auto" w:fill="ABB0ED"/>
      </w:tcPr>
    </w:tblStylePr>
  </w:style>
  <w:style w:type="table" w:customStyle="1" w:styleId="MediumList21">
    <w:name w:val="Medium List 21"/>
    <w:basedOn w:val="TableNormal"/>
    <w:uiPriority w:val="66"/>
    <w:semiHidden/>
    <w:locked/>
    <w:rsid w:val="000F50EA"/>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uiPriority w:val="63"/>
    <w:semiHidden/>
    <w:locked/>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locked/>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8" w:space="0" w:color="242EA8"/>
        <w:left w:val="single" w:sz="8" w:space="0" w:color="242EA8"/>
        <w:bottom w:val="single" w:sz="8" w:space="0" w:color="242EA8"/>
        <w:right w:val="single" w:sz="8" w:space="0" w:color="242EA8"/>
        <w:insideH w:val="single" w:sz="8" w:space="0" w:color="242EA8"/>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42EA8"/>
          <w:left w:val="single" w:sz="8" w:space="0" w:color="242EA8"/>
          <w:bottom w:val="single" w:sz="8" w:space="0" w:color="242EA8"/>
          <w:right w:val="single" w:sz="8" w:space="0" w:color="242EA8"/>
          <w:insideH w:val="nil"/>
          <w:insideV w:val="nil"/>
        </w:tcBorders>
        <w:shd w:val="clear" w:color="auto" w:fill="121754"/>
      </w:tcPr>
    </w:tblStylePr>
    <w:tblStylePr w:type="lastRow">
      <w:pPr>
        <w:spacing w:before="0" w:after="0" w:line="240" w:lineRule="auto"/>
      </w:pPr>
      <w:rPr>
        <w:b/>
        <w:bCs/>
      </w:rPr>
      <w:tblPr/>
      <w:tcPr>
        <w:tcBorders>
          <w:top w:val="double" w:sz="6" w:space="0" w:color="242EA8"/>
          <w:left w:val="single" w:sz="8" w:space="0" w:color="242EA8"/>
          <w:bottom w:val="single" w:sz="8" w:space="0" w:color="242EA8"/>
          <w:right w:val="single" w:sz="8" w:space="0" w:color="242EA8"/>
          <w:insideH w:val="nil"/>
          <w:insideV w:val="nil"/>
        </w:tcBorders>
      </w:tcPr>
    </w:tblStylePr>
    <w:tblStylePr w:type="firstCol">
      <w:rPr>
        <w:b/>
        <w:bCs/>
      </w:rPr>
    </w:tblStylePr>
    <w:tblStylePr w:type="lastCol">
      <w:rPr>
        <w:b/>
        <w:bCs/>
      </w:rPr>
    </w:tblStylePr>
    <w:tblStylePr w:type="band1Vert">
      <w:tblPr/>
      <w:tcPr>
        <w:shd w:val="clear" w:color="auto" w:fill="ABB0ED"/>
      </w:tcPr>
    </w:tblStylePr>
    <w:tblStylePr w:type="band1Horz">
      <w:tblPr/>
      <w:tcPr>
        <w:tcBorders>
          <w:insideH w:val="nil"/>
          <w:insideV w:val="nil"/>
        </w:tcBorders>
        <w:shd w:val="clear" w:color="auto" w:fill="ABB0ED"/>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locked/>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locked/>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2175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21754"/>
      </w:tcPr>
    </w:tblStylePr>
    <w:tblStylePr w:type="lastCol">
      <w:rPr>
        <w:b/>
        <w:bCs/>
        <w:color w:val="FFFFFF"/>
      </w:rPr>
      <w:tblPr/>
      <w:tcPr>
        <w:tcBorders>
          <w:left w:val="nil"/>
          <w:right w:val="nil"/>
          <w:insideH w:val="nil"/>
          <w:insideV w:val="nil"/>
        </w:tcBorders>
        <w:shd w:val="clear" w:color="auto" w:fill="12175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
    <w:name w:val="Medium Grid 11"/>
    <w:basedOn w:val="TableNormal"/>
    <w:uiPriority w:val="67"/>
    <w:semiHidden/>
    <w:locked/>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21">
    <w:name w:val="Medium Grid 21"/>
    <w:basedOn w:val="TableNormal"/>
    <w:uiPriority w:val="68"/>
    <w:semiHidden/>
    <w:locked/>
    <w:rsid w:val="000F50EA"/>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31">
    <w:name w:val="Medium Grid 31"/>
    <w:basedOn w:val="TableNormal"/>
    <w:uiPriority w:val="69"/>
    <w:semiHidden/>
    <w:locked/>
    <w:rsid w:val="000F50EA"/>
    <w:pPr>
      <w:spacing w:after="0" w:line="240" w:lineRule="auto"/>
    </w:pPr>
    <w:rPr>
      <w:rFonts w:ascii="Arial" w:eastAsia="Times New Roman" w:hAnsi="Arial"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07176">
      <w:bodyDiv w:val="1"/>
      <w:marLeft w:val="0"/>
      <w:marRight w:val="0"/>
      <w:marTop w:val="0"/>
      <w:marBottom w:val="0"/>
      <w:divBdr>
        <w:top w:val="none" w:sz="0" w:space="0" w:color="auto"/>
        <w:left w:val="none" w:sz="0" w:space="0" w:color="auto"/>
        <w:bottom w:val="none" w:sz="0" w:space="0" w:color="auto"/>
        <w:right w:val="none" w:sz="0" w:space="0" w:color="auto"/>
      </w:divBdr>
      <w:divsChild>
        <w:div w:id="338115928">
          <w:marLeft w:val="0"/>
          <w:marRight w:val="0"/>
          <w:marTop w:val="0"/>
          <w:marBottom w:val="0"/>
          <w:divBdr>
            <w:top w:val="none" w:sz="0" w:space="0" w:color="auto"/>
            <w:left w:val="none" w:sz="0" w:space="0" w:color="auto"/>
            <w:bottom w:val="none" w:sz="0" w:space="0" w:color="auto"/>
            <w:right w:val="none" w:sz="0" w:space="0" w:color="auto"/>
          </w:divBdr>
        </w:div>
        <w:div w:id="104007636">
          <w:marLeft w:val="0"/>
          <w:marRight w:val="0"/>
          <w:marTop w:val="0"/>
          <w:marBottom w:val="0"/>
          <w:divBdr>
            <w:top w:val="none" w:sz="0" w:space="0" w:color="auto"/>
            <w:left w:val="none" w:sz="0" w:space="0" w:color="auto"/>
            <w:bottom w:val="none" w:sz="0" w:space="0" w:color="auto"/>
            <w:right w:val="none" w:sz="0" w:space="0" w:color="auto"/>
          </w:divBdr>
        </w:div>
        <w:div w:id="1490361087">
          <w:marLeft w:val="0"/>
          <w:marRight w:val="0"/>
          <w:marTop w:val="0"/>
          <w:marBottom w:val="0"/>
          <w:divBdr>
            <w:top w:val="none" w:sz="0" w:space="0" w:color="auto"/>
            <w:left w:val="none" w:sz="0" w:space="0" w:color="auto"/>
            <w:bottom w:val="none" w:sz="0" w:space="0" w:color="auto"/>
            <w:right w:val="none" w:sz="0" w:space="0" w:color="auto"/>
          </w:divBdr>
        </w:div>
        <w:div w:id="1070426545">
          <w:marLeft w:val="0"/>
          <w:marRight w:val="0"/>
          <w:marTop w:val="0"/>
          <w:marBottom w:val="0"/>
          <w:divBdr>
            <w:top w:val="none" w:sz="0" w:space="0" w:color="auto"/>
            <w:left w:val="none" w:sz="0" w:space="0" w:color="auto"/>
            <w:bottom w:val="none" w:sz="0" w:space="0" w:color="auto"/>
            <w:right w:val="none" w:sz="0" w:space="0" w:color="auto"/>
          </w:divBdr>
        </w:div>
        <w:div w:id="1213155391">
          <w:marLeft w:val="0"/>
          <w:marRight w:val="0"/>
          <w:marTop w:val="0"/>
          <w:marBottom w:val="0"/>
          <w:divBdr>
            <w:top w:val="none" w:sz="0" w:space="0" w:color="auto"/>
            <w:left w:val="none" w:sz="0" w:space="0" w:color="auto"/>
            <w:bottom w:val="none" w:sz="0" w:space="0" w:color="auto"/>
            <w:right w:val="none" w:sz="0" w:space="0" w:color="auto"/>
          </w:divBdr>
        </w:div>
        <w:div w:id="821384259">
          <w:marLeft w:val="0"/>
          <w:marRight w:val="0"/>
          <w:marTop w:val="0"/>
          <w:marBottom w:val="0"/>
          <w:divBdr>
            <w:top w:val="none" w:sz="0" w:space="0" w:color="auto"/>
            <w:left w:val="none" w:sz="0" w:space="0" w:color="auto"/>
            <w:bottom w:val="none" w:sz="0" w:space="0" w:color="auto"/>
            <w:right w:val="none" w:sz="0" w:space="0" w:color="auto"/>
          </w:divBdr>
        </w:div>
        <w:div w:id="1082526435">
          <w:marLeft w:val="0"/>
          <w:marRight w:val="0"/>
          <w:marTop w:val="0"/>
          <w:marBottom w:val="0"/>
          <w:divBdr>
            <w:top w:val="none" w:sz="0" w:space="0" w:color="auto"/>
            <w:left w:val="none" w:sz="0" w:space="0" w:color="auto"/>
            <w:bottom w:val="none" w:sz="0" w:space="0" w:color="auto"/>
            <w:right w:val="none" w:sz="0" w:space="0" w:color="auto"/>
          </w:divBdr>
        </w:div>
        <w:div w:id="887956023">
          <w:marLeft w:val="0"/>
          <w:marRight w:val="0"/>
          <w:marTop w:val="0"/>
          <w:marBottom w:val="0"/>
          <w:divBdr>
            <w:top w:val="none" w:sz="0" w:space="0" w:color="auto"/>
            <w:left w:val="none" w:sz="0" w:space="0" w:color="auto"/>
            <w:bottom w:val="none" w:sz="0" w:space="0" w:color="auto"/>
            <w:right w:val="none" w:sz="0" w:space="0" w:color="auto"/>
          </w:divBdr>
        </w:div>
        <w:div w:id="517013581">
          <w:marLeft w:val="0"/>
          <w:marRight w:val="0"/>
          <w:marTop w:val="0"/>
          <w:marBottom w:val="0"/>
          <w:divBdr>
            <w:top w:val="none" w:sz="0" w:space="0" w:color="auto"/>
            <w:left w:val="none" w:sz="0" w:space="0" w:color="auto"/>
            <w:bottom w:val="none" w:sz="0" w:space="0" w:color="auto"/>
            <w:right w:val="none" w:sz="0" w:space="0" w:color="auto"/>
          </w:divBdr>
        </w:div>
        <w:div w:id="443811526">
          <w:marLeft w:val="0"/>
          <w:marRight w:val="0"/>
          <w:marTop w:val="0"/>
          <w:marBottom w:val="0"/>
          <w:divBdr>
            <w:top w:val="none" w:sz="0" w:space="0" w:color="auto"/>
            <w:left w:val="none" w:sz="0" w:space="0" w:color="auto"/>
            <w:bottom w:val="none" w:sz="0" w:space="0" w:color="auto"/>
            <w:right w:val="none" w:sz="0" w:space="0" w:color="auto"/>
          </w:divBdr>
        </w:div>
        <w:div w:id="1943344591">
          <w:marLeft w:val="0"/>
          <w:marRight w:val="0"/>
          <w:marTop w:val="0"/>
          <w:marBottom w:val="0"/>
          <w:divBdr>
            <w:top w:val="none" w:sz="0" w:space="0" w:color="auto"/>
            <w:left w:val="none" w:sz="0" w:space="0" w:color="auto"/>
            <w:bottom w:val="none" w:sz="0" w:space="0" w:color="auto"/>
            <w:right w:val="none" w:sz="0" w:space="0" w:color="auto"/>
          </w:divBdr>
        </w:div>
        <w:div w:id="905070754">
          <w:marLeft w:val="0"/>
          <w:marRight w:val="0"/>
          <w:marTop w:val="0"/>
          <w:marBottom w:val="0"/>
          <w:divBdr>
            <w:top w:val="none" w:sz="0" w:space="0" w:color="auto"/>
            <w:left w:val="none" w:sz="0" w:space="0" w:color="auto"/>
            <w:bottom w:val="none" w:sz="0" w:space="0" w:color="auto"/>
            <w:right w:val="none" w:sz="0" w:space="0" w:color="auto"/>
          </w:divBdr>
        </w:div>
        <w:div w:id="528836192">
          <w:marLeft w:val="0"/>
          <w:marRight w:val="0"/>
          <w:marTop w:val="0"/>
          <w:marBottom w:val="0"/>
          <w:divBdr>
            <w:top w:val="none" w:sz="0" w:space="0" w:color="auto"/>
            <w:left w:val="none" w:sz="0" w:space="0" w:color="auto"/>
            <w:bottom w:val="none" w:sz="0" w:space="0" w:color="auto"/>
            <w:right w:val="none" w:sz="0" w:space="0" w:color="auto"/>
          </w:divBdr>
        </w:div>
        <w:div w:id="383257953">
          <w:marLeft w:val="0"/>
          <w:marRight w:val="0"/>
          <w:marTop w:val="0"/>
          <w:marBottom w:val="0"/>
          <w:divBdr>
            <w:top w:val="none" w:sz="0" w:space="0" w:color="auto"/>
            <w:left w:val="none" w:sz="0" w:space="0" w:color="auto"/>
            <w:bottom w:val="none" w:sz="0" w:space="0" w:color="auto"/>
            <w:right w:val="none" w:sz="0" w:space="0" w:color="auto"/>
          </w:divBdr>
        </w:div>
        <w:div w:id="1386490467">
          <w:marLeft w:val="0"/>
          <w:marRight w:val="0"/>
          <w:marTop w:val="0"/>
          <w:marBottom w:val="0"/>
          <w:divBdr>
            <w:top w:val="none" w:sz="0" w:space="0" w:color="auto"/>
            <w:left w:val="none" w:sz="0" w:space="0" w:color="auto"/>
            <w:bottom w:val="none" w:sz="0" w:space="0" w:color="auto"/>
            <w:right w:val="none" w:sz="0" w:space="0" w:color="auto"/>
          </w:divBdr>
        </w:div>
        <w:div w:id="493911849">
          <w:marLeft w:val="0"/>
          <w:marRight w:val="0"/>
          <w:marTop w:val="0"/>
          <w:marBottom w:val="0"/>
          <w:divBdr>
            <w:top w:val="none" w:sz="0" w:space="0" w:color="auto"/>
            <w:left w:val="none" w:sz="0" w:space="0" w:color="auto"/>
            <w:bottom w:val="none" w:sz="0" w:space="0" w:color="auto"/>
            <w:right w:val="none" w:sz="0" w:space="0" w:color="auto"/>
          </w:divBdr>
        </w:div>
      </w:divsChild>
    </w:div>
    <w:div w:id="141046634">
      <w:bodyDiv w:val="1"/>
      <w:marLeft w:val="0"/>
      <w:marRight w:val="0"/>
      <w:marTop w:val="0"/>
      <w:marBottom w:val="0"/>
      <w:divBdr>
        <w:top w:val="none" w:sz="0" w:space="0" w:color="auto"/>
        <w:left w:val="none" w:sz="0" w:space="0" w:color="auto"/>
        <w:bottom w:val="none" w:sz="0" w:space="0" w:color="auto"/>
        <w:right w:val="none" w:sz="0" w:space="0" w:color="auto"/>
      </w:divBdr>
      <w:divsChild>
        <w:div w:id="1758014800">
          <w:marLeft w:val="0"/>
          <w:marRight w:val="0"/>
          <w:marTop w:val="0"/>
          <w:marBottom w:val="0"/>
          <w:divBdr>
            <w:top w:val="none" w:sz="0" w:space="0" w:color="auto"/>
            <w:left w:val="none" w:sz="0" w:space="0" w:color="auto"/>
            <w:bottom w:val="none" w:sz="0" w:space="0" w:color="auto"/>
            <w:right w:val="none" w:sz="0" w:space="0" w:color="auto"/>
          </w:divBdr>
        </w:div>
        <w:div w:id="1642732058">
          <w:marLeft w:val="0"/>
          <w:marRight w:val="0"/>
          <w:marTop w:val="0"/>
          <w:marBottom w:val="0"/>
          <w:divBdr>
            <w:top w:val="none" w:sz="0" w:space="0" w:color="auto"/>
            <w:left w:val="none" w:sz="0" w:space="0" w:color="auto"/>
            <w:bottom w:val="none" w:sz="0" w:space="0" w:color="auto"/>
            <w:right w:val="none" w:sz="0" w:space="0" w:color="auto"/>
          </w:divBdr>
        </w:div>
        <w:div w:id="1682270192">
          <w:marLeft w:val="0"/>
          <w:marRight w:val="0"/>
          <w:marTop w:val="0"/>
          <w:marBottom w:val="0"/>
          <w:divBdr>
            <w:top w:val="none" w:sz="0" w:space="0" w:color="auto"/>
            <w:left w:val="none" w:sz="0" w:space="0" w:color="auto"/>
            <w:bottom w:val="none" w:sz="0" w:space="0" w:color="auto"/>
            <w:right w:val="none" w:sz="0" w:space="0" w:color="auto"/>
          </w:divBdr>
        </w:div>
      </w:divsChild>
    </w:div>
    <w:div w:id="162822252">
      <w:bodyDiv w:val="1"/>
      <w:marLeft w:val="0"/>
      <w:marRight w:val="0"/>
      <w:marTop w:val="0"/>
      <w:marBottom w:val="0"/>
      <w:divBdr>
        <w:top w:val="none" w:sz="0" w:space="0" w:color="auto"/>
        <w:left w:val="none" w:sz="0" w:space="0" w:color="auto"/>
        <w:bottom w:val="none" w:sz="0" w:space="0" w:color="auto"/>
        <w:right w:val="none" w:sz="0" w:space="0" w:color="auto"/>
      </w:divBdr>
    </w:div>
    <w:div w:id="299311877">
      <w:bodyDiv w:val="1"/>
      <w:marLeft w:val="0"/>
      <w:marRight w:val="0"/>
      <w:marTop w:val="0"/>
      <w:marBottom w:val="0"/>
      <w:divBdr>
        <w:top w:val="none" w:sz="0" w:space="0" w:color="auto"/>
        <w:left w:val="none" w:sz="0" w:space="0" w:color="auto"/>
        <w:bottom w:val="none" w:sz="0" w:space="0" w:color="auto"/>
        <w:right w:val="none" w:sz="0" w:space="0" w:color="auto"/>
      </w:divBdr>
      <w:divsChild>
        <w:div w:id="1825705535">
          <w:marLeft w:val="0"/>
          <w:marRight w:val="0"/>
          <w:marTop w:val="0"/>
          <w:marBottom w:val="0"/>
          <w:divBdr>
            <w:top w:val="none" w:sz="0" w:space="0" w:color="auto"/>
            <w:left w:val="none" w:sz="0" w:space="0" w:color="auto"/>
            <w:bottom w:val="none" w:sz="0" w:space="0" w:color="auto"/>
            <w:right w:val="none" w:sz="0" w:space="0" w:color="auto"/>
          </w:divBdr>
          <w:divsChild>
            <w:div w:id="1491021997">
              <w:marLeft w:val="0"/>
              <w:marRight w:val="0"/>
              <w:marTop w:val="0"/>
              <w:marBottom w:val="0"/>
              <w:divBdr>
                <w:top w:val="none" w:sz="0" w:space="0" w:color="auto"/>
                <w:left w:val="none" w:sz="0" w:space="0" w:color="auto"/>
                <w:bottom w:val="none" w:sz="0" w:space="0" w:color="auto"/>
                <w:right w:val="none" w:sz="0" w:space="0" w:color="auto"/>
              </w:divBdr>
              <w:divsChild>
                <w:div w:id="1011949179">
                  <w:marLeft w:val="0"/>
                  <w:marRight w:val="0"/>
                  <w:marTop w:val="0"/>
                  <w:marBottom w:val="0"/>
                  <w:divBdr>
                    <w:top w:val="none" w:sz="0" w:space="0" w:color="auto"/>
                    <w:left w:val="none" w:sz="0" w:space="0" w:color="auto"/>
                    <w:bottom w:val="none" w:sz="0" w:space="0" w:color="auto"/>
                    <w:right w:val="none" w:sz="0" w:space="0" w:color="auto"/>
                  </w:divBdr>
                  <w:divsChild>
                    <w:div w:id="58678644">
                      <w:marLeft w:val="0"/>
                      <w:marRight w:val="0"/>
                      <w:marTop w:val="0"/>
                      <w:marBottom w:val="0"/>
                      <w:divBdr>
                        <w:top w:val="none" w:sz="0" w:space="0" w:color="auto"/>
                        <w:left w:val="none" w:sz="0" w:space="0" w:color="auto"/>
                        <w:bottom w:val="none" w:sz="0" w:space="0" w:color="auto"/>
                        <w:right w:val="none" w:sz="0" w:space="0" w:color="auto"/>
                      </w:divBdr>
                      <w:divsChild>
                        <w:div w:id="1948348440">
                          <w:marLeft w:val="0"/>
                          <w:marRight w:val="0"/>
                          <w:marTop w:val="0"/>
                          <w:marBottom w:val="0"/>
                          <w:divBdr>
                            <w:top w:val="none" w:sz="0" w:space="0" w:color="auto"/>
                            <w:left w:val="none" w:sz="0" w:space="0" w:color="auto"/>
                            <w:bottom w:val="none" w:sz="0" w:space="0" w:color="auto"/>
                            <w:right w:val="none" w:sz="0" w:space="0" w:color="auto"/>
                          </w:divBdr>
                          <w:divsChild>
                            <w:div w:id="3998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4700314">
      <w:bodyDiv w:val="1"/>
      <w:marLeft w:val="0"/>
      <w:marRight w:val="0"/>
      <w:marTop w:val="0"/>
      <w:marBottom w:val="0"/>
      <w:divBdr>
        <w:top w:val="none" w:sz="0" w:space="0" w:color="auto"/>
        <w:left w:val="none" w:sz="0" w:space="0" w:color="auto"/>
        <w:bottom w:val="none" w:sz="0" w:space="0" w:color="auto"/>
        <w:right w:val="none" w:sz="0" w:space="0" w:color="auto"/>
      </w:divBdr>
    </w:div>
    <w:div w:id="703873270">
      <w:bodyDiv w:val="1"/>
      <w:marLeft w:val="0"/>
      <w:marRight w:val="0"/>
      <w:marTop w:val="0"/>
      <w:marBottom w:val="0"/>
      <w:divBdr>
        <w:top w:val="none" w:sz="0" w:space="0" w:color="auto"/>
        <w:left w:val="none" w:sz="0" w:space="0" w:color="auto"/>
        <w:bottom w:val="none" w:sz="0" w:space="0" w:color="auto"/>
        <w:right w:val="none" w:sz="0" w:space="0" w:color="auto"/>
      </w:divBdr>
      <w:divsChild>
        <w:div w:id="1314991360">
          <w:marLeft w:val="0"/>
          <w:marRight w:val="0"/>
          <w:marTop w:val="0"/>
          <w:marBottom w:val="0"/>
          <w:divBdr>
            <w:top w:val="none" w:sz="0" w:space="0" w:color="auto"/>
            <w:left w:val="none" w:sz="0" w:space="0" w:color="auto"/>
            <w:bottom w:val="none" w:sz="0" w:space="0" w:color="auto"/>
            <w:right w:val="none" w:sz="0" w:space="0" w:color="auto"/>
          </w:divBdr>
        </w:div>
        <w:div w:id="1689024028">
          <w:marLeft w:val="0"/>
          <w:marRight w:val="0"/>
          <w:marTop w:val="0"/>
          <w:marBottom w:val="0"/>
          <w:divBdr>
            <w:top w:val="none" w:sz="0" w:space="0" w:color="auto"/>
            <w:left w:val="none" w:sz="0" w:space="0" w:color="auto"/>
            <w:bottom w:val="none" w:sz="0" w:space="0" w:color="auto"/>
            <w:right w:val="none" w:sz="0" w:space="0" w:color="auto"/>
          </w:divBdr>
        </w:div>
        <w:div w:id="1256785100">
          <w:marLeft w:val="0"/>
          <w:marRight w:val="0"/>
          <w:marTop w:val="0"/>
          <w:marBottom w:val="0"/>
          <w:divBdr>
            <w:top w:val="none" w:sz="0" w:space="0" w:color="auto"/>
            <w:left w:val="none" w:sz="0" w:space="0" w:color="auto"/>
            <w:bottom w:val="none" w:sz="0" w:space="0" w:color="auto"/>
            <w:right w:val="none" w:sz="0" w:space="0" w:color="auto"/>
          </w:divBdr>
        </w:div>
        <w:div w:id="334386309">
          <w:marLeft w:val="0"/>
          <w:marRight w:val="0"/>
          <w:marTop w:val="0"/>
          <w:marBottom w:val="0"/>
          <w:divBdr>
            <w:top w:val="none" w:sz="0" w:space="0" w:color="auto"/>
            <w:left w:val="none" w:sz="0" w:space="0" w:color="auto"/>
            <w:bottom w:val="none" w:sz="0" w:space="0" w:color="auto"/>
            <w:right w:val="none" w:sz="0" w:space="0" w:color="auto"/>
          </w:divBdr>
        </w:div>
        <w:div w:id="149637759">
          <w:marLeft w:val="0"/>
          <w:marRight w:val="0"/>
          <w:marTop w:val="0"/>
          <w:marBottom w:val="0"/>
          <w:divBdr>
            <w:top w:val="none" w:sz="0" w:space="0" w:color="auto"/>
            <w:left w:val="none" w:sz="0" w:space="0" w:color="auto"/>
            <w:bottom w:val="none" w:sz="0" w:space="0" w:color="auto"/>
            <w:right w:val="none" w:sz="0" w:space="0" w:color="auto"/>
          </w:divBdr>
        </w:div>
        <w:div w:id="2024241961">
          <w:marLeft w:val="0"/>
          <w:marRight w:val="0"/>
          <w:marTop w:val="0"/>
          <w:marBottom w:val="0"/>
          <w:divBdr>
            <w:top w:val="none" w:sz="0" w:space="0" w:color="auto"/>
            <w:left w:val="none" w:sz="0" w:space="0" w:color="auto"/>
            <w:bottom w:val="none" w:sz="0" w:space="0" w:color="auto"/>
            <w:right w:val="none" w:sz="0" w:space="0" w:color="auto"/>
          </w:divBdr>
        </w:div>
        <w:div w:id="1869373468">
          <w:marLeft w:val="0"/>
          <w:marRight w:val="0"/>
          <w:marTop w:val="0"/>
          <w:marBottom w:val="0"/>
          <w:divBdr>
            <w:top w:val="none" w:sz="0" w:space="0" w:color="auto"/>
            <w:left w:val="none" w:sz="0" w:space="0" w:color="auto"/>
            <w:bottom w:val="none" w:sz="0" w:space="0" w:color="auto"/>
            <w:right w:val="none" w:sz="0" w:space="0" w:color="auto"/>
          </w:divBdr>
        </w:div>
        <w:div w:id="942229665">
          <w:marLeft w:val="0"/>
          <w:marRight w:val="0"/>
          <w:marTop w:val="0"/>
          <w:marBottom w:val="0"/>
          <w:divBdr>
            <w:top w:val="none" w:sz="0" w:space="0" w:color="auto"/>
            <w:left w:val="none" w:sz="0" w:space="0" w:color="auto"/>
            <w:bottom w:val="none" w:sz="0" w:space="0" w:color="auto"/>
            <w:right w:val="none" w:sz="0" w:space="0" w:color="auto"/>
          </w:divBdr>
        </w:div>
        <w:div w:id="1596329331">
          <w:marLeft w:val="0"/>
          <w:marRight w:val="0"/>
          <w:marTop w:val="0"/>
          <w:marBottom w:val="0"/>
          <w:divBdr>
            <w:top w:val="none" w:sz="0" w:space="0" w:color="auto"/>
            <w:left w:val="none" w:sz="0" w:space="0" w:color="auto"/>
            <w:bottom w:val="none" w:sz="0" w:space="0" w:color="auto"/>
            <w:right w:val="none" w:sz="0" w:space="0" w:color="auto"/>
          </w:divBdr>
        </w:div>
        <w:div w:id="175703239">
          <w:marLeft w:val="0"/>
          <w:marRight w:val="0"/>
          <w:marTop w:val="0"/>
          <w:marBottom w:val="0"/>
          <w:divBdr>
            <w:top w:val="none" w:sz="0" w:space="0" w:color="auto"/>
            <w:left w:val="none" w:sz="0" w:space="0" w:color="auto"/>
            <w:bottom w:val="none" w:sz="0" w:space="0" w:color="auto"/>
            <w:right w:val="none" w:sz="0" w:space="0" w:color="auto"/>
          </w:divBdr>
        </w:div>
        <w:div w:id="1635138069">
          <w:marLeft w:val="0"/>
          <w:marRight w:val="0"/>
          <w:marTop w:val="0"/>
          <w:marBottom w:val="0"/>
          <w:divBdr>
            <w:top w:val="none" w:sz="0" w:space="0" w:color="auto"/>
            <w:left w:val="none" w:sz="0" w:space="0" w:color="auto"/>
            <w:bottom w:val="none" w:sz="0" w:space="0" w:color="auto"/>
            <w:right w:val="none" w:sz="0" w:space="0" w:color="auto"/>
          </w:divBdr>
        </w:div>
        <w:div w:id="1407075324">
          <w:marLeft w:val="0"/>
          <w:marRight w:val="0"/>
          <w:marTop w:val="0"/>
          <w:marBottom w:val="0"/>
          <w:divBdr>
            <w:top w:val="none" w:sz="0" w:space="0" w:color="auto"/>
            <w:left w:val="none" w:sz="0" w:space="0" w:color="auto"/>
            <w:bottom w:val="none" w:sz="0" w:space="0" w:color="auto"/>
            <w:right w:val="none" w:sz="0" w:space="0" w:color="auto"/>
          </w:divBdr>
        </w:div>
        <w:div w:id="1158569508">
          <w:marLeft w:val="0"/>
          <w:marRight w:val="0"/>
          <w:marTop w:val="0"/>
          <w:marBottom w:val="0"/>
          <w:divBdr>
            <w:top w:val="none" w:sz="0" w:space="0" w:color="auto"/>
            <w:left w:val="none" w:sz="0" w:space="0" w:color="auto"/>
            <w:bottom w:val="none" w:sz="0" w:space="0" w:color="auto"/>
            <w:right w:val="none" w:sz="0" w:space="0" w:color="auto"/>
          </w:divBdr>
        </w:div>
        <w:div w:id="1105881923">
          <w:marLeft w:val="0"/>
          <w:marRight w:val="0"/>
          <w:marTop w:val="0"/>
          <w:marBottom w:val="0"/>
          <w:divBdr>
            <w:top w:val="none" w:sz="0" w:space="0" w:color="auto"/>
            <w:left w:val="none" w:sz="0" w:space="0" w:color="auto"/>
            <w:bottom w:val="none" w:sz="0" w:space="0" w:color="auto"/>
            <w:right w:val="none" w:sz="0" w:space="0" w:color="auto"/>
          </w:divBdr>
        </w:div>
        <w:div w:id="600916247">
          <w:marLeft w:val="0"/>
          <w:marRight w:val="0"/>
          <w:marTop w:val="0"/>
          <w:marBottom w:val="0"/>
          <w:divBdr>
            <w:top w:val="none" w:sz="0" w:space="0" w:color="auto"/>
            <w:left w:val="none" w:sz="0" w:space="0" w:color="auto"/>
            <w:bottom w:val="none" w:sz="0" w:space="0" w:color="auto"/>
            <w:right w:val="none" w:sz="0" w:space="0" w:color="auto"/>
          </w:divBdr>
        </w:div>
        <w:div w:id="821502206">
          <w:marLeft w:val="0"/>
          <w:marRight w:val="0"/>
          <w:marTop w:val="0"/>
          <w:marBottom w:val="0"/>
          <w:divBdr>
            <w:top w:val="none" w:sz="0" w:space="0" w:color="auto"/>
            <w:left w:val="none" w:sz="0" w:space="0" w:color="auto"/>
            <w:bottom w:val="none" w:sz="0" w:space="0" w:color="auto"/>
            <w:right w:val="none" w:sz="0" w:space="0" w:color="auto"/>
          </w:divBdr>
        </w:div>
        <w:div w:id="924220480">
          <w:marLeft w:val="0"/>
          <w:marRight w:val="0"/>
          <w:marTop w:val="0"/>
          <w:marBottom w:val="0"/>
          <w:divBdr>
            <w:top w:val="none" w:sz="0" w:space="0" w:color="auto"/>
            <w:left w:val="none" w:sz="0" w:space="0" w:color="auto"/>
            <w:bottom w:val="none" w:sz="0" w:space="0" w:color="auto"/>
            <w:right w:val="none" w:sz="0" w:space="0" w:color="auto"/>
          </w:divBdr>
        </w:div>
        <w:div w:id="1167790042">
          <w:marLeft w:val="0"/>
          <w:marRight w:val="0"/>
          <w:marTop w:val="0"/>
          <w:marBottom w:val="0"/>
          <w:divBdr>
            <w:top w:val="none" w:sz="0" w:space="0" w:color="auto"/>
            <w:left w:val="none" w:sz="0" w:space="0" w:color="auto"/>
            <w:bottom w:val="none" w:sz="0" w:space="0" w:color="auto"/>
            <w:right w:val="none" w:sz="0" w:space="0" w:color="auto"/>
          </w:divBdr>
        </w:div>
        <w:div w:id="484510941">
          <w:marLeft w:val="0"/>
          <w:marRight w:val="0"/>
          <w:marTop w:val="0"/>
          <w:marBottom w:val="0"/>
          <w:divBdr>
            <w:top w:val="none" w:sz="0" w:space="0" w:color="auto"/>
            <w:left w:val="none" w:sz="0" w:space="0" w:color="auto"/>
            <w:bottom w:val="none" w:sz="0" w:space="0" w:color="auto"/>
            <w:right w:val="none" w:sz="0" w:space="0" w:color="auto"/>
          </w:divBdr>
        </w:div>
        <w:div w:id="218059561">
          <w:marLeft w:val="0"/>
          <w:marRight w:val="0"/>
          <w:marTop w:val="0"/>
          <w:marBottom w:val="0"/>
          <w:divBdr>
            <w:top w:val="none" w:sz="0" w:space="0" w:color="auto"/>
            <w:left w:val="none" w:sz="0" w:space="0" w:color="auto"/>
            <w:bottom w:val="none" w:sz="0" w:space="0" w:color="auto"/>
            <w:right w:val="none" w:sz="0" w:space="0" w:color="auto"/>
          </w:divBdr>
        </w:div>
        <w:div w:id="1921402022">
          <w:marLeft w:val="0"/>
          <w:marRight w:val="0"/>
          <w:marTop w:val="0"/>
          <w:marBottom w:val="0"/>
          <w:divBdr>
            <w:top w:val="none" w:sz="0" w:space="0" w:color="auto"/>
            <w:left w:val="none" w:sz="0" w:space="0" w:color="auto"/>
            <w:bottom w:val="none" w:sz="0" w:space="0" w:color="auto"/>
            <w:right w:val="none" w:sz="0" w:space="0" w:color="auto"/>
          </w:divBdr>
        </w:div>
        <w:div w:id="766728054">
          <w:marLeft w:val="0"/>
          <w:marRight w:val="0"/>
          <w:marTop w:val="0"/>
          <w:marBottom w:val="0"/>
          <w:divBdr>
            <w:top w:val="none" w:sz="0" w:space="0" w:color="auto"/>
            <w:left w:val="none" w:sz="0" w:space="0" w:color="auto"/>
            <w:bottom w:val="none" w:sz="0" w:space="0" w:color="auto"/>
            <w:right w:val="none" w:sz="0" w:space="0" w:color="auto"/>
          </w:divBdr>
        </w:div>
        <w:div w:id="1981227202">
          <w:marLeft w:val="0"/>
          <w:marRight w:val="0"/>
          <w:marTop w:val="0"/>
          <w:marBottom w:val="0"/>
          <w:divBdr>
            <w:top w:val="none" w:sz="0" w:space="0" w:color="auto"/>
            <w:left w:val="none" w:sz="0" w:space="0" w:color="auto"/>
            <w:bottom w:val="none" w:sz="0" w:space="0" w:color="auto"/>
            <w:right w:val="none" w:sz="0" w:space="0" w:color="auto"/>
          </w:divBdr>
        </w:div>
        <w:div w:id="1453279001">
          <w:marLeft w:val="0"/>
          <w:marRight w:val="0"/>
          <w:marTop w:val="0"/>
          <w:marBottom w:val="0"/>
          <w:divBdr>
            <w:top w:val="none" w:sz="0" w:space="0" w:color="auto"/>
            <w:left w:val="none" w:sz="0" w:space="0" w:color="auto"/>
            <w:bottom w:val="none" w:sz="0" w:space="0" w:color="auto"/>
            <w:right w:val="none" w:sz="0" w:space="0" w:color="auto"/>
          </w:divBdr>
        </w:div>
        <w:div w:id="824509879">
          <w:marLeft w:val="0"/>
          <w:marRight w:val="0"/>
          <w:marTop w:val="0"/>
          <w:marBottom w:val="0"/>
          <w:divBdr>
            <w:top w:val="none" w:sz="0" w:space="0" w:color="auto"/>
            <w:left w:val="none" w:sz="0" w:space="0" w:color="auto"/>
            <w:bottom w:val="none" w:sz="0" w:space="0" w:color="auto"/>
            <w:right w:val="none" w:sz="0" w:space="0" w:color="auto"/>
          </w:divBdr>
        </w:div>
        <w:div w:id="910889844">
          <w:marLeft w:val="0"/>
          <w:marRight w:val="0"/>
          <w:marTop w:val="0"/>
          <w:marBottom w:val="0"/>
          <w:divBdr>
            <w:top w:val="none" w:sz="0" w:space="0" w:color="auto"/>
            <w:left w:val="none" w:sz="0" w:space="0" w:color="auto"/>
            <w:bottom w:val="none" w:sz="0" w:space="0" w:color="auto"/>
            <w:right w:val="none" w:sz="0" w:space="0" w:color="auto"/>
          </w:divBdr>
        </w:div>
        <w:div w:id="1777409254">
          <w:marLeft w:val="0"/>
          <w:marRight w:val="0"/>
          <w:marTop w:val="0"/>
          <w:marBottom w:val="0"/>
          <w:divBdr>
            <w:top w:val="none" w:sz="0" w:space="0" w:color="auto"/>
            <w:left w:val="none" w:sz="0" w:space="0" w:color="auto"/>
            <w:bottom w:val="none" w:sz="0" w:space="0" w:color="auto"/>
            <w:right w:val="none" w:sz="0" w:space="0" w:color="auto"/>
          </w:divBdr>
        </w:div>
        <w:div w:id="632056023">
          <w:marLeft w:val="0"/>
          <w:marRight w:val="0"/>
          <w:marTop w:val="0"/>
          <w:marBottom w:val="0"/>
          <w:divBdr>
            <w:top w:val="none" w:sz="0" w:space="0" w:color="auto"/>
            <w:left w:val="none" w:sz="0" w:space="0" w:color="auto"/>
            <w:bottom w:val="none" w:sz="0" w:space="0" w:color="auto"/>
            <w:right w:val="none" w:sz="0" w:space="0" w:color="auto"/>
          </w:divBdr>
        </w:div>
        <w:div w:id="865826659">
          <w:marLeft w:val="0"/>
          <w:marRight w:val="0"/>
          <w:marTop w:val="0"/>
          <w:marBottom w:val="0"/>
          <w:divBdr>
            <w:top w:val="none" w:sz="0" w:space="0" w:color="auto"/>
            <w:left w:val="none" w:sz="0" w:space="0" w:color="auto"/>
            <w:bottom w:val="none" w:sz="0" w:space="0" w:color="auto"/>
            <w:right w:val="none" w:sz="0" w:space="0" w:color="auto"/>
          </w:divBdr>
        </w:div>
        <w:div w:id="829979117">
          <w:marLeft w:val="0"/>
          <w:marRight w:val="0"/>
          <w:marTop w:val="0"/>
          <w:marBottom w:val="0"/>
          <w:divBdr>
            <w:top w:val="none" w:sz="0" w:space="0" w:color="auto"/>
            <w:left w:val="none" w:sz="0" w:space="0" w:color="auto"/>
            <w:bottom w:val="none" w:sz="0" w:space="0" w:color="auto"/>
            <w:right w:val="none" w:sz="0" w:space="0" w:color="auto"/>
          </w:divBdr>
        </w:div>
        <w:div w:id="737821351">
          <w:marLeft w:val="0"/>
          <w:marRight w:val="0"/>
          <w:marTop w:val="0"/>
          <w:marBottom w:val="0"/>
          <w:divBdr>
            <w:top w:val="none" w:sz="0" w:space="0" w:color="auto"/>
            <w:left w:val="none" w:sz="0" w:space="0" w:color="auto"/>
            <w:bottom w:val="none" w:sz="0" w:space="0" w:color="auto"/>
            <w:right w:val="none" w:sz="0" w:space="0" w:color="auto"/>
          </w:divBdr>
        </w:div>
        <w:div w:id="379477482">
          <w:marLeft w:val="0"/>
          <w:marRight w:val="0"/>
          <w:marTop w:val="0"/>
          <w:marBottom w:val="0"/>
          <w:divBdr>
            <w:top w:val="none" w:sz="0" w:space="0" w:color="auto"/>
            <w:left w:val="none" w:sz="0" w:space="0" w:color="auto"/>
            <w:bottom w:val="none" w:sz="0" w:space="0" w:color="auto"/>
            <w:right w:val="none" w:sz="0" w:space="0" w:color="auto"/>
          </w:divBdr>
        </w:div>
        <w:div w:id="1855799869">
          <w:marLeft w:val="0"/>
          <w:marRight w:val="0"/>
          <w:marTop w:val="0"/>
          <w:marBottom w:val="0"/>
          <w:divBdr>
            <w:top w:val="none" w:sz="0" w:space="0" w:color="auto"/>
            <w:left w:val="none" w:sz="0" w:space="0" w:color="auto"/>
            <w:bottom w:val="none" w:sz="0" w:space="0" w:color="auto"/>
            <w:right w:val="none" w:sz="0" w:space="0" w:color="auto"/>
          </w:divBdr>
        </w:div>
        <w:div w:id="1271015550">
          <w:marLeft w:val="0"/>
          <w:marRight w:val="0"/>
          <w:marTop w:val="0"/>
          <w:marBottom w:val="0"/>
          <w:divBdr>
            <w:top w:val="none" w:sz="0" w:space="0" w:color="auto"/>
            <w:left w:val="none" w:sz="0" w:space="0" w:color="auto"/>
            <w:bottom w:val="none" w:sz="0" w:space="0" w:color="auto"/>
            <w:right w:val="none" w:sz="0" w:space="0" w:color="auto"/>
          </w:divBdr>
        </w:div>
        <w:div w:id="1835368077">
          <w:marLeft w:val="0"/>
          <w:marRight w:val="0"/>
          <w:marTop w:val="0"/>
          <w:marBottom w:val="0"/>
          <w:divBdr>
            <w:top w:val="none" w:sz="0" w:space="0" w:color="auto"/>
            <w:left w:val="none" w:sz="0" w:space="0" w:color="auto"/>
            <w:bottom w:val="none" w:sz="0" w:space="0" w:color="auto"/>
            <w:right w:val="none" w:sz="0" w:space="0" w:color="auto"/>
          </w:divBdr>
        </w:div>
        <w:div w:id="418913713">
          <w:marLeft w:val="0"/>
          <w:marRight w:val="0"/>
          <w:marTop w:val="0"/>
          <w:marBottom w:val="0"/>
          <w:divBdr>
            <w:top w:val="none" w:sz="0" w:space="0" w:color="auto"/>
            <w:left w:val="none" w:sz="0" w:space="0" w:color="auto"/>
            <w:bottom w:val="none" w:sz="0" w:space="0" w:color="auto"/>
            <w:right w:val="none" w:sz="0" w:space="0" w:color="auto"/>
          </w:divBdr>
        </w:div>
        <w:div w:id="785198285">
          <w:marLeft w:val="0"/>
          <w:marRight w:val="0"/>
          <w:marTop w:val="0"/>
          <w:marBottom w:val="0"/>
          <w:divBdr>
            <w:top w:val="none" w:sz="0" w:space="0" w:color="auto"/>
            <w:left w:val="none" w:sz="0" w:space="0" w:color="auto"/>
            <w:bottom w:val="none" w:sz="0" w:space="0" w:color="auto"/>
            <w:right w:val="none" w:sz="0" w:space="0" w:color="auto"/>
          </w:divBdr>
        </w:div>
        <w:div w:id="1489901450">
          <w:marLeft w:val="0"/>
          <w:marRight w:val="0"/>
          <w:marTop w:val="0"/>
          <w:marBottom w:val="0"/>
          <w:divBdr>
            <w:top w:val="none" w:sz="0" w:space="0" w:color="auto"/>
            <w:left w:val="none" w:sz="0" w:space="0" w:color="auto"/>
            <w:bottom w:val="none" w:sz="0" w:space="0" w:color="auto"/>
            <w:right w:val="none" w:sz="0" w:space="0" w:color="auto"/>
          </w:divBdr>
        </w:div>
        <w:div w:id="496967597">
          <w:marLeft w:val="0"/>
          <w:marRight w:val="0"/>
          <w:marTop w:val="0"/>
          <w:marBottom w:val="0"/>
          <w:divBdr>
            <w:top w:val="none" w:sz="0" w:space="0" w:color="auto"/>
            <w:left w:val="none" w:sz="0" w:space="0" w:color="auto"/>
            <w:bottom w:val="none" w:sz="0" w:space="0" w:color="auto"/>
            <w:right w:val="none" w:sz="0" w:space="0" w:color="auto"/>
          </w:divBdr>
        </w:div>
        <w:div w:id="1331524290">
          <w:marLeft w:val="0"/>
          <w:marRight w:val="0"/>
          <w:marTop w:val="0"/>
          <w:marBottom w:val="0"/>
          <w:divBdr>
            <w:top w:val="none" w:sz="0" w:space="0" w:color="auto"/>
            <w:left w:val="none" w:sz="0" w:space="0" w:color="auto"/>
            <w:bottom w:val="none" w:sz="0" w:space="0" w:color="auto"/>
            <w:right w:val="none" w:sz="0" w:space="0" w:color="auto"/>
          </w:divBdr>
        </w:div>
        <w:div w:id="905800371">
          <w:marLeft w:val="0"/>
          <w:marRight w:val="0"/>
          <w:marTop w:val="0"/>
          <w:marBottom w:val="0"/>
          <w:divBdr>
            <w:top w:val="none" w:sz="0" w:space="0" w:color="auto"/>
            <w:left w:val="none" w:sz="0" w:space="0" w:color="auto"/>
            <w:bottom w:val="none" w:sz="0" w:space="0" w:color="auto"/>
            <w:right w:val="none" w:sz="0" w:space="0" w:color="auto"/>
          </w:divBdr>
        </w:div>
        <w:div w:id="231040200">
          <w:marLeft w:val="0"/>
          <w:marRight w:val="0"/>
          <w:marTop w:val="0"/>
          <w:marBottom w:val="0"/>
          <w:divBdr>
            <w:top w:val="none" w:sz="0" w:space="0" w:color="auto"/>
            <w:left w:val="none" w:sz="0" w:space="0" w:color="auto"/>
            <w:bottom w:val="none" w:sz="0" w:space="0" w:color="auto"/>
            <w:right w:val="none" w:sz="0" w:space="0" w:color="auto"/>
          </w:divBdr>
        </w:div>
        <w:div w:id="2026325647">
          <w:marLeft w:val="0"/>
          <w:marRight w:val="0"/>
          <w:marTop w:val="0"/>
          <w:marBottom w:val="0"/>
          <w:divBdr>
            <w:top w:val="none" w:sz="0" w:space="0" w:color="auto"/>
            <w:left w:val="none" w:sz="0" w:space="0" w:color="auto"/>
            <w:bottom w:val="none" w:sz="0" w:space="0" w:color="auto"/>
            <w:right w:val="none" w:sz="0" w:space="0" w:color="auto"/>
          </w:divBdr>
        </w:div>
        <w:div w:id="141316713">
          <w:marLeft w:val="0"/>
          <w:marRight w:val="0"/>
          <w:marTop w:val="0"/>
          <w:marBottom w:val="0"/>
          <w:divBdr>
            <w:top w:val="none" w:sz="0" w:space="0" w:color="auto"/>
            <w:left w:val="none" w:sz="0" w:space="0" w:color="auto"/>
            <w:bottom w:val="none" w:sz="0" w:space="0" w:color="auto"/>
            <w:right w:val="none" w:sz="0" w:space="0" w:color="auto"/>
          </w:divBdr>
        </w:div>
      </w:divsChild>
    </w:div>
    <w:div w:id="750390964">
      <w:bodyDiv w:val="1"/>
      <w:marLeft w:val="0"/>
      <w:marRight w:val="0"/>
      <w:marTop w:val="0"/>
      <w:marBottom w:val="0"/>
      <w:divBdr>
        <w:top w:val="none" w:sz="0" w:space="0" w:color="auto"/>
        <w:left w:val="none" w:sz="0" w:space="0" w:color="auto"/>
        <w:bottom w:val="none" w:sz="0" w:space="0" w:color="auto"/>
        <w:right w:val="none" w:sz="0" w:space="0" w:color="auto"/>
      </w:divBdr>
    </w:div>
    <w:div w:id="899751151">
      <w:bodyDiv w:val="1"/>
      <w:marLeft w:val="0"/>
      <w:marRight w:val="0"/>
      <w:marTop w:val="0"/>
      <w:marBottom w:val="0"/>
      <w:divBdr>
        <w:top w:val="none" w:sz="0" w:space="0" w:color="auto"/>
        <w:left w:val="none" w:sz="0" w:space="0" w:color="auto"/>
        <w:bottom w:val="none" w:sz="0" w:space="0" w:color="auto"/>
        <w:right w:val="none" w:sz="0" w:space="0" w:color="auto"/>
      </w:divBdr>
    </w:div>
    <w:div w:id="1290436197">
      <w:bodyDiv w:val="1"/>
      <w:marLeft w:val="0"/>
      <w:marRight w:val="0"/>
      <w:marTop w:val="0"/>
      <w:marBottom w:val="0"/>
      <w:divBdr>
        <w:top w:val="none" w:sz="0" w:space="0" w:color="auto"/>
        <w:left w:val="none" w:sz="0" w:space="0" w:color="auto"/>
        <w:bottom w:val="none" w:sz="0" w:space="0" w:color="auto"/>
        <w:right w:val="none" w:sz="0" w:space="0" w:color="auto"/>
      </w:divBdr>
      <w:divsChild>
        <w:div w:id="224073675">
          <w:marLeft w:val="0"/>
          <w:marRight w:val="0"/>
          <w:marTop w:val="0"/>
          <w:marBottom w:val="0"/>
          <w:divBdr>
            <w:top w:val="none" w:sz="0" w:space="0" w:color="auto"/>
            <w:left w:val="none" w:sz="0" w:space="0" w:color="auto"/>
            <w:bottom w:val="none" w:sz="0" w:space="0" w:color="auto"/>
            <w:right w:val="none" w:sz="0" w:space="0" w:color="auto"/>
          </w:divBdr>
          <w:divsChild>
            <w:div w:id="603802509">
              <w:marLeft w:val="0"/>
              <w:marRight w:val="0"/>
              <w:marTop w:val="0"/>
              <w:marBottom w:val="0"/>
              <w:divBdr>
                <w:top w:val="none" w:sz="0" w:space="0" w:color="auto"/>
                <w:left w:val="none" w:sz="0" w:space="0" w:color="auto"/>
                <w:bottom w:val="none" w:sz="0" w:space="0" w:color="auto"/>
                <w:right w:val="none" w:sz="0" w:space="0" w:color="auto"/>
              </w:divBdr>
              <w:divsChild>
                <w:div w:id="11104545">
                  <w:marLeft w:val="0"/>
                  <w:marRight w:val="0"/>
                  <w:marTop w:val="0"/>
                  <w:marBottom w:val="0"/>
                  <w:divBdr>
                    <w:top w:val="none" w:sz="0" w:space="0" w:color="auto"/>
                    <w:left w:val="none" w:sz="0" w:space="0" w:color="auto"/>
                    <w:bottom w:val="none" w:sz="0" w:space="0" w:color="auto"/>
                    <w:right w:val="none" w:sz="0" w:space="0" w:color="auto"/>
                  </w:divBdr>
                  <w:divsChild>
                    <w:div w:id="139690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367147">
          <w:marLeft w:val="0"/>
          <w:marRight w:val="0"/>
          <w:marTop w:val="0"/>
          <w:marBottom w:val="0"/>
          <w:divBdr>
            <w:top w:val="none" w:sz="0" w:space="0" w:color="auto"/>
            <w:left w:val="none" w:sz="0" w:space="0" w:color="auto"/>
            <w:bottom w:val="none" w:sz="0" w:space="0" w:color="auto"/>
            <w:right w:val="none" w:sz="0" w:space="0" w:color="auto"/>
          </w:divBdr>
          <w:divsChild>
            <w:div w:id="1363749399">
              <w:marLeft w:val="0"/>
              <w:marRight w:val="0"/>
              <w:marTop w:val="0"/>
              <w:marBottom w:val="0"/>
              <w:divBdr>
                <w:top w:val="none" w:sz="0" w:space="0" w:color="auto"/>
                <w:left w:val="none" w:sz="0" w:space="0" w:color="auto"/>
                <w:bottom w:val="none" w:sz="0" w:space="0" w:color="auto"/>
                <w:right w:val="none" w:sz="0" w:space="0" w:color="auto"/>
              </w:divBdr>
              <w:divsChild>
                <w:div w:id="1698655388">
                  <w:marLeft w:val="0"/>
                  <w:marRight w:val="0"/>
                  <w:marTop w:val="0"/>
                  <w:marBottom w:val="0"/>
                  <w:divBdr>
                    <w:top w:val="none" w:sz="0" w:space="0" w:color="auto"/>
                    <w:left w:val="none" w:sz="0" w:space="0" w:color="auto"/>
                    <w:bottom w:val="none" w:sz="0" w:space="0" w:color="auto"/>
                    <w:right w:val="none" w:sz="0" w:space="0" w:color="auto"/>
                  </w:divBdr>
                  <w:divsChild>
                    <w:div w:id="43914881">
                      <w:marLeft w:val="0"/>
                      <w:marRight w:val="0"/>
                      <w:marTop w:val="0"/>
                      <w:marBottom w:val="0"/>
                      <w:divBdr>
                        <w:top w:val="none" w:sz="0" w:space="0" w:color="auto"/>
                        <w:left w:val="none" w:sz="0" w:space="0" w:color="auto"/>
                        <w:bottom w:val="none" w:sz="0" w:space="0" w:color="auto"/>
                        <w:right w:val="none" w:sz="0" w:space="0" w:color="auto"/>
                      </w:divBdr>
                      <w:divsChild>
                        <w:div w:id="500050436">
                          <w:marLeft w:val="0"/>
                          <w:marRight w:val="0"/>
                          <w:marTop w:val="0"/>
                          <w:marBottom w:val="0"/>
                          <w:divBdr>
                            <w:top w:val="none" w:sz="0" w:space="0" w:color="auto"/>
                            <w:left w:val="none" w:sz="0" w:space="0" w:color="auto"/>
                            <w:bottom w:val="none" w:sz="0" w:space="0" w:color="auto"/>
                            <w:right w:val="none" w:sz="0" w:space="0" w:color="auto"/>
                          </w:divBdr>
                          <w:divsChild>
                            <w:div w:id="140591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994995">
      <w:bodyDiv w:val="1"/>
      <w:marLeft w:val="0"/>
      <w:marRight w:val="0"/>
      <w:marTop w:val="0"/>
      <w:marBottom w:val="0"/>
      <w:divBdr>
        <w:top w:val="none" w:sz="0" w:space="0" w:color="auto"/>
        <w:left w:val="none" w:sz="0" w:space="0" w:color="auto"/>
        <w:bottom w:val="none" w:sz="0" w:space="0" w:color="auto"/>
        <w:right w:val="none" w:sz="0" w:space="0" w:color="auto"/>
      </w:divBdr>
      <w:divsChild>
        <w:div w:id="1899853010">
          <w:marLeft w:val="0"/>
          <w:marRight w:val="0"/>
          <w:marTop w:val="0"/>
          <w:marBottom w:val="0"/>
          <w:divBdr>
            <w:top w:val="none" w:sz="0" w:space="0" w:color="auto"/>
            <w:left w:val="none" w:sz="0" w:space="0" w:color="auto"/>
            <w:bottom w:val="none" w:sz="0" w:space="0" w:color="auto"/>
            <w:right w:val="none" w:sz="0" w:space="0" w:color="auto"/>
          </w:divBdr>
          <w:divsChild>
            <w:div w:id="1329479240">
              <w:marLeft w:val="0"/>
              <w:marRight w:val="0"/>
              <w:marTop w:val="0"/>
              <w:marBottom w:val="0"/>
              <w:divBdr>
                <w:top w:val="none" w:sz="0" w:space="0" w:color="auto"/>
                <w:left w:val="none" w:sz="0" w:space="0" w:color="auto"/>
                <w:bottom w:val="none" w:sz="0" w:space="0" w:color="auto"/>
                <w:right w:val="none" w:sz="0" w:space="0" w:color="auto"/>
              </w:divBdr>
              <w:divsChild>
                <w:div w:id="920025152">
                  <w:marLeft w:val="0"/>
                  <w:marRight w:val="0"/>
                  <w:marTop w:val="0"/>
                  <w:marBottom w:val="0"/>
                  <w:divBdr>
                    <w:top w:val="none" w:sz="0" w:space="0" w:color="auto"/>
                    <w:left w:val="none" w:sz="0" w:space="0" w:color="auto"/>
                    <w:bottom w:val="none" w:sz="0" w:space="0" w:color="auto"/>
                    <w:right w:val="none" w:sz="0" w:space="0" w:color="auto"/>
                  </w:divBdr>
                  <w:divsChild>
                    <w:div w:id="70899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429759">
          <w:marLeft w:val="0"/>
          <w:marRight w:val="0"/>
          <w:marTop w:val="0"/>
          <w:marBottom w:val="0"/>
          <w:divBdr>
            <w:top w:val="none" w:sz="0" w:space="0" w:color="auto"/>
            <w:left w:val="none" w:sz="0" w:space="0" w:color="auto"/>
            <w:bottom w:val="none" w:sz="0" w:space="0" w:color="auto"/>
            <w:right w:val="none" w:sz="0" w:space="0" w:color="auto"/>
          </w:divBdr>
          <w:divsChild>
            <w:div w:id="1144003811">
              <w:marLeft w:val="0"/>
              <w:marRight w:val="0"/>
              <w:marTop w:val="0"/>
              <w:marBottom w:val="0"/>
              <w:divBdr>
                <w:top w:val="none" w:sz="0" w:space="0" w:color="auto"/>
                <w:left w:val="none" w:sz="0" w:space="0" w:color="auto"/>
                <w:bottom w:val="none" w:sz="0" w:space="0" w:color="auto"/>
                <w:right w:val="none" w:sz="0" w:space="0" w:color="auto"/>
              </w:divBdr>
              <w:divsChild>
                <w:div w:id="922034277">
                  <w:marLeft w:val="0"/>
                  <w:marRight w:val="0"/>
                  <w:marTop w:val="0"/>
                  <w:marBottom w:val="0"/>
                  <w:divBdr>
                    <w:top w:val="none" w:sz="0" w:space="0" w:color="auto"/>
                    <w:left w:val="none" w:sz="0" w:space="0" w:color="auto"/>
                    <w:bottom w:val="none" w:sz="0" w:space="0" w:color="auto"/>
                    <w:right w:val="none" w:sz="0" w:space="0" w:color="auto"/>
                  </w:divBdr>
                  <w:divsChild>
                    <w:div w:id="1202520179">
                      <w:marLeft w:val="0"/>
                      <w:marRight w:val="0"/>
                      <w:marTop w:val="0"/>
                      <w:marBottom w:val="0"/>
                      <w:divBdr>
                        <w:top w:val="none" w:sz="0" w:space="0" w:color="auto"/>
                        <w:left w:val="none" w:sz="0" w:space="0" w:color="auto"/>
                        <w:bottom w:val="none" w:sz="0" w:space="0" w:color="auto"/>
                        <w:right w:val="none" w:sz="0" w:space="0" w:color="auto"/>
                      </w:divBdr>
                      <w:divsChild>
                        <w:div w:id="1749811592">
                          <w:marLeft w:val="0"/>
                          <w:marRight w:val="0"/>
                          <w:marTop w:val="0"/>
                          <w:marBottom w:val="0"/>
                          <w:divBdr>
                            <w:top w:val="none" w:sz="0" w:space="0" w:color="auto"/>
                            <w:left w:val="none" w:sz="0" w:space="0" w:color="auto"/>
                            <w:bottom w:val="none" w:sz="0" w:space="0" w:color="auto"/>
                            <w:right w:val="none" w:sz="0" w:space="0" w:color="auto"/>
                          </w:divBdr>
                          <w:divsChild>
                            <w:div w:id="107258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487100">
      <w:bodyDiv w:val="1"/>
      <w:marLeft w:val="0"/>
      <w:marRight w:val="0"/>
      <w:marTop w:val="0"/>
      <w:marBottom w:val="0"/>
      <w:divBdr>
        <w:top w:val="none" w:sz="0" w:space="0" w:color="auto"/>
        <w:left w:val="none" w:sz="0" w:space="0" w:color="auto"/>
        <w:bottom w:val="none" w:sz="0" w:space="0" w:color="auto"/>
        <w:right w:val="none" w:sz="0" w:space="0" w:color="auto"/>
      </w:divBdr>
      <w:divsChild>
        <w:div w:id="1225916639">
          <w:marLeft w:val="0"/>
          <w:marRight w:val="0"/>
          <w:marTop w:val="0"/>
          <w:marBottom w:val="0"/>
          <w:divBdr>
            <w:top w:val="none" w:sz="0" w:space="0" w:color="auto"/>
            <w:left w:val="none" w:sz="0" w:space="0" w:color="auto"/>
            <w:bottom w:val="none" w:sz="0" w:space="0" w:color="auto"/>
            <w:right w:val="none" w:sz="0" w:space="0" w:color="auto"/>
          </w:divBdr>
        </w:div>
        <w:div w:id="125704713">
          <w:marLeft w:val="0"/>
          <w:marRight w:val="0"/>
          <w:marTop w:val="0"/>
          <w:marBottom w:val="0"/>
          <w:divBdr>
            <w:top w:val="none" w:sz="0" w:space="0" w:color="auto"/>
            <w:left w:val="none" w:sz="0" w:space="0" w:color="auto"/>
            <w:bottom w:val="none" w:sz="0" w:space="0" w:color="auto"/>
            <w:right w:val="none" w:sz="0" w:space="0" w:color="auto"/>
          </w:divBdr>
          <w:divsChild>
            <w:div w:id="190116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image" Target="media/image4.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https://agridata.ec.europa.eu/extensions/DataPortal/cmef_indicators.html" TargetMode="Externa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agridata.ec.Europa.eu/extensions/DataPortal/cmef_indicators.html" TargetMode="External"/><Relationship Id="rId5" Type="http://schemas.openxmlformats.org/officeDocument/2006/relationships/customXml" Target="../customXml/item5.xml"/><Relationship Id="rId15" Type="http://schemas.openxmlformats.org/officeDocument/2006/relationships/image" Target="media/image1.jpeg"/><Relationship Id="rId23" Type="http://schemas.openxmlformats.org/officeDocument/2006/relationships/footer" Target="footer1.xml"/><Relationship Id="rId10" Type="http://schemas.microsoft.com/office/2007/relationships/stylesWithEffects" Target="stylesWithEffect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image" Target="media/image7.png"/><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limatechangepost.com/albania/fresh-water-resources/" TargetMode="External"/><Relationship Id="rId13" Type="http://schemas.openxmlformats.org/officeDocument/2006/relationships/hyperlink" Target="http://seerural.org/wp-content/uploads/2020/11/Economic_diversification_policies_and_rural_tourism_in_SEE_" TargetMode="External"/><Relationship Id="rId3" Type="http://schemas.openxmlformats.org/officeDocument/2006/relationships/hyperlink" Target="https://climatekno&#235;ledgeportal.&#235;orldbank.org/sites/default/files/2021-06/15812-Albania%20Country%20Profile-WWB.pdf" TargetMode="External"/><Relationship Id="rId7" Type="http://schemas.openxmlformats.org/officeDocument/2006/relationships/hyperlink" Target="http://www.fao.org/3/az146e/az146e.pdf" TargetMode="External"/><Relationship Id="rId12" Type="http://schemas.openxmlformats.org/officeDocument/2006/relationships/hyperlink" Target="http://www.OUB.org/3/ca7450en/CA7450EN.pdf" TargetMode="External"/><Relationship Id="rId17" Type="http://schemas.openxmlformats.org/officeDocument/2006/relationships/hyperlink" Target="https://webgate.ec.europa.eu/sanco/traces/output/AL/FFP_AL_en.pdf" TargetMode="External"/><Relationship Id="rId2" Type="http://schemas.openxmlformats.org/officeDocument/2006/relationships/hyperlink" Target="https://appsso.eurostat.ec.europa.eu/nui/submitViewTableAction.do" TargetMode="External"/><Relationship Id="rId16" Type="http://schemas.openxmlformats.org/officeDocument/2006/relationships/hyperlink" Target="https://ec.Europa.eu/info/food-farming-fisheries/key-policies/common-agricultural-policy/market-measures/agri-food-supply-chain/producer-and-interbranch-organisations_en" TargetMode="External"/><Relationship Id="rId1" Type="http://schemas.openxmlformats.org/officeDocument/2006/relationships/hyperlink" Target="https://ilostat.ilo.org/data/country-profiles/" TargetMode="External"/><Relationship Id="rId6" Type="http://schemas.openxmlformats.org/officeDocument/2006/relationships/hyperlink" Target="https://cordis.europa.eu/article/id/124474-renewable-energy-potentials-of-albania" TargetMode="External"/><Relationship Id="rId11" Type="http://schemas.openxmlformats.org/officeDocument/2006/relationships/hyperlink" Target="https://www.eea.europa.eu/data-and-maps/figures/biogeographical-regions-in-europe-2/map_2-1_biogeographical-regions/image_large" TargetMode="External"/><Relationship Id="rId5" Type="http://schemas.openxmlformats.org/officeDocument/2006/relationships/hyperlink" Target="https://www.climate&#235;atchdata.org/data-explorer/historical-emissions?historical-emissions-data-sources=cait&amp;historical-emissions-gases=all-ghg&amp;historical-emissions-regions=ALB&amp;historical-emissions-sectors=&amp;page=1" TargetMode="External"/><Relationship Id="rId15" Type="http://schemas.openxmlformats.org/officeDocument/2006/relationships/hyperlink" Target="http://www.anrd.al" TargetMode="External"/><Relationship Id="rId10" Type="http://schemas.openxmlformats.org/officeDocument/2006/relationships/hyperlink" Target="../AppData/Local/Microsoft/Windows/INetCache/Content.Outlook/AppData/Local/Microsoft/Windows/INetCache/AppData/Local/Microsoft/Windows/INetCache/AppData/Local/Microsoft/Windows/AppData/AppData/Local/Microsoft/Windows/INetCache/Content.Outlook/Downloads/sektori" TargetMode="External"/><Relationship Id="rId4" Type="http://schemas.openxmlformats.org/officeDocument/2006/relationships/hyperlink" Target="https://climateknowledgeportal.worldbank.org/country/albania/climate-data-projections" TargetMode="External"/><Relationship Id="rId9" Type="http://schemas.openxmlformats.org/officeDocument/2006/relationships/hyperlink" Target="https://www.worldometers.info/water/albania-water/" TargetMode="External"/><Relationship Id="rId14" Type="http://schemas.openxmlformats.org/officeDocument/2006/relationships/hyperlink" Target="https://publications.jrc.ec.europa.eu/repository/handle/JRC80420"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110348769250811E-2"/>
          <c:y val="2.2025138116924102E-2"/>
          <c:w val="0.90036021297979474"/>
          <c:h val="0.80283372954690202"/>
        </c:manualLayout>
      </c:layout>
      <c:barChart>
        <c:barDir val="col"/>
        <c:grouping val="clustered"/>
        <c:varyColors val="0"/>
        <c:ser>
          <c:idx val="0"/>
          <c:order val="0"/>
          <c:spPr>
            <a:solidFill>
              <a:srgbClr val="4472C4"/>
            </a:solidFill>
            <a:ln w="25395">
              <a:noFill/>
            </a:ln>
          </c:spPr>
          <c:invertIfNegative val="0"/>
          <c:dLbls>
            <c:spPr>
              <a:noFill/>
              <a:ln w="25395">
                <a:noFill/>
              </a:ln>
            </c:spPr>
            <c:txPr>
              <a:bodyPr/>
              <a:lstStyle/>
              <a:p>
                <a:pPr>
                  <a:defRPr sz="900" b="0" i="0" u="none" strike="noStrike" baseline="0">
                    <a:solidFill>
                      <a:srgbClr val="333333"/>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Sheet1!$B$22:$B$28</c:f>
              <c:strCache>
                <c:ptCount val="7"/>
                <c:pt idx="0">
                  <c:v>Akuakulture</c:v>
                </c:pt>
                <c:pt idx="1">
                  <c:v>Peshkimi profesional detar</c:v>
                </c:pt>
                <c:pt idx="2">
                  <c:v>Peshkimi artizanal bregdetar</c:v>
                </c:pt>
                <c:pt idx="3">
                  <c:v>Peshkimi ne ujerat e brendshme</c:v>
                </c:pt>
                <c:pt idx="4">
                  <c:v>Industria perpunuese</c:v>
                </c:pt>
                <c:pt idx="5">
                  <c:v>Rirarimi i veglave te peshkimit</c:v>
                </c:pt>
                <c:pt idx="6">
                  <c:v>Total</c:v>
                </c:pt>
              </c:strCache>
            </c:strRef>
          </c:cat>
          <c:val>
            <c:numRef>
              <c:f>Sheet1!$C$22:$C$28</c:f>
              <c:numCache>
                <c:formatCode>General</c:formatCode>
                <c:ptCount val="7"/>
                <c:pt idx="0">
                  <c:v>620</c:v>
                </c:pt>
                <c:pt idx="1">
                  <c:v>1000</c:v>
                </c:pt>
                <c:pt idx="2">
                  <c:v>1100</c:v>
                </c:pt>
                <c:pt idx="3">
                  <c:v>1409</c:v>
                </c:pt>
                <c:pt idx="4">
                  <c:v>5100</c:v>
                </c:pt>
                <c:pt idx="5">
                  <c:v>50</c:v>
                </c:pt>
                <c:pt idx="6">
                  <c:v>9279</c:v>
                </c:pt>
              </c:numCache>
            </c:numRef>
          </c:val>
        </c:ser>
        <c:dLbls>
          <c:showLegendKey val="0"/>
          <c:showVal val="0"/>
          <c:showCatName val="0"/>
          <c:showSerName val="0"/>
          <c:showPercent val="0"/>
          <c:showBubbleSize val="0"/>
        </c:dLbls>
        <c:gapWidth val="219"/>
        <c:overlap val="-27"/>
        <c:axId val="205650432"/>
        <c:axId val="195526656"/>
      </c:barChart>
      <c:catAx>
        <c:axId val="205650432"/>
        <c:scaling>
          <c:orientation val="minMax"/>
        </c:scaling>
        <c:delete val="0"/>
        <c:axPos val="b"/>
        <c:numFmt formatCode="General" sourceLinked="1"/>
        <c:majorTickMark val="none"/>
        <c:minorTickMark val="none"/>
        <c:tickLblPos val="nextTo"/>
        <c:spPr>
          <a:noFill/>
          <a:ln w="9523"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95526656"/>
        <c:crosses val="autoZero"/>
        <c:auto val="1"/>
        <c:lblAlgn val="ctr"/>
        <c:lblOffset val="100"/>
        <c:noMultiLvlLbl val="0"/>
      </c:catAx>
      <c:valAx>
        <c:axId val="195526656"/>
        <c:scaling>
          <c:orientation val="minMax"/>
        </c:scaling>
        <c:delete val="0"/>
        <c:axPos val="l"/>
        <c:majorGridlines>
          <c:spPr>
            <a:ln w="9523" cap="flat" cmpd="sng" algn="ctr">
              <a:solidFill>
                <a:schemeClr val="tx1">
                  <a:lumMod val="15000"/>
                  <a:lumOff val="85000"/>
                </a:schemeClr>
              </a:solidFill>
              <a:round/>
            </a:ln>
            <a:effectLst/>
          </c:spPr>
        </c:majorGridlines>
        <c:numFmt formatCode="General" sourceLinked="1"/>
        <c:majorTickMark val="none"/>
        <c:minorTickMark val="none"/>
        <c:tickLblPos val="nextTo"/>
        <c:spPr>
          <a:ln w="6349">
            <a:noFill/>
          </a:ln>
        </c:spPr>
        <c:txPr>
          <a:bodyPr rot="0" vert="horz"/>
          <a:lstStyle/>
          <a:p>
            <a:pPr>
              <a:defRPr sz="900" b="0" i="0" u="none" strike="noStrike" baseline="0">
                <a:solidFill>
                  <a:srgbClr val="333333"/>
                </a:solidFill>
                <a:latin typeface="Calibri"/>
                <a:ea typeface="Calibri"/>
                <a:cs typeface="Calibri"/>
              </a:defRPr>
            </a:pPr>
            <a:endParaRPr lang="en-US"/>
          </a:p>
        </c:txPr>
        <c:crossAx val="205650432"/>
        <c:crosses val="autoZero"/>
        <c:crossBetween val="between"/>
      </c:valAx>
      <c:spPr>
        <a:noFill/>
        <a:ln w="25395">
          <a:noFill/>
        </a:ln>
      </c:spPr>
    </c:plotArea>
    <c:plotVisOnly val="1"/>
    <c:dispBlanksAs val="gap"/>
    <c:showDLblsOverMax val="0"/>
  </c:chart>
  <c:spPr>
    <a:solidFill>
      <a:schemeClr val="bg1"/>
    </a:solidFill>
    <a:ln w="9523"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4F83AAEAA2047CAB0C54F7B46DB88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460</Nr_x002e__x0020_akti>
    <Data_x0020_e_x0020_Krijimit xmlns="0e656187-b300-4fb0-8bf4-3a50f872073c">2021-08-03T09:09:29Z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2022-06-29T22:00:00Z</Date_x0020_protokolli>
    <Titulli xmlns="0e656187-b300-4fb0-8bf4-3a50f872073c">Për miratimin e strategjisë së bujqësisë, zhvillimit rural dhe peshkimit 2021-2027</Titulli>
    <Modifikuesi xmlns="0e656187-b300-4fb0-8bf4-3a50f872073c">alma.lisaku</Modifikuesi>
    <Nr_x002e__x0020_prot_x0020_QBZ xmlns="0e656187-b300-4fb0-8bf4-3a50f872073c">1076</Nr_x002e__x0020_prot_x0020_QBZ>
    <Data_x0020_e_x0020_Modifikimit xmlns="0e656187-b300-4fb0-8bf4-3a50f872073c">2022-07-06T09:25:30Z</Data_x0020_e_x0020_Modifikimit>
    <Dekretuar xmlns="0e656187-b300-4fb0-8bf4-3a50f872073c">false</Dekretuar>
    <Data xmlns="0e656187-b300-4fb0-8bf4-3a50f872073c">2022-06-28T22:00:00Z</Data>
    <Nr_x002e__x0020_protokolli_x0020_i_x0020_aktit xmlns="0e656187-b300-4fb0-8bf4-3a50f872073c">3740/1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4F83AAEAA2047CAB0C54F7B46DB88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0E0FD-4D6C-40F6-8355-7DB4661BD1F7}">
  <ds:schemaRefs>
    <ds:schemaRef ds:uri="http://schemas.microsoft.com/sharepoint/v3/contenttype/forms"/>
  </ds:schemaRefs>
</ds:datastoreItem>
</file>

<file path=customXml/itemProps2.xml><?xml version="1.0" encoding="utf-8"?>
<ds:datastoreItem xmlns:ds="http://schemas.openxmlformats.org/officeDocument/2006/customXml" ds:itemID="{7CA942AB-A3C2-4BD5-A6A3-39AA639B44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5A89633-2113-4903-9599-47B6E8BD1E45}">
  <ds:schemaRefs>
    <ds:schemaRef ds:uri="http://schemas.openxmlformats.org/package/2006/metadata/core-properties"/>
    <ds:schemaRef ds:uri="http://schemas.microsoft.com/office/2006/documentManagement/types"/>
    <ds:schemaRef ds:uri="http://purl.org/dc/dcmitype/"/>
    <ds:schemaRef ds:uri="http://purl.org/dc/elements/1.1/"/>
    <ds:schemaRef ds:uri="http://www.w3.org/XML/1998/namespace"/>
    <ds:schemaRef ds:uri="http://purl.org/dc/terms/"/>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20B9071B-F2B8-4583-86BF-6A550D31053B}">
  <ds:schemaRefs>
    <ds:schemaRef ds:uri="http://schemas.microsoft.com/sharepoint/v3/contenttype/forms"/>
  </ds:schemaRefs>
</ds:datastoreItem>
</file>

<file path=customXml/itemProps5.xml><?xml version="1.0" encoding="utf-8"?>
<ds:datastoreItem xmlns:ds="http://schemas.openxmlformats.org/officeDocument/2006/customXml" ds:itemID="{8E86A7DD-E405-41B3-AAEB-5C8416F4F8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22556AA-AEF1-4285-9AB5-B88B473892FC}">
  <ds:schemaRefs>
    <ds:schemaRef ds:uri="http://schemas.openxmlformats.org/officeDocument/2006/bibliography"/>
  </ds:schemaRefs>
</ds:datastoreItem>
</file>

<file path=customXml/itemProps7.xml><?xml version="1.0" encoding="utf-8"?>
<ds:datastoreItem xmlns:ds="http://schemas.openxmlformats.org/officeDocument/2006/customXml" ds:itemID="{9823534C-CF9E-4ED2-9CA4-06D233BCF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910</TotalTime>
  <Pages>102</Pages>
  <Words>49382</Words>
  <Characters>281481</Characters>
  <Application>Microsoft Office Word</Application>
  <DocSecurity>0</DocSecurity>
  <Lines>2345</Lines>
  <Paragraphs>660</Paragraphs>
  <ScaleCrop>false</ScaleCrop>
  <HeadingPairs>
    <vt:vector size="2" baseType="variant">
      <vt:variant>
        <vt:lpstr>Title</vt:lpstr>
      </vt:variant>
      <vt:variant>
        <vt:i4>1</vt:i4>
      </vt:variant>
    </vt:vector>
  </HeadingPairs>
  <TitlesOfParts>
    <vt:vector size="1" baseType="lpstr">
      <vt:lpstr>Për miratimin e strategjisë së bujqësisë, zhvillimit rural dhe peshkimit 2021-2027</vt:lpstr>
    </vt:vector>
  </TitlesOfParts>
  <Company/>
  <LinksUpToDate>false</LinksUpToDate>
  <CharactersWithSpaces>330203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së bujqësisë, zhvillimit rural dhe peshkimit 2021-2027</dc:title>
  <dc:subject>2021-2030</dc:subject>
  <dc:creator>Degjoni Rudina</dc:creator>
  <cp:lastModifiedBy>Valjeta Kaftalli</cp:lastModifiedBy>
  <cp:revision>618</cp:revision>
  <cp:lastPrinted>2022-06-28T11:12:00Z</cp:lastPrinted>
  <dcterms:created xsi:type="dcterms:W3CDTF">2022-06-30T12:04:00Z</dcterms:created>
  <dcterms:modified xsi:type="dcterms:W3CDTF">2022-07-06T10:28:00Z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0x010100BFDBCE8746EA63458D2FC111B4E0A98E</vt:lpwstr>
  </property>
</Properties>
</file>