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651DB" w14:textId="77777777" w:rsidR="00983EF8" w:rsidRPr="00983EF8" w:rsidRDefault="00983EF8" w:rsidP="00983EF8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VENDIMI</w:t>
      </w:r>
    </w:p>
    <w:p w14:paraId="4BF651DC" w14:textId="77777777" w:rsidR="00983EF8" w:rsidRPr="00983EF8" w:rsidRDefault="00983EF8" w:rsidP="00983EF8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6436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486</w:t>
      </w:r>
      <w:r w:rsidRPr="00983EF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</w:t>
      </w:r>
      <w:r w:rsidR="006436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21.7.2022</w:t>
      </w:r>
    </w:p>
    <w:p w14:paraId="4BF651DD" w14:textId="77777777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BF651DE" w14:textId="742B994A" w:rsidR="00983EF8" w:rsidRPr="00643601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4360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</w:t>
      </w:r>
      <w:r w:rsidRPr="006436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PËRCAKTIMIN E RREGULLAVE PËR PAVLEFSHM</w:t>
      </w:r>
      <w:r w:rsidR="00C06EC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</w:t>
      </w:r>
      <w:r w:rsidRPr="006436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RIN</w:t>
      </w:r>
      <w:r w:rsidR="00C06EC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</w:t>
      </w:r>
      <w:r w:rsidRPr="006436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E KONTRATAVE T</w:t>
      </w:r>
      <w:r w:rsidR="00C06EC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</w:t>
      </w:r>
      <w:r w:rsidRPr="006436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PROKURIMIT PUBLIK</w:t>
      </w:r>
      <w:r w:rsidRPr="00643601">
        <w:rPr>
          <w:rStyle w:val="FootnoteReference"/>
          <w:rFonts w:ascii="Garamond" w:hAnsi="Garamond" w:cs="Times New Roman"/>
          <w:b/>
          <w:bCs/>
          <w:color w:val="000000"/>
          <w:sz w:val="24"/>
          <w:szCs w:val="24"/>
          <w:lang w:val="sq-AL"/>
        </w:rPr>
        <w:footnoteReference w:id="2"/>
      </w:r>
    </w:p>
    <w:p w14:paraId="4BF651DF" w14:textId="77777777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  <w:lang w:val="sq-AL"/>
        </w:rPr>
      </w:pPr>
    </w:p>
    <w:p w14:paraId="4BF651E0" w14:textId="13EBF3D9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nenit 119, të ligjit nr.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162/2020, “Për prokurimin publik”, me propozimin e Kryeministrit, Këshilli i Ministrave</w:t>
      </w:r>
    </w:p>
    <w:p w14:paraId="4BF651E1" w14:textId="77777777" w:rsidR="00983EF8" w:rsidRPr="00983EF8" w:rsidRDefault="00983EF8" w:rsidP="00983EF8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BF651E2" w14:textId="77777777" w:rsidR="00983EF8" w:rsidRPr="00C06EC8" w:rsidRDefault="00983EF8" w:rsidP="00983EF8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6EC8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4BF651E3" w14:textId="77777777" w:rsidR="00983EF8" w:rsidRPr="00983EF8" w:rsidRDefault="00983EF8" w:rsidP="00983EF8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BF651E4" w14:textId="77777777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Komisioni i Prokurimit Publik është organi kompetent për shqyrtimin e ankesave për pavlefshmërinë e kontratave. </w:t>
      </w:r>
    </w:p>
    <w:p w14:paraId="4BF651E5" w14:textId="08CD7D59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Me marrjen e ankesës, Komisioni i Prokurimit Publik vendos pezullimin e menj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hersh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m t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zbatimit t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kontrat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s, me anë të një vendimi të ndërmjetëm, deri në marrjen e një vendimi përfundimtar. </w:t>
      </w:r>
    </w:p>
    <w:p w14:paraId="4BF651E6" w14:textId="77777777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Komisioni i Prokurimit Publik mund të lejojë autoritetin ose entin kontraktor të vazhdojë zbatimin e kontratës, nëse pezullimi mund të cenojë çështjet thelbësore të interesit të përgjithshëm.</w:t>
      </w:r>
    </w:p>
    <w:p w14:paraId="4BF651E7" w14:textId="33C7F32A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Komisioni i Prokurimit Publik mund të shpallë nj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kontrat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absolutisht t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pavlefshme, kur konstaton ekzistencën e kushteve të përcaktuara në pikën 1, të nenit 119 të </w:t>
      </w:r>
      <w:proofErr w:type="spellStart"/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LPP</w:t>
      </w:r>
      <w:proofErr w:type="spellEnd"/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-së.</w:t>
      </w:r>
    </w:p>
    <w:p w14:paraId="4BF651E8" w14:textId="18C85CD0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Nëse pas shqyrtimit të </w:t>
      </w:r>
      <w:proofErr w:type="spellStart"/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gjithë aspekteve përkatëse, çmohet se shpallja e pavlefshm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ris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absolute të kontratës mund të cenojë çështjet thelbësore të interesit të përgjithshëm, Komisioni i Prokurimit Publik vendos të mos e shpallë kontratën absolutisht të pavlefshme.</w:t>
      </w:r>
    </w:p>
    <w:p w14:paraId="4BF651E9" w14:textId="77777777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Nuk konsiderohen çështje thelbësore të interesit të përgjithshëm interesat ekonomike të lidhura drejtpërdrejt me kontratën në fjalë, si:</w:t>
      </w:r>
    </w:p>
    <w:p w14:paraId="4BF651EA" w14:textId="77777777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kostot për shkak të vonesave në zbatimin e kontratës;</w:t>
      </w:r>
    </w:p>
    <w:p w14:paraId="4BF651EB" w14:textId="77777777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kostot për shkak të shpalljes së një procedure të re prokurimi;</w:t>
      </w:r>
    </w:p>
    <w:p w14:paraId="4BF651EC" w14:textId="77777777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kostot për shkak të ndryshimit të operatorit ekonomik, që do të zbatojë kontratën;</w:t>
      </w:r>
    </w:p>
    <w:p w14:paraId="4BF651ED" w14:textId="1ECB133D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kostot për shkak të detyrimeve ligjore si pasojë e pavlefshmërisë.</w:t>
      </w:r>
    </w:p>
    <w:p w14:paraId="4BF651EE" w14:textId="6FADC72D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Në përfundim të shqyrtimit të ankesës, n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rastin kur nuk shpallet pavlefshmëria e kontratës, Komisioni i Prokurimit Publik, vendos:</w:t>
      </w:r>
    </w:p>
    <w:p w14:paraId="4BF651EF" w14:textId="77777777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shkurtojë afatin e zbatimit të kontratës; </w:t>
      </w:r>
    </w:p>
    <w:p w14:paraId="4BF651F0" w14:textId="50F5B964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dënimin me gjobë të autoritetit ose entit kontraktor, për shkeljet e konstatuara, sipas k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tij vendimi. </w:t>
      </w:r>
    </w:p>
    <w:p w14:paraId="4BF651F1" w14:textId="4F1E7122" w:rsidR="00983EF8" w:rsidRPr="00C06EC8" w:rsidRDefault="00983EF8" w:rsidP="00C06EC8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C06EC8">
        <w:rPr>
          <w:rFonts w:ascii="Garamond" w:hAnsi="Garamond"/>
          <w:sz w:val="24"/>
          <w:szCs w:val="24"/>
          <w:lang w:val="sq-AL"/>
        </w:rPr>
        <w:t>6. Gjoba duhet të vendoset në raport me vlerën e kontratës së nënshkruar, por në çdo rast, jo më s</w:t>
      </w:r>
      <w:r w:rsidR="00E27436">
        <w:rPr>
          <w:rFonts w:ascii="Garamond" w:hAnsi="Garamond"/>
          <w:sz w:val="24"/>
          <w:szCs w:val="24"/>
          <w:lang w:val="sq-AL"/>
        </w:rPr>
        <w:t>humë se 10</w:t>
      </w:r>
      <w:bookmarkStart w:id="0" w:name="_GoBack"/>
      <w:bookmarkEnd w:id="0"/>
      <w:r w:rsidRPr="00C06EC8">
        <w:rPr>
          <w:rFonts w:ascii="Garamond" w:hAnsi="Garamond"/>
          <w:sz w:val="24"/>
          <w:szCs w:val="24"/>
          <w:lang w:val="sq-AL"/>
        </w:rPr>
        <w:t xml:space="preserve">% e kësaj vlere. </w:t>
      </w:r>
    </w:p>
    <w:p w14:paraId="4BF651F2" w14:textId="16634EB6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vendosjen e mas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s s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gjob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s, Komisioni i Prokurimit Publik duhet t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marrë në konsideratë disa elemente, si: </w:t>
      </w:r>
    </w:p>
    <w:p w14:paraId="4BF651F3" w14:textId="77777777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rrethanat, në të cilat është kryer shkelja;</w:t>
      </w:r>
    </w:p>
    <w:p w14:paraId="4BF651F4" w14:textId="77777777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b)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rëndësia e shkeljes së kryer;</w:t>
      </w:r>
    </w:p>
    <w:p w14:paraId="4BF651F5" w14:textId="77777777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pasojat, që kanë ardhur;</w:t>
      </w:r>
    </w:p>
    <w:p w14:paraId="4BF651F6" w14:textId="6F372904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proporcionaliteti</w:t>
      </w:r>
      <w:proofErr w:type="spellEnd"/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midis dëmit të shkaktuar dhe masës së gjobës;</w:t>
      </w:r>
    </w:p>
    <w:p w14:paraId="4BF651F7" w14:textId="322D6302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vlerën e p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rllogaritur të kontrat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s;</w:t>
      </w:r>
    </w:p>
    <w:p w14:paraId="4BF651F8" w14:textId="123C1494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dh)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parimet e prokurimit, q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shkelur;</w:t>
      </w:r>
    </w:p>
    <w:p w14:paraId="4BF651F9" w14:textId="25EE24DE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rs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ritjen e shkeljeve n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raste t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tjera.</w:t>
      </w:r>
    </w:p>
    <w:p w14:paraId="4BF651FA" w14:textId="3C092DD8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Komisioni i Prokurimit Publik p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rcakton n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vendimin e tij afatin brenda t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cilit duhet zbatuar vendimi i dhënë.</w:t>
      </w:r>
    </w:p>
    <w:p w14:paraId="4BF651FB" w14:textId="47307F1A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Pal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t kan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drejt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ta </w:t>
      </w:r>
      <w:proofErr w:type="spellStart"/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ankimojn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proofErr w:type="spellEnd"/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vendimin e dhënë nga Komisioni i Prokurimit Publik, n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Gjykat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n Administrative t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Apelit, sipas p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rcaktimit n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nenin 121 t</w:t>
      </w:r>
      <w:r w:rsidR="00C06E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LPP</w:t>
      </w:r>
      <w:proofErr w:type="spellEnd"/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-së.</w:t>
      </w:r>
    </w:p>
    <w:p w14:paraId="4BF651FC" w14:textId="77777777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Ngarkohet Komisioni i Prokurimit Publik për zbatimin e këtij vendimi.</w:t>
      </w:r>
    </w:p>
    <w:p w14:paraId="4BF651FD" w14:textId="77777777" w:rsidR="00983EF8" w:rsidRDefault="00983EF8" w:rsidP="00983EF8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në fuqi 15 ditë pas botimit në Fletoren Zyrtare</w:t>
      </w:r>
      <w:r w:rsidRPr="00983EF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BF651FE" w14:textId="77777777" w:rsidR="00983EF8" w:rsidRPr="00983EF8" w:rsidRDefault="00983EF8" w:rsidP="00983EF8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BF651FF" w14:textId="77777777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983E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4BF65200" w14:textId="77777777" w:rsidR="00983EF8" w:rsidRPr="00983EF8" w:rsidRDefault="00983EF8" w:rsidP="00983E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3EF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Edi </w:t>
      </w:r>
      <w:proofErr w:type="spellStart"/>
      <w:r w:rsidRPr="00983EF8">
        <w:rPr>
          <w:rFonts w:ascii="Garamond" w:hAnsi="Garamond" w:cs="Times New Roman"/>
          <w:b/>
          <w:bCs/>
          <w:sz w:val="24"/>
          <w:szCs w:val="24"/>
          <w:lang w:val="sq-AL"/>
        </w:rPr>
        <w:t>Rama</w:t>
      </w:r>
      <w:proofErr w:type="spellEnd"/>
    </w:p>
    <w:p w14:paraId="4BF65201" w14:textId="77777777" w:rsidR="003C3138" w:rsidRPr="00983EF8" w:rsidRDefault="003C3138" w:rsidP="00983E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3C3138" w:rsidRPr="00983EF8" w:rsidSect="00C06EC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730911" w14:textId="77777777" w:rsidR="00C06EC8" w:rsidRDefault="00C06EC8" w:rsidP="00983EF8">
      <w:pPr>
        <w:spacing w:after="0" w:line="240" w:lineRule="auto"/>
      </w:pPr>
      <w:r>
        <w:separator/>
      </w:r>
    </w:p>
  </w:endnote>
  <w:endnote w:type="continuationSeparator" w:id="0">
    <w:p w14:paraId="403944B2" w14:textId="77777777" w:rsidR="00C06EC8" w:rsidRDefault="00C06EC8" w:rsidP="00983EF8">
      <w:pPr>
        <w:spacing w:after="0" w:line="240" w:lineRule="auto"/>
      </w:pPr>
      <w:r>
        <w:continuationSeparator/>
      </w:r>
    </w:p>
  </w:endnote>
  <w:endnote w:type="continuationNotice" w:id="1">
    <w:p w14:paraId="463D0748" w14:textId="77777777" w:rsidR="00875018" w:rsidRDefault="008750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E6627D" w14:textId="77777777" w:rsidR="00C06EC8" w:rsidRDefault="00C06EC8" w:rsidP="00983EF8">
      <w:pPr>
        <w:spacing w:after="0" w:line="240" w:lineRule="auto"/>
      </w:pPr>
      <w:r>
        <w:separator/>
      </w:r>
    </w:p>
  </w:footnote>
  <w:footnote w:type="continuationSeparator" w:id="0">
    <w:p w14:paraId="3FFBBB25" w14:textId="77777777" w:rsidR="00C06EC8" w:rsidRDefault="00C06EC8" w:rsidP="00983EF8">
      <w:pPr>
        <w:spacing w:after="0" w:line="240" w:lineRule="auto"/>
      </w:pPr>
      <w:r>
        <w:continuationSeparator/>
      </w:r>
    </w:p>
  </w:footnote>
  <w:footnote w:type="continuationNotice" w:id="1">
    <w:p w14:paraId="7BB27CD5" w14:textId="77777777" w:rsidR="00875018" w:rsidRDefault="00875018">
      <w:pPr>
        <w:spacing w:after="0" w:line="240" w:lineRule="auto"/>
      </w:pPr>
    </w:p>
  </w:footnote>
  <w:footnote w:id="2">
    <w:p w14:paraId="4BF65206" w14:textId="77777777" w:rsidR="00C06EC8" w:rsidRPr="00C06EC8" w:rsidRDefault="00C06EC8" w:rsidP="00983EF8">
      <w:pPr>
        <w:pStyle w:val="FootnoteText"/>
        <w:rPr>
          <w:rFonts w:ascii="Garamond" w:hAnsi="Garamond"/>
          <w:lang w:val="sq-AL"/>
        </w:rPr>
      </w:pPr>
      <w:r w:rsidRPr="00C06EC8">
        <w:rPr>
          <w:rStyle w:val="FootnoteReference"/>
          <w:rFonts w:ascii="Garamond" w:hAnsi="Garamond"/>
          <w:lang w:val="sq-AL"/>
        </w:rPr>
        <w:footnoteRef/>
      </w:r>
      <w:r w:rsidRPr="00C06EC8">
        <w:rPr>
          <w:rFonts w:ascii="Garamond" w:hAnsi="Garamond"/>
          <w:lang w:val="sq-AL"/>
        </w:rPr>
        <w:t xml:space="preserve"> Ky vendim përafrohet pjesërisht me:</w:t>
      </w:r>
    </w:p>
    <w:p w14:paraId="4BF65207" w14:textId="61EAAAAB" w:rsidR="00C06EC8" w:rsidRPr="00C06EC8" w:rsidRDefault="00C06EC8" w:rsidP="00983EF8">
      <w:pPr>
        <w:pStyle w:val="ListParagraph"/>
        <w:shd w:val="clear" w:color="auto" w:fill="FFFFFF"/>
        <w:autoSpaceDE/>
        <w:autoSpaceDN/>
        <w:adjustRightInd/>
        <w:spacing w:after="0" w:line="240" w:lineRule="auto"/>
        <w:ind w:left="0"/>
        <w:jc w:val="both"/>
        <w:outlineLvl w:val="0"/>
        <w:rPr>
          <w:rFonts w:ascii="Garamond" w:eastAsia="Times New Roman" w:hAnsi="Garamond"/>
          <w:kern w:val="36"/>
          <w:sz w:val="20"/>
          <w:szCs w:val="20"/>
          <w:lang w:eastAsia="en-GB"/>
        </w:rPr>
      </w:pPr>
      <w:r w:rsidRPr="00C06EC8">
        <w:rPr>
          <w:rFonts w:ascii="Garamond" w:eastAsia="Times New Roman" w:hAnsi="Garamond"/>
          <w:kern w:val="36"/>
          <w:sz w:val="20"/>
          <w:szCs w:val="20"/>
          <w:lang w:eastAsia="en-GB"/>
        </w:rPr>
        <w:t>- Direktivën 89/665/</w:t>
      </w:r>
      <w:proofErr w:type="spellStart"/>
      <w:r w:rsidRPr="00C06EC8">
        <w:rPr>
          <w:rFonts w:ascii="Garamond" w:eastAsia="Times New Roman" w:hAnsi="Garamond"/>
          <w:kern w:val="36"/>
          <w:sz w:val="20"/>
          <w:szCs w:val="20"/>
          <w:lang w:eastAsia="en-GB"/>
        </w:rPr>
        <w:t>KEE</w:t>
      </w:r>
      <w:proofErr w:type="spellEnd"/>
      <w:r w:rsidRPr="00C06EC8">
        <w:rPr>
          <w:rFonts w:ascii="Garamond" w:eastAsia="Times New Roman" w:hAnsi="Garamond"/>
          <w:kern w:val="36"/>
          <w:sz w:val="20"/>
          <w:szCs w:val="20"/>
          <w:lang w:eastAsia="en-GB"/>
        </w:rPr>
        <w:t xml:space="preserve">, datë 21 dhjetor 1989 “Mbi koordinimin e ligjeve, rregulloreve dhe dispozitave administrative në lidhje me zbatimin e procedurave të rishikimit për dhënien e kontratave të furnizimit publik dhe punëve publike, me numër </w:t>
      </w:r>
      <w:proofErr w:type="spellStart"/>
      <w:r w:rsidRPr="00C06EC8">
        <w:rPr>
          <w:rFonts w:ascii="Garamond" w:eastAsia="Times New Roman" w:hAnsi="Garamond"/>
          <w:kern w:val="36"/>
          <w:sz w:val="20"/>
          <w:szCs w:val="20"/>
          <w:lang w:eastAsia="en-GB"/>
        </w:rPr>
        <w:t>CELEX</w:t>
      </w:r>
      <w:proofErr w:type="spellEnd"/>
      <w:r w:rsidRPr="00C06EC8">
        <w:rPr>
          <w:rFonts w:ascii="Garamond" w:eastAsia="Times New Roman" w:hAnsi="Garamond"/>
          <w:kern w:val="36"/>
          <w:sz w:val="20"/>
          <w:szCs w:val="20"/>
          <w:lang w:eastAsia="en-GB"/>
        </w:rPr>
        <w:t xml:space="preserve"> </w:t>
      </w:r>
      <w:proofErr w:type="spellStart"/>
      <w:r w:rsidRPr="00C06EC8">
        <w:rPr>
          <w:rFonts w:ascii="Garamond" w:eastAsia="Times New Roman" w:hAnsi="Garamond"/>
          <w:kern w:val="36"/>
          <w:sz w:val="20"/>
          <w:szCs w:val="20"/>
          <w:lang w:eastAsia="en-GB"/>
        </w:rPr>
        <w:t>31989L0665</w:t>
      </w:r>
      <w:proofErr w:type="spellEnd"/>
      <w:r w:rsidRPr="00C06EC8">
        <w:rPr>
          <w:rFonts w:ascii="Garamond" w:eastAsia="Times New Roman" w:hAnsi="Garamond"/>
          <w:kern w:val="36"/>
          <w:sz w:val="20"/>
          <w:szCs w:val="20"/>
          <w:lang w:eastAsia="en-GB"/>
        </w:rPr>
        <w:t>, Fletorja Zyrtare e Bashkimit Evropian, seria L, nr.</w:t>
      </w:r>
      <w:r>
        <w:rPr>
          <w:rFonts w:ascii="Garamond" w:eastAsia="Times New Roman" w:hAnsi="Garamond"/>
          <w:kern w:val="36"/>
          <w:sz w:val="20"/>
          <w:szCs w:val="20"/>
          <w:lang w:eastAsia="en-GB"/>
        </w:rPr>
        <w:t xml:space="preserve"> </w:t>
      </w:r>
      <w:r w:rsidRPr="00C06EC8">
        <w:rPr>
          <w:rFonts w:ascii="Garamond" w:eastAsia="Times New Roman" w:hAnsi="Garamond"/>
          <w:kern w:val="36"/>
          <w:sz w:val="20"/>
          <w:szCs w:val="20"/>
          <w:lang w:eastAsia="en-GB"/>
        </w:rPr>
        <w:t>395, datë 30.12.1989, faqe 33</w:t>
      </w:r>
      <w:r>
        <w:rPr>
          <w:rFonts w:ascii="Garamond" w:eastAsia="Times New Roman" w:hAnsi="Garamond"/>
          <w:kern w:val="36"/>
          <w:sz w:val="20"/>
          <w:szCs w:val="20"/>
          <w:lang w:eastAsia="en-GB"/>
        </w:rPr>
        <w:t>–</w:t>
      </w:r>
      <w:r w:rsidRPr="00C06EC8">
        <w:rPr>
          <w:rFonts w:ascii="Garamond" w:eastAsia="Times New Roman" w:hAnsi="Garamond"/>
          <w:kern w:val="36"/>
          <w:sz w:val="20"/>
          <w:szCs w:val="20"/>
          <w:lang w:eastAsia="en-GB"/>
        </w:rPr>
        <w:t>35.</w:t>
      </w:r>
    </w:p>
    <w:p w14:paraId="4BF65208" w14:textId="02A246FB" w:rsidR="00C06EC8" w:rsidRPr="00C06EC8" w:rsidRDefault="00C06EC8" w:rsidP="00983EF8">
      <w:pPr>
        <w:pStyle w:val="ListParagraph"/>
        <w:shd w:val="clear" w:color="auto" w:fill="FFFFFF"/>
        <w:autoSpaceDE/>
        <w:autoSpaceDN/>
        <w:adjustRightInd/>
        <w:spacing w:after="0" w:line="240" w:lineRule="auto"/>
        <w:ind w:left="0"/>
        <w:jc w:val="both"/>
        <w:outlineLvl w:val="0"/>
        <w:rPr>
          <w:rFonts w:ascii="Garamond" w:eastAsia="Times New Roman" w:hAnsi="Garamond"/>
          <w:kern w:val="36"/>
          <w:sz w:val="20"/>
          <w:szCs w:val="20"/>
          <w:lang w:eastAsia="en-GB"/>
        </w:rPr>
      </w:pPr>
      <w:r w:rsidRPr="00C06EC8">
        <w:rPr>
          <w:rFonts w:ascii="Garamond" w:eastAsia="Times New Roman" w:hAnsi="Garamond"/>
          <w:kern w:val="36"/>
          <w:sz w:val="20"/>
          <w:szCs w:val="20"/>
          <w:lang w:eastAsia="en-GB"/>
        </w:rPr>
        <w:t xml:space="preserve">- </w:t>
      </w:r>
      <w:r w:rsidRPr="00C06EC8">
        <w:rPr>
          <w:rFonts w:ascii="Garamond" w:hAnsi="Garamond"/>
          <w:color w:val="auto"/>
          <w:sz w:val="20"/>
          <w:szCs w:val="20"/>
        </w:rPr>
        <w:t>Direktivën e Këshillit 92/13/</w:t>
      </w:r>
      <w:proofErr w:type="spellStart"/>
      <w:r w:rsidRPr="00C06EC8">
        <w:rPr>
          <w:rFonts w:ascii="Garamond" w:hAnsi="Garamond"/>
          <w:color w:val="auto"/>
          <w:sz w:val="20"/>
          <w:szCs w:val="20"/>
        </w:rPr>
        <w:t>KEE</w:t>
      </w:r>
      <w:proofErr w:type="spellEnd"/>
      <w:r w:rsidRPr="00C06EC8">
        <w:rPr>
          <w:rFonts w:ascii="Garamond" w:hAnsi="Garamond"/>
          <w:color w:val="auto"/>
          <w:sz w:val="20"/>
          <w:szCs w:val="20"/>
        </w:rPr>
        <w:t>, datë 25 shkurt 1992 “Mbi koordinimin e ligjeve, rregulloreve dhe dispozitave administrative në lidhje me zbatimin e rregullave të Komunitetit për procedurat e prokurimit të enteve që veprojnë në sektorët e ujit, energjisë, transportit dhe telekomunikacionit”,</w:t>
      </w:r>
      <w:r w:rsidRPr="00C06EC8">
        <w:rPr>
          <w:rFonts w:ascii="Garamond" w:eastAsia="Times New Roman" w:hAnsi="Garamond"/>
          <w:color w:val="auto"/>
          <w:kern w:val="36"/>
          <w:sz w:val="20"/>
          <w:szCs w:val="20"/>
          <w:lang w:eastAsia="en-GB"/>
        </w:rPr>
        <w:t xml:space="preserve"> me </w:t>
      </w:r>
      <w:proofErr w:type="spellStart"/>
      <w:r w:rsidRPr="00C06EC8">
        <w:rPr>
          <w:rFonts w:ascii="Garamond" w:eastAsia="Times New Roman" w:hAnsi="Garamond"/>
          <w:color w:val="auto"/>
          <w:kern w:val="36"/>
          <w:sz w:val="20"/>
          <w:szCs w:val="20"/>
          <w:lang w:eastAsia="en-GB"/>
        </w:rPr>
        <w:t>CELEX</w:t>
      </w:r>
      <w:proofErr w:type="spellEnd"/>
      <w:r w:rsidRPr="00C06EC8">
        <w:rPr>
          <w:rFonts w:ascii="Garamond" w:eastAsia="Times New Roman" w:hAnsi="Garamond"/>
          <w:color w:val="auto"/>
          <w:kern w:val="36"/>
          <w:sz w:val="20"/>
          <w:szCs w:val="20"/>
          <w:lang w:eastAsia="en-GB"/>
        </w:rPr>
        <w:t> </w:t>
      </w:r>
      <w:proofErr w:type="spellStart"/>
      <w:r w:rsidRPr="00C06EC8">
        <w:rPr>
          <w:rFonts w:ascii="Garamond" w:eastAsia="Times New Roman" w:hAnsi="Garamond"/>
          <w:color w:val="auto"/>
          <w:kern w:val="36"/>
          <w:sz w:val="20"/>
          <w:szCs w:val="20"/>
          <w:lang w:eastAsia="en-GB"/>
        </w:rPr>
        <w:t>31992L0013</w:t>
      </w:r>
      <w:proofErr w:type="spellEnd"/>
      <w:r w:rsidRPr="00C06EC8">
        <w:rPr>
          <w:rFonts w:ascii="Garamond" w:eastAsia="Times New Roman" w:hAnsi="Garamond"/>
          <w:color w:val="auto"/>
          <w:kern w:val="36"/>
          <w:sz w:val="20"/>
          <w:szCs w:val="20"/>
          <w:lang w:eastAsia="en-GB"/>
        </w:rPr>
        <w:t>, Fletorja Zyrtare e Bashkimit Evropian, seria L, nr.</w:t>
      </w:r>
      <w:r>
        <w:rPr>
          <w:rFonts w:ascii="Garamond" w:eastAsia="Times New Roman" w:hAnsi="Garamond"/>
          <w:color w:val="auto"/>
          <w:kern w:val="36"/>
          <w:sz w:val="20"/>
          <w:szCs w:val="20"/>
          <w:lang w:eastAsia="en-GB"/>
        </w:rPr>
        <w:t xml:space="preserve"> </w:t>
      </w:r>
      <w:r w:rsidRPr="00C06EC8">
        <w:rPr>
          <w:rFonts w:ascii="Garamond" w:eastAsia="Times New Roman" w:hAnsi="Garamond"/>
          <w:color w:val="auto"/>
          <w:kern w:val="36"/>
          <w:sz w:val="20"/>
          <w:szCs w:val="20"/>
          <w:lang w:eastAsia="en-GB"/>
        </w:rPr>
        <w:t>76, datë 23.3.1992, faqe 14</w:t>
      </w:r>
      <w:r>
        <w:rPr>
          <w:rFonts w:ascii="Garamond" w:eastAsia="Times New Roman" w:hAnsi="Garamond"/>
          <w:color w:val="auto"/>
          <w:kern w:val="36"/>
          <w:sz w:val="20"/>
          <w:szCs w:val="20"/>
          <w:lang w:eastAsia="en-GB"/>
        </w:rPr>
        <w:t>–</w:t>
      </w:r>
      <w:r w:rsidRPr="00C06EC8">
        <w:rPr>
          <w:rFonts w:ascii="Garamond" w:eastAsia="Times New Roman" w:hAnsi="Garamond"/>
          <w:color w:val="auto"/>
          <w:kern w:val="36"/>
          <w:sz w:val="20"/>
          <w:szCs w:val="20"/>
          <w:lang w:eastAsia="en-GB"/>
        </w:rPr>
        <w:t>20.</w:t>
      </w:r>
    </w:p>
    <w:p w14:paraId="4BF65209" w14:textId="77777777" w:rsidR="00C06EC8" w:rsidRPr="00C06EC8" w:rsidRDefault="00C06EC8" w:rsidP="00983EF8">
      <w:pPr>
        <w:pStyle w:val="FootnoteText"/>
        <w:rPr>
          <w:rFonts w:ascii="Garamond" w:hAnsi="Garamond"/>
          <w:lang w:val="sq-AL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C15C0F"/>
    <w:multiLevelType w:val="hybridMultilevel"/>
    <w:tmpl w:val="CAA846D2"/>
    <w:lvl w:ilvl="0" w:tplc="710684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EF8"/>
    <w:rsid w:val="000B6756"/>
    <w:rsid w:val="00152A61"/>
    <w:rsid w:val="002C3D59"/>
    <w:rsid w:val="003C3138"/>
    <w:rsid w:val="00643601"/>
    <w:rsid w:val="007D39B1"/>
    <w:rsid w:val="00875018"/>
    <w:rsid w:val="00983EF8"/>
    <w:rsid w:val="00C06EC8"/>
    <w:rsid w:val="00C213F4"/>
    <w:rsid w:val="00E27436"/>
    <w:rsid w:val="00E838E3"/>
    <w:rsid w:val="00F40590"/>
    <w:rsid w:val="00FD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651DB"/>
  <w15:docId w15:val="{241035FD-009B-473C-B97F-7F09B0396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983EF8"/>
    <w:pPr>
      <w:keepNext/>
      <w:keepLines/>
      <w:autoSpaceDE w:val="0"/>
      <w:autoSpaceDN w:val="0"/>
      <w:adjustRightInd w:val="0"/>
      <w:spacing w:before="240" w:line="440" w:lineRule="atLeast"/>
      <w:outlineLvl w:val="0"/>
    </w:pPr>
    <w:rPr>
      <w:rFonts w:ascii="Times New Roman" w:hAnsi="Times New Roman" w:cs="Times New Roman"/>
      <w:color w:val="000000"/>
      <w:sz w:val="32"/>
      <w:szCs w:val="32"/>
      <w:lang w:val="sq-AL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83EF8"/>
    <w:pPr>
      <w:keepNext/>
      <w:autoSpaceDE w:val="0"/>
      <w:autoSpaceDN w:val="0"/>
      <w:adjustRightInd w:val="0"/>
      <w:spacing w:line="330" w:lineRule="atLeast"/>
      <w:jc w:val="right"/>
      <w:outlineLvl w:val="1"/>
    </w:pPr>
    <w:rPr>
      <w:rFonts w:ascii="Times New Roman" w:hAnsi="Times New Roman" w:cs="Times New Roman"/>
      <w:b/>
      <w:bCs/>
      <w:color w:val="000000"/>
      <w:sz w:val="24"/>
      <w:szCs w:val="24"/>
      <w:u w:val="single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83EF8"/>
    <w:rPr>
      <w:rFonts w:ascii="Times New Roman" w:hAnsi="Times New Roman" w:cs="Times New Roman"/>
      <w:color w:val="000000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9"/>
    <w:rsid w:val="00983EF8"/>
    <w:rPr>
      <w:rFonts w:ascii="Times New Roman" w:hAnsi="Times New Roman" w:cs="Times New Roman"/>
      <w:b/>
      <w:bCs/>
      <w:color w:val="000000"/>
      <w:sz w:val="24"/>
      <w:szCs w:val="24"/>
      <w:u w:val="single"/>
      <w:lang w:val="sq-AL"/>
    </w:rPr>
  </w:style>
  <w:style w:type="paragraph" w:customStyle="1" w:styleId="Normal0">
    <w:name w:val="[Normal]"/>
    <w:rsid w:val="00983E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rsid w:val="00983EF8"/>
    <w:pPr>
      <w:tabs>
        <w:tab w:val="center" w:pos="4320"/>
        <w:tab w:val="right" w:pos="8640"/>
      </w:tabs>
      <w:autoSpaceDE w:val="0"/>
      <w:autoSpaceDN w:val="0"/>
      <w:adjustRightInd w:val="0"/>
      <w:spacing w:line="330" w:lineRule="atLeast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983EF8"/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ListParagraph">
    <w:name w:val="List Paragraph"/>
    <w:aliases w:val="Citation List,Ak,Akapit z listą BS,List Paragraph1,Bullet1,Bullets,List Paragraph (numbered (a)),Report Para,Number Bullets,WinDForce-Letter,Heading 2_sj,En tête 1,Resume Title,Indent Paragraph,References,MC Paragraphe Liste"/>
    <w:basedOn w:val="Normal"/>
    <w:link w:val="ListParagraphChar"/>
    <w:uiPriority w:val="1"/>
    <w:qFormat/>
    <w:rsid w:val="00983EF8"/>
    <w:pPr>
      <w:autoSpaceDE w:val="0"/>
      <w:autoSpaceDN w:val="0"/>
      <w:adjustRightInd w:val="0"/>
      <w:spacing w:line="302" w:lineRule="atLeast"/>
      <w:ind w:left="720"/>
    </w:pPr>
    <w:rPr>
      <w:rFonts w:ascii="Times New Roman" w:hAnsi="Times New Roman" w:cs="Times New Roman"/>
      <w:color w:val="000000"/>
      <w:lang w:val="sq-AL"/>
    </w:rPr>
  </w:style>
  <w:style w:type="paragraph" w:styleId="NoSpacing">
    <w:name w:val="No Spacing"/>
    <w:uiPriority w:val="99"/>
    <w:qFormat/>
    <w:rsid w:val="00983E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unhideWhenUsed/>
    <w:rsid w:val="00983E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83EF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83EF8"/>
    <w:rPr>
      <w:vertAlign w:val="superscript"/>
    </w:rPr>
  </w:style>
  <w:style w:type="character" w:customStyle="1" w:styleId="ListParagraphChar">
    <w:name w:val="List Paragraph Char"/>
    <w:aliases w:val="Citation List Char,Ak Char,Akapit z listą BS Char,List Paragraph1 Char,Bullet1 Char,Bullets Char,List Paragraph (numbered (a)) Char,Report Para Char,Number Bullets Char,WinDForce-Letter Char,Heading 2_sj Char,En tête 1 Char"/>
    <w:basedOn w:val="DefaultParagraphFont"/>
    <w:link w:val="ListParagraph"/>
    <w:uiPriority w:val="1"/>
    <w:qFormat/>
    <w:locked/>
    <w:rsid w:val="00983EF8"/>
    <w:rPr>
      <w:rFonts w:ascii="Times New Roman" w:hAnsi="Times New Roman" w:cs="Times New Roman"/>
      <w:color w:val="00000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8750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5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6ACFC1AA7541CD8BEB0EC5CEBF7D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486</Nr_x002e__x0020_akti>
    <Data_x0020_e_x0020_Krijimit xmlns="0e656187-b300-4fb0-8bf4-3a50f872073c">2022-07-29T07:00:10Z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2022-07-21T22:00:00Z</Date_x0020_protokolli>
    <Titulli xmlns="0e656187-b300-4fb0-8bf4-3a50f872073c">Për përcaktimin e rregullave për pavlefshmërinë e kontratave të prokurimit publik</Titulli>
    <Modifikuesi xmlns="0e656187-b300-4fb0-8bf4-3a50f872073c">ermira.bukaci</Modifikuesi>
    <Nr_x002e__x0020_prot_x0020_QBZ xmlns="0e656187-b300-4fb0-8bf4-3a50f872073c">1164</Nr_x002e__x0020_prot_x0020_QBZ>
    <Data_x0020_e_x0020_Modifikimit xmlns="0e656187-b300-4fb0-8bf4-3a50f872073c">2022-08-01T07:52:37Z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3430/4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6ACFC1AA7541CD8BEB0EC5CEBF7D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A532D-F7DE-4620-A2D4-A45032E21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BC2220E-B179-4368-A0EE-A6A6BFEA9A2C}">
  <ds:schemaRefs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AA2FB6E-23FD-48FA-A369-52D7BA4C89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5F6B3B-922F-414B-AA95-00666C2FD7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2FCF75-CE70-4647-B2BB-9AC352F43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CD8A86-6B74-47A1-9A56-14A7122F6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2022-08-01T07:54:00Z</dcterms:created>
  <dcterms:modified xsi:type="dcterms:W3CDTF">2022-08-01T09:17:00Z</dcterms:modified>
</cp:coreProperties>
</file>