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AB9B70" w14:textId="77777777" w:rsidR="00C11024" w:rsidRPr="00564F7F" w:rsidRDefault="00A15F8B">
      <w:pPr>
        <w:ind w:firstLine="284"/>
        <w:jc w:val="center"/>
        <w:rPr>
          <w:rFonts w:ascii="Garamond" w:hAnsi="Garamond" w:cs="Calibri"/>
          <w:b/>
          <w:sz w:val="24"/>
          <w:szCs w:val="24"/>
          <w:lang w:val="sq-AL"/>
        </w:rPr>
      </w:pPr>
      <w:r w:rsidRPr="00564F7F">
        <w:rPr>
          <w:rFonts w:ascii="Garamond" w:hAnsi="Garamond" w:cs="Calibri"/>
          <w:b/>
          <w:sz w:val="24"/>
          <w:szCs w:val="24"/>
          <w:lang w:val="sq-AL"/>
        </w:rPr>
        <w:t>VENDIM</w:t>
      </w:r>
    </w:p>
    <w:p w14:paraId="13AB9B71" w14:textId="290F516D" w:rsidR="00C11024" w:rsidRPr="00564F7F" w:rsidRDefault="00A15F8B">
      <w:pPr>
        <w:ind w:firstLine="284"/>
        <w:jc w:val="center"/>
        <w:rPr>
          <w:rFonts w:ascii="Garamond" w:hAnsi="Garamond" w:cs="Calibri"/>
          <w:b/>
          <w:sz w:val="24"/>
          <w:szCs w:val="24"/>
          <w:lang w:val="sq-AL"/>
        </w:rPr>
      </w:pPr>
      <w:r w:rsidRPr="00564F7F">
        <w:rPr>
          <w:rFonts w:ascii="Garamond" w:hAnsi="Garamond" w:cs="Calibri"/>
          <w:b/>
          <w:sz w:val="24"/>
          <w:szCs w:val="24"/>
          <w:lang w:val="sq-AL"/>
        </w:rPr>
        <w:t>Nr. 523, datë</w:t>
      </w:r>
      <w:r w:rsidR="00564F7F" w:rsidRPr="00564F7F">
        <w:rPr>
          <w:rFonts w:ascii="Garamond" w:hAnsi="Garamond" w:cs="Calibri"/>
          <w:b/>
          <w:sz w:val="24"/>
          <w:szCs w:val="24"/>
          <w:lang w:val="sq-AL"/>
        </w:rPr>
        <w:t xml:space="preserve"> </w:t>
      </w:r>
      <w:r w:rsidRPr="00564F7F">
        <w:rPr>
          <w:rFonts w:ascii="Garamond" w:hAnsi="Garamond" w:cs="Calibri"/>
          <w:b/>
          <w:sz w:val="24"/>
          <w:szCs w:val="24"/>
          <w:lang w:val="sq-AL"/>
        </w:rPr>
        <w:t>29.7.2022</w:t>
      </w:r>
    </w:p>
    <w:p w14:paraId="13AB9B72" w14:textId="77777777" w:rsidR="00C11024" w:rsidRPr="00564F7F" w:rsidRDefault="00C11024">
      <w:pPr>
        <w:ind w:firstLine="284"/>
        <w:jc w:val="center"/>
        <w:rPr>
          <w:rFonts w:ascii="Garamond" w:hAnsi="Garamond" w:cs="Calibri"/>
          <w:b/>
          <w:sz w:val="24"/>
          <w:szCs w:val="24"/>
          <w:lang w:val="sq-AL"/>
        </w:rPr>
      </w:pPr>
    </w:p>
    <w:p w14:paraId="13AB9B73" w14:textId="4046B73F" w:rsidR="00C11024" w:rsidRPr="00564F7F" w:rsidRDefault="00A15F8B">
      <w:pPr>
        <w:ind w:firstLine="284"/>
        <w:jc w:val="center"/>
        <w:rPr>
          <w:lang w:val="sq-AL"/>
        </w:rPr>
      </w:pPr>
      <w:r w:rsidRPr="00564F7F">
        <w:rPr>
          <w:rFonts w:ascii="Garamond" w:eastAsia="Calibri" w:hAnsi="Garamond" w:cs="Calibri"/>
          <w:b/>
          <w:sz w:val="24"/>
          <w:szCs w:val="24"/>
          <w:lang w:val="sq-AL"/>
        </w:rPr>
        <w:t xml:space="preserve">PËR </w:t>
      </w:r>
      <w:r w:rsidRPr="00564F7F">
        <w:rPr>
          <w:rFonts w:ascii="Garamond" w:hAnsi="Garamond" w:cs="Calibri"/>
          <w:b/>
          <w:sz w:val="24"/>
          <w:szCs w:val="24"/>
          <w:lang w:val="sq-AL"/>
        </w:rPr>
        <w:t>NJË SHTESË NË VENDIMIN NR.</w:t>
      </w:r>
      <w:r w:rsidR="00564F7F">
        <w:rPr>
          <w:rFonts w:ascii="Garamond" w:hAnsi="Garamond" w:cs="Calibri"/>
          <w:b/>
          <w:sz w:val="24"/>
          <w:szCs w:val="24"/>
          <w:lang w:val="sq-AL"/>
        </w:rPr>
        <w:t xml:space="preserve"> </w:t>
      </w:r>
      <w:r w:rsidRPr="00564F7F">
        <w:rPr>
          <w:rFonts w:ascii="Garamond" w:hAnsi="Garamond" w:cs="Calibri"/>
          <w:b/>
          <w:sz w:val="24"/>
          <w:szCs w:val="24"/>
          <w:lang w:val="sq-AL"/>
        </w:rPr>
        <w:t>1040, DATË 25.11.2020, TË KËSHILLIT TË MINISTRAVE, “PËR PËRCAKTIMIN E RREGULLAVE TË ZBATIMIT TË KRITEREVE TË LEGALIZIMIT DHE MIRATIMIN E MODELIT TË AKTIT TË LEGALIZIMIT PËR NDËRTIMET PA LEJE”</w:t>
      </w:r>
    </w:p>
    <w:p w14:paraId="13AB9B74" w14:textId="77777777" w:rsidR="00C11024" w:rsidRPr="00564F7F" w:rsidRDefault="00C11024">
      <w:pPr>
        <w:ind w:firstLine="284"/>
        <w:jc w:val="both"/>
        <w:rPr>
          <w:rFonts w:ascii="Garamond" w:hAnsi="Garamond" w:cs="Calibri"/>
          <w:sz w:val="24"/>
          <w:szCs w:val="24"/>
          <w:lang w:val="sq-AL"/>
        </w:rPr>
      </w:pPr>
    </w:p>
    <w:p w14:paraId="13AB9B75" w14:textId="74885D24" w:rsidR="00C11024" w:rsidRPr="00564F7F" w:rsidRDefault="00A15F8B">
      <w:pPr>
        <w:ind w:firstLine="284"/>
        <w:jc w:val="both"/>
        <w:rPr>
          <w:lang w:val="sq-AL"/>
        </w:rPr>
      </w:pPr>
      <w:r w:rsidRPr="00564F7F">
        <w:rPr>
          <w:rFonts w:ascii="Garamond" w:eastAsia="MS Mincho" w:hAnsi="Garamond" w:cs="Calibri"/>
          <w:sz w:val="24"/>
          <w:szCs w:val="24"/>
          <w:lang w:val="sq-AL"/>
        </w:rPr>
        <w:t>Në mbështetje të nenit 100 të Kushtetutës dhe të neneve 18, pika 4, e 21, pika 3, të ligjit nr.</w:t>
      </w:r>
      <w:r w:rsidR="00564F7F">
        <w:rPr>
          <w:rFonts w:ascii="Garamond" w:eastAsia="MS Mincho" w:hAnsi="Garamond" w:cs="Calibri"/>
          <w:sz w:val="24"/>
          <w:szCs w:val="24"/>
          <w:lang w:val="sq-AL"/>
        </w:rPr>
        <w:t xml:space="preserve"> </w:t>
      </w:r>
      <w:r w:rsidRPr="00564F7F">
        <w:rPr>
          <w:rFonts w:ascii="Garamond" w:eastAsia="MS Mincho" w:hAnsi="Garamond" w:cs="Calibri"/>
          <w:sz w:val="24"/>
          <w:szCs w:val="24"/>
          <w:lang w:val="sq-AL"/>
        </w:rPr>
        <w:t xml:space="preserve">20/2020, </w:t>
      </w:r>
      <w:r w:rsidRPr="00564F7F">
        <w:rPr>
          <w:rFonts w:ascii="Garamond" w:hAnsi="Garamond" w:cs="Calibri"/>
          <w:sz w:val="24"/>
          <w:szCs w:val="24"/>
          <w:lang w:val="sq-AL"/>
        </w:rPr>
        <w:t>“</w:t>
      </w:r>
      <w:r w:rsidRPr="00564F7F">
        <w:rPr>
          <w:rFonts w:ascii="Garamond" w:eastAsia="MS Mincho" w:hAnsi="Garamond" w:cs="Calibri"/>
          <w:sz w:val="24"/>
          <w:szCs w:val="24"/>
          <w:lang w:val="sq-AL"/>
        </w:rPr>
        <w:t>Për përfundimin e proceseve kalimtare të pronësisë në Republikën e Shqipërisë”</w:t>
      </w:r>
      <w:r w:rsidRPr="00564F7F">
        <w:rPr>
          <w:rFonts w:ascii="Garamond" w:hAnsi="Garamond" w:cs="Calibri"/>
          <w:sz w:val="24"/>
          <w:szCs w:val="24"/>
          <w:lang w:val="sq-AL"/>
        </w:rPr>
        <w:t>,</w:t>
      </w:r>
      <w:r w:rsidRPr="00564F7F">
        <w:rPr>
          <w:rFonts w:ascii="Garamond" w:eastAsia="MS Mincho" w:hAnsi="Garamond" w:cs="Calibri"/>
          <w:sz w:val="24"/>
          <w:szCs w:val="24"/>
          <w:lang w:val="sq-AL"/>
        </w:rPr>
        <w:t xml:space="preserve"> me propozimin e Kryeministrit, Këshilli i Ministrave</w:t>
      </w:r>
    </w:p>
    <w:p w14:paraId="13AB9B76" w14:textId="77777777" w:rsidR="00C11024" w:rsidRPr="00564F7F" w:rsidRDefault="00C11024">
      <w:pPr>
        <w:ind w:firstLine="284"/>
        <w:jc w:val="both"/>
        <w:rPr>
          <w:rFonts w:ascii="Garamond" w:eastAsia="MS Mincho" w:hAnsi="Garamond" w:cs="Calibri"/>
          <w:sz w:val="24"/>
          <w:szCs w:val="24"/>
          <w:lang w:val="sq-AL"/>
        </w:rPr>
      </w:pPr>
    </w:p>
    <w:p w14:paraId="13AB9B77" w14:textId="77777777" w:rsidR="00C11024" w:rsidRPr="00564F7F" w:rsidRDefault="00A15F8B">
      <w:pPr>
        <w:ind w:firstLine="284"/>
        <w:jc w:val="center"/>
        <w:rPr>
          <w:rFonts w:ascii="Garamond" w:hAnsi="Garamond" w:cs="Calibri"/>
          <w:sz w:val="24"/>
          <w:szCs w:val="24"/>
          <w:lang w:val="sq-AL"/>
        </w:rPr>
      </w:pPr>
      <w:r w:rsidRPr="00564F7F">
        <w:rPr>
          <w:rFonts w:ascii="Garamond" w:hAnsi="Garamond" w:cs="Calibri"/>
          <w:sz w:val="24"/>
          <w:szCs w:val="24"/>
          <w:lang w:val="sq-AL"/>
        </w:rPr>
        <w:t>VENDOSI:</w:t>
      </w:r>
    </w:p>
    <w:p w14:paraId="13AB9B78" w14:textId="77777777" w:rsidR="00C11024" w:rsidRPr="00564F7F" w:rsidRDefault="00C11024">
      <w:pPr>
        <w:ind w:firstLine="284"/>
        <w:jc w:val="both"/>
        <w:rPr>
          <w:rFonts w:ascii="Garamond" w:hAnsi="Garamond" w:cs="Calibri"/>
          <w:sz w:val="24"/>
          <w:szCs w:val="24"/>
          <w:lang w:val="sq-AL"/>
        </w:rPr>
      </w:pPr>
    </w:p>
    <w:p w14:paraId="13AB9B79" w14:textId="5599F16D" w:rsidR="00C11024" w:rsidRPr="00564F7F" w:rsidRDefault="00A15F8B">
      <w:pPr>
        <w:ind w:firstLine="284"/>
        <w:jc w:val="both"/>
        <w:rPr>
          <w:rFonts w:ascii="Garamond" w:hAnsi="Garamond" w:cs="Calibri"/>
          <w:sz w:val="24"/>
          <w:szCs w:val="24"/>
          <w:lang w:val="sq-AL"/>
        </w:rPr>
      </w:pPr>
      <w:r w:rsidRPr="00564F7F">
        <w:rPr>
          <w:rFonts w:ascii="Garamond" w:hAnsi="Garamond" w:cs="Calibri"/>
          <w:sz w:val="24"/>
          <w:szCs w:val="24"/>
          <w:lang w:val="sq-AL"/>
        </w:rPr>
        <w:t>1. Pas</w:t>
      </w:r>
      <w:r w:rsidR="00564F7F">
        <w:rPr>
          <w:rFonts w:ascii="Garamond" w:hAnsi="Garamond" w:cs="Calibri"/>
          <w:sz w:val="24"/>
          <w:szCs w:val="24"/>
          <w:lang w:val="sq-AL"/>
        </w:rPr>
        <w:t xml:space="preserve"> pikës 2.1</w:t>
      </w:r>
      <w:r w:rsidRPr="00564F7F">
        <w:rPr>
          <w:rFonts w:ascii="Garamond" w:hAnsi="Garamond" w:cs="Calibri"/>
          <w:sz w:val="24"/>
          <w:szCs w:val="24"/>
          <w:lang w:val="sq-AL"/>
        </w:rPr>
        <w:t xml:space="preserve"> të vendimit </w:t>
      </w:r>
      <w:bookmarkStart w:id="0" w:name="_Hlk72329301"/>
      <w:r w:rsidRPr="00564F7F">
        <w:rPr>
          <w:rFonts w:ascii="Garamond" w:hAnsi="Garamond" w:cs="Calibri"/>
          <w:sz w:val="24"/>
          <w:szCs w:val="24"/>
          <w:lang w:val="sq-AL"/>
        </w:rPr>
        <w:t>nr.</w:t>
      </w:r>
      <w:r w:rsidR="005D0083">
        <w:rPr>
          <w:rFonts w:ascii="Garamond" w:hAnsi="Garamond" w:cs="Calibri"/>
          <w:sz w:val="24"/>
          <w:szCs w:val="24"/>
          <w:lang w:val="sq-AL"/>
        </w:rPr>
        <w:t xml:space="preserve"> </w:t>
      </w:r>
      <w:r w:rsidRPr="00564F7F">
        <w:rPr>
          <w:rFonts w:ascii="Garamond" w:hAnsi="Garamond" w:cs="Calibri"/>
          <w:sz w:val="24"/>
          <w:szCs w:val="24"/>
          <w:lang w:val="sq-AL"/>
        </w:rPr>
        <w:t>1040, datë 25.11.2020</w:t>
      </w:r>
      <w:bookmarkEnd w:id="0"/>
      <w:r w:rsidRPr="00564F7F">
        <w:rPr>
          <w:rFonts w:ascii="Garamond" w:hAnsi="Garamond" w:cs="Calibri"/>
          <w:sz w:val="24"/>
          <w:szCs w:val="24"/>
          <w:lang w:val="sq-AL"/>
        </w:rPr>
        <w:t>, të Këshillit të Ministrave, “Për përcaktimin e rregullave të zbatimit të kritereve të legalizimit dhe miratimin e modelit të aktit të legalizimit për n</w:t>
      </w:r>
      <w:bookmarkStart w:id="1" w:name="_Hlk72330486"/>
      <w:r w:rsidRPr="00564F7F">
        <w:rPr>
          <w:rFonts w:ascii="Garamond" w:hAnsi="Garamond" w:cs="Calibri"/>
          <w:sz w:val="24"/>
          <w:szCs w:val="24"/>
          <w:lang w:val="sq-AL"/>
        </w:rPr>
        <w:t>dërtimet pa leje”, shtohet</w:t>
      </w:r>
      <w:r w:rsidR="00564F7F" w:rsidRPr="00564F7F">
        <w:rPr>
          <w:rFonts w:ascii="Garamond" w:hAnsi="Garamond" w:cs="Calibri"/>
          <w:sz w:val="24"/>
          <w:szCs w:val="24"/>
          <w:lang w:val="sq-AL"/>
        </w:rPr>
        <w:t xml:space="preserve"> </w:t>
      </w:r>
      <w:r w:rsidRPr="00564F7F">
        <w:rPr>
          <w:rFonts w:ascii="Garamond" w:hAnsi="Garamond" w:cs="Calibri"/>
          <w:sz w:val="24"/>
          <w:szCs w:val="24"/>
          <w:lang w:val="sq-AL"/>
        </w:rPr>
        <w:t>pika 2.2, me këtë përmbajtje:</w:t>
      </w:r>
    </w:p>
    <w:bookmarkEnd w:id="1"/>
    <w:p w14:paraId="13AB9B7A" w14:textId="0DCFB9E5" w:rsidR="00C11024" w:rsidRPr="005D0083" w:rsidRDefault="00A15F8B" w:rsidP="005D0083">
      <w:pPr>
        <w:ind w:firstLine="284"/>
        <w:jc w:val="both"/>
        <w:rPr>
          <w:rFonts w:ascii="Garamond" w:hAnsi="Garamond" w:cs="Calibri"/>
          <w:i/>
          <w:iCs/>
          <w:sz w:val="24"/>
          <w:szCs w:val="24"/>
          <w:lang w:val="sq-AL"/>
        </w:rPr>
      </w:pPr>
      <w:r w:rsidRPr="00564F7F">
        <w:rPr>
          <w:rFonts w:ascii="Garamond" w:hAnsi="Garamond" w:cs="Calibri"/>
          <w:sz w:val="24"/>
          <w:szCs w:val="24"/>
          <w:lang w:val="sq-AL"/>
        </w:rPr>
        <w:t xml:space="preserve">“2.2 Ndërtimi pa leje i ngritur dhe i deklaruar nga </w:t>
      </w:r>
      <w:bookmarkStart w:id="2" w:name="_Hlk109720423"/>
      <w:r w:rsidRPr="00564F7F">
        <w:rPr>
          <w:rFonts w:ascii="Garamond" w:hAnsi="Garamond" w:cs="Calibri"/>
          <w:sz w:val="24"/>
          <w:szCs w:val="24"/>
          <w:lang w:val="sq-AL"/>
        </w:rPr>
        <w:t>institucioni shtetëror qendror/njësia e vetëqeverisjes vendore</w:t>
      </w:r>
      <w:bookmarkEnd w:id="2"/>
      <w:r w:rsidRPr="00564F7F">
        <w:rPr>
          <w:rFonts w:ascii="Garamond" w:hAnsi="Garamond" w:cs="Calibri"/>
          <w:sz w:val="24"/>
          <w:szCs w:val="24"/>
          <w:lang w:val="sq-AL"/>
        </w:rPr>
        <w:t xml:space="preserve">, në funksion të zhvillimit të veprimtarisë së tij/saj, legalizohet pa iu nënshtruar kritereve të legalizimit të parashikuara në këtë vendim. Për ndërtimin pa leje, për të cilin nuk është paraqitur më parë kërkesë, kërkesa paraqitet nëpërmjet platformës unike qeveritare </w:t>
      </w:r>
      <w:r w:rsidRPr="005D0083">
        <w:rPr>
          <w:rFonts w:ascii="Garamond" w:hAnsi="Garamond" w:cs="Calibri"/>
          <w:i/>
          <w:iCs/>
          <w:sz w:val="24"/>
          <w:szCs w:val="24"/>
          <w:lang w:val="sq-AL"/>
        </w:rPr>
        <w:t>“e-Albania”.</w:t>
      </w:r>
    </w:p>
    <w:p w14:paraId="13AB9B7B" w14:textId="77777777" w:rsidR="00C11024" w:rsidRPr="00564F7F" w:rsidRDefault="00A15F8B">
      <w:pPr>
        <w:ind w:firstLine="284"/>
        <w:jc w:val="both"/>
        <w:rPr>
          <w:rFonts w:ascii="Garamond" w:hAnsi="Garamond" w:cs="Calibri"/>
          <w:sz w:val="24"/>
          <w:szCs w:val="24"/>
          <w:lang w:val="sq-AL"/>
        </w:rPr>
      </w:pPr>
      <w:r w:rsidRPr="00564F7F">
        <w:rPr>
          <w:rFonts w:ascii="Garamond" w:hAnsi="Garamond" w:cs="Calibri"/>
          <w:sz w:val="24"/>
          <w:szCs w:val="24"/>
          <w:lang w:val="sq-AL"/>
        </w:rPr>
        <w:t>Në funksion të procedurave të legalizimit, institucioni shtetëror qendror/njësia e vetëqeverisjes vendore dorëzon pranë ASHK-së dokumentacionin ligjor, teknik e financiar, që disponon në lidhje me ndërtimin. Pronësia për ndërtimin dhe truallin rregullohet në përputhje me legjislacionin për pronat e paluajtshme të shtetit.”.</w:t>
      </w:r>
    </w:p>
    <w:p w14:paraId="13AB9B7C" w14:textId="3047DEC1" w:rsidR="00C11024" w:rsidRPr="00564F7F" w:rsidRDefault="00382D62">
      <w:pPr>
        <w:ind w:firstLine="284"/>
        <w:jc w:val="both"/>
        <w:rPr>
          <w:rFonts w:ascii="Garamond" w:hAnsi="Garamond" w:cs="Calibri"/>
          <w:sz w:val="24"/>
          <w:szCs w:val="24"/>
          <w:lang w:val="sq-AL"/>
        </w:rPr>
      </w:pPr>
      <w:r>
        <w:rPr>
          <w:rFonts w:ascii="Garamond" w:hAnsi="Garamond" w:cs="Calibri"/>
          <w:sz w:val="24"/>
          <w:szCs w:val="24"/>
          <w:lang w:val="sq-AL"/>
        </w:rPr>
        <w:t xml:space="preserve">2. </w:t>
      </w:r>
      <w:bookmarkStart w:id="3" w:name="_GoBack"/>
      <w:bookmarkEnd w:id="3"/>
      <w:r w:rsidR="00A15F8B" w:rsidRPr="00564F7F">
        <w:rPr>
          <w:rFonts w:ascii="Garamond" w:hAnsi="Garamond" w:cs="Calibri"/>
          <w:sz w:val="24"/>
          <w:szCs w:val="24"/>
          <w:lang w:val="sq-AL"/>
        </w:rPr>
        <w:t>Ngarkohen Agjencia Shtetërore e Kadastrës, institucionet shtetërore qendrore dhe njësitë e vetëqeverisjes vendore për zbatimin e këtij vendimi.</w:t>
      </w:r>
    </w:p>
    <w:p w14:paraId="13AB9B7D" w14:textId="77777777" w:rsidR="00C11024" w:rsidRPr="00564F7F" w:rsidRDefault="00A15F8B">
      <w:pPr>
        <w:ind w:firstLine="284"/>
        <w:jc w:val="both"/>
        <w:rPr>
          <w:rFonts w:ascii="Garamond" w:hAnsi="Garamond" w:cs="Calibri"/>
          <w:sz w:val="24"/>
          <w:szCs w:val="24"/>
          <w:lang w:val="sq-AL"/>
        </w:rPr>
      </w:pPr>
      <w:r w:rsidRPr="00564F7F">
        <w:rPr>
          <w:rFonts w:ascii="Garamond" w:hAnsi="Garamond" w:cs="Calibri"/>
          <w:sz w:val="24"/>
          <w:szCs w:val="24"/>
          <w:lang w:val="sq-AL"/>
        </w:rPr>
        <w:t>Ky vendim hyn në fuqi pas botimit në Fletoren Zyrtare.</w:t>
      </w:r>
    </w:p>
    <w:p w14:paraId="13AB9B7E" w14:textId="77777777" w:rsidR="00C11024" w:rsidRPr="00564F7F" w:rsidRDefault="00C11024">
      <w:pPr>
        <w:ind w:firstLine="284"/>
        <w:jc w:val="both"/>
        <w:rPr>
          <w:rFonts w:ascii="Garamond" w:hAnsi="Garamond" w:cs="Calibri"/>
          <w:sz w:val="24"/>
          <w:szCs w:val="24"/>
          <w:lang w:val="sq-AL"/>
        </w:rPr>
      </w:pPr>
    </w:p>
    <w:p w14:paraId="13AB9B7F" w14:textId="77777777" w:rsidR="00C11024" w:rsidRPr="00564F7F" w:rsidRDefault="00A15F8B">
      <w:pPr>
        <w:ind w:firstLine="284"/>
        <w:jc w:val="right"/>
        <w:rPr>
          <w:rFonts w:ascii="Garamond" w:hAnsi="Garamond" w:cs="Calibri"/>
          <w:sz w:val="24"/>
          <w:szCs w:val="24"/>
          <w:lang w:val="sq-AL"/>
        </w:rPr>
      </w:pPr>
      <w:r w:rsidRPr="00564F7F">
        <w:rPr>
          <w:rFonts w:ascii="Garamond" w:hAnsi="Garamond" w:cs="Calibri"/>
          <w:sz w:val="24"/>
          <w:szCs w:val="24"/>
          <w:lang w:val="sq-AL"/>
        </w:rPr>
        <w:t>KRYEMINISTËR</w:t>
      </w:r>
    </w:p>
    <w:p w14:paraId="13AB9B80" w14:textId="77777777" w:rsidR="00C11024" w:rsidRPr="00564F7F" w:rsidRDefault="00A15F8B">
      <w:pPr>
        <w:ind w:firstLine="284"/>
        <w:jc w:val="right"/>
        <w:rPr>
          <w:rFonts w:ascii="Garamond" w:hAnsi="Garamond" w:cs="Calibri"/>
          <w:b/>
          <w:sz w:val="24"/>
          <w:szCs w:val="24"/>
          <w:lang w:val="sq-AL"/>
        </w:rPr>
      </w:pPr>
      <w:r w:rsidRPr="00564F7F">
        <w:rPr>
          <w:rFonts w:ascii="Garamond" w:hAnsi="Garamond" w:cs="Calibri"/>
          <w:b/>
          <w:sz w:val="24"/>
          <w:szCs w:val="24"/>
          <w:lang w:val="sq-AL"/>
        </w:rPr>
        <w:t>Edi Rama</w:t>
      </w:r>
    </w:p>
    <w:p w14:paraId="13AB9B81" w14:textId="77777777" w:rsidR="00C11024" w:rsidRPr="00564F7F" w:rsidRDefault="00C11024">
      <w:pPr>
        <w:pStyle w:val="Standard"/>
        <w:jc w:val="right"/>
        <w:rPr>
          <w:sz w:val="28"/>
          <w:szCs w:val="28"/>
          <w:lang w:val="sq-AL"/>
        </w:rPr>
      </w:pPr>
    </w:p>
    <w:sectPr w:rsidR="00C11024" w:rsidRPr="00564F7F">
      <w:footerReference w:type="default" r:id="rId13"/>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43FE22" w14:textId="77777777" w:rsidR="00382D62" w:rsidRDefault="00382D62">
      <w:r>
        <w:separator/>
      </w:r>
    </w:p>
  </w:endnote>
  <w:endnote w:type="continuationSeparator" w:id="0">
    <w:p w14:paraId="43C1B746" w14:textId="77777777" w:rsidR="00382D62" w:rsidRDefault="00382D62">
      <w:r>
        <w:continuationSeparator/>
      </w:r>
    </w:p>
  </w:endnote>
  <w:endnote w:type="continuationNotice" w:id="1">
    <w:p w14:paraId="27D24835" w14:textId="77777777" w:rsidR="00382D62" w:rsidRDefault="00382D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AB9B86" w14:textId="77777777" w:rsidR="00382D62" w:rsidRDefault="00382D62">
    <w:pPr>
      <w:pStyle w:val="Footer"/>
      <w:jc w:val="right"/>
    </w:pPr>
    <w:r>
      <w:rPr>
        <w:sz w:val="24"/>
      </w:rPr>
      <w:fldChar w:fldCharType="begin"/>
    </w:r>
    <w:r>
      <w:rPr>
        <w:sz w:val="24"/>
      </w:rPr>
      <w:instrText xml:space="preserve"> PAGE </w:instrText>
    </w:r>
    <w:r>
      <w:rPr>
        <w:sz w:val="24"/>
      </w:rPr>
      <w:fldChar w:fldCharType="separate"/>
    </w:r>
    <w:r w:rsidR="003B0FE5">
      <w:rPr>
        <w:noProof/>
        <w:sz w:val="24"/>
      </w:rPr>
      <w:t>1</w:t>
    </w:r>
    <w:r>
      <w:rPr>
        <w:sz w:val="24"/>
      </w:rPr>
      <w:fldChar w:fldCharType="end"/>
    </w:r>
  </w:p>
  <w:p w14:paraId="13AB9B87" w14:textId="77777777" w:rsidR="00382D62" w:rsidRDefault="00382D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6214E8" w14:textId="77777777" w:rsidR="00382D62" w:rsidRDefault="00382D62">
      <w:r>
        <w:rPr>
          <w:color w:val="000000"/>
        </w:rPr>
        <w:separator/>
      </w:r>
    </w:p>
  </w:footnote>
  <w:footnote w:type="continuationSeparator" w:id="0">
    <w:p w14:paraId="712D35B7" w14:textId="77777777" w:rsidR="00382D62" w:rsidRDefault="00382D62">
      <w:r>
        <w:continuationSeparator/>
      </w:r>
    </w:p>
  </w:footnote>
  <w:footnote w:type="continuationNotice" w:id="1">
    <w:p w14:paraId="404A26A6" w14:textId="77777777" w:rsidR="00382D62" w:rsidRDefault="00382D6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753E0"/>
    <w:multiLevelType w:val="multilevel"/>
    <w:tmpl w:val="ED9C2D60"/>
    <w:styleLink w:val="WWNum4"/>
    <w:lvl w:ilvl="0">
      <w:start w:val="1"/>
      <w:numFmt w:val="lowerLetter"/>
      <w:lvlText w:val="%1)"/>
      <w:lvlJc w:val="left"/>
      <w:pPr>
        <w:ind w:left="108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nsid w:val="08305911"/>
    <w:multiLevelType w:val="multilevel"/>
    <w:tmpl w:val="2E98D3E6"/>
    <w:styleLink w:val="WWNum18"/>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nsid w:val="167C455B"/>
    <w:multiLevelType w:val="multilevel"/>
    <w:tmpl w:val="0666C58E"/>
    <w:styleLink w:val="WWNum29"/>
    <w:lvl w:ilvl="0">
      <w:start w:val="1"/>
      <w:numFmt w:val="upperLetter"/>
      <w:lvlText w:val="%1."/>
      <w:lvlJc w:val="left"/>
      <w:pPr>
        <w:ind w:left="7560" w:hanging="360"/>
      </w:pPr>
    </w:lvl>
    <w:lvl w:ilvl="1">
      <w:start w:val="1"/>
      <w:numFmt w:val="lowerLetter"/>
      <w:lvlText w:val="%2."/>
      <w:lvlJc w:val="left"/>
      <w:pPr>
        <w:ind w:left="8280" w:hanging="360"/>
      </w:pPr>
    </w:lvl>
    <w:lvl w:ilvl="2">
      <w:start w:val="1"/>
      <w:numFmt w:val="lowerRoman"/>
      <w:lvlText w:val="%1.%2.%3."/>
      <w:lvlJc w:val="right"/>
      <w:pPr>
        <w:ind w:left="9000" w:hanging="180"/>
      </w:pPr>
    </w:lvl>
    <w:lvl w:ilvl="3">
      <w:start w:val="1"/>
      <w:numFmt w:val="decimal"/>
      <w:lvlText w:val="%1.%2.%3.%4."/>
      <w:lvlJc w:val="left"/>
      <w:pPr>
        <w:ind w:left="9720" w:hanging="360"/>
      </w:pPr>
    </w:lvl>
    <w:lvl w:ilvl="4">
      <w:start w:val="1"/>
      <w:numFmt w:val="lowerLetter"/>
      <w:lvlText w:val="%1.%2.%3.%4.%5."/>
      <w:lvlJc w:val="left"/>
      <w:pPr>
        <w:ind w:left="10440" w:hanging="360"/>
      </w:pPr>
    </w:lvl>
    <w:lvl w:ilvl="5">
      <w:start w:val="1"/>
      <w:numFmt w:val="lowerRoman"/>
      <w:lvlText w:val="%1.%2.%3.%4.%5.%6."/>
      <w:lvlJc w:val="right"/>
      <w:pPr>
        <w:ind w:left="11160" w:hanging="180"/>
      </w:pPr>
    </w:lvl>
    <w:lvl w:ilvl="6">
      <w:start w:val="1"/>
      <w:numFmt w:val="decimal"/>
      <w:lvlText w:val="%1.%2.%3.%4.%5.%6.%7."/>
      <w:lvlJc w:val="left"/>
      <w:pPr>
        <w:ind w:left="11880" w:hanging="360"/>
      </w:pPr>
    </w:lvl>
    <w:lvl w:ilvl="7">
      <w:start w:val="1"/>
      <w:numFmt w:val="lowerLetter"/>
      <w:lvlText w:val="%1.%2.%3.%4.%5.%6.%7.%8."/>
      <w:lvlJc w:val="left"/>
      <w:pPr>
        <w:ind w:left="12600" w:hanging="360"/>
      </w:pPr>
    </w:lvl>
    <w:lvl w:ilvl="8">
      <w:start w:val="1"/>
      <w:numFmt w:val="lowerRoman"/>
      <w:lvlText w:val="%1.%2.%3.%4.%5.%6.%7.%8.%9."/>
      <w:lvlJc w:val="right"/>
      <w:pPr>
        <w:ind w:left="13320" w:hanging="180"/>
      </w:pPr>
    </w:lvl>
  </w:abstractNum>
  <w:abstractNum w:abstractNumId="3">
    <w:nsid w:val="1A253CBD"/>
    <w:multiLevelType w:val="multilevel"/>
    <w:tmpl w:val="B9BAA290"/>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nsid w:val="1F7F136B"/>
    <w:multiLevelType w:val="multilevel"/>
    <w:tmpl w:val="4CC6B3E8"/>
    <w:styleLink w:val="WWNum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nsid w:val="25D87D77"/>
    <w:multiLevelType w:val="multilevel"/>
    <w:tmpl w:val="0522404A"/>
    <w:styleLink w:val="WWNum2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nsid w:val="26CF006B"/>
    <w:multiLevelType w:val="multilevel"/>
    <w:tmpl w:val="74B8133C"/>
    <w:styleLink w:val="WWNum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nsid w:val="2A941DC4"/>
    <w:multiLevelType w:val="multilevel"/>
    <w:tmpl w:val="410E2EBC"/>
    <w:styleLink w:val="WWNum12"/>
    <w:lvl w:ilvl="0">
      <w:start w:val="2"/>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nsid w:val="30834AB8"/>
    <w:multiLevelType w:val="multilevel"/>
    <w:tmpl w:val="6316B73A"/>
    <w:styleLink w:val="WWNum2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nsid w:val="324540D6"/>
    <w:multiLevelType w:val="multilevel"/>
    <w:tmpl w:val="3DC61E72"/>
    <w:styleLink w:val="WWNum16"/>
    <w:lvl w:ilvl="0">
      <w:start w:val="2"/>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0">
    <w:nsid w:val="32D262A0"/>
    <w:multiLevelType w:val="multilevel"/>
    <w:tmpl w:val="BFBE925C"/>
    <w:styleLink w:val="WWNum13"/>
    <w:lvl w:ilvl="0">
      <w:start w:val="2"/>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
    <w:nsid w:val="3AC971CB"/>
    <w:multiLevelType w:val="multilevel"/>
    <w:tmpl w:val="92A421C6"/>
    <w:styleLink w:val="WWNum1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nsid w:val="3C8032E3"/>
    <w:multiLevelType w:val="multilevel"/>
    <w:tmpl w:val="C4ACAEE0"/>
    <w:styleLink w:val="WWNum24"/>
    <w:lvl w:ilvl="0">
      <w:start w:val="1"/>
      <w:numFmt w:val="lowerLetter"/>
      <w:lvlText w:val="%1)"/>
      <w:lvlJc w:val="left"/>
      <w:pPr>
        <w:ind w:left="720" w:hanging="360"/>
      </w:pPr>
      <w:rPr>
        <w:u w:val="none"/>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nsid w:val="3D2A3DD7"/>
    <w:multiLevelType w:val="multilevel"/>
    <w:tmpl w:val="281AE540"/>
    <w:styleLink w:val="WWNum1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nsid w:val="410C1C87"/>
    <w:multiLevelType w:val="multilevel"/>
    <w:tmpl w:val="17BE570E"/>
    <w:styleLink w:val="WWNum6"/>
    <w:lvl w:ilvl="0">
      <w:start w:val="1"/>
      <w:numFmt w:val="decimal"/>
      <w:lvlText w:val="%1."/>
      <w:lvlJc w:val="left"/>
      <w:pPr>
        <w:ind w:left="360" w:hanging="360"/>
      </w:pPr>
    </w:lvl>
    <w:lvl w:ilvl="1">
      <w:start w:val="1"/>
      <w:numFmt w:val="decimal"/>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5">
    <w:nsid w:val="41342EEC"/>
    <w:multiLevelType w:val="multilevel"/>
    <w:tmpl w:val="7B26CDD8"/>
    <w:styleLink w:val="WWNum15"/>
    <w:lvl w:ilvl="0">
      <w:start w:val="2"/>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6">
    <w:nsid w:val="45324672"/>
    <w:multiLevelType w:val="multilevel"/>
    <w:tmpl w:val="902092CA"/>
    <w:styleLink w:val="WWNum1"/>
    <w:lvl w:ilvl="0">
      <w:start w:val="1"/>
      <w:numFmt w:val="decimal"/>
      <w:lvlText w:val="%1."/>
      <w:lvlJc w:val="left"/>
      <w:pPr>
        <w:ind w:left="720" w:hanging="360"/>
      </w:pPr>
      <w:rPr>
        <w:b/>
      </w:r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17">
    <w:nsid w:val="47FF5336"/>
    <w:multiLevelType w:val="multilevel"/>
    <w:tmpl w:val="31BEA85C"/>
    <w:styleLink w:val="WWNum2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8">
    <w:nsid w:val="5C4C086E"/>
    <w:multiLevelType w:val="multilevel"/>
    <w:tmpl w:val="2A72D4B8"/>
    <w:styleLink w:val="WWNum2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9">
    <w:nsid w:val="61CE72E1"/>
    <w:multiLevelType w:val="multilevel"/>
    <w:tmpl w:val="CA28F3C4"/>
    <w:styleLink w:val="WWNum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nsid w:val="67FB5A69"/>
    <w:multiLevelType w:val="multilevel"/>
    <w:tmpl w:val="7B96C448"/>
    <w:styleLink w:val="WWNum1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1">
    <w:nsid w:val="6A0F116E"/>
    <w:multiLevelType w:val="multilevel"/>
    <w:tmpl w:val="C85ABED8"/>
    <w:styleLink w:val="WWNum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2">
    <w:nsid w:val="6A4A79DF"/>
    <w:multiLevelType w:val="multilevel"/>
    <w:tmpl w:val="7BACE626"/>
    <w:styleLink w:val="WWNum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3">
    <w:nsid w:val="6EBC6544"/>
    <w:multiLevelType w:val="multilevel"/>
    <w:tmpl w:val="3C0A9868"/>
    <w:styleLink w:val="WWNum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4">
    <w:nsid w:val="742B6AF9"/>
    <w:multiLevelType w:val="multilevel"/>
    <w:tmpl w:val="51709962"/>
    <w:styleLink w:val="WWNum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5">
    <w:nsid w:val="74485199"/>
    <w:multiLevelType w:val="multilevel"/>
    <w:tmpl w:val="3792422C"/>
    <w:styleLink w:val="WWNum3"/>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6">
    <w:nsid w:val="74B22BFE"/>
    <w:multiLevelType w:val="multilevel"/>
    <w:tmpl w:val="D6DC71EC"/>
    <w:styleLink w:val="WWNum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nsid w:val="798A00C7"/>
    <w:multiLevelType w:val="multilevel"/>
    <w:tmpl w:val="F52C5546"/>
    <w:styleLink w:val="WWNum2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8">
    <w:nsid w:val="7E764B5A"/>
    <w:multiLevelType w:val="multilevel"/>
    <w:tmpl w:val="DE6C8788"/>
    <w:styleLink w:val="WWNum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16"/>
  </w:num>
  <w:num w:numId="2">
    <w:abstractNumId w:val="21"/>
  </w:num>
  <w:num w:numId="3">
    <w:abstractNumId w:val="25"/>
  </w:num>
  <w:num w:numId="4">
    <w:abstractNumId w:val="0"/>
  </w:num>
  <w:num w:numId="5">
    <w:abstractNumId w:val="4"/>
  </w:num>
  <w:num w:numId="6">
    <w:abstractNumId w:val="14"/>
  </w:num>
  <w:num w:numId="7">
    <w:abstractNumId w:val="3"/>
  </w:num>
  <w:num w:numId="8">
    <w:abstractNumId w:val="28"/>
  </w:num>
  <w:num w:numId="9">
    <w:abstractNumId w:val="24"/>
  </w:num>
  <w:num w:numId="10">
    <w:abstractNumId w:val="19"/>
  </w:num>
  <w:num w:numId="11">
    <w:abstractNumId w:val="6"/>
  </w:num>
  <w:num w:numId="12">
    <w:abstractNumId w:val="7"/>
  </w:num>
  <w:num w:numId="13">
    <w:abstractNumId w:val="10"/>
  </w:num>
  <w:num w:numId="14">
    <w:abstractNumId w:val="13"/>
  </w:num>
  <w:num w:numId="15">
    <w:abstractNumId w:val="15"/>
  </w:num>
  <w:num w:numId="16">
    <w:abstractNumId w:val="9"/>
  </w:num>
  <w:num w:numId="17">
    <w:abstractNumId w:val="11"/>
  </w:num>
  <w:num w:numId="18">
    <w:abstractNumId w:val="1"/>
  </w:num>
  <w:num w:numId="19">
    <w:abstractNumId w:val="20"/>
  </w:num>
  <w:num w:numId="20">
    <w:abstractNumId w:val="17"/>
  </w:num>
  <w:num w:numId="21">
    <w:abstractNumId w:val="5"/>
  </w:num>
  <w:num w:numId="22">
    <w:abstractNumId w:val="26"/>
  </w:num>
  <w:num w:numId="23">
    <w:abstractNumId w:val="23"/>
  </w:num>
  <w:num w:numId="24">
    <w:abstractNumId w:val="12"/>
  </w:num>
  <w:num w:numId="25">
    <w:abstractNumId w:val="8"/>
  </w:num>
  <w:num w:numId="26">
    <w:abstractNumId w:val="22"/>
  </w:num>
  <w:num w:numId="27">
    <w:abstractNumId w:val="27"/>
  </w:num>
  <w:num w:numId="28">
    <w:abstractNumId w:val="18"/>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4"/>
  </w:compat>
  <w:rsids>
    <w:rsidRoot w:val="00C11024"/>
    <w:rsid w:val="002C51AF"/>
    <w:rsid w:val="00382D62"/>
    <w:rsid w:val="00384B07"/>
    <w:rsid w:val="003B0FE5"/>
    <w:rsid w:val="00564F7F"/>
    <w:rsid w:val="005D0083"/>
    <w:rsid w:val="00A15F8B"/>
    <w:rsid w:val="00BA14A7"/>
    <w:rsid w:val="00C11024"/>
    <w:rsid w:val="00FF064B"/>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B9B70"/>
  <w15:docId w15:val="{B286BD82-B359-4121-B35F-DAB9D2158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kern w:val="3"/>
        <w:lang w:val="en-US" w:eastAsia="en-US" w:bidi="ar-SA"/>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paragraph" w:styleId="Heading3">
    <w:name w:val="heading 3"/>
    <w:basedOn w:val="Standard"/>
    <w:next w:val="Textbody"/>
    <w:pPr>
      <w:keepNext/>
      <w:spacing w:before="240" w:after="60"/>
      <w:outlineLvl w:val="2"/>
    </w:pPr>
    <w:rPr>
      <w:rFonts w:ascii="Arial" w:eastAsia="Times New Roman" w:hAnsi="Arial" w:cs="Arial"/>
      <w:b/>
      <w:bCs/>
      <w:iCs/>
      <w:sz w:val="26"/>
      <w:szCs w:val="26"/>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pPr>
    <w:rPr>
      <w:rFonts w:eastAsia="MS Mincho"/>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
    <w:name w:val="List"/>
    <w:basedOn w:val="Textbody"/>
    <w:rPr>
      <w:rFonts w:cs="Arial"/>
    </w:rPr>
  </w:style>
  <w:style w:type="paragraph" w:styleId="Caption">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BalloonText">
    <w:name w:val="Balloon Text"/>
    <w:basedOn w:val="Standard"/>
    <w:rPr>
      <w:rFonts w:ascii="Tahoma" w:hAnsi="Tahoma" w:cs="Tahoma"/>
      <w:sz w:val="16"/>
      <w:szCs w:val="16"/>
    </w:rPr>
  </w:style>
  <w:style w:type="paragraph" w:customStyle="1" w:styleId="Normal0">
    <w:name w:val="[Normal]"/>
    <w:pPr>
      <w:widowControl/>
      <w:suppressAutoHyphens/>
    </w:pPr>
    <w:rPr>
      <w:rFonts w:ascii="Arial" w:hAnsi="Arial" w:cs="Arial"/>
      <w:sz w:val="24"/>
      <w:szCs w:val="24"/>
    </w:rPr>
  </w:style>
  <w:style w:type="paragraph" w:customStyle="1" w:styleId="Textbodyindent">
    <w:name w:val="Text body indent"/>
    <w:basedOn w:val="Standard"/>
    <w:pPr>
      <w:ind w:left="360"/>
      <w:jc w:val="both"/>
    </w:pPr>
    <w:rPr>
      <w:rFonts w:eastAsia="Times New Roman"/>
      <w:sz w:val="24"/>
      <w:szCs w:val="24"/>
    </w:rPr>
  </w:style>
  <w:style w:type="paragraph" w:styleId="NoSpacing">
    <w:name w:val="No Spacing"/>
    <w:pPr>
      <w:widowControl/>
      <w:suppressAutoHyphens/>
    </w:pPr>
    <w:rPr>
      <w:rFonts w:ascii="Calibri" w:eastAsia="Calibri" w:hAnsi="Calibri"/>
      <w:sz w:val="22"/>
      <w:szCs w:val="22"/>
    </w:rPr>
  </w:style>
  <w:style w:type="paragraph" w:styleId="NormalWeb">
    <w:name w:val="Normal (Web)"/>
    <w:basedOn w:val="Standard"/>
    <w:pPr>
      <w:spacing w:before="100" w:after="100"/>
    </w:pPr>
    <w:rPr>
      <w:rFonts w:eastAsia="Times New Roman"/>
      <w:sz w:val="24"/>
      <w:szCs w:val="24"/>
    </w:rPr>
  </w:style>
  <w:style w:type="paragraph" w:styleId="ListParagraph">
    <w:name w:val="List Paragraph"/>
    <w:basedOn w:val="Standard"/>
    <w:pPr>
      <w:ind w:left="720"/>
    </w:pPr>
  </w:style>
  <w:style w:type="character" w:customStyle="1" w:styleId="ListLabel1">
    <w:name w:val="ListLabel 1"/>
    <w:rPr>
      <w:b/>
    </w:rPr>
  </w:style>
  <w:style w:type="character" w:customStyle="1" w:styleId="ListLabel2">
    <w:name w:val="ListLabel 2"/>
  </w:style>
  <w:style w:type="character" w:customStyle="1" w:styleId="ListLabel3">
    <w:name w:val="ListLabel 3"/>
    <w:rPr>
      <w:u w:val="none"/>
    </w:rPr>
  </w:style>
  <w:style w:type="character" w:customStyle="1" w:styleId="ListLabel4">
    <w:name w:val="ListLabel 4"/>
    <w:rPr>
      <w:b w:val="0"/>
    </w:rPr>
  </w:style>
  <w:style w:type="paragraph" w:styleId="Header">
    <w:name w:val="header"/>
    <w:basedOn w:val="Normal"/>
    <w:pPr>
      <w:tabs>
        <w:tab w:val="center" w:pos="4680"/>
        <w:tab w:val="right" w:pos="9360"/>
      </w:tabs>
    </w:pPr>
  </w:style>
  <w:style w:type="character" w:customStyle="1" w:styleId="HeaderChar">
    <w:name w:val="Header Char"/>
    <w:basedOn w:val="DefaultParagraphFont"/>
  </w:style>
  <w:style w:type="paragraph" w:styleId="Footer">
    <w:name w:val="footer"/>
    <w:basedOn w:val="Normal"/>
    <w:pPr>
      <w:tabs>
        <w:tab w:val="center" w:pos="4680"/>
        <w:tab w:val="right" w:pos="9360"/>
      </w:tabs>
    </w:pPr>
  </w:style>
  <w:style w:type="character" w:customStyle="1" w:styleId="FooterChar">
    <w:name w:val="Footer Char"/>
    <w:basedOn w:val="DefaultParagraphFont"/>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9"/>
      </w:numPr>
    </w:pPr>
  </w:style>
  <w:style w:type="numbering" w:customStyle="1" w:styleId="WWNum10">
    <w:name w:val="WWNum10"/>
    <w:basedOn w:val="NoList"/>
    <w:pPr>
      <w:numPr>
        <w:numId w:val="10"/>
      </w:numPr>
    </w:pPr>
  </w:style>
  <w:style w:type="numbering" w:customStyle="1" w:styleId="WWNum11">
    <w:name w:val="WWNum11"/>
    <w:basedOn w:val="NoList"/>
    <w:pPr>
      <w:numPr>
        <w:numId w:val="11"/>
      </w:numPr>
    </w:pPr>
  </w:style>
  <w:style w:type="numbering" w:customStyle="1" w:styleId="WWNum12">
    <w:name w:val="WWNum12"/>
    <w:basedOn w:val="NoList"/>
    <w:pPr>
      <w:numPr>
        <w:numId w:val="12"/>
      </w:numPr>
    </w:pPr>
  </w:style>
  <w:style w:type="numbering" w:customStyle="1" w:styleId="WWNum13">
    <w:name w:val="WWNum13"/>
    <w:basedOn w:val="NoList"/>
    <w:pPr>
      <w:numPr>
        <w:numId w:val="13"/>
      </w:numPr>
    </w:pPr>
  </w:style>
  <w:style w:type="numbering" w:customStyle="1" w:styleId="WWNum14">
    <w:name w:val="WWNum14"/>
    <w:basedOn w:val="NoList"/>
    <w:pPr>
      <w:numPr>
        <w:numId w:val="14"/>
      </w:numPr>
    </w:pPr>
  </w:style>
  <w:style w:type="numbering" w:customStyle="1" w:styleId="WWNum15">
    <w:name w:val="WWNum15"/>
    <w:basedOn w:val="NoList"/>
    <w:pPr>
      <w:numPr>
        <w:numId w:val="15"/>
      </w:numPr>
    </w:pPr>
  </w:style>
  <w:style w:type="numbering" w:customStyle="1" w:styleId="WWNum16">
    <w:name w:val="WWNum16"/>
    <w:basedOn w:val="NoList"/>
    <w:pPr>
      <w:numPr>
        <w:numId w:val="16"/>
      </w:numPr>
    </w:pPr>
  </w:style>
  <w:style w:type="numbering" w:customStyle="1" w:styleId="WWNum17">
    <w:name w:val="WWNum17"/>
    <w:basedOn w:val="NoList"/>
    <w:pPr>
      <w:numPr>
        <w:numId w:val="17"/>
      </w:numPr>
    </w:pPr>
  </w:style>
  <w:style w:type="numbering" w:customStyle="1" w:styleId="WWNum18">
    <w:name w:val="WWNum18"/>
    <w:basedOn w:val="NoList"/>
    <w:pPr>
      <w:numPr>
        <w:numId w:val="18"/>
      </w:numPr>
    </w:pPr>
  </w:style>
  <w:style w:type="numbering" w:customStyle="1" w:styleId="WWNum19">
    <w:name w:val="WWNum19"/>
    <w:basedOn w:val="NoList"/>
    <w:pPr>
      <w:numPr>
        <w:numId w:val="19"/>
      </w:numPr>
    </w:pPr>
  </w:style>
  <w:style w:type="numbering" w:customStyle="1" w:styleId="WWNum20">
    <w:name w:val="WWNum20"/>
    <w:basedOn w:val="NoList"/>
    <w:pPr>
      <w:numPr>
        <w:numId w:val="20"/>
      </w:numPr>
    </w:pPr>
  </w:style>
  <w:style w:type="numbering" w:customStyle="1" w:styleId="WWNum21">
    <w:name w:val="WWNum21"/>
    <w:basedOn w:val="NoList"/>
    <w:pPr>
      <w:numPr>
        <w:numId w:val="21"/>
      </w:numPr>
    </w:pPr>
  </w:style>
  <w:style w:type="numbering" w:customStyle="1" w:styleId="WWNum22">
    <w:name w:val="WWNum22"/>
    <w:basedOn w:val="NoList"/>
    <w:pPr>
      <w:numPr>
        <w:numId w:val="22"/>
      </w:numPr>
    </w:pPr>
  </w:style>
  <w:style w:type="numbering" w:customStyle="1" w:styleId="WWNum23">
    <w:name w:val="WWNum23"/>
    <w:basedOn w:val="NoList"/>
    <w:pPr>
      <w:numPr>
        <w:numId w:val="23"/>
      </w:numPr>
    </w:pPr>
  </w:style>
  <w:style w:type="numbering" w:customStyle="1" w:styleId="WWNum24">
    <w:name w:val="WWNum24"/>
    <w:basedOn w:val="NoList"/>
    <w:pPr>
      <w:numPr>
        <w:numId w:val="24"/>
      </w:numPr>
    </w:pPr>
  </w:style>
  <w:style w:type="numbering" w:customStyle="1" w:styleId="WWNum25">
    <w:name w:val="WWNum25"/>
    <w:basedOn w:val="NoList"/>
    <w:pPr>
      <w:numPr>
        <w:numId w:val="25"/>
      </w:numPr>
    </w:pPr>
  </w:style>
  <w:style w:type="numbering" w:customStyle="1" w:styleId="WWNum26">
    <w:name w:val="WWNum26"/>
    <w:basedOn w:val="NoList"/>
    <w:pPr>
      <w:numPr>
        <w:numId w:val="26"/>
      </w:numPr>
    </w:pPr>
  </w:style>
  <w:style w:type="numbering" w:customStyle="1" w:styleId="WWNum27">
    <w:name w:val="WWNum27"/>
    <w:basedOn w:val="NoList"/>
    <w:pPr>
      <w:numPr>
        <w:numId w:val="27"/>
      </w:numPr>
    </w:pPr>
  </w:style>
  <w:style w:type="numbering" w:customStyle="1" w:styleId="WWNum28">
    <w:name w:val="WWNum28"/>
    <w:basedOn w:val="NoList"/>
    <w:pPr>
      <w:numPr>
        <w:numId w:val="28"/>
      </w:numPr>
    </w:pPr>
  </w:style>
  <w:style w:type="numbering" w:customStyle="1" w:styleId="WWNum29">
    <w:name w:val="WWNum29"/>
    <w:basedOn w:val="NoList"/>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940E2C2FAF44379AB555082398F16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523</Nr_x002e__x0020_akti>
    <Data_x0020_e_x0020_Krijimit xmlns="0e656187-b300-4fb0-8bf4-3a50f872073c">2022-08-02T10:18:07Z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2022-07-31T22:00:00Z</Date_x0020_protokolli>
    <Titulli xmlns="0e656187-b300-4fb0-8bf4-3a50f872073c">Për një shtesë në vendimin nr.1040, datë 25.11.2020, të Këshillit të Ministrave, "Për përcaktimin e rregullave të zbatimit të kritereve të legalizimit dhe miratimin e modelit të aktit të legalizimit për ndërtimet pa leje"</Titulli>
    <Modifikuesi xmlns="0e656187-b300-4fb0-8bf4-3a50f872073c">alma.lisaku</Modifikuesi>
    <Nr_x002e__x0020_prot_x0020_QBZ xmlns="0e656187-b300-4fb0-8bf4-3a50f872073c">1226</Nr_x002e__x0020_prot_x0020_QBZ>
    <Data_x0020_e_x0020_Modifikimit xmlns="0e656187-b300-4fb0-8bf4-3a50f872073c">2022-08-03T13:07:54Z</Data_x0020_e_x0020_Modifikimit>
    <Dekretuar xmlns="0e656187-b300-4fb0-8bf4-3a50f872073c">false</Dekretuar>
    <Data xmlns="0e656187-b300-4fb0-8bf4-3a50f872073c">2022-07-28T22:00:00Z</Data>
    <Nr_x002e__x0020_protokolli_x0020_i_x0020_aktit xmlns="0e656187-b300-4fb0-8bf4-3a50f872073c">4358/4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940E2C2FAF44379AB555082398F16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A1EF5-CF3E-4CD7-98B7-935D98F93FC1}">
  <ds:schemaRefs>
    <ds:schemaRef ds:uri="http://schemas.microsoft.com/sharepoint/v3/contenttype/forms"/>
  </ds:schemaRefs>
</ds:datastoreItem>
</file>

<file path=customXml/itemProps2.xml><?xml version="1.0" encoding="utf-8"?>
<ds:datastoreItem xmlns:ds="http://schemas.openxmlformats.org/officeDocument/2006/customXml" ds:itemID="{20788A89-CC87-43A7-B7A0-A7920B1579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883D3FE-3077-426A-816C-17947F4DDB29}">
  <ds:schemaRefs>
    <ds:schemaRef ds:uri="http://purl.org/dc/elements/1.1/"/>
    <ds:schemaRef ds:uri="0e656187-b300-4fb0-8bf4-3a50f872073c"/>
    <ds:schemaRef ds:uri="http://purl.org/dc/dcmitype/"/>
    <ds:schemaRef ds:uri="http://schemas.microsoft.com/office/2006/documentManagement/types"/>
    <ds:schemaRef ds:uri="http://www.w3.org/XML/1998/namespace"/>
    <ds:schemaRef ds:uri="http://schemas.microsoft.com/office/2006/metadata/propertie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083DC2C8-B717-4928-ACD8-1F4ABEBB2E14}">
  <ds:schemaRefs>
    <ds:schemaRef ds:uri="http://schemas.microsoft.com/sharepoint/v3/contenttype/forms"/>
  </ds:schemaRefs>
</ds:datastoreItem>
</file>

<file path=customXml/itemProps5.xml><?xml version="1.0" encoding="utf-8"?>
<ds:datastoreItem xmlns:ds="http://schemas.openxmlformats.org/officeDocument/2006/customXml" ds:itemID="{3D287719-A7AA-4405-B300-63DF4D5AC2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7E3E0D9-F8DD-461D-B937-773BAFD95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256</Words>
  <Characters>1464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Për një shtesë në vendimin nr.1040, datë 25.11.2020, të Këshillit të Ministrave, "Për përcaktimin e rregullave të zbatimit të kritereve të legalizimit dhe miratimin e modelit të aktit të legalizimit për ndërtimet pa leje"</vt:lpstr>
    </vt:vector>
  </TitlesOfParts>
  <Company/>
  <LinksUpToDate>false</LinksUpToDate>
  <CharactersWithSpaces>1717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shtesë në vendimin nr.1040, datë 25.11.2020, të Këshillit të Ministrave, "Për përcaktimin e rregullave të zbatimit të kritereve të legalizimit dhe miratimin e modelit të aktit të legalizimit për ndërtimet pa leje"</dc:title>
  <dc:creator>Dell</dc:creator>
  <cp:lastModifiedBy>Entela Suli</cp:lastModifiedBy>
  <cp:revision>5</cp:revision>
  <cp:lastPrinted>2022-07-28T22:44:00Z</cp:lastPrinted>
  <dcterms:created xsi:type="dcterms:W3CDTF">2022-08-03T12:49:00Z</dcterms:created>
  <dcterms:modified xsi:type="dcterms:W3CDTF">2022-08-04T07:57:00Z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