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EC3B92" w14:textId="77777777" w:rsidR="00C469E3" w:rsidRPr="00935461" w:rsidRDefault="00E1088A">
      <w:pPr>
        <w:ind w:firstLine="284"/>
        <w:jc w:val="center"/>
        <w:rPr>
          <w:rFonts w:ascii="Garamond" w:hAnsi="Garamond" w:cs="Calibri"/>
          <w:b/>
          <w:sz w:val="24"/>
          <w:szCs w:val="24"/>
          <w:lang w:val="sq-AL"/>
        </w:rPr>
      </w:pPr>
      <w:r w:rsidRPr="00935461">
        <w:rPr>
          <w:rFonts w:ascii="Garamond" w:hAnsi="Garamond" w:cs="Calibri"/>
          <w:b/>
          <w:sz w:val="24"/>
          <w:szCs w:val="24"/>
          <w:lang w:val="sq-AL"/>
        </w:rPr>
        <w:t>VENDIM</w:t>
      </w:r>
    </w:p>
    <w:p w14:paraId="32EC3B93" w14:textId="77777777" w:rsidR="00C469E3" w:rsidRPr="00935461" w:rsidRDefault="00E1088A">
      <w:pPr>
        <w:ind w:firstLine="284"/>
        <w:jc w:val="center"/>
        <w:rPr>
          <w:rFonts w:ascii="Garamond" w:hAnsi="Garamond" w:cs="Calibri"/>
          <w:b/>
          <w:sz w:val="24"/>
          <w:szCs w:val="24"/>
          <w:lang w:val="sq-AL"/>
        </w:rPr>
      </w:pPr>
      <w:r w:rsidRPr="00935461">
        <w:rPr>
          <w:rFonts w:ascii="Garamond" w:hAnsi="Garamond" w:cs="Calibri"/>
          <w:b/>
          <w:sz w:val="24"/>
          <w:szCs w:val="24"/>
          <w:lang w:val="sq-AL"/>
        </w:rPr>
        <w:t>Nr. 530, datë  29.7.2022</w:t>
      </w:r>
    </w:p>
    <w:p w14:paraId="32EC3B94" w14:textId="77777777" w:rsidR="00C469E3" w:rsidRPr="00935461" w:rsidRDefault="00C469E3">
      <w:pPr>
        <w:ind w:firstLine="284"/>
        <w:jc w:val="center"/>
        <w:rPr>
          <w:rFonts w:ascii="Garamond" w:hAnsi="Garamond" w:cs="Calibri"/>
          <w:b/>
          <w:sz w:val="24"/>
          <w:szCs w:val="24"/>
          <w:lang w:val="sq-AL"/>
        </w:rPr>
      </w:pPr>
    </w:p>
    <w:p w14:paraId="32EC3B95" w14:textId="17A0343A" w:rsidR="00C469E3" w:rsidRPr="00935461" w:rsidRDefault="00E1088A" w:rsidP="00935461">
      <w:pPr>
        <w:jc w:val="center"/>
        <w:rPr>
          <w:rFonts w:ascii="Garamond" w:hAnsi="Garamond" w:cs="Calibri"/>
          <w:b/>
          <w:sz w:val="24"/>
          <w:szCs w:val="24"/>
          <w:lang w:val="sq-AL"/>
        </w:rPr>
      </w:pPr>
      <w:r w:rsidRPr="00935461">
        <w:rPr>
          <w:rFonts w:ascii="Garamond" w:hAnsi="Garamond" w:cs="Calibri"/>
          <w:b/>
          <w:sz w:val="24"/>
          <w:szCs w:val="24"/>
          <w:lang w:val="sq-AL"/>
        </w:rPr>
        <w:t>PËR PËRCAKTIMIN E</w:t>
      </w:r>
      <w:r w:rsidR="00935461">
        <w:rPr>
          <w:rFonts w:ascii="Garamond" w:hAnsi="Garamond" w:cs="Calibri"/>
          <w:b/>
          <w:sz w:val="24"/>
          <w:szCs w:val="24"/>
          <w:lang w:val="sq-AL"/>
        </w:rPr>
        <w:t xml:space="preserve"> NJË SEKTORI SHTESË QË JEPET ME </w:t>
      </w:r>
      <w:r w:rsidRPr="00935461">
        <w:rPr>
          <w:rFonts w:ascii="Garamond" w:hAnsi="Garamond" w:cs="Calibri"/>
          <w:b/>
          <w:sz w:val="24"/>
          <w:szCs w:val="24"/>
          <w:lang w:val="sq-AL"/>
        </w:rPr>
        <w:t>KONCESION/</w:t>
      </w:r>
      <w:r w:rsidR="00935461">
        <w:rPr>
          <w:rFonts w:ascii="Garamond" w:hAnsi="Garamond" w:cs="Calibri"/>
          <w:b/>
          <w:sz w:val="24"/>
          <w:szCs w:val="24"/>
          <w:lang w:val="sq-AL"/>
        </w:rPr>
        <w:t xml:space="preserve"> </w:t>
      </w:r>
      <w:r w:rsidRPr="00935461">
        <w:rPr>
          <w:rFonts w:ascii="Garamond" w:hAnsi="Garamond" w:cs="Calibri"/>
          <w:b/>
          <w:sz w:val="24"/>
          <w:szCs w:val="24"/>
          <w:lang w:val="sq-AL"/>
        </w:rPr>
        <w:t>PARTNERITET PUBLIK PRIVAT</w:t>
      </w:r>
    </w:p>
    <w:p w14:paraId="32EC3B96" w14:textId="77777777" w:rsidR="00C469E3" w:rsidRPr="00935461" w:rsidRDefault="00C469E3">
      <w:pPr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</w:p>
    <w:p w14:paraId="32EC3B97" w14:textId="281EDACC" w:rsidR="00C469E3" w:rsidRPr="00935461" w:rsidRDefault="00E1088A">
      <w:pPr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 w:rsidRPr="00935461">
        <w:rPr>
          <w:rFonts w:ascii="Garamond" w:hAnsi="Garamond" w:cs="Calibri"/>
          <w:sz w:val="24"/>
          <w:szCs w:val="24"/>
          <w:lang w:val="sq-AL"/>
        </w:rPr>
        <w:t>Në mbështetje të nenit 100 të Kushtetutës dhe të pikës 2, të nenit 4, të ligjit nr.</w:t>
      </w:r>
      <w:r w:rsidR="007A7844">
        <w:rPr>
          <w:rFonts w:ascii="Garamond" w:hAnsi="Garamond" w:cs="Calibri"/>
          <w:sz w:val="24"/>
          <w:szCs w:val="24"/>
          <w:lang w:val="sq-AL"/>
        </w:rPr>
        <w:t xml:space="preserve"> </w:t>
      </w:r>
      <w:r w:rsidRPr="00935461">
        <w:rPr>
          <w:rFonts w:ascii="Garamond" w:hAnsi="Garamond" w:cs="Calibri"/>
          <w:sz w:val="24"/>
          <w:szCs w:val="24"/>
          <w:lang w:val="sq-AL"/>
        </w:rPr>
        <w:t>125/2013, “Për koncesionet dhe partneritetin publik privat”, me propozimin e ministrit të Brendshëm, Këshilli i Ministrave</w:t>
      </w:r>
    </w:p>
    <w:p w14:paraId="32EC3B98" w14:textId="77777777" w:rsidR="00C469E3" w:rsidRPr="00935461" w:rsidRDefault="00C469E3">
      <w:pPr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</w:p>
    <w:p w14:paraId="32EC3B99" w14:textId="77777777" w:rsidR="00C469E3" w:rsidRPr="00935461" w:rsidRDefault="00E1088A">
      <w:pPr>
        <w:ind w:firstLine="284"/>
        <w:jc w:val="center"/>
        <w:rPr>
          <w:rFonts w:ascii="Garamond" w:hAnsi="Garamond" w:cs="Calibri"/>
          <w:sz w:val="24"/>
          <w:szCs w:val="24"/>
          <w:lang w:val="sq-AL"/>
        </w:rPr>
      </w:pPr>
      <w:r w:rsidRPr="00935461">
        <w:rPr>
          <w:rFonts w:ascii="Garamond" w:hAnsi="Garamond" w:cs="Calibri"/>
          <w:sz w:val="24"/>
          <w:szCs w:val="24"/>
          <w:lang w:val="sq-AL"/>
        </w:rPr>
        <w:t>VENDOSI:</w:t>
      </w:r>
      <w:bookmarkStart w:id="0" w:name="_GoBack"/>
      <w:bookmarkEnd w:id="0"/>
    </w:p>
    <w:p w14:paraId="32EC3B9A" w14:textId="77777777" w:rsidR="00C469E3" w:rsidRPr="00935461" w:rsidRDefault="00C469E3">
      <w:pPr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</w:p>
    <w:p w14:paraId="32EC3B9B" w14:textId="42BC7E7B" w:rsidR="00C469E3" w:rsidRPr="00935461" w:rsidRDefault="00E1088A">
      <w:pPr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 w:rsidRPr="00935461">
        <w:rPr>
          <w:rFonts w:ascii="Garamond" w:hAnsi="Garamond" w:cs="Calibri"/>
          <w:sz w:val="24"/>
          <w:szCs w:val="24"/>
          <w:lang w:val="sq-AL"/>
        </w:rPr>
        <w:t>1. Zbatimin e procedurave të koncesionit/</w:t>
      </w:r>
      <w:r w:rsidR="007A7844">
        <w:rPr>
          <w:rFonts w:ascii="Garamond" w:hAnsi="Garamond" w:cs="Calibri"/>
          <w:sz w:val="24"/>
          <w:szCs w:val="24"/>
          <w:lang w:val="sq-AL"/>
        </w:rPr>
        <w:t xml:space="preserve"> </w:t>
      </w:r>
      <w:r w:rsidRPr="00935461">
        <w:rPr>
          <w:rFonts w:ascii="Garamond" w:hAnsi="Garamond" w:cs="Calibri"/>
          <w:sz w:val="24"/>
          <w:szCs w:val="24"/>
          <w:lang w:val="sq-AL"/>
        </w:rPr>
        <w:t>partneritet publik privat në sektorin e programeve të shtetësisë.</w:t>
      </w:r>
    </w:p>
    <w:p w14:paraId="32EC3B9C" w14:textId="77777777" w:rsidR="00C469E3" w:rsidRPr="00935461" w:rsidRDefault="00E1088A">
      <w:pPr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 w:rsidRPr="00935461">
        <w:rPr>
          <w:rFonts w:ascii="Garamond" w:hAnsi="Garamond" w:cs="Calibri"/>
          <w:sz w:val="24"/>
          <w:szCs w:val="24"/>
          <w:lang w:val="sq-AL"/>
        </w:rPr>
        <w:t>2. Ngarkohet Ministria e Brendshme për zbatimin e këtij vendimi.</w:t>
      </w:r>
    </w:p>
    <w:p w14:paraId="32EC3B9D" w14:textId="77777777" w:rsidR="00C469E3" w:rsidRPr="00935461" w:rsidRDefault="00E1088A">
      <w:pPr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 w:rsidRPr="00935461">
        <w:rPr>
          <w:rFonts w:ascii="Garamond" w:hAnsi="Garamond" w:cs="Calibri"/>
          <w:sz w:val="24"/>
          <w:szCs w:val="24"/>
          <w:lang w:val="sq-AL"/>
        </w:rPr>
        <w:t>Ky vendim hyn në fuqi pas botimit në Fletoren Zyrtare.</w:t>
      </w:r>
    </w:p>
    <w:p w14:paraId="32EC3B9E" w14:textId="77777777" w:rsidR="00C469E3" w:rsidRPr="00935461" w:rsidRDefault="00E1088A">
      <w:pPr>
        <w:ind w:firstLine="284"/>
        <w:jc w:val="right"/>
        <w:rPr>
          <w:rFonts w:ascii="Garamond" w:hAnsi="Garamond" w:cs="Calibri"/>
          <w:sz w:val="24"/>
          <w:szCs w:val="24"/>
          <w:lang w:val="sq-AL"/>
        </w:rPr>
      </w:pPr>
      <w:r w:rsidRPr="00935461">
        <w:rPr>
          <w:rFonts w:ascii="Garamond" w:hAnsi="Garamond" w:cs="Calibri"/>
          <w:sz w:val="24"/>
          <w:szCs w:val="24"/>
          <w:lang w:val="sq-AL"/>
        </w:rPr>
        <w:t>KRYEMINISTËR</w:t>
      </w:r>
    </w:p>
    <w:p w14:paraId="32EC3B9F" w14:textId="77777777" w:rsidR="00C469E3" w:rsidRPr="00935461" w:rsidRDefault="00E1088A">
      <w:pPr>
        <w:ind w:firstLine="284"/>
        <w:jc w:val="right"/>
        <w:rPr>
          <w:rFonts w:ascii="Garamond" w:hAnsi="Garamond" w:cs="Calibri"/>
          <w:b/>
          <w:sz w:val="24"/>
          <w:szCs w:val="24"/>
          <w:lang w:val="sq-AL"/>
        </w:rPr>
      </w:pPr>
      <w:r w:rsidRPr="00935461">
        <w:rPr>
          <w:rFonts w:ascii="Garamond" w:hAnsi="Garamond" w:cs="Calibri"/>
          <w:b/>
          <w:sz w:val="24"/>
          <w:szCs w:val="24"/>
          <w:lang w:val="sq-AL"/>
        </w:rPr>
        <w:t xml:space="preserve">Edi </w:t>
      </w:r>
      <w:proofErr w:type="spellStart"/>
      <w:r w:rsidRPr="00935461">
        <w:rPr>
          <w:rFonts w:ascii="Garamond" w:hAnsi="Garamond" w:cs="Calibri"/>
          <w:b/>
          <w:sz w:val="24"/>
          <w:szCs w:val="24"/>
          <w:lang w:val="sq-AL"/>
        </w:rPr>
        <w:t>Rama</w:t>
      </w:r>
      <w:proofErr w:type="spellEnd"/>
    </w:p>
    <w:p w14:paraId="32EC3BA0" w14:textId="77777777" w:rsidR="00C469E3" w:rsidRPr="00935461" w:rsidRDefault="00C469E3">
      <w:pPr>
        <w:pStyle w:val="Standard"/>
        <w:jc w:val="right"/>
        <w:rPr>
          <w:sz w:val="28"/>
          <w:szCs w:val="28"/>
          <w:lang w:val="sq-AL"/>
        </w:rPr>
      </w:pPr>
    </w:p>
    <w:sectPr w:rsidR="00C469E3" w:rsidRPr="00935461">
      <w:footerReference w:type="default" r:id="rId13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C21129" w14:textId="77777777" w:rsidR="00935461" w:rsidRDefault="00935461">
      <w:r>
        <w:separator/>
      </w:r>
    </w:p>
  </w:endnote>
  <w:endnote w:type="continuationSeparator" w:id="0">
    <w:p w14:paraId="6BCB8220" w14:textId="77777777" w:rsidR="00935461" w:rsidRDefault="00935461">
      <w:r>
        <w:continuationSeparator/>
      </w:r>
    </w:p>
  </w:endnote>
  <w:endnote w:type="continuationNotice" w:id="1">
    <w:p w14:paraId="0AEEDA16" w14:textId="77777777" w:rsidR="00FE29E9" w:rsidRDefault="00FE29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EC3BA5" w14:textId="77777777" w:rsidR="00935461" w:rsidRDefault="00935461">
    <w:pPr>
      <w:pStyle w:val="Footer"/>
      <w:jc w:val="right"/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7A7844">
      <w:rPr>
        <w:noProof/>
        <w:sz w:val="24"/>
      </w:rPr>
      <w:t>1</w:t>
    </w:r>
    <w:r>
      <w:rPr>
        <w:sz w:val="24"/>
      </w:rPr>
      <w:fldChar w:fldCharType="end"/>
    </w:r>
  </w:p>
  <w:p w14:paraId="32EC3BA6" w14:textId="77777777" w:rsidR="00935461" w:rsidRDefault="009354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1436E5" w14:textId="77777777" w:rsidR="00935461" w:rsidRDefault="00935461">
      <w:r>
        <w:rPr>
          <w:color w:val="000000"/>
        </w:rPr>
        <w:separator/>
      </w:r>
    </w:p>
  </w:footnote>
  <w:footnote w:type="continuationSeparator" w:id="0">
    <w:p w14:paraId="02754173" w14:textId="77777777" w:rsidR="00935461" w:rsidRDefault="00935461">
      <w:r>
        <w:continuationSeparator/>
      </w:r>
    </w:p>
  </w:footnote>
  <w:footnote w:type="continuationNotice" w:id="1">
    <w:p w14:paraId="6F6C8287" w14:textId="77777777" w:rsidR="00FE29E9" w:rsidRDefault="00FE29E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97B34"/>
    <w:multiLevelType w:val="multilevel"/>
    <w:tmpl w:val="83F601F4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>
    <w:nsid w:val="020D536B"/>
    <w:multiLevelType w:val="multilevel"/>
    <w:tmpl w:val="FD567C86"/>
    <w:styleLink w:val="WWNum2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>
    <w:nsid w:val="0A632331"/>
    <w:multiLevelType w:val="multilevel"/>
    <w:tmpl w:val="9D425B9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>
    <w:nsid w:val="10CD4159"/>
    <w:multiLevelType w:val="multilevel"/>
    <w:tmpl w:val="759AF290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>
    <w:nsid w:val="111A47B9"/>
    <w:multiLevelType w:val="multilevel"/>
    <w:tmpl w:val="79A8B42C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>
    <w:nsid w:val="11EA7273"/>
    <w:multiLevelType w:val="multilevel"/>
    <w:tmpl w:val="C8F011E0"/>
    <w:styleLink w:val="WWNum1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>
    <w:nsid w:val="12ED4BFE"/>
    <w:multiLevelType w:val="multilevel"/>
    <w:tmpl w:val="182476F4"/>
    <w:styleLink w:val="WWNum1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>
    <w:nsid w:val="15482381"/>
    <w:multiLevelType w:val="multilevel"/>
    <w:tmpl w:val="A4306EA0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>
    <w:nsid w:val="17FE1F3D"/>
    <w:multiLevelType w:val="multilevel"/>
    <w:tmpl w:val="22AEDF74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>
    <w:nsid w:val="1FE43233"/>
    <w:multiLevelType w:val="multilevel"/>
    <w:tmpl w:val="0304ECE6"/>
    <w:styleLink w:val="WWNum15"/>
    <w:lvl w:ilvl="0">
      <w:start w:val="2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0">
    <w:nsid w:val="28904D5B"/>
    <w:multiLevelType w:val="multilevel"/>
    <w:tmpl w:val="E5BE323E"/>
    <w:styleLink w:val="WWNum12"/>
    <w:lvl w:ilvl="0">
      <w:start w:val="2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>
    <w:nsid w:val="293B0635"/>
    <w:multiLevelType w:val="multilevel"/>
    <w:tmpl w:val="9A204182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>
    <w:nsid w:val="2BB21922"/>
    <w:multiLevelType w:val="multilevel"/>
    <w:tmpl w:val="DE227700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>
    <w:nsid w:val="351E062E"/>
    <w:multiLevelType w:val="multilevel"/>
    <w:tmpl w:val="9EEC50A2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>
    <w:nsid w:val="3F777ED1"/>
    <w:multiLevelType w:val="multilevel"/>
    <w:tmpl w:val="FE662C02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>
    <w:nsid w:val="4AD057EB"/>
    <w:multiLevelType w:val="multilevel"/>
    <w:tmpl w:val="53EAA4A6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>
    <w:nsid w:val="50C84E07"/>
    <w:multiLevelType w:val="multilevel"/>
    <w:tmpl w:val="692AE612"/>
    <w:styleLink w:val="WW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>
    <w:nsid w:val="51766184"/>
    <w:multiLevelType w:val="multilevel"/>
    <w:tmpl w:val="B4EE9B26"/>
    <w:styleLink w:val="WW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8">
    <w:nsid w:val="57AC1CEB"/>
    <w:multiLevelType w:val="multilevel"/>
    <w:tmpl w:val="41BC1754"/>
    <w:styleLink w:val="WWNum4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>
    <w:nsid w:val="65A54A65"/>
    <w:multiLevelType w:val="multilevel"/>
    <w:tmpl w:val="7E2E0AE4"/>
    <w:styleLink w:val="WWNum16"/>
    <w:lvl w:ilvl="0">
      <w:start w:val="2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0">
    <w:nsid w:val="6D0E10EC"/>
    <w:multiLevelType w:val="multilevel"/>
    <w:tmpl w:val="BA9C7E94"/>
    <w:styleLink w:val="WWNum2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>
    <w:nsid w:val="716B7929"/>
    <w:multiLevelType w:val="multilevel"/>
    <w:tmpl w:val="F2345B66"/>
    <w:styleLink w:val="WWNum1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>
    <w:nsid w:val="73E20262"/>
    <w:multiLevelType w:val="multilevel"/>
    <w:tmpl w:val="404AD9B8"/>
    <w:styleLink w:val="WWNum2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>
    <w:nsid w:val="765F5CE1"/>
    <w:multiLevelType w:val="multilevel"/>
    <w:tmpl w:val="C3CCED24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>
    <w:nsid w:val="776114BF"/>
    <w:multiLevelType w:val="multilevel"/>
    <w:tmpl w:val="2744CE46"/>
    <w:styleLink w:val="WWNum13"/>
    <w:lvl w:ilvl="0">
      <w:start w:val="2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>
    <w:nsid w:val="787151E6"/>
    <w:multiLevelType w:val="multilevel"/>
    <w:tmpl w:val="3DA8AD18"/>
    <w:styleLink w:val="WWNum2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>
    <w:nsid w:val="79E9364C"/>
    <w:multiLevelType w:val="multilevel"/>
    <w:tmpl w:val="954AA254"/>
    <w:styleLink w:val="WWNum29"/>
    <w:lvl w:ilvl="0">
      <w:start w:val="1"/>
      <w:numFmt w:val="upperLetter"/>
      <w:lvlText w:val="%1."/>
      <w:lvlJc w:val="left"/>
      <w:pPr>
        <w:ind w:left="7560" w:hanging="360"/>
      </w:pPr>
    </w:lvl>
    <w:lvl w:ilvl="1">
      <w:start w:val="1"/>
      <w:numFmt w:val="lowerLetter"/>
      <w:lvlText w:val="%2."/>
      <w:lvlJc w:val="left"/>
      <w:pPr>
        <w:ind w:left="8280" w:hanging="360"/>
      </w:pPr>
    </w:lvl>
    <w:lvl w:ilvl="2">
      <w:start w:val="1"/>
      <w:numFmt w:val="lowerRoman"/>
      <w:lvlText w:val="%1.%2.%3."/>
      <w:lvlJc w:val="right"/>
      <w:pPr>
        <w:ind w:left="9000" w:hanging="180"/>
      </w:pPr>
    </w:lvl>
    <w:lvl w:ilvl="3">
      <w:start w:val="1"/>
      <w:numFmt w:val="decimal"/>
      <w:lvlText w:val="%1.%2.%3.%4."/>
      <w:lvlJc w:val="left"/>
      <w:pPr>
        <w:ind w:left="9720" w:hanging="360"/>
      </w:pPr>
    </w:lvl>
    <w:lvl w:ilvl="4">
      <w:start w:val="1"/>
      <w:numFmt w:val="lowerLetter"/>
      <w:lvlText w:val="%1.%2.%3.%4.%5."/>
      <w:lvlJc w:val="left"/>
      <w:pPr>
        <w:ind w:left="10440" w:hanging="360"/>
      </w:pPr>
    </w:lvl>
    <w:lvl w:ilvl="5">
      <w:start w:val="1"/>
      <w:numFmt w:val="lowerRoman"/>
      <w:lvlText w:val="%1.%2.%3.%4.%5.%6."/>
      <w:lvlJc w:val="right"/>
      <w:pPr>
        <w:ind w:left="11160" w:hanging="180"/>
      </w:pPr>
    </w:lvl>
    <w:lvl w:ilvl="6">
      <w:start w:val="1"/>
      <w:numFmt w:val="decimal"/>
      <w:lvlText w:val="%1.%2.%3.%4.%5.%6.%7."/>
      <w:lvlJc w:val="left"/>
      <w:pPr>
        <w:ind w:left="11880" w:hanging="360"/>
      </w:pPr>
    </w:lvl>
    <w:lvl w:ilvl="7">
      <w:start w:val="1"/>
      <w:numFmt w:val="lowerLetter"/>
      <w:lvlText w:val="%1.%2.%3.%4.%5.%6.%7.%8."/>
      <w:lvlJc w:val="left"/>
      <w:pPr>
        <w:ind w:left="12600" w:hanging="360"/>
      </w:pPr>
    </w:lvl>
    <w:lvl w:ilvl="8">
      <w:start w:val="1"/>
      <w:numFmt w:val="lowerRoman"/>
      <w:lvlText w:val="%1.%2.%3.%4.%5.%6.%7.%8.%9."/>
      <w:lvlJc w:val="right"/>
      <w:pPr>
        <w:ind w:left="13320" w:hanging="180"/>
      </w:pPr>
    </w:lvl>
  </w:abstractNum>
  <w:abstractNum w:abstractNumId="27">
    <w:nsid w:val="7E5F6810"/>
    <w:multiLevelType w:val="multilevel"/>
    <w:tmpl w:val="F23C74E6"/>
    <w:styleLink w:val="WWNum1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>
    <w:nsid w:val="7F3142B1"/>
    <w:multiLevelType w:val="multilevel"/>
    <w:tmpl w:val="718A3B3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num w:numId="1">
    <w:abstractNumId w:val="28"/>
  </w:num>
  <w:num w:numId="2">
    <w:abstractNumId w:val="3"/>
  </w:num>
  <w:num w:numId="3">
    <w:abstractNumId w:val="4"/>
  </w:num>
  <w:num w:numId="4">
    <w:abstractNumId w:val="18"/>
  </w:num>
  <w:num w:numId="5">
    <w:abstractNumId w:val="12"/>
  </w:num>
  <w:num w:numId="6">
    <w:abstractNumId w:val="17"/>
  </w:num>
  <w:num w:numId="7">
    <w:abstractNumId w:val="13"/>
  </w:num>
  <w:num w:numId="8">
    <w:abstractNumId w:val="23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  <w:num w:numId="13">
    <w:abstractNumId w:val="24"/>
  </w:num>
  <w:num w:numId="14">
    <w:abstractNumId w:val="27"/>
  </w:num>
  <w:num w:numId="15">
    <w:abstractNumId w:val="9"/>
  </w:num>
  <w:num w:numId="16">
    <w:abstractNumId w:val="19"/>
  </w:num>
  <w:num w:numId="17">
    <w:abstractNumId w:val="5"/>
  </w:num>
  <w:num w:numId="18">
    <w:abstractNumId w:val="6"/>
  </w:num>
  <w:num w:numId="19">
    <w:abstractNumId w:val="21"/>
  </w:num>
  <w:num w:numId="20">
    <w:abstractNumId w:val="22"/>
  </w:num>
  <w:num w:numId="21">
    <w:abstractNumId w:val="1"/>
  </w:num>
  <w:num w:numId="22">
    <w:abstractNumId w:val="15"/>
  </w:num>
  <w:num w:numId="23">
    <w:abstractNumId w:val="2"/>
  </w:num>
  <w:num w:numId="24">
    <w:abstractNumId w:val="20"/>
  </w:num>
  <w:num w:numId="25">
    <w:abstractNumId w:val="11"/>
  </w:num>
  <w:num w:numId="26">
    <w:abstractNumId w:val="14"/>
  </w:num>
  <w:num w:numId="27">
    <w:abstractNumId w:val="16"/>
  </w:num>
  <w:num w:numId="28">
    <w:abstractNumId w:val="25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</w:compat>
  <w:rsids>
    <w:rsidRoot w:val="00C469E3"/>
    <w:rsid w:val="007A7844"/>
    <w:rsid w:val="00935461"/>
    <w:rsid w:val="00C469E3"/>
    <w:rsid w:val="00D141C9"/>
    <w:rsid w:val="00E1088A"/>
    <w:rsid w:val="00EE6B99"/>
    <w:rsid w:val="00FE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C3B92"/>
  <w15:docId w15:val="{645BFE6F-C4CD-4E5E-BD1B-837EB4FC9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3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Heading3">
    <w:name w:val="heading 3"/>
    <w:basedOn w:val="Standard"/>
    <w:next w:val="Textbody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MS Mincho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Balloo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Normal0">
    <w:name w:val="[Normal]"/>
    <w:pPr>
      <w:widowControl/>
      <w:suppressAutoHyphens/>
    </w:pPr>
    <w:rPr>
      <w:rFonts w:ascii="Arial" w:hAnsi="Arial" w:cs="Arial"/>
      <w:sz w:val="24"/>
      <w:szCs w:val="24"/>
    </w:rPr>
  </w:style>
  <w:style w:type="paragraph" w:customStyle="1" w:styleId="Textbodyindent">
    <w:name w:val="Text body indent"/>
    <w:basedOn w:val="Standard"/>
    <w:pPr>
      <w:ind w:left="360"/>
      <w:jc w:val="both"/>
    </w:pPr>
    <w:rPr>
      <w:rFonts w:eastAsia="Times New Roman"/>
      <w:sz w:val="24"/>
      <w:szCs w:val="24"/>
    </w:rPr>
  </w:style>
  <w:style w:type="paragraph" w:styleId="NoSpacing">
    <w:name w:val="No Spacing"/>
    <w:pPr>
      <w:widowControl/>
      <w:suppressAutoHyphens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Standard"/>
    <w:pPr>
      <w:spacing w:before="100" w:after="100"/>
    </w:pPr>
    <w:rPr>
      <w:rFonts w:eastAsia="Times New Roman"/>
      <w:sz w:val="24"/>
      <w:szCs w:val="24"/>
    </w:rPr>
  </w:style>
  <w:style w:type="paragraph" w:styleId="ListParagraph">
    <w:name w:val="List Paragraph"/>
    <w:basedOn w:val="Standard"/>
    <w:pPr>
      <w:ind w:left="720"/>
    </w:p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</w:style>
  <w:style w:type="character" w:customStyle="1" w:styleId="ListLabel3">
    <w:name w:val="ListLabel 3"/>
    <w:rPr>
      <w:u w:val="none"/>
    </w:rPr>
  </w:style>
  <w:style w:type="character" w:customStyle="1" w:styleId="ListLabel4">
    <w:name w:val="ListLabel 4"/>
    <w:rPr>
      <w:b w:val="0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  <w:style w:type="numbering" w:customStyle="1" w:styleId="WWNum5">
    <w:name w:val="WWNum5"/>
    <w:basedOn w:val="NoList"/>
    <w:pPr>
      <w:numPr>
        <w:numId w:val="5"/>
      </w:numPr>
    </w:pPr>
  </w:style>
  <w:style w:type="numbering" w:customStyle="1" w:styleId="WWNum6">
    <w:name w:val="WWNum6"/>
    <w:basedOn w:val="NoList"/>
    <w:pPr>
      <w:numPr>
        <w:numId w:val="6"/>
      </w:numPr>
    </w:pPr>
  </w:style>
  <w:style w:type="numbering" w:customStyle="1" w:styleId="WWNum7">
    <w:name w:val="WWNum7"/>
    <w:basedOn w:val="NoList"/>
    <w:pPr>
      <w:numPr>
        <w:numId w:val="7"/>
      </w:numPr>
    </w:pPr>
  </w:style>
  <w:style w:type="numbering" w:customStyle="1" w:styleId="WWNum8">
    <w:name w:val="WWNum8"/>
    <w:basedOn w:val="NoList"/>
    <w:pPr>
      <w:numPr>
        <w:numId w:val="8"/>
      </w:numPr>
    </w:pPr>
  </w:style>
  <w:style w:type="numbering" w:customStyle="1" w:styleId="WWNum9">
    <w:name w:val="WWNum9"/>
    <w:basedOn w:val="NoList"/>
    <w:pPr>
      <w:numPr>
        <w:numId w:val="9"/>
      </w:numPr>
    </w:pPr>
  </w:style>
  <w:style w:type="numbering" w:customStyle="1" w:styleId="WWNum10">
    <w:name w:val="WWNum10"/>
    <w:basedOn w:val="NoList"/>
    <w:pPr>
      <w:numPr>
        <w:numId w:val="10"/>
      </w:numPr>
    </w:pPr>
  </w:style>
  <w:style w:type="numbering" w:customStyle="1" w:styleId="WWNum11">
    <w:name w:val="WWNum11"/>
    <w:basedOn w:val="NoList"/>
    <w:pPr>
      <w:numPr>
        <w:numId w:val="11"/>
      </w:numPr>
    </w:pPr>
  </w:style>
  <w:style w:type="numbering" w:customStyle="1" w:styleId="WWNum12">
    <w:name w:val="WWNum12"/>
    <w:basedOn w:val="NoList"/>
    <w:pPr>
      <w:numPr>
        <w:numId w:val="12"/>
      </w:numPr>
    </w:pPr>
  </w:style>
  <w:style w:type="numbering" w:customStyle="1" w:styleId="WWNum13">
    <w:name w:val="WWNum13"/>
    <w:basedOn w:val="NoList"/>
    <w:pPr>
      <w:numPr>
        <w:numId w:val="13"/>
      </w:numPr>
    </w:pPr>
  </w:style>
  <w:style w:type="numbering" w:customStyle="1" w:styleId="WWNum14">
    <w:name w:val="WWNum14"/>
    <w:basedOn w:val="NoList"/>
    <w:pPr>
      <w:numPr>
        <w:numId w:val="14"/>
      </w:numPr>
    </w:pPr>
  </w:style>
  <w:style w:type="numbering" w:customStyle="1" w:styleId="WWNum15">
    <w:name w:val="WWNum15"/>
    <w:basedOn w:val="NoList"/>
    <w:pPr>
      <w:numPr>
        <w:numId w:val="15"/>
      </w:numPr>
    </w:pPr>
  </w:style>
  <w:style w:type="numbering" w:customStyle="1" w:styleId="WWNum16">
    <w:name w:val="WWNum16"/>
    <w:basedOn w:val="NoList"/>
    <w:pPr>
      <w:numPr>
        <w:numId w:val="16"/>
      </w:numPr>
    </w:pPr>
  </w:style>
  <w:style w:type="numbering" w:customStyle="1" w:styleId="WWNum17">
    <w:name w:val="WWNum17"/>
    <w:basedOn w:val="NoList"/>
    <w:pPr>
      <w:numPr>
        <w:numId w:val="17"/>
      </w:numPr>
    </w:pPr>
  </w:style>
  <w:style w:type="numbering" w:customStyle="1" w:styleId="WWNum18">
    <w:name w:val="WWNum18"/>
    <w:basedOn w:val="NoList"/>
    <w:pPr>
      <w:numPr>
        <w:numId w:val="18"/>
      </w:numPr>
    </w:pPr>
  </w:style>
  <w:style w:type="numbering" w:customStyle="1" w:styleId="WWNum19">
    <w:name w:val="WWNum19"/>
    <w:basedOn w:val="NoList"/>
    <w:pPr>
      <w:numPr>
        <w:numId w:val="19"/>
      </w:numPr>
    </w:pPr>
  </w:style>
  <w:style w:type="numbering" w:customStyle="1" w:styleId="WWNum20">
    <w:name w:val="WWNum20"/>
    <w:basedOn w:val="NoList"/>
    <w:pPr>
      <w:numPr>
        <w:numId w:val="20"/>
      </w:numPr>
    </w:pPr>
  </w:style>
  <w:style w:type="numbering" w:customStyle="1" w:styleId="WWNum21">
    <w:name w:val="WWNum21"/>
    <w:basedOn w:val="NoList"/>
    <w:pPr>
      <w:numPr>
        <w:numId w:val="21"/>
      </w:numPr>
    </w:pPr>
  </w:style>
  <w:style w:type="numbering" w:customStyle="1" w:styleId="WWNum22">
    <w:name w:val="WWNum22"/>
    <w:basedOn w:val="NoList"/>
    <w:pPr>
      <w:numPr>
        <w:numId w:val="22"/>
      </w:numPr>
    </w:pPr>
  </w:style>
  <w:style w:type="numbering" w:customStyle="1" w:styleId="WWNum23">
    <w:name w:val="WWNum23"/>
    <w:basedOn w:val="NoList"/>
    <w:pPr>
      <w:numPr>
        <w:numId w:val="23"/>
      </w:numPr>
    </w:pPr>
  </w:style>
  <w:style w:type="numbering" w:customStyle="1" w:styleId="WWNum24">
    <w:name w:val="WWNum24"/>
    <w:basedOn w:val="NoList"/>
    <w:pPr>
      <w:numPr>
        <w:numId w:val="24"/>
      </w:numPr>
    </w:pPr>
  </w:style>
  <w:style w:type="numbering" w:customStyle="1" w:styleId="WWNum25">
    <w:name w:val="WWNum25"/>
    <w:basedOn w:val="NoList"/>
    <w:pPr>
      <w:numPr>
        <w:numId w:val="25"/>
      </w:numPr>
    </w:pPr>
  </w:style>
  <w:style w:type="numbering" w:customStyle="1" w:styleId="WWNum26">
    <w:name w:val="WWNum26"/>
    <w:basedOn w:val="NoList"/>
    <w:pPr>
      <w:numPr>
        <w:numId w:val="26"/>
      </w:numPr>
    </w:pPr>
  </w:style>
  <w:style w:type="numbering" w:customStyle="1" w:styleId="WWNum27">
    <w:name w:val="WWNum27"/>
    <w:basedOn w:val="NoList"/>
    <w:pPr>
      <w:numPr>
        <w:numId w:val="27"/>
      </w:numPr>
    </w:pPr>
  </w:style>
  <w:style w:type="numbering" w:customStyle="1" w:styleId="WWNum28">
    <w:name w:val="WWNum28"/>
    <w:basedOn w:val="NoList"/>
    <w:pPr>
      <w:numPr>
        <w:numId w:val="28"/>
      </w:numPr>
    </w:pPr>
  </w:style>
  <w:style w:type="numbering" w:customStyle="1" w:styleId="WWNum29">
    <w:name w:val="WWNum29"/>
    <w:basedOn w:val="NoList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530</Nr_x002e__x0020_akti>
    <Data_x0020_e_x0020_Krijimit xmlns="0e656187-b300-4fb0-8bf4-3a50f872073c">2022-08-09T10:18:01Z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përcaktimin e një sektori shtesë që jepet me koncesion/partneritet publik privat</Titulli>
    <Modifikuesi xmlns="0e656187-b300-4fb0-8bf4-3a50f872073c">ermira.bukaci</Modifikuesi>
    <Nr_x002e__x0020_prot_x0020_QBZ xmlns="0e656187-b300-4fb0-8bf4-3a50f872073c">1228/1</Nr_x002e__x0020_prot_x0020_QBZ>
    <Data_x0020_e_x0020_Modifikimit xmlns="0e656187-b300-4fb0-8bf4-3a50f872073c">2022-08-09T10:21:35Z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4370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EF4DF73B5D4F8D90696099D7B4EF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EF4DF73B5D4F8D90696099D7B4EF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86A89-600B-4A8F-A8D9-5F0C6CA7C0BA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8FDF368-5EFC-4F2C-8382-C576A88595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5B4A5F-2DB7-4377-A3A3-927387108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92618F-8E7E-4304-92B0-D3878E50AF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9D64B96-39A5-41C7-A7A3-BCD6037B821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DD7594A-F52E-4F55-BE89-EED72B21A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Jorina Kryeziu</cp:lastModifiedBy>
  <cp:revision>4</cp:revision>
  <cp:lastPrinted>2022-07-28T22:44:00Z</cp:lastPrinted>
  <dcterms:created xsi:type="dcterms:W3CDTF">2022-08-03T12:50:00Z</dcterms:created>
  <dcterms:modified xsi:type="dcterms:W3CDTF">2022-08-09T10:27:00Z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