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75"/>
        <w:ind w:firstLine="284"/>
        <w:jc w:val="center"/>
        <w:tabs>
          <w:tab w:val="left" w:pos="1260" w:leader="none"/>
        </w:tabs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VENDIM</w:t>
      </w:r>
      <w:r/>
    </w:p>
    <w:p>
      <w:pPr>
        <w:pStyle w:val="175"/>
        <w:ind w:firstLine="284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Nr.</w:t>
      </w:r>
      <w:r>
        <w:rPr>
          <w:rFonts w:ascii="Garamond" w:hAnsi="Garamond"/>
          <w:b/>
        </w:rPr>
        <w:t xml:space="preserve"> 579</w:t>
      </w:r>
      <w:r>
        <w:rPr>
          <w:rFonts w:ascii="Garamond" w:hAnsi="Garamond"/>
          <w:b/>
        </w:rPr>
        <w:t xml:space="preserve">, datë </w:t>
      </w:r>
      <w:r>
        <w:rPr>
          <w:rFonts w:ascii="Garamond" w:hAnsi="Garamond"/>
          <w:b/>
        </w:rPr>
        <w:t xml:space="preserve">31.8.2022</w:t>
      </w:r>
      <w:r>
        <w:rPr>
          <w:rFonts w:ascii="Garamond" w:hAnsi="Garamond"/>
          <w:b/>
        </w:rPr>
      </w:r>
      <w:r/>
    </w:p>
    <w:p>
      <w:pPr>
        <w:pStyle w:val="186"/>
        <w:ind w:firstLine="284"/>
        <w:jc w:val="center"/>
        <w:rPr>
          <w:rFonts w:ascii="Garamond" w:hAnsi="Garamond"/>
          <w:b/>
          <w:lang w:val="sq-AL"/>
        </w:rPr>
      </w:pPr>
      <w:r>
        <w:rPr>
          <w:rFonts w:ascii="Garamond" w:hAnsi="Garamond"/>
          <w:b/>
          <w:lang w:val="sq-AL"/>
        </w:rPr>
      </w:r>
      <w:r/>
    </w:p>
    <w:p>
      <w:pPr>
        <w:pStyle w:val="186"/>
        <w:ind w:firstLine="284"/>
        <w:jc w:val="center"/>
        <w:rPr>
          <w:rFonts w:ascii="Garamond" w:hAnsi="Garamond"/>
          <w:b/>
          <w:caps/>
          <w:lang w:val="sq-AL"/>
        </w:rPr>
      </w:pPr>
      <w:r>
        <w:rPr>
          <w:rFonts w:ascii="Garamond" w:hAnsi="Garamond"/>
          <w:b/>
          <w:lang w:val="sq-AL"/>
        </w:rPr>
        <w:t xml:space="preserve">PËR</w:t>
      </w:r>
      <w:r>
        <w:rPr>
          <w:rFonts w:ascii="Garamond" w:hAnsi="Garamond"/>
          <w:b/>
          <w:lang w:val="sq-AL"/>
        </w:rPr>
        <w:t xml:space="preserve"> </w:t>
      </w:r>
      <w:r>
        <w:rPr>
          <w:rFonts w:ascii="Garamond" w:hAnsi="Garamond"/>
          <w:b/>
          <w:bCs/>
          <w:lang w:val="sq-AL"/>
        </w:rPr>
        <w:t xml:space="preserve">NJË NDRYSHIM NË VENDIMIN</w:t>
      </w:r>
      <w:r>
        <w:rPr>
          <w:rFonts w:ascii="Garamond" w:hAnsi="Garamond"/>
          <w:lang w:val="sq-AL"/>
        </w:rPr>
        <w:t xml:space="preserve"> </w:t>
      </w:r>
      <w:r>
        <w:rPr>
          <w:rFonts w:ascii="Garamond" w:hAnsi="Garamond"/>
          <w:b/>
          <w:bCs/>
          <w:spacing w:val="-4"/>
          <w:lang w:val="sq-AL"/>
        </w:rPr>
        <w:t xml:space="preserve">NR.</w:t>
      </w:r>
      <w:r>
        <w:rPr>
          <w:rFonts w:ascii="Garamond" w:hAnsi="Garamond"/>
          <w:b/>
          <w:bCs/>
          <w:spacing w:val="-4"/>
          <w:lang w:val="sq-AL"/>
        </w:rPr>
        <w:t xml:space="preserve"> </w:t>
      </w:r>
      <w:r>
        <w:rPr>
          <w:rFonts w:ascii="Garamond" w:hAnsi="Garamond"/>
          <w:b/>
          <w:bCs/>
          <w:spacing w:val="-4"/>
          <w:lang w:val="sq-AL"/>
        </w:rPr>
        <w:t xml:space="preserve">270, DATË 2.5.2019,</w:t>
      </w:r>
      <w:r>
        <w:rPr>
          <w:rFonts w:ascii="Garamond" w:hAnsi="Garamond"/>
          <w:b/>
          <w:bCs/>
          <w:spacing w:val="-4"/>
          <w:lang w:val="sq-AL"/>
        </w:rPr>
        <w:t xml:space="preserve"> </w:t>
      </w:r>
      <w:r>
        <w:rPr>
          <w:rFonts w:ascii="Garamond" w:hAnsi="Garamond"/>
          <w:b/>
          <w:bCs/>
          <w:spacing w:val="-4"/>
          <w:lang w:val="sq-AL"/>
        </w:rPr>
        <w:t xml:space="preserve">TË KËSHILLIT</w:t>
      </w:r>
      <w:r>
        <w:rPr>
          <w:rFonts w:ascii="Garamond" w:hAnsi="Garamond"/>
          <w:lang w:val="sq-AL"/>
        </w:rPr>
        <w:t xml:space="preserve"> </w:t>
      </w:r>
      <w:r>
        <w:rPr>
          <w:rFonts w:ascii="Garamond" w:hAnsi="Garamond"/>
          <w:b/>
          <w:bCs/>
          <w:spacing w:val="-4"/>
          <w:lang w:val="sq-AL"/>
        </w:rPr>
        <w:t xml:space="preserve">TË MINISTRAVE, “PËR PJESËMARRJEN</w:t>
      </w:r>
      <w:r>
        <w:rPr>
          <w:rFonts w:ascii="Garamond" w:hAnsi="Garamond"/>
          <w:b/>
          <w:bCs/>
          <w:spacing w:val="-4"/>
          <w:lang w:val="sq-AL"/>
        </w:rPr>
        <w:t xml:space="preserve"> </w:t>
      </w:r>
      <w:r>
        <w:rPr>
          <w:rFonts w:ascii="Garamond" w:hAnsi="Garamond"/>
          <w:b/>
          <w:bCs/>
          <w:spacing w:val="-2"/>
          <w:lang w:val="sq-AL"/>
        </w:rPr>
        <w:t xml:space="preserve">E PERSONELIT TË FORCAVE TË</w:t>
      </w:r>
      <w:r>
        <w:rPr>
          <w:rFonts w:ascii="Garamond" w:hAnsi="Garamond"/>
          <w:lang w:val="sq-AL"/>
        </w:rPr>
        <w:t xml:space="preserve"> </w:t>
      </w:r>
      <w:r>
        <w:rPr>
          <w:rFonts w:ascii="Garamond" w:hAnsi="Garamond"/>
          <w:b/>
          <w:bCs/>
          <w:spacing w:val="-5"/>
          <w:lang w:val="sq-AL"/>
        </w:rPr>
        <w:t xml:space="preserve">ARMATOSURA TË REPUBLIKËS</w:t>
      </w:r>
      <w:r>
        <w:rPr>
          <w:rFonts w:ascii="Garamond" w:hAnsi="Garamond"/>
          <w:b/>
          <w:bCs/>
          <w:spacing w:val="-5"/>
          <w:lang w:val="sq-AL"/>
        </w:rPr>
        <w:t xml:space="preserve"> </w:t>
      </w:r>
      <w:r>
        <w:rPr>
          <w:rFonts w:ascii="Garamond" w:hAnsi="Garamond"/>
          <w:b/>
          <w:bCs/>
          <w:spacing w:val="-5"/>
          <w:lang w:val="sq-AL"/>
        </w:rPr>
        <w:t xml:space="preserve">SË</w:t>
      </w:r>
      <w:r>
        <w:rPr>
          <w:rFonts w:ascii="Garamond" w:hAnsi="Garamond"/>
          <w:lang w:val="sq-AL"/>
        </w:rPr>
        <w:t xml:space="preserve"> </w:t>
      </w:r>
      <w:r>
        <w:rPr>
          <w:rFonts w:ascii="Garamond" w:hAnsi="Garamond"/>
          <w:b/>
          <w:bCs/>
          <w:lang w:val="sq-AL"/>
        </w:rPr>
        <w:t xml:space="preserve">SHQIPËRISË NË MISIONIN E KOMBEVE TË BASHKUARA</w:t>
      </w:r>
      <w:r>
        <w:rPr>
          <w:rFonts w:ascii="Garamond" w:hAnsi="Garamond"/>
          <w:b/>
          <w:bCs/>
          <w:lang w:val="sq-AL"/>
        </w:rPr>
        <w:t xml:space="preserve"> </w:t>
      </w:r>
      <w:r>
        <w:rPr>
          <w:rFonts w:ascii="Garamond" w:hAnsi="Garamond"/>
          <w:b/>
          <w:bCs/>
          <w:lang w:val="sq-AL"/>
        </w:rPr>
        <w:t xml:space="preserve">NË SUDANIN E JUGUT (UNMISS)</w:t>
      </w:r>
      <w:r>
        <w:rPr>
          <w:rFonts w:ascii="Garamond" w:hAnsi="Garamond"/>
          <w:b/>
          <w:bCs/>
          <w:lang w:val="sq-AL"/>
        </w:rPr>
        <w:t xml:space="preserve">”</w:t>
      </w:r>
      <w:r>
        <w:rPr>
          <w:rFonts w:ascii="Garamond" w:hAnsi="Garamond"/>
          <w:b/>
          <w:bCs/>
          <w:lang w:val="sq-AL"/>
        </w:rPr>
        <w:t xml:space="preserve">, TË NDRYSHUAR</w:t>
      </w:r>
      <w:r>
        <w:rPr>
          <w:rFonts w:ascii="Garamond" w:hAnsi="Garamond"/>
          <w:b/>
          <w:caps/>
          <w:lang w:val="sq-AL"/>
        </w:rPr>
      </w:r>
      <w:r/>
    </w:p>
    <w:p>
      <w:pPr>
        <w:pStyle w:val="175"/>
        <w:ind w:firstLine="284"/>
        <w:jc w:val="center"/>
        <w:shd w:val="clear" w:color="auto" w:fill="FFFFFF"/>
        <w:rPr>
          <w:rFonts w:ascii="Garamond" w:hAnsi="Garamond"/>
          <w:b/>
          <w:bCs/>
          <w:spacing w:val="-1"/>
        </w:rPr>
      </w:pPr>
      <w:r>
        <w:rPr>
          <w:rFonts w:ascii="Garamond" w:hAnsi="Garamond"/>
          <w:b/>
          <w:bCs/>
          <w:spacing w:val="-1"/>
        </w:rPr>
      </w:r>
      <w:r/>
    </w:p>
    <w:p>
      <w:pPr>
        <w:pStyle w:val="175"/>
        <w:ind w:firstLine="284"/>
        <w:jc w:val="both"/>
        <w:shd w:val="clear" w:color="auto" w:fill="FFFFFF"/>
        <w:rPr>
          <w:rFonts w:ascii="Garamond" w:hAnsi="Garamond"/>
        </w:rPr>
      </w:pPr>
      <w:r>
        <w:rPr>
          <w:rFonts w:ascii="Garamond" w:hAnsi="Garamond"/>
          <w:spacing w:val="-3"/>
        </w:rPr>
        <w:t xml:space="preserve">Në mbështetje të nenit 100 të Kushtetutës</w:t>
      </w:r>
      <w:r>
        <w:rPr>
          <w:rFonts w:ascii="Garamond" w:hAnsi="Garamond"/>
          <w:spacing w:val="-3"/>
        </w:rPr>
        <w:t xml:space="preserve">,</w:t>
      </w:r>
      <w:r>
        <w:rPr>
          <w:rFonts w:ascii="Garamond" w:hAnsi="Garamond"/>
          <w:spacing w:val="-3"/>
        </w:rPr>
        <w:t xml:space="preserve"> të pikave 2 e 5, të nenit 6, të</w:t>
      </w:r>
      <w:r>
        <w:rPr>
          <w:rFonts w:ascii="Garamond" w:hAnsi="Garamond"/>
          <w:spacing w:val="-3"/>
        </w:rPr>
        <w:t xml:space="preserve"> </w:t>
      </w:r>
      <w:r>
        <w:rPr>
          <w:rFonts w:ascii="Garamond" w:hAnsi="Garamond"/>
          <w:spacing w:val="-3"/>
        </w:rPr>
        <w:t xml:space="preserve">ligjit</w:t>
      </w:r>
      <w:r>
        <w:rPr>
          <w:rFonts w:ascii="Garamond" w:hAnsi="Garamond"/>
          <w:spacing w:val="-3"/>
        </w:rPr>
        <w:t xml:space="preserve"> </w:t>
      </w:r>
      <w:r>
        <w:rPr>
          <w:rFonts w:ascii="Garamond" w:hAnsi="Garamond"/>
          <w:spacing w:val="-3"/>
        </w:rPr>
        <w:t xml:space="preserve">nr.</w:t>
      </w:r>
      <w:r>
        <w:rPr>
          <w:rFonts w:ascii="Garamond" w:hAnsi="Garamond"/>
          <w:spacing w:val="-3"/>
        </w:rPr>
        <w:t xml:space="preserve"> </w:t>
      </w:r>
      <w:r>
        <w:rPr>
          <w:rFonts w:ascii="Garamond" w:hAnsi="Garamond"/>
          <w:spacing w:val="-3"/>
        </w:rPr>
        <w:t xml:space="preserve">9363, datë 24.3.2005</w:t>
      </w:r>
      <w:r>
        <w:rPr>
          <w:rFonts w:ascii="Garamond" w:hAnsi="Garamond"/>
          <w:spacing w:val="-3"/>
        </w:rPr>
        <w:t xml:space="preserve">,</w:t>
      </w:r>
      <w:r>
        <w:rPr>
          <w:rFonts w:ascii="Garamond" w:hAnsi="Garamond"/>
          <w:spacing w:val="-3"/>
        </w:rPr>
        <w:t xml:space="preserve"> “Për dërgimin e Forcave të Armatosura të Republikës së Shqipërisë jashtë vendit, si dhe për mënyrën e procedurat e vendosjes dhe kalimit të forcave ushtarake të huaja në territorin e Republik</w:t>
      </w:r>
      <w:r>
        <w:rPr>
          <w:rFonts w:ascii="Garamond" w:hAnsi="Garamond"/>
          <w:spacing w:val="-3"/>
        </w:rPr>
        <w:t xml:space="preserve">ës së Shqipërisë”, të ndryshuar,</w:t>
      </w:r>
      <w:r>
        <w:rPr>
          <w:rFonts w:ascii="Garamond" w:hAnsi="Garamond"/>
          <w:spacing w:val="-3"/>
        </w:rPr>
        <w:t xml:space="preserve"> të shkronjës “ç”, të nenit 11, të ligjit nr.</w:t>
      </w:r>
      <w:r>
        <w:rPr>
          <w:rFonts w:ascii="Garamond" w:hAnsi="Garamond"/>
          <w:spacing w:val="-3"/>
        </w:rPr>
        <w:t xml:space="preserve"> </w:t>
      </w:r>
      <w:r>
        <w:rPr>
          <w:rFonts w:ascii="Garamond" w:hAnsi="Garamond"/>
          <w:spacing w:val="-3"/>
        </w:rPr>
        <w:t xml:space="preserve">64/2014</w:t>
      </w:r>
      <w:r>
        <w:rPr>
          <w:rFonts w:ascii="Garamond" w:hAnsi="Garamond"/>
          <w:spacing w:val="-3"/>
        </w:rPr>
        <w:t xml:space="preserve">,</w:t>
      </w:r>
      <w:r>
        <w:rPr>
          <w:rFonts w:ascii="Garamond" w:hAnsi="Garamond"/>
          <w:spacing w:val="-3"/>
        </w:rPr>
        <w:t xml:space="preserve"> “Për pushtetet dhe autoritetet e drejtimit e të komandimit të Forcave të Armatosura të Republikës së</w:t>
      </w:r>
      <w:r>
        <w:rPr>
          <w:rFonts w:ascii="Garamond" w:hAnsi="Garamond"/>
          <w:spacing w:val="-3"/>
        </w:rPr>
        <w:t xml:space="preserve"> Shqipërisë”, të ndryshuar, </w:t>
      </w:r>
      <w:r>
        <w:rPr>
          <w:rFonts w:ascii="Garamond" w:hAnsi="Garamond"/>
          <w:spacing w:val="-3"/>
        </w:rPr>
        <w:t xml:space="preserve">dhe </w:t>
      </w:r>
      <w:r>
        <w:rPr>
          <w:rFonts w:ascii="Garamond" w:hAnsi="Garamond"/>
          <w:spacing w:val="-3"/>
        </w:rPr>
        <w:t xml:space="preserve">të aktit normativ nr.</w:t>
      </w:r>
      <w:r>
        <w:rPr>
          <w:rFonts w:ascii="Garamond" w:hAnsi="Garamond"/>
          <w:spacing w:val="-3"/>
        </w:rPr>
        <w:t xml:space="preserve"> </w:t>
      </w:r>
      <w:r>
        <w:rPr>
          <w:rFonts w:ascii="Garamond" w:hAnsi="Garamond"/>
          <w:spacing w:val="-3"/>
        </w:rPr>
        <w:t xml:space="preserve">1, datë 20.3.2019, të Këshillit të Ministrave, “Për pjesëmarrjen e personelit të Forcave të Armatosura të Republikës së Shqipërisë në misionin e Kombeve të Bashkuara në Sudanin e Jugut (UNMISS)”, </w:t>
      </w:r>
      <w:r>
        <w:rPr>
          <w:rFonts w:ascii="Garamond" w:hAnsi="Garamond"/>
          <w:spacing w:val="-3"/>
        </w:rPr>
        <w:t xml:space="preserve">miratuar me ligjin nr.</w:t>
      </w:r>
      <w:r>
        <w:rPr>
          <w:rFonts w:ascii="Garamond" w:hAnsi="Garamond"/>
          <w:spacing w:val="-3"/>
        </w:rPr>
        <w:t xml:space="preserve"> </w:t>
      </w:r>
      <w:r>
        <w:rPr>
          <w:rFonts w:ascii="Garamond" w:hAnsi="Garamond"/>
          <w:spacing w:val="-3"/>
        </w:rPr>
        <w:t xml:space="preserve">23/2019</w:t>
      </w:r>
      <w:r>
        <w:rPr>
          <w:rFonts w:ascii="Garamond" w:hAnsi="Garamond"/>
        </w:rPr>
        <w:t xml:space="preserve">, me propozimin e ministrit të Mbrojtjes, Këshilli i Ministrave</w:t>
      </w:r>
      <w:r>
        <w:rPr>
          <w:rFonts w:ascii="Garamond" w:hAnsi="Garamond"/>
        </w:rPr>
      </w:r>
      <w:r/>
    </w:p>
    <w:p>
      <w:pPr>
        <w:pStyle w:val="175"/>
        <w:ind w:firstLine="284"/>
        <w:jc w:val="both"/>
        <w:shd w:val="clear" w:color="auto" w:fill="FFFFFF"/>
        <w:rPr>
          <w:rFonts w:ascii="Garamond" w:hAnsi="Garamond"/>
        </w:rPr>
      </w:pPr>
      <w:r>
        <w:rPr>
          <w:rFonts w:ascii="Garamond" w:hAnsi="Garamond"/>
        </w:rPr>
      </w:r>
      <w:r/>
    </w:p>
    <w:p>
      <w:pPr>
        <w:pStyle w:val="175"/>
        <w:ind w:firstLine="284"/>
        <w:jc w:val="center"/>
        <w:shd w:val="clear" w:color="auto" w:fill="FFFFFF"/>
        <w:rPr>
          <w:rFonts w:ascii="Garamond" w:hAnsi="Garamond"/>
        </w:rPr>
      </w:pPr>
      <w:r>
        <w:rPr>
          <w:rFonts w:ascii="Garamond" w:hAnsi="Garamond"/>
          <w:spacing w:val="-2"/>
        </w:rPr>
        <w:t xml:space="preserve">VENDOSI:</w:t>
      </w:r>
      <w:r>
        <w:rPr>
          <w:rFonts w:ascii="Garamond" w:hAnsi="Garamond"/>
        </w:rPr>
      </w:r>
      <w:r/>
    </w:p>
    <w:p>
      <w:pPr>
        <w:pStyle w:val="175"/>
        <w:ind w:firstLine="284"/>
        <w:jc w:val="center"/>
        <w:shd w:val="clear" w:color="auto" w:fill="FFFFFF"/>
        <w:rPr>
          <w:rFonts w:ascii="Garamond" w:hAnsi="Garamond"/>
          <w:b/>
        </w:rPr>
      </w:pPr>
      <w:r>
        <w:rPr>
          <w:rFonts w:ascii="Garamond" w:hAnsi="Garamond"/>
          <w:b/>
        </w:rPr>
      </w:r>
      <w:r/>
    </w:p>
    <w:p>
      <w:pPr>
        <w:pStyle w:val="175"/>
        <w:ind w:firstLine="284"/>
        <w:jc w:val="both"/>
        <w:shd w:val="clear" w:color="auto" w:fill="FFFFFF"/>
        <w:rPr>
          <w:rFonts w:ascii="Garamond" w:hAnsi="Garamond"/>
        </w:rPr>
      </w:pPr>
      <w:r>
        <w:rPr>
          <w:rFonts w:ascii="Garamond" w:hAnsi="Garamond"/>
        </w:rPr>
        <w:t xml:space="preserve">Në p</w:t>
      </w:r>
      <w:r>
        <w:rPr>
          <w:rFonts w:ascii="Garamond" w:hAnsi="Garamond"/>
        </w:rPr>
        <w:t xml:space="preserve">ik</w:t>
      </w:r>
      <w:r>
        <w:rPr>
          <w:rFonts w:ascii="Garamond" w:hAnsi="Garamond"/>
        </w:rPr>
        <w:t xml:space="preserve">ën</w:t>
      </w:r>
      <w:r>
        <w:rPr>
          <w:rFonts w:ascii="Garamond" w:hAnsi="Garamond"/>
        </w:rPr>
        <w:t xml:space="preserve"> 1, </w:t>
      </w:r>
      <w:r>
        <w:rPr>
          <w:rFonts w:ascii="Garamond" w:hAnsi="Garamond"/>
        </w:rPr>
        <w:t xml:space="preserve">të</w:t>
      </w:r>
      <w:r>
        <w:rPr>
          <w:rFonts w:ascii="Garamond" w:hAnsi="Garamond"/>
        </w:rPr>
        <w:t xml:space="preserve"> vendimit nr.</w:t>
      </w: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270, datë 2.5.2019, të Këshillit të Ministrave, </w:t>
      </w:r>
      <w:r>
        <w:rPr>
          <w:rFonts w:ascii="Garamond" w:hAnsi="Garamond"/>
          <w:bCs/>
        </w:rPr>
        <w:t xml:space="preserve">të ndryshuar, </w:t>
      </w:r>
      <w:r>
        <w:rPr>
          <w:rFonts w:ascii="Garamond" w:hAnsi="Garamond"/>
          <w:bCs/>
        </w:rPr>
        <w:t xml:space="preserve">data </w:t>
      </w:r>
      <w:r>
        <w:rPr>
          <w:rFonts w:ascii="Garamond" w:hAnsi="Garamond"/>
          <w:bCs/>
        </w:rPr>
        <w:t xml:space="preserve">“</w:t>
      </w:r>
      <w:r>
        <w:rPr>
          <w:rFonts w:ascii="Garamond" w:hAnsi="Garamond"/>
          <w:bCs/>
        </w:rPr>
        <w:t xml:space="preserve">15.3.2022</w:t>
      </w:r>
      <w:r>
        <w:rPr>
          <w:rFonts w:ascii="Garamond" w:hAnsi="Garamond"/>
          <w:bCs/>
        </w:rPr>
        <w:t xml:space="preserve">”</w:t>
      </w:r>
      <w:r>
        <w:rPr>
          <w:rFonts w:ascii="Garamond" w:hAnsi="Garamond"/>
          <w:bCs/>
        </w:rPr>
        <w:t xml:space="preserve"> </w:t>
      </w:r>
      <w:r>
        <w:rPr>
          <w:rFonts w:ascii="Garamond" w:hAnsi="Garamond"/>
        </w:rPr>
        <w:t xml:space="preserve">ndryshohet dhe bëhet </w:t>
      </w:r>
      <w:r>
        <w:rPr>
          <w:rFonts w:ascii="Garamond" w:hAnsi="Garamond"/>
        </w:rPr>
        <w:t xml:space="preserve">“</w:t>
      </w:r>
      <w:r>
        <w:rPr>
          <w:rFonts w:ascii="Garamond" w:hAnsi="Garamond"/>
        </w:rPr>
        <w:t xml:space="preserve">15.3.2023</w:t>
      </w:r>
      <w:r>
        <w:rPr>
          <w:rFonts w:ascii="Garamond" w:hAnsi="Garamond"/>
        </w:rPr>
        <w:t xml:space="preserve">”</w:t>
      </w:r>
      <w:r>
        <w:rPr>
          <w:rFonts w:ascii="Garamond" w:hAnsi="Garamond"/>
        </w:rPr>
        <w:t xml:space="preserve">.</w:t>
      </w:r>
      <w:r>
        <w:rPr>
          <w:rFonts w:ascii="Garamond" w:hAnsi="Garamond"/>
        </w:rPr>
      </w:r>
      <w:r/>
    </w:p>
    <w:p>
      <w:pPr>
        <w:pStyle w:val="218"/>
        <w:ind w:firstLine="284"/>
        <w:jc w:val="both"/>
        <w:rPr>
          <w:rFonts w:ascii="Garamond" w:hAnsi="Garamond"/>
          <w:lang w:val="sq-AL"/>
        </w:rPr>
      </w:pPr>
      <w:r>
        <w:rPr>
          <w:rFonts w:ascii="Garamond" w:hAnsi="Garamond"/>
          <w:lang w:val="sq-AL"/>
        </w:rPr>
        <w:t xml:space="preserve">Ky vendim hyn në fuqi menjëherë dhe botohet në Fletoren </w:t>
      </w:r>
      <w:r>
        <w:rPr>
          <w:rFonts w:ascii="Garamond" w:hAnsi="Garamond"/>
          <w:lang w:val="sq-AL"/>
        </w:rPr>
        <w:t xml:space="preserve">Z</w:t>
      </w:r>
      <w:r>
        <w:rPr>
          <w:rFonts w:ascii="Garamond" w:hAnsi="Garamond"/>
          <w:lang w:val="sq-AL"/>
        </w:rPr>
        <w:t xml:space="preserve">yrtare.</w:t>
      </w:r>
      <w:r/>
    </w:p>
    <w:p>
      <w:pPr>
        <w:pStyle w:val="218"/>
        <w:ind w:firstLine="284"/>
        <w:jc w:val="both"/>
        <w:rPr>
          <w:rFonts w:ascii="Garamond" w:hAnsi="Garamond"/>
          <w:lang w:val="sq-AL"/>
        </w:rPr>
      </w:pPr>
      <w:r>
        <w:rPr>
          <w:rFonts w:ascii="Garamond" w:hAnsi="Garamond"/>
          <w:lang w:val="sq-AL"/>
        </w:rPr>
      </w:r>
      <w:r/>
    </w:p>
    <w:p>
      <w:pPr>
        <w:pStyle w:val="207"/>
        <w:ind w:firstLine="284"/>
        <w:jc w:val="right"/>
        <w:rPr>
          <w:rFonts w:ascii="Garamond" w:hAnsi="Garamond"/>
          <w:lang w:val="sq-AL"/>
        </w:rPr>
      </w:pPr>
      <w:r>
        <w:rPr>
          <w:rFonts w:ascii="Garamond" w:hAnsi="Garamond"/>
          <w:lang w:val="sq-AL"/>
        </w:rPr>
        <w:t xml:space="preserve">KRYEMINISTËR</w:t>
      </w:r>
      <w:r>
        <w:rPr>
          <w:rFonts w:ascii="Garamond" w:hAnsi="Garamond"/>
          <w:lang w:val="sq-AL"/>
        </w:rPr>
      </w:r>
      <w:r/>
    </w:p>
    <w:p>
      <w:pPr>
        <w:pStyle w:val="175"/>
        <w:ind w:firstLine="284"/>
        <w:jc w:val="right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Edi Rama</w:t>
      </w:r>
      <w:r>
        <w:rPr>
          <w:rFonts w:ascii="Garamond" w:hAnsi="Garamond"/>
          <w:b/>
        </w:rPr>
      </w:r>
      <w:r/>
    </w:p>
    <w:sectPr>
      <w:footerReference w:type="default" r:id="rId8"/>
      <w:footnotePr/>
      <w:type w:val="nextPage"/>
      <w:pgSz w:w="11907" w:h="16839"/>
      <w:pgMar w:top="1440" w:right="1440" w:bottom="9" w:left="1440" w:gutter="0" w:header="720" w:footer="346"/>
      <w:cols w:num="1" w:sep="0" w:space="720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 New">
    <w:panose1 w:val="02070309020205020404"/>
  </w:font>
  <w:font w:name="Wingdings">
    <w:panose1 w:val="05030102010509060703"/>
  </w:font>
  <w:font w:name="CG Times">
    <w:panose1 w:val="020B0603030804020204"/>
  </w:font>
  <w:font w:name="Garamond">
    <w:panose1 w:val="02020404030301010803"/>
  </w:font>
  <w:font w:name="Tahoma">
    <w:panose1 w:val="020B0604030504040204"/>
  </w:font>
  <w:font w:name="Bookman Old Style">
    <w:panose1 w:val="02060603050605020204"/>
  </w:font>
  <w:font w:name="Cambria">
    <w:panose1 w:val="02020603050405020304"/>
  </w:font>
  <w:font w:name="Arial">
    <w:panose1 w:val="020B0604020202020204"/>
  </w:font>
  <w:font w:name="Times New Roman">
    <w:panose1 w:val="02020603050405020304"/>
  </w:font>
  <w:font w:name="MS Mincho">
    <w:panose1 w:val="020706090202050904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88"/>
      <w:jc w:val="center"/>
    </w:pPr>
    <w:r/>
    <w:r/>
  </w:p>
  <w:p>
    <w:pPr>
      <w:pStyle w:val="18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</w:p>
  </w:footnote>
  <w:footnote w:type="continuationSeparator" w:id="0">
    <w:p>
      <w:pPr>
        <w:spacing w:lineRule="auto" w:line="240" w:after="0"/>
      </w:pPr>
      <w:r/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suff w:val="tab"/>
      <w:lvlText w:val=""/>
      <w:lvlJc w:val="left"/>
      <w:pPr>
        <w:pStyle w:val="175"/>
        <w:ind w:left="720" w:hanging="359"/>
      </w:pPr>
      <w:rPr>
        <w:rFonts w:ascii="Wingdings" w:hAnsi="Wingdings"/>
      </w:rPr>
    </w:lvl>
    <w:lvl w:ilvl="1">
      <w:start w:val="1"/>
      <w:numFmt w:val="bullet"/>
      <w:suff w:val="tab"/>
      <w:lvlText w:val="o"/>
      <w:lvlJc w:val="left"/>
      <w:pPr>
        <w:pStyle w:val="175"/>
        <w:ind w:left="1440" w:hanging="359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pStyle w:val="175"/>
        <w:ind w:left="2160" w:hanging="359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175"/>
        <w:ind w:left="2880" w:hanging="359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175"/>
        <w:ind w:left="3600" w:hanging="359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pStyle w:val="175"/>
        <w:ind w:left="4320" w:hanging="359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175"/>
        <w:ind w:left="5040" w:hanging="359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175"/>
        <w:ind w:left="5760" w:hanging="359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pStyle w:val="175"/>
        <w:ind w:left="6480" w:hanging="359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bullet"/>
      <w:suff w:val="tab"/>
      <w:lvlText w:val=""/>
      <w:lvlJc w:val="left"/>
      <w:pPr>
        <w:pStyle w:val="175"/>
        <w:ind w:left="720" w:hanging="359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175"/>
        <w:ind w:left="1440" w:hanging="359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pStyle w:val="175"/>
        <w:ind w:left="2160" w:hanging="359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175"/>
        <w:ind w:left="2880" w:hanging="359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175"/>
        <w:ind w:left="3600" w:hanging="359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pStyle w:val="175"/>
        <w:ind w:left="4320" w:hanging="359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175"/>
        <w:ind w:left="5040" w:hanging="359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175"/>
        <w:ind w:left="5760" w:hanging="359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pStyle w:val="175"/>
        <w:ind w:left="6480" w:hanging="359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suff w:val="tab"/>
      <w:lvlText w:val=""/>
      <w:lvlJc w:val="left"/>
      <w:pPr>
        <w:pStyle w:val="175"/>
        <w:ind w:left="720" w:hanging="359"/>
      </w:pPr>
      <w:rPr>
        <w:rFonts w:ascii="Wingdings" w:hAnsi="Wingdings"/>
      </w:rPr>
    </w:lvl>
    <w:lvl w:ilvl="1">
      <w:start w:val="1"/>
      <w:numFmt w:val="bullet"/>
      <w:suff w:val="tab"/>
      <w:lvlText w:val="o"/>
      <w:lvlJc w:val="left"/>
      <w:pPr>
        <w:pStyle w:val="175"/>
        <w:ind w:left="1440" w:hanging="359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pStyle w:val="175"/>
        <w:ind w:left="2160" w:hanging="359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175"/>
        <w:ind w:left="2880" w:hanging="359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175"/>
        <w:ind w:left="3600" w:hanging="359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pStyle w:val="175"/>
        <w:ind w:left="4320" w:hanging="359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175"/>
        <w:ind w:left="5040" w:hanging="359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175"/>
        <w:ind w:left="5760" w:hanging="359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pStyle w:val="175"/>
        <w:ind w:left="6480" w:hanging="359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pStyle w:val="175"/>
        <w:ind w:left="360" w:hanging="359"/>
      </w:pPr>
    </w:lvl>
    <w:lvl w:ilvl="1">
      <w:start w:val="1"/>
      <w:numFmt w:val="lowerLetter"/>
      <w:suff w:val="tab"/>
      <w:lvlText w:val="%2."/>
      <w:lvlJc w:val="left"/>
      <w:pPr>
        <w:pStyle w:val="175"/>
        <w:ind w:left="1080" w:hanging="359"/>
      </w:pPr>
    </w:lvl>
    <w:lvl w:ilvl="2">
      <w:start w:val="1"/>
      <w:numFmt w:val="lowerRoman"/>
      <w:suff w:val="tab"/>
      <w:lvlText w:val="%3."/>
      <w:lvlJc w:val="right"/>
      <w:pPr>
        <w:pStyle w:val="175"/>
        <w:ind w:left="1800" w:hanging="179"/>
      </w:pPr>
    </w:lvl>
    <w:lvl w:ilvl="3">
      <w:start w:val="1"/>
      <w:numFmt w:val="decimal"/>
      <w:suff w:val="tab"/>
      <w:lvlText w:val="%4."/>
      <w:lvlJc w:val="left"/>
      <w:pPr>
        <w:pStyle w:val="175"/>
        <w:ind w:left="2520" w:hanging="359"/>
      </w:pPr>
    </w:lvl>
    <w:lvl w:ilvl="4">
      <w:start w:val="1"/>
      <w:numFmt w:val="lowerLetter"/>
      <w:suff w:val="tab"/>
      <w:lvlText w:val="%5."/>
      <w:lvlJc w:val="left"/>
      <w:pPr>
        <w:pStyle w:val="175"/>
        <w:ind w:left="3240" w:hanging="359"/>
      </w:pPr>
    </w:lvl>
    <w:lvl w:ilvl="5">
      <w:start w:val="1"/>
      <w:numFmt w:val="lowerRoman"/>
      <w:suff w:val="tab"/>
      <w:lvlText w:val="%6."/>
      <w:lvlJc w:val="right"/>
      <w:pPr>
        <w:pStyle w:val="175"/>
        <w:ind w:left="3960" w:hanging="179"/>
      </w:pPr>
    </w:lvl>
    <w:lvl w:ilvl="6">
      <w:start w:val="1"/>
      <w:numFmt w:val="decimal"/>
      <w:suff w:val="tab"/>
      <w:lvlText w:val="%7."/>
      <w:lvlJc w:val="left"/>
      <w:pPr>
        <w:pStyle w:val="175"/>
        <w:ind w:left="4680" w:hanging="359"/>
      </w:pPr>
    </w:lvl>
    <w:lvl w:ilvl="7">
      <w:start w:val="1"/>
      <w:numFmt w:val="lowerLetter"/>
      <w:suff w:val="tab"/>
      <w:lvlText w:val="%8."/>
      <w:lvlJc w:val="left"/>
      <w:pPr>
        <w:pStyle w:val="175"/>
        <w:ind w:left="5400" w:hanging="359"/>
      </w:pPr>
    </w:lvl>
    <w:lvl w:ilvl="8">
      <w:start w:val="1"/>
      <w:numFmt w:val="lowerRoman"/>
      <w:suff w:val="tab"/>
      <w:lvlText w:val="%9."/>
      <w:lvlJc w:val="right"/>
      <w:pPr>
        <w:pStyle w:val="175"/>
        <w:ind w:left="6120" w:hanging="179"/>
      </w:pPr>
    </w:lvl>
  </w:abstractNum>
  <w:abstractNum w:abstractNumId="4">
    <w:multiLevelType w:val="hybridMultilevel"/>
    <w:lvl w:ilvl="0">
      <w:start w:val="1"/>
      <w:numFmt w:val="upperRoman"/>
      <w:suff w:val="tab"/>
      <w:lvlText w:val="%1."/>
      <w:lvlJc w:val="left"/>
      <w:pPr>
        <w:pStyle w:val="175"/>
        <w:ind w:left="2880" w:hanging="719"/>
      </w:pPr>
      <w:rPr>
        <w:b/>
      </w:rPr>
    </w:lvl>
    <w:lvl w:ilvl="1">
      <w:start w:val="1"/>
      <w:numFmt w:val="decimal"/>
      <w:suff w:val="tab"/>
      <w:lvlText w:val="%2."/>
      <w:lvlJc w:val="left"/>
      <w:pPr>
        <w:pStyle w:val="175"/>
        <w:ind w:left="1440" w:hanging="359"/>
        <w:tabs>
          <w:tab w:val="left" w:pos="1440" w:leader="none"/>
        </w:tabs>
      </w:pPr>
      <w:rPr>
        <w:rFonts w:eastAsia="Times New Roman"/>
        <w:sz w:val="28"/>
      </w:rPr>
    </w:lvl>
    <w:lvl w:ilvl="2">
      <w:start w:val="1"/>
      <w:numFmt w:val="lowerRoman"/>
      <w:suff w:val="tab"/>
      <w:lvlText w:val="%3."/>
      <w:lvlJc w:val="right"/>
      <w:pPr>
        <w:pStyle w:val="175"/>
        <w:ind w:left="2160" w:hanging="179"/>
      </w:pPr>
    </w:lvl>
    <w:lvl w:ilvl="3">
      <w:start w:val="1"/>
      <w:numFmt w:val="decimal"/>
      <w:suff w:val="tab"/>
      <w:lvlText w:val="%4."/>
      <w:lvlJc w:val="left"/>
      <w:pPr>
        <w:pStyle w:val="175"/>
        <w:ind w:left="2880" w:hanging="359"/>
      </w:pPr>
    </w:lvl>
    <w:lvl w:ilvl="4">
      <w:start w:val="1"/>
      <w:numFmt w:val="lowerLetter"/>
      <w:suff w:val="tab"/>
      <w:lvlText w:val="%5."/>
      <w:lvlJc w:val="left"/>
      <w:pPr>
        <w:pStyle w:val="175"/>
        <w:ind w:left="3600" w:hanging="359"/>
      </w:pPr>
    </w:lvl>
    <w:lvl w:ilvl="5">
      <w:start w:val="1"/>
      <w:numFmt w:val="lowerRoman"/>
      <w:suff w:val="tab"/>
      <w:lvlText w:val="%6."/>
      <w:lvlJc w:val="right"/>
      <w:pPr>
        <w:pStyle w:val="175"/>
        <w:ind w:left="4320" w:hanging="179"/>
      </w:pPr>
    </w:lvl>
    <w:lvl w:ilvl="6">
      <w:start w:val="1"/>
      <w:numFmt w:val="decimal"/>
      <w:suff w:val="tab"/>
      <w:lvlText w:val="%7."/>
      <w:lvlJc w:val="left"/>
      <w:pPr>
        <w:pStyle w:val="175"/>
        <w:ind w:left="5040" w:hanging="359"/>
      </w:pPr>
    </w:lvl>
    <w:lvl w:ilvl="7">
      <w:start w:val="1"/>
      <w:numFmt w:val="lowerLetter"/>
      <w:suff w:val="tab"/>
      <w:lvlText w:val="%8."/>
      <w:lvlJc w:val="left"/>
      <w:pPr>
        <w:pStyle w:val="175"/>
        <w:ind w:left="5760" w:hanging="359"/>
      </w:pPr>
    </w:lvl>
    <w:lvl w:ilvl="8">
      <w:start w:val="1"/>
      <w:numFmt w:val="lowerRoman"/>
      <w:suff w:val="tab"/>
      <w:lvlText w:val="%9."/>
      <w:lvlJc w:val="right"/>
      <w:pPr>
        <w:pStyle w:val="175"/>
        <w:ind w:left="6480" w:hanging="179"/>
      </w:pPr>
    </w:lvl>
  </w:abstractNum>
  <w:abstractNum w:abstractNumId="5">
    <w:multiLevelType w:val="hybridMultilevel"/>
    <w:lvl w:ilvl="0">
      <w:start w:val="1"/>
      <w:numFmt w:val="decimal"/>
      <w:suff w:val="tab"/>
      <w:lvlText w:val="%1."/>
      <w:lvlJc w:val="left"/>
      <w:pPr>
        <w:pStyle w:val="175"/>
        <w:ind w:left="405" w:hanging="404"/>
        <w:tabs>
          <w:tab w:val="left" w:pos="405" w:leader="none"/>
        </w:tabs>
      </w:pPr>
      <w:rPr>
        <w:rFonts w:ascii="Times New Roman" w:hAnsi="Times New Roman"/>
        <w:b w:val="false"/>
        <w:color w:val="000000"/>
      </w:rPr>
    </w:lvl>
    <w:lvl w:ilvl="1">
      <w:start w:val="1"/>
      <w:numFmt w:val="lowerLetter"/>
      <w:suff w:val="tab"/>
      <w:lvlText w:val="%2)"/>
      <w:lvlJc w:val="left"/>
      <w:pPr>
        <w:pStyle w:val="175"/>
        <w:ind w:left="1440" w:hanging="359"/>
        <w:tabs>
          <w:tab w:val="left" w:pos="1440" w:leader="none"/>
        </w:tabs>
      </w:pPr>
    </w:lvl>
    <w:lvl w:ilvl="2">
      <w:start w:val="1"/>
      <w:numFmt w:val="lowerRoman"/>
      <w:suff w:val="tab"/>
      <w:lvlText w:val="%3."/>
      <w:lvlJc w:val="right"/>
      <w:pPr>
        <w:pStyle w:val="175"/>
        <w:ind w:left="2160" w:hanging="179"/>
        <w:tabs>
          <w:tab w:val="left" w:pos="2160" w:leader="none"/>
        </w:tabs>
      </w:pPr>
    </w:lvl>
    <w:lvl w:ilvl="3">
      <w:start w:val="1"/>
      <w:numFmt w:val="decimal"/>
      <w:suff w:val="tab"/>
      <w:lvlText w:val="%4."/>
      <w:lvlJc w:val="left"/>
      <w:pPr>
        <w:pStyle w:val="175"/>
        <w:ind w:left="2880" w:hanging="359"/>
        <w:tabs>
          <w:tab w:val="left" w:pos="2880" w:leader="none"/>
        </w:tabs>
      </w:pPr>
    </w:lvl>
    <w:lvl w:ilvl="4">
      <w:start w:val="1"/>
      <w:numFmt w:val="lowerLetter"/>
      <w:suff w:val="tab"/>
      <w:lvlText w:val="%5."/>
      <w:lvlJc w:val="left"/>
      <w:pPr>
        <w:pStyle w:val="175"/>
        <w:ind w:left="3600" w:hanging="359"/>
        <w:tabs>
          <w:tab w:val="left" w:pos="3600" w:leader="none"/>
        </w:tabs>
      </w:pPr>
    </w:lvl>
    <w:lvl w:ilvl="5">
      <w:start w:val="1"/>
      <w:numFmt w:val="lowerRoman"/>
      <w:suff w:val="tab"/>
      <w:lvlText w:val="%6."/>
      <w:lvlJc w:val="right"/>
      <w:pPr>
        <w:pStyle w:val="175"/>
        <w:ind w:left="4320" w:hanging="179"/>
        <w:tabs>
          <w:tab w:val="left" w:pos="4320" w:leader="none"/>
        </w:tabs>
      </w:pPr>
    </w:lvl>
    <w:lvl w:ilvl="6">
      <w:start w:val="1"/>
      <w:numFmt w:val="decimal"/>
      <w:suff w:val="tab"/>
      <w:lvlText w:val="%7."/>
      <w:lvlJc w:val="left"/>
      <w:pPr>
        <w:pStyle w:val="175"/>
        <w:ind w:left="5040" w:hanging="359"/>
        <w:tabs>
          <w:tab w:val="left" w:pos="5040" w:leader="none"/>
        </w:tabs>
      </w:pPr>
    </w:lvl>
    <w:lvl w:ilvl="7">
      <w:start w:val="1"/>
      <w:numFmt w:val="lowerLetter"/>
      <w:suff w:val="tab"/>
      <w:lvlText w:val="%8."/>
      <w:lvlJc w:val="left"/>
      <w:pPr>
        <w:pStyle w:val="175"/>
        <w:ind w:left="5760" w:hanging="359"/>
        <w:tabs>
          <w:tab w:val="left" w:pos="5760" w:leader="none"/>
        </w:tabs>
      </w:pPr>
    </w:lvl>
    <w:lvl w:ilvl="8">
      <w:start w:val="1"/>
      <w:numFmt w:val="lowerRoman"/>
      <w:suff w:val="tab"/>
      <w:lvlText w:val="%9."/>
      <w:lvlJc w:val="right"/>
      <w:pPr>
        <w:pStyle w:val="175"/>
        <w:ind w:left="6480" w:hanging="179"/>
        <w:tabs>
          <w:tab w:val="left" w:pos="6480" w:leader="none"/>
        </w:tabs>
      </w:pPr>
    </w:lvl>
  </w:abstractNum>
  <w:abstractNum w:abstractNumId="6">
    <w:multiLevelType w:val="hybridMultilevel"/>
    <w:lvl w:ilvl="0">
      <w:start w:val="1"/>
      <w:numFmt w:val="bullet"/>
      <w:suff w:val="tab"/>
      <w:lvlText w:val=""/>
      <w:lvlJc w:val="left"/>
      <w:pPr>
        <w:pStyle w:val="175"/>
        <w:ind w:left="720" w:hanging="359"/>
      </w:pPr>
      <w:rPr>
        <w:rFonts w:ascii="Wingdings" w:hAnsi="Wingdings"/>
      </w:rPr>
    </w:lvl>
    <w:lvl w:ilvl="1">
      <w:start w:val="1"/>
      <w:numFmt w:val="bullet"/>
      <w:suff w:val="tab"/>
      <w:lvlText w:val="o"/>
      <w:lvlJc w:val="left"/>
      <w:pPr>
        <w:pStyle w:val="175"/>
        <w:ind w:left="1440" w:hanging="359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pStyle w:val="175"/>
        <w:ind w:left="2160" w:hanging="359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175"/>
        <w:ind w:left="2880" w:hanging="359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175"/>
        <w:ind w:left="3600" w:hanging="359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pStyle w:val="175"/>
        <w:ind w:left="4320" w:hanging="359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175"/>
        <w:ind w:left="5040" w:hanging="359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175"/>
        <w:ind w:left="5760" w:hanging="359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pStyle w:val="175"/>
        <w:ind w:left="6480" w:hanging="359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bullet"/>
      <w:suff w:val="tab"/>
      <w:lvlText w:val=""/>
      <w:lvlJc w:val="left"/>
      <w:pPr>
        <w:pStyle w:val="175"/>
        <w:ind w:left="720" w:hanging="359"/>
      </w:pPr>
      <w:rPr>
        <w:rFonts w:ascii="Wingdings" w:hAnsi="Wingdings"/>
      </w:rPr>
    </w:lvl>
    <w:lvl w:ilvl="1">
      <w:start w:val="1"/>
      <w:numFmt w:val="bullet"/>
      <w:suff w:val="tab"/>
      <w:lvlText w:val="o"/>
      <w:lvlJc w:val="left"/>
      <w:pPr>
        <w:pStyle w:val="175"/>
        <w:ind w:left="1440" w:hanging="359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pStyle w:val="175"/>
        <w:ind w:left="2160" w:hanging="359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175"/>
        <w:ind w:left="2880" w:hanging="359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175"/>
        <w:ind w:left="3600" w:hanging="359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pStyle w:val="175"/>
        <w:ind w:left="4320" w:hanging="359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175"/>
        <w:ind w:left="5040" w:hanging="359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175"/>
        <w:ind w:left="5760" w:hanging="359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pStyle w:val="175"/>
        <w:ind w:left="6480" w:hanging="359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zoom w:percent="1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color w:val="auto"/>
        <w:spacing w:val="0"/>
        <w:position w:val="0"/>
        <w:sz w:val="20"/>
        <w:szCs w:val="22"/>
        <w:lang w:val="en-US" w:bidi="en-US" w:eastAsia="en-US"/>
      </w:rPr>
    </w:rPrDefault>
    <w:pPrDefault>
      <w:pPr>
        <w:ind w:left="0" w:right="0" w:hanging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2"/>
    <w:basedOn w:val="175"/>
    <w:next w:val="175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17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175"/>
    <w:next w:val="175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179"/>
    <w:link w:val="15"/>
    <w:uiPriority w:val="9"/>
    <w:rPr>
      <w:rFonts w:ascii="Arial" w:hAnsi="Arial" w:cs="Arial" w:eastAsia="Arial"/>
      <w:sz w:val="30"/>
      <w:szCs w:val="30"/>
    </w:rPr>
  </w:style>
  <w:style w:type="paragraph" w:styleId="21">
    <w:name w:val="Heading 6"/>
    <w:basedOn w:val="175"/>
    <w:next w:val="175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17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175"/>
    <w:next w:val="175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17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175"/>
    <w:next w:val="175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17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175"/>
    <w:next w:val="175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17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175"/>
    <w:next w:val="175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179"/>
    <w:link w:val="32"/>
    <w:uiPriority w:val="10"/>
    <w:rPr>
      <w:sz w:val="48"/>
      <w:szCs w:val="48"/>
    </w:rPr>
  </w:style>
  <w:style w:type="paragraph" w:styleId="34">
    <w:name w:val="Subtitle"/>
    <w:basedOn w:val="175"/>
    <w:next w:val="175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179"/>
    <w:link w:val="34"/>
    <w:uiPriority w:val="11"/>
    <w:rPr>
      <w:sz w:val="24"/>
      <w:szCs w:val="24"/>
    </w:rPr>
  </w:style>
  <w:style w:type="paragraph" w:styleId="36">
    <w:name w:val="Quote"/>
    <w:basedOn w:val="175"/>
    <w:next w:val="175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175"/>
    <w:next w:val="175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table" w:styleId="45">
    <w:name w:val="Lined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46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47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48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49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50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51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52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/>
          <w:top w:val="single" w:color="D9D9D9" w:sz="4" w:space="0"/>
          <w:right w:val="single" w:color="D9D9D9" w:sz="4" w:space="0"/>
          <w:bottom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53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8CCE4" w:sz="4" w:space="0"/>
        <w:top w:val="single" w:color="B8CCE4" w:sz="4" w:space="0"/>
        <w:right w:val="single" w:color="B8CCE4" w:sz="4" w:space="0"/>
        <w:bottom w:val="single" w:color="B8CCE4" w:sz="4" w:space="0"/>
        <w:insideV w:val="single" w:color="B8CCE4" w:sz="4" w:space="0"/>
        <w:insideH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8CCE4" w:sz="4" w:space="0"/>
          <w:top w:val="single" w:color="B8CCE4" w:sz="4" w:space="0"/>
          <w:right w:val="single" w:color="B8CCE4" w:sz="4" w:space="0"/>
          <w:bottom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54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5B8B7" w:sz="4" w:space="0"/>
        <w:top w:val="single" w:color="E5B8B7" w:sz="4" w:space="0"/>
        <w:right w:val="single" w:color="E5B8B7" w:sz="4" w:space="0"/>
        <w:bottom w:val="single" w:color="E5B8B7" w:sz="4" w:space="0"/>
        <w:insideV w:val="single" w:color="E5B8B7" w:sz="4" w:space="0"/>
        <w:insideH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8B7" w:sz="4" w:space="0"/>
          <w:top w:val="single" w:color="E5B8B7" w:sz="4" w:space="0"/>
          <w:right w:val="single" w:color="E5B8B7" w:sz="4" w:space="0"/>
          <w:bottom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55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6E3BC" w:sz="4" w:space="0"/>
        <w:top w:val="single" w:color="D6E3BC" w:sz="4" w:space="0"/>
        <w:right w:val="single" w:color="D6E3BC" w:sz="4" w:space="0"/>
        <w:bottom w:val="single" w:color="D6E3BC" w:sz="4" w:space="0"/>
        <w:insideV w:val="single" w:color="D6E3BC" w:sz="4" w:space="0"/>
        <w:insideH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C" w:sz="4" w:space="0"/>
          <w:top w:val="single" w:color="D6E3BC" w:sz="4" w:space="0"/>
          <w:right w:val="single" w:color="D6E3BC" w:sz="4" w:space="0"/>
          <w:bottom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56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CC0D9" w:sz="4" w:space="0"/>
        <w:top w:val="single" w:color="CCC0D9" w:sz="4" w:space="0"/>
        <w:right w:val="single" w:color="CCC0D9" w:sz="4" w:space="0"/>
        <w:bottom w:val="single" w:color="CCC0D9" w:sz="4" w:space="0"/>
        <w:insideV w:val="single" w:color="CCC0D9" w:sz="4" w:space="0"/>
        <w:insideH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CC0D9" w:sz="4" w:space="0"/>
          <w:top w:val="single" w:color="CCC0D9" w:sz="4" w:space="0"/>
          <w:right w:val="single" w:color="CCC0D9" w:sz="4" w:space="0"/>
          <w:bottom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57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/>
          <w:top w:val="single" w:color="B6DDE8" w:sz="4" w:space="0"/>
          <w:right w:val="single" w:color="B6DDE8" w:sz="4" w:space="0"/>
          <w:bottom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58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/>
          <w:top w:val="single" w:color="FBD4B4" w:sz="4" w:space="0"/>
          <w:right w:val="single" w:color="FBD4B4" w:sz="4" w:space="0"/>
          <w:bottom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59">
    <w:name w:val="Bordered &amp; Lined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60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1F497D" w:sz="4" w:space="0"/>
        <w:top w:val="single" w:color="1F497D" w:sz="4" w:space="0"/>
        <w:right w:val="single" w:color="1F497D" w:sz="4" w:space="0"/>
        <w:bottom w:val="single" w:color="1F497D" w:sz="4" w:space="0"/>
        <w:insideV w:val="single" w:color="1F497D" w:sz="4" w:space="0"/>
        <w:insideH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61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0504D" w:sz="4" w:space="0"/>
        <w:top w:val="single" w:color="C0504D" w:sz="4" w:space="0"/>
        <w:right w:val="single" w:color="C0504D" w:sz="4" w:space="0"/>
        <w:bottom w:val="single" w:color="C0504D" w:sz="4" w:space="0"/>
        <w:insideV w:val="single" w:color="C0504D" w:sz="4" w:space="0"/>
        <w:insideH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62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76923C" w:sz="4" w:space="0"/>
        <w:top w:val="single" w:color="76923C" w:sz="4" w:space="0"/>
        <w:right w:val="single" w:color="76923C" w:sz="4" w:space="0"/>
        <w:bottom w:val="single" w:color="76923C" w:sz="4" w:space="0"/>
        <w:insideV w:val="single" w:color="76923C" w:sz="4" w:space="0"/>
        <w:insideH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63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8064A2" w:sz="4" w:space="0"/>
        <w:top w:val="single" w:color="8064A2" w:sz="4" w:space="0"/>
        <w:right w:val="single" w:color="8064A2" w:sz="4" w:space="0"/>
        <w:bottom w:val="single" w:color="8064A2" w:sz="4" w:space="0"/>
        <w:insideV w:val="single" w:color="8064A2" w:sz="4" w:space="0"/>
        <w:insideH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64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31849B" w:sz="4" w:space="0"/>
        <w:top w:val="single" w:color="31849B" w:sz="4" w:space="0"/>
        <w:right w:val="single" w:color="31849B" w:sz="4" w:space="0"/>
        <w:bottom w:val="single" w:color="31849B" w:sz="4" w:space="0"/>
        <w:insideV w:val="single" w:color="31849B" w:sz="4" w:space="0"/>
        <w:insideH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65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36C0A" w:sz="4" w:space="0"/>
        <w:top w:val="single" w:color="E36C0A" w:sz="4" w:space="0"/>
        <w:right w:val="single" w:color="E36C0A" w:sz="4" w:space="0"/>
        <w:bottom w:val="single" w:color="E36C0A" w:sz="4" w:space="0"/>
        <w:insideV w:val="single" w:color="E36C0A" w:sz="4" w:space="0"/>
        <w:insideH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paragraph" w:styleId="70">
    <w:name w:val="toc 1"/>
    <w:basedOn w:val="175"/>
    <w:next w:val="175"/>
    <w:uiPriority w:val="39"/>
    <w:unhideWhenUsed/>
    <w:pPr>
      <w:ind w:left="0" w:right="0" w:hanging="0"/>
      <w:spacing w:after="57"/>
    </w:pPr>
  </w:style>
  <w:style w:type="paragraph" w:styleId="71">
    <w:name w:val="toc 2"/>
    <w:basedOn w:val="175"/>
    <w:next w:val="175"/>
    <w:uiPriority w:val="39"/>
    <w:unhideWhenUsed/>
    <w:pPr>
      <w:ind w:left="283" w:right="0" w:hanging="0"/>
      <w:spacing w:after="57"/>
    </w:pPr>
  </w:style>
  <w:style w:type="paragraph" w:styleId="72">
    <w:name w:val="toc 3"/>
    <w:basedOn w:val="175"/>
    <w:next w:val="175"/>
    <w:uiPriority w:val="39"/>
    <w:unhideWhenUsed/>
    <w:pPr>
      <w:ind w:left="567" w:right="0" w:hanging="0"/>
      <w:spacing w:after="57"/>
    </w:pPr>
  </w:style>
  <w:style w:type="paragraph" w:styleId="73">
    <w:name w:val="toc 4"/>
    <w:basedOn w:val="175"/>
    <w:next w:val="175"/>
    <w:uiPriority w:val="39"/>
    <w:unhideWhenUsed/>
    <w:pPr>
      <w:ind w:left="850" w:right="0" w:hanging="0"/>
      <w:spacing w:after="57"/>
    </w:pPr>
  </w:style>
  <w:style w:type="paragraph" w:styleId="74">
    <w:name w:val="toc 5"/>
    <w:basedOn w:val="175"/>
    <w:next w:val="175"/>
    <w:uiPriority w:val="39"/>
    <w:unhideWhenUsed/>
    <w:pPr>
      <w:ind w:left="1134" w:right="0" w:hanging="0"/>
      <w:spacing w:after="57"/>
    </w:pPr>
  </w:style>
  <w:style w:type="paragraph" w:styleId="75">
    <w:name w:val="toc 6"/>
    <w:basedOn w:val="175"/>
    <w:next w:val="175"/>
    <w:uiPriority w:val="39"/>
    <w:unhideWhenUsed/>
    <w:pPr>
      <w:ind w:left="1417" w:right="0" w:hanging="0"/>
      <w:spacing w:after="57"/>
    </w:pPr>
  </w:style>
  <w:style w:type="paragraph" w:styleId="76">
    <w:name w:val="toc 7"/>
    <w:basedOn w:val="175"/>
    <w:next w:val="175"/>
    <w:uiPriority w:val="39"/>
    <w:unhideWhenUsed/>
    <w:pPr>
      <w:ind w:left="1701" w:right="0" w:hanging="0"/>
      <w:spacing w:after="57"/>
    </w:pPr>
  </w:style>
  <w:style w:type="paragraph" w:styleId="77">
    <w:name w:val="toc 8"/>
    <w:basedOn w:val="175"/>
    <w:next w:val="175"/>
    <w:uiPriority w:val="39"/>
    <w:unhideWhenUsed/>
    <w:pPr>
      <w:ind w:left="1984" w:right="0" w:hanging="0"/>
      <w:spacing w:after="57"/>
    </w:pPr>
  </w:style>
  <w:style w:type="paragraph" w:styleId="78">
    <w:name w:val="toc 9"/>
    <w:basedOn w:val="175"/>
    <w:next w:val="175"/>
    <w:uiPriority w:val="39"/>
    <w:unhideWhenUsed/>
    <w:pPr>
      <w:ind w:left="2268" w:right="0" w:hanging="0"/>
      <w:spacing w:after="57"/>
    </w:pPr>
  </w:style>
  <w:style w:type="paragraph" w:styleId="79">
    <w:name w:val="TOC Heading"/>
    <w:uiPriority w:val="39"/>
    <w:unhideWhenUsed/>
  </w:style>
  <w:style w:type="paragraph" w:styleId="175" w:default="1">
    <w:name w:val="Normal"/>
    <w:next w:val="175"/>
    <w:link w:val="175"/>
    <w:rPr>
      <w:rFonts w:ascii="Arial" w:hAnsi="Arial" w:eastAsia="Times New Roman"/>
      <w:sz w:val="24"/>
      <w:szCs w:val="24"/>
      <w:lang w:val="sq-AL" w:bidi="ar-SA" w:eastAsia="en-US"/>
    </w:rPr>
  </w:style>
  <w:style w:type="paragraph" w:styleId="176">
    <w:name w:val="Heading 1"/>
    <w:basedOn w:val="175"/>
    <w:next w:val="175"/>
    <w:link w:val="182"/>
    <w:rPr>
      <w:rFonts w:ascii="Bookman Old Style" w:hAnsi="Bookman Old Style" w:eastAsia="Calibri"/>
      <w:b/>
      <w:bCs/>
      <w:sz w:val="20"/>
      <w:szCs w:val="20"/>
      <w:lang w:val="en-US" w:eastAsia="en-US"/>
    </w:rPr>
    <w:pPr>
      <w:jc w:val="center"/>
      <w:keepNext/>
      <w:outlineLvl w:val="0"/>
    </w:pPr>
  </w:style>
  <w:style w:type="paragraph" w:styleId="177">
    <w:name w:val="Heading 4"/>
    <w:basedOn w:val="175"/>
    <w:next w:val="175"/>
    <w:link w:val="183"/>
    <w:rPr>
      <w:rFonts w:ascii="Bookman Old Style" w:hAnsi="Bookman Old Style" w:eastAsia="Calibri"/>
      <w:b/>
      <w:bCs/>
      <w:u w:val="single"/>
      <w:lang w:val="de-DE" w:eastAsia="en-US"/>
    </w:rPr>
    <w:pPr>
      <w:jc w:val="right"/>
      <w:keepNext/>
      <w:outlineLvl w:val="3"/>
    </w:pPr>
  </w:style>
  <w:style w:type="paragraph" w:styleId="178">
    <w:name w:val="Heading 5"/>
    <w:basedOn w:val="175"/>
    <w:next w:val="175"/>
    <w:link w:val="215"/>
    <w:semiHidden/>
    <w:rPr>
      <w:rFonts w:ascii="Cambria" w:hAnsi="Cambria"/>
      <w:color w:val="243F60"/>
      <w:sz w:val="22"/>
      <w:szCs w:val="22"/>
      <w:lang w:val="en-US" w:eastAsia="en-US"/>
    </w:rPr>
    <w:pPr>
      <w:keepLines/>
      <w:keepNext/>
      <w:spacing w:lineRule="auto" w:line="276" w:before="200"/>
      <w:outlineLvl w:val="4"/>
    </w:pPr>
  </w:style>
  <w:style w:type="character" w:styleId="179" w:default="1">
    <w:name w:val="Default Paragraph Font"/>
    <w:next w:val="179"/>
    <w:link w:val="175"/>
    <w:semiHidden/>
  </w:style>
  <w:style w:type="table" w:styleId="180">
    <w:name w:val="Table Normal"/>
    <w:next w:val="180"/>
    <w:link w:val="175"/>
    <w:semiHidden/>
    <w:tblPr/>
  </w:style>
  <w:style w:type="numbering" w:styleId="181" w:default="1">
    <w:name w:val="No List"/>
    <w:next w:val="181"/>
    <w:link w:val="175"/>
    <w:semiHidden/>
  </w:style>
  <w:style w:type="character" w:styleId="182">
    <w:name w:val="Heading 1 Char"/>
    <w:next w:val="182"/>
    <w:link w:val="176"/>
    <w:rPr>
      <w:rFonts w:ascii="Bookman Old Style" w:hAnsi="Bookman Old Style"/>
      <w:b/>
      <w:bCs/>
      <w:sz w:val="20"/>
      <w:szCs w:val="20"/>
    </w:rPr>
  </w:style>
  <w:style w:type="character" w:styleId="183">
    <w:name w:val="Heading 4 Char"/>
    <w:next w:val="183"/>
    <w:link w:val="177"/>
    <w:rPr>
      <w:rFonts w:ascii="Bookman Old Style" w:hAnsi="Bookman Old Style"/>
      <w:b/>
      <w:bCs/>
      <w:sz w:val="24"/>
      <w:szCs w:val="24"/>
      <w:u w:val="single"/>
      <w:lang w:val="de-DE" w:eastAsia="en-US"/>
    </w:rPr>
  </w:style>
  <w:style w:type="paragraph" w:styleId="184">
    <w:name w:val="Body Text"/>
    <w:basedOn w:val="175"/>
    <w:next w:val="184"/>
    <w:link w:val="185"/>
    <w:rPr>
      <w:rFonts w:ascii="Bookman Old Style" w:hAnsi="Bookman Old Style" w:eastAsia="Calibri"/>
      <w:b/>
      <w:bCs/>
      <w:u w:val="single"/>
      <w:lang w:val="en-US" w:eastAsia="en-US"/>
    </w:rPr>
    <w:pPr>
      <w:jc w:val="center"/>
    </w:pPr>
  </w:style>
  <w:style w:type="character" w:styleId="185">
    <w:name w:val="Body Text Char"/>
    <w:next w:val="185"/>
    <w:link w:val="184"/>
    <w:rPr>
      <w:rFonts w:ascii="Bookman Old Style" w:hAnsi="Bookman Old Style"/>
      <w:b/>
      <w:bCs/>
      <w:sz w:val="24"/>
      <w:szCs w:val="24"/>
      <w:u w:val="single"/>
    </w:rPr>
  </w:style>
  <w:style w:type="paragraph" w:styleId="186">
    <w:name w:val="Body Text 3"/>
    <w:basedOn w:val="175"/>
    <w:next w:val="186"/>
    <w:link w:val="187"/>
    <w:rPr>
      <w:rFonts w:ascii="Times New Roman" w:hAnsi="Times New Roman" w:eastAsia="Calibri"/>
      <w:lang w:val="en-US" w:eastAsia="en-US"/>
    </w:rPr>
  </w:style>
  <w:style w:type="character" w:styleId="187">
    <w:name w:val="Body Text 3 Char"/>
    <w:next w:val="187"/>
    <w:link w:val="186"/>
    <w:rPr>
      <w:rFonts w:ascii="Times New Roman" w:hAnsi="Times New Roman"/>
      <w:sz w:val="24"/>
      <w:szCs w:val="24"/>
    </w:rPr>
  </w:style>
  <w:style w:type="paragraph" w:styleId="188">
    <w:name w:val="Footer"/>
    <w:basedOn w:val="175"/>
    <w:next w:val="188"/>
    <w:link w:val="189"/>
    <w:rPr>
      <w:rFonts w:eastAsia="Calibri"/>
      <w:lang w:val="en-US" w:eastAsia="en-US"/>
    </w:rPr>
    <w:pPr>
      <w:tabs>
        <w:tab w:val="center" w:pos="4986" w:leader="none"/>
        <w:tab w:val="right" w:pos="9972" w:leader="none"/>
      </w:tabs>
    </w:pPr>
  </w:style>
  <w:style w:type="character" w:styleId="189">
    <w:name w:val="Footer Char"/>
    <w:next w:val="189"/>
    <w:link w:val="188"/>
    <w:rPr>
      <w:rFonts w:ascii="Arial" w:hAnsi="Arial"/>
      <w:sz w:val="24"/>
      <w:szCs w:val="24"/>
    </w:rPr>
  </w:style>
  <w:style w:type="character" w:styleId="190">
    <w:name w:val="Hyperlink"/>
    <w:next w:val="190"/>
    <w:link w:val="175"/>
    <w:rPr>
      <w:color w:val="0000FF"/>
      <w:u w:val="single"/>
    </w:rPr>
  </w:style>
  <w:style w:type="paragraph" w:styleId="191">
    <w:name w:val="Char Char Char Char Char Char Char"/>
    <w:basedOn w:val="175"/>
    <w:next w:val="191"/>
    <w:link w:val="175"/>
    <w:rPr>
      <w:rFonts w:ascii="Tahoma" w:hAnsi="Tahoma" w:eastAsia="MS Mincho"/>
      <w:sz w:val="20"/>
      <w:szCs w:val="20"/>
      <w:lang w:val="sq-AL"/>
    </w:rPr>
    <w:pPr>
      <w:spacing w:lineRule="exact" w:line="240" w:after="160"/>
    </w:pPr>
  </w:style>
  <w:style w:type="paragraph" w:styleId="192">
    <w:name w:val="Header"/>
    <w:basedOn w:val="175"/>
    <w:next w:val="192"/>
    <w:link w:val="193"/>
    <w:rPr>
      <w:rFonts w:eastAsia="Calibri"/>
      <w:lang w:val="en-US" w:eastAsia="en-US"/>
    </w:rPr>
    <w:pPr>
      <w:tabs>
        <w:tab w:val="center" w:pos="4680" w:leader="none"/>
        <w:tab w:val="right" w:pos="9360" w:leader="none"/>
      </w:tabs>
    </w:pPr>
  </w:style>
  <w:style w:type="character" w:styleId="193">
    <w:name w:val="Header Char"/>
    <w:next w:val="193"/>
    <w:link w:val="192"/>
    <w:rPr>
      <w:rFonts w:ascii="Arial" w:hAnsi="Arial"/>
      <w:sz w:val="24"/>
      <w:szCs w:val="24"/>
    </w:rPr>
  </w:style>
  <w:style w:type="paragraph" w:styleId="194">
    <w:name w:val="Char Char Char Char"/>
    <w:basedOn w:val="175"/>
    <w:next w:val="194"/>
    <w:link w:val="175"/>
    <w:rPr>
      <w:rFonts w:ascii="Tahoma" w:hAnsi="Tahoma" w:eastAsia="MS Mincho"/>
      <w:sz w:val="20"/>
      <w:szCs w:val="20"/>
      <w:lang w:val="sq-AL"/>
    </w:rPr>
    <w:pPr>
      <w:spacing w:lineRule="exact" w:line="240" w:after="160"/>
    </w:pPr>
  </w:style>
  <w:style w:type="paragraph" w:styleId="195">
    <w:name w:val="Char Char Char Char1"/>
    <w:basedOn w:val="175"/>
    <w:next w:val="195"/>
    <w:link w:val="175"/>
    <w:rPr>
      <w:rFonts w:ascii="Tahoma" w:hAnsi="Tahoma" w:eastAsia="MS Mincho"/>
      <w:sz w:val="20"/>
      <w:szCs w:val="20"/>
      <w:lang w:val="sq-AL"/>
    </w:rPr>
    <w:pPr>
      <w:spacing w:lineRule="exact" w:line="240" w:after="160"/>
    </w:pPr>
  </w:style>
  <w:style w:type="paragraph" w:styleId="196">
    <w:name w:val=" Char Char Char Char Char Char Char"/>
    <w:basedOn w:val="175"/>
    <w:next w:val="196"/>
    <w:link w:val="175"/>
    <w:rPr>
      <w:rFonts w:ascii="Tahoma" w:hAnsi="Tahoma" w:eastAsia="MS Mincho"/>
      <w:sz w:val="20"/>
      <w:szCs w:val="20"/>
      <w:lang w:val="sq-AL"/>
    </w:rPr>
    <w:pPr>
      <w:spacing w:lineRule="exact" w:line="240" w:after="160"/>
    </w:pPr>
  </w:style>
  <w:style w:type="paragraph" w:styleId="197">
    <w:name w:val=" Char Char Char Char"/>
    <w:basedOn w:val="175"/>
    <w:next w:val="197"/>
    <w:link w:val="175"/>
    <w:rPr>
      <w:rFonts w:ascii="Tahoma" w:hAnsi="Tahoma" w:eastAsia="MS Mincho"/>
      <w:sz w:val="20"/>
      <w:szCs w:val="20"/>
      <w:lang w:val="sq-AL"/>
    </w:rPr>
    <w:pPr>
      <w:spacing w:lineRule="exact" w:line="240" w:after="160"/>
    </w:pPr>
  </w:style>
  <w:style w:type="paragraph" w:styleId="198">
    <w:name w:val=" Char1 Char Char1 Char"/>
    <w:basedOn w:val="175"/>
    <w:next w:val="198"/>
    <w:link w:val="175"/>
    <w:rPr>
      <w:rFonts w:ascii="Tahoma" w:hAnsi="Tahoma" w:eastAsia="MS Mincho"/>
      <w:sz w:val="20"/>
      <w:szCs w:val="20"/>
      <w:lang w:val="sq-AL"/>
    </w:rPr>
    <w:pPr>
      <w:spacing w:lineRule="exact" w:line="240" w:after="160"/>
    </w:pPr>
  </w:style>
  <w:style w:type="paragraph" w:styleId="199">
    <w:name w:val="Normal (Web)"/>
    <w:basedOn w:val="175"/>
    <w:next w:val="199"/>
    <w:link w:val="175"/>
    <w:pPr>
      <w:spacing w:after="100" w:afterAutospacing="1" w:before="100" w:beforeAutospacing="1"/>
    </w:pPr>
  </w:style>
  <w:style w:type="paragraph" w:styleId="200">
    <w:name w:val="Char Char"/>
    <w:basedOn w:val="175"/>
    <w:next w:val="200"/>
    <w:link w:val="175"/>
    <w:rPr>
      <w:rFonts w:ascii="Tahoma" w:hAnsi="Tahoma" w:eastAsia="MS Mincho"/>
      <w:sz w:val="20"/>
      <w:szCs w:val="20"/>
      <w:lang w:val="en-GB"/>
    </w:rPr>
    <w:pPr>
      <w:spacing w:lineRule="exact" w:line="240" w:after="160"/>
    </w:pPr>
  </w:style>
  <w:style w:type="paragraph" w:styleId="201">
    <w:name w:val="Colorful List - Accent 12"/>
    <w:basedOn w:val="175"/>
    <w:next w:val="201"/>
    <w:link w:val="175"/>
    <w:rPr>
      <w:rFonts w:ascii="Calibri" w:hAnsi="Calibri" w:eastAsia="MS Mincho"/>
      <w:sz w:val="22"/>
      <w:szCs w:val="22"/>
      <w:lang w:val="sq-AL"/>
    </w:rPr>
    <w:pPr>
      <w:contextualSpacing w:val="true"/>
      <w:ind w:left="720"/>
      <w:spacing w:lineRule="auto" w:line="276" w:after="200"/>
    </w:pPr>
  </w:style>
  <w:style w:type="paragraph" w:styleId="202">
    <w:name w:val=" Char Char5 Char Char Char Char"/>
    <w:basedOn w:val="175"/>
    <w:next w:val="202"/>
    <w:link w:val="179"/>
    <w:rPr>
      <w:rFonts w:ascii="Tahoma" w:hAnsi="Tahoma" w:eastAsia="MS Mincho"/>
      <w:sz w:val="20"/>
      <w:szCs w:val="20"/>
      <w:lang w:val="sq-AL"/>
    </w:rPr>
    <w:pPr>
      <w:spacing w:lineRule="exact" w:line="240" w:after="160"/>
    </w:pPr>
  </w:style>
  <w:style w:type="paragraph" w:styleId="203">
    <w:name w:val="Paragrafi"/>
    <w:next w:val="203"/>
    <w:link w:val="209"/>
    <w:rPr>
      <w:rFonts w:ascii="CG Times" w:hAnsi="CG Times" w:eastAsia="Times New Roman"/>
      <w:sz w:val="22"/>
      <w:lang w:val="en-US" w:bidi="ar-SA" w:eastAsia="en-US"/>
    </w:rPr>
    <w:pPr>
      <w:ind w:firstLine="720"/>
      <w:jc w:val="both"/>
      <w:widowControl w:val="off"/>
    </w:pPr>
  </w:style>
  <w:style w:type="paragraph" w:styleId="204">
    <w:name w:val="Znak"/>
    <w:basedOn w:val="175"/>
    <w:next w:val="204"/>
    <w:link w:val="175"/>
    <w:rPr>
      <w:rFonts w:ascii="Tahoma" w:hAnsi="Tahoma" w:eastAsia="MS Mincho"/>
      <w:sz w:val="20"/>
      <w:szCs w:val="20"/>
      <w:lang w:val="sq-AL"/>
    </w:rPr>
    <w:pPr>
      <w:spacing w:lineRule="exact" w:line="240" w:after="160"/>
    </w:pPr>
  </w:style>
  <w:style w:type="paragraph" w:styleId="205">
    <w:name w:val="List Paragraph"/>
    <w:basedOn w:val="175"/>
    <w:next w:val="205"/>
    <w:link w:val="206"/>
    <w:rPr>
      <w:rFonts w:ascii="Times New Roman" w:hAnsi="Times New Roman" w:eastAsia="Calibri"/>
      <w:lang w:val="en-US" w:eastAsia="en-US"/>
    </w:rPr>
    <w:pPr>
      <w:contextualSpacing w:val="true"/>
      <w:ind w:left="720"/>
    </w:pPr>
  </w:style>
  <w:style w:type="character" w:styleId="206">
    <w:name w:val="List Paragraph Char"/>
    <w:next w:val="206"/>
    <w:link w:val="205"/>
    <w:rPr>
      <w:rFonts w:ascii="Times New Roman" w:hAnsi="Times New Roman"/>
      <w:sz w:val="24"/>
      <w:szCs w:val="24"/>
      <w:lang w:val="en-US" w:eastAsia="en-US"/>
    </w:rPr>
  </w:style>
  <w:style w:type="paragraph" w:styleId="207">
    <w:name w:val="Default"/>
    <w:next w:val="207"/>
    <w:link w:val="175"/>
    <w:rPr>
      <w:rFonts w:ascii="Times New Roman" w:hAnsi="Times New Roman"/>
      <w:color w:val="000000"/>
      <w:sz w:val="24"/>
      <w:szCs w:val="24"/>
      <w:lang w:val="en-US" w:bidi="ar-SA" w:eastAsia="en-US"/>
    </w:rPr>
  </w:style>
  <w:style w:type="table" w:styleId="208">
    <w:name w:val="Table Grid"/>
    <w:basedOn w:val="180"/>
    <w:next w:val="208"/>
    <w:link w:val="175"/>
    <w:rPr>
      <w:rFonts w:ascii="Calibri" w:hAnsi="Calibri" w:eastAsia="Times New Roman"/>
      <w:sz w:val="22"/>
      <w:szCs w:val="22"/>
    </w:rPr>
    <w:tblPr/>
  </w:style>
  <w:style w:type="character" w:styleId="209">
    <w:name w:val="Paragrafi Char"/>
    <w:next w:val="209"/>
    <w:link w:val="203"/>
    <w:rPr>
      <w:rFonts w:ascii="CG Times" w:hAnsi="CG Times" w:eastAsia="Times New Roman"/>
      <w:sz w:val="22"/>
      <w:lang w:val="en-US" w:bidi="ar-SA" w:eastAsia="en-US"/>
    </w:rPr>
  </w:style>
  <w:style w:type="paragraph" w:styleId="210">
    <w:name w:val="Endnote Text"/>
    <w:basedOn w:val="175"/>
    <w:next w:val="210"/>
    <w:link w:val="211"/>
    <w:semiHidden/>
    <w:rPr>
      <w:sz w:val="20"/>
      <w:szCs w:val="20"/>
      <w:lang w:val="en-US"/>
    </w:rPr>
  </w:style>
  <w:style w:type="character" w:styleId="211">
    <w:name w:val="Endnote Text Char"/>
    <w:next w:val="211"/>
    <w:link w:val="210"/>
    <w:semiHidden/>
    <w:rPr>
      <w:rFonts w:ascii="Arial" w:hAnsi="Arial" w:eastAsia="Times New Roman"/>
      <w:lang w:eastAsia="en-US"/>
    </w:rPr>
  </w:style>
  <w:style w:type="character" w:styleId="212">
    <w:name w:val="Endnote Reference"/>
    <w:next w:val="212"/>
    <w:link w:val="175"/>
    <w:semiHidden/>
    <w:rPr>
      <w:vertAlign w:val="superscript"/>
    </w:rPr>
  </w:style>
  <w:style w:type="paragraph" w:styleId="213">
    <w:name w:val="Balloon Text"/>
    <w:basedOn w:val="175"/>
    <w:next w:val="213"/>
    <w:link w:val="214"/>
    <w:semiHidden/>
    <w:rPr>
      <w:rFonts w:ascii="Tahoma" w:hAnsi="Tahoma"/>
      <w:sz w:val="16"/>
      <w:szCs w:val="16"/>
      <w:lang w:eastAsia="en-US"/>
    </w:rPr>
  </w:style>
  <w:style w:type="character" w:styleId="214">
    <w:name w:val="Balloon Text Char"/>
    <w:next w:val="214"/>
    <w:link w:val="213"/>
    <w:semiHidden/>
    <w:rPr>
      <w:rFonts w:ascii="Tahoma" w:hAnsi="Tahoma" w:eastAsia="Times New Roman"/>
      <w:sz w:val="16"/>
      <w:szCs w:val="16"/>
      <w:lang w:val="sq-AL"/>
    </w:rPr>
  </w:style>
  <w:style w:type="character" w:styleId="215">
    <w:name w:val="Heading 5 Char"/>
    <w:next w:val="215"/>
    <w:link w:val="178"/>
    <w:semiHidden/>
    <w:rPr>
      <w:rFonts w:ascii="Cambria" w:hAnsi="Cambria" w:eastAsia="Times New Roman"/>
      <w:color w:val="243F60"/>
      <w:sz w:val="22"/>
      <w:szCs w:val="22"/>
    </w:rPr>
  </w:style>
  <w:style w:type="paragraph" w:styleId="216">
    <w:name w:val="Body Text 2"/>
    <w:basedOn w:val="175"/>
    <w:next w:val="216"/>
    <w:link w:val="217"/>
    <w:semiHidden/>
    <w:rPr>
      <w:rFonts w:ascii="Calibri" w:hAnsi="Calibri"/>
      <w:sz w:val="22"/>
      <w:szCs w:val="22"/>
      <w:lang w:val="en-US" w:eastAsia="en-US"/>
    </w:rPr>
    <w:pPr>
      <w:spacing w:lineRule="auto" w:line="480" w:after="120"/>
    </w:pPr>
  </w:style>
  <w:style w:type="character" w:styleId="217">
    <w:name w:val="Body Text 2 Char"/>
    <w:next w:val="217"/>
    <w:link w:val="216"/>
    <w:semiHidden/>
    <w:rPr>
      <w:rFonts w:eastAsia="Times New Roman"/>
      <w:sz w:val="22"/>
      <w:szCs w:val="22"/>
    </w:rPr>
  </w:style>
  <w:style w:type="paragraph" w:styleId="218">
    <w:name w:val="Style"/>
    <w:next w:val="218"/>
    <w:link w:val="175"/>
    <w:rPr>
      <w:rFonts w:ascii="Arial" w:hAnsi="Arial" w:eastAsia="Times New Roman"/>
      <w:sz w:val="24"/>
      <w:szCs w:val="24"/>
      <w:lang w:val="en-US" w:bidi="ar-SA" w:eastAsia="en-US"/>
    </w:rPr>
    <w:pPr>
      <w:widowControl w:val="off"/>
    </w:pPr>
  </w:style>
  <w:style w:type="paragraph" w:styleId="219">
    <w:name w:val="footnote text"/>
    <w:basedOn w:val="175"/>
    <w:next w:val="219"/>
    <w:link w:val="220"/>
    <w:semiHidden/>
    <w:rPr>
      <w:sz w:val="20"/>
      <w:szCs w:val="20"/>
      <w:lang w:eastAsia="en-US"/>
    </w:rPr>
  </w:style>
  <w:style w:type="character" w:styleId="220">
    <w:name w:val="Footnote Text Char"/>
    <w:next w:val="220"/>
    <w:link w:val="219"/>
    <w:semiHidden/>
    <w:rPr>
      <w:rFonts w:ascii="Arial" w:hAnsi="Arial" w:eastAsia="Times New Roman"/>
      <w:lang w:val="sq-AL"/>
    </w:rPr>
  </w:style>
  <w:style w:type="character" w:styleId="221">
    <w:name w:val="footnote reference"/>
    <w:next w:val="221"/>
    <w:link w:val="175"/>
    <w:semiHidden/>
    <w:rPr>
      <w:vertAlign w:val="superscript"/>
    </w:rPr>
  </w:style>
  <w:style w:type="table" w:styleId="36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footer" Target="footer1.xml" 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ONLYOFFICE/5.2.8.24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