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272B4" w14:textId="77777777" w:rsidR="00316E1B" w:rsidRPr="003C7A3A" w:rsidRDefault="00316E1B" w:rsidP="00316E1B">
      <w:pPr>
        <w:autoSpaceDE w:val="0"/>
        <w:autoSpaceDN w:val="0"/>
        <w:adjustRightInd w:val="0"/>
        <w:spacing w:after="0" w:line="240" w:lineRule="auto"/>
        <w:ind w:firstLine="284"/>
        <w:jc w:val="center"/>
        <w:rPr>
          <w:rFonts w:ascii="Garamond" w:hAnsi="Garamond" w:cs="Times New Roman"/>
          <w:b/>
          <w:bCs/>
          <w:color w:val="000000"/>
          <w:sz w:val="24"/>
          <w:szCs w:val="24"/>
        </w:rPr>
      </w:pPr>
      <w:r w:rsidRPr="003C7A3A">
        <w:rPr>
          <w:rFonts w:ascii="Garamond" w:hAnsi="Garamond" w:cs="Times New Roman"/>
          <w:b/>
          <w:bCs/>
          <w:color w:val="000000"/>
          <w:sz w:val="24"/>
          <w:szCs w:val="24"/>
        </w:rPr>
        <w:t>VENDIM</w:t>
      </w:r>
    </w:p>
    <w:p w14:paraId="41C272B5" w14:textId="77777777" w:rsidR="00316E1B" w:rsidRPr="003C7A3A" w:rsidRDefault="00316E1B" w:rsidP="00316E1B">
      <w:pPr>
        <w:autoSpaceDE w:val="0"/>
        <w:autoSpaceDN w:val="0"/>
        <w:adjustRightInd w:val="0"/>
        <w:spacing w:after="0" w:line="240" w:lineRule="auto"/>
        <w:ind w:firstLine="284"/>
        <w:jc w:val="center"/>
        <w:rPr>
          <w:rFonts w:ascii="Garamond" w:hAnsi="Garamond" w:cs="Times New Roman"/>
          <w:b/>
          <w:bCs/>
          <w:color w:val="000000"/>
          <w:sz w:val="24"/>
          <w:szCs w:val="24"/>
        </w:rPr>
      </w:pPr>
      <w:r w:rsidRPr="003C7A3A">
        <w:rPr>
          <w:rFonts w:ascii="Garamond" w:hAnsi="Garamond" w:cs="Times New Roman"/>
          <w:b/>
          <w:bCs/>
          <w:color w:val="000000"/>
          <w:sz w:val="24"/>
          <w:szCs w:val="24"/>
        </w:rPr>
        <w:t>Nr. 590, datë 7.9.2022</w:t>
      </w:r>
    </w:p>
    <w:p w14:paraId="41C272B6" w14:textId="77777777" w:rsidR="00316E1B" w:rsidRPr="003C7A3A" w:rsidRDefault="00316E1B" w:rsidP="00316E1B">
      <w:pPr>
        <w:autoSpaceDE w:val="0"/>
        <w:autoSpaceDN w:val="0"/>
        <w:adjustRightInd w:val="0"/>
        <w:spacing w:after="0" w:line="240" w:lineRule="auto"/>
        <w:ind w:firstLine="284"/>
        <w:jc w:val="center"/>
        <w:rPr>
          <w:rFonts w:ascii="Garamond" w:hAnsi="Garamond" w:cs="Times New Roman"/>
          <w:b/>
          <w:bCs/>
          <w:color w:val="000000"/>
          <w:sz w:val="24"/>
          <w:szCs w:val="24"/>
        </w:rPr>
      </w:pPr>
    </w:p>
    <w:p w14:paraId="41C272B7" w14:textId="277C031C" w:rsidR="00316E1B" w:rsidRPr="003C7A3A" w:rsidRDefault="00316E1B" w:rsidP="003B4ED8">
      <w:pPr>
        <w:autoSpaceDE w:val="0"/>
        <w:autoSpaceDN w:val="0"/>
        <w:adjustRightInd w:val="0"/>
        <w:spacing w:after="0" w:line="240" w:lineRule="auto"/>
        <w:jc w:val="center"/>
        <w:rPr>
          <w:rFonts w:ascii="Garamond" w:hAnsi="Garamond" w:cs="Times New Roman"/>
          <w:b/>
          <w:bCs/>
          <w:color w:val="000000"/>
          <w:sz w:val="24"/>
          <w:szCs w:val="24"/>
        </w:rPr>
      </w:pPr>
      <w:r w:rsidRPr="003C7A3A">
        <w:rPr>
          <w:rFonts w:ascii="Garamond" w:hAnsi="Garamond" w:cs="Times New Roman"/>
          <w:b/>
          <w:bCs/>
          <w:color w:val="000000"/>
          <w:sz w:val="24"/>
          <w:szCs w:val="24"/>
        </w:rPr>
        <w:t>PËR MËNYRËN E MBAJTJES SË REGJISTRIT QENDROR</w:t>
      </w:r>
      <w:r w:rsidR="00421A6C">
        <w:rPr>
          <w:rFonts w:ascii="Garamond" w:hAnsi="Garamond" w:cs="Times New Roman"/>
          <w:b/>
          <w:bCs/>
          <w:color w:val="000000"/>
          <w:sz w:val="24"/>
          <w:szCs w:val="24"/>
        </w:rPr>
        <w:t xml:space="preserve"> </w:t>
      </w:r>
      <w:r w:rsidRPr="003C7A3A">
        <w:rPr>
          <w:rFonts w:ascii="Garamond" w:hAnsi="Garamond" w:cs="Times New Roman"/>
          <w:b/>
          <w:bCs/>
          <w:color w:val="000000"/>
          <w:sz w:val="24"/>
          <w:szCs w:val="24"/>
        </w:rPr>
        <w:t>TË KËRKESAVE PËR VËNIE NË EKZEKUTIM TË URDHRAVE TË EKZEKUTIMIT DHE NDËRVEPRIMIT ME BAZAT E TJERA TË TË DHËNAVE SHTETËRORE</w:t>
      </w:r>
    </w:p>
    <w:p w14:paraId="41C272B8"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p>
    <w:p w14:paraId="41C272B9" w14:textId="3635DE62"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Në mbështetje të nenit 100 të Kushtetutës, të nenit 516/a, të Kodit të Procedurës Civile, të nenit 4, të ligjit nr.</w:t>
      </w:r>
      <w:r w:rsidR="003C7A3A">
        <w:rPr>
          <w:rFonts w:ascii="Garamond" w:hAnsi="Garamond" w:cs="Times New Roman"/>
          <w:color w:val="000000"/>
          <w:sz w:val="24"/>
          <w:szCs w:val="24"/>
        </w:rPr>
        <w:t xml:space="preserve"> </w:t>
      </w:r>
      <w:r w:rsidRPr="003C7A3A">
        <w:rPr>
          <w:rFonts w:ascii="Garamond" w:hAnsi="Garamond" w:cs="Times New Roman"/>
          <w:color w:val="000000"/>
          <w:sz w:val="24"/>
          <w:szCs w:val="24"/>
        </w:rPr>
        <w:t>10325, datë 23.9.2010, “Për bazat e të dhënave shtetërore”, të nenit 26, të ligjit nr.</w:t>
      </w:r>
      <w:r w:rsidR="003C7A3A">
        <w:rPr>
          <w:rFonts w:ascii="Garamond" w:hAnsi="Garamond" w:cs="Times New Roman"/>
          <w:color w:val="000000"/>
          <w:sz w:val="24"/>
          <w:szCs w:val="24"/>
        </w:rPr>
        <w:t xml:space="preserve"> </w:t>
      </w:r>
      <w:r w:rsidRPr="003C7A3A">
        <w:rPr>
          <w:rFonts w:ascii="Garamond" w:hAnsi="Garamond" w:cs="Times New Roman"/>
          <w:color w:val="000000"/>
          <w:sz w:val="24"/>
          <w:szCs w:val="24"/>
        </w:rPr>
        <w:t>8730, datë 18.1.2001, “Për organizimin dhe funksionimin e Shërbimit të Përmbarimit Gjyqësor”, të ndryshuar, dhe të pikës 3, të nenit 24, të ligjit nr.</w:t>
      </w:r>
      <w:r w:rsidR="003C7A3A">
        <w:rPr>
          <w:rFonts w:ascii="Garamond" w:hAnsi="Garamond" w:cs="Times New Roman"/>
          <w:color w:val="000000"/>
          <w:sz w:val="24"/>
          <w:szCs w:val="24"/>
        </w:rPr>
        <w:t xml:space="preserve"> </w:t>
      </w:r>
      <w:r w:rsidRPr="003C7A3A">
        <w:rPr>
          <w:rFonts w:ascii="Garamond" w:hAnsi="Garamond" w:cs="Times New Roman"/>
          <w:color w:val="000000"/>
          <w:sz w:val="24"/>
          <w:szCs w:val="24"/>
        </w:rPr>
        <w:t>26/2019, “Për Shërbimin Përmbarimor Gjyqësor Privat”, me propozimin e ministrit të Drejtësisë, Këshilli i Ministrave</w:t>
      </w:r>
    </w:p>
    <w:p w14:paraId="41C272BA"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p>
    <w:p w14:paraId="41C272BB" w14:textId="77777777" w:rsidR="00316E1B" w:rsidRPr="003C7A3A" w:rsidRDefault="00316E1B" w:rsidP="00316E1B">
      <w:pPr>
        <w:autoSpaceDE w:val="0"/>
        <w:autoSpaceDN w:val="0"/>
        <w:adjustRightInd w:val="0"/>
        <w:spacing w:after="0" w:line="240" w:lineRule="auto"/>
        <w:ind w:firstLine="284"/>
        <w:jc w:val="center"/>
        <w:rPr>
          <w:rFonts w:ascii="Garamond" w:hAnsi="Garamond" w:cs="Times New Roman"/>
          <w:bCs/>
          <w:color w:val="000000"/>
          <w:sz w:val="24"/>
          <w:szCs w:val="24"/>
        </w:rPr>
      </w:pPr>
      <w:r w:rsidRPr="003C7A3A">
        <w:rPr>
          <w:rFonts w:ascii="Garamond" w:hAnsi="Garamond" w:cs="Times New Roman"/>
          <w:bCs/>
          <w:color w:val="000000"/>
          <w:sz w:val="24"/>
          <w:szCs w:val="24"/>
        </w:rPr>
        <w:t>VENDOSI:</w:t>
      </w:r>
    </w:p>
    <w:p w14:paraId="41C272BC"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p>
    <w:p w14:paraId="41C272BD"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 Regjistri qendror i kërkesave për vënien në ekzekutim të urdhrave të ekzekutimit, i krijuar si baza e të dhënave shtetërore “Sistemi i Menaxhimit Elektronik të Çështjeve të Përmbarimit Gjyqësor” (ALBIS) funksionon, mbahet dhe ndërvepron me bazat e tjera të të dhënave shtetërore, në përputhje me rregullat e caktuara në këtë vendim.</w:t>
      </w:r>
    </w:p>
    <w:p w14:paraId="41C272BE"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2. Baza e të dhënave shtetërore ALBIS përmban:</w:t>
      </w:r>
    </w:p>
    <w:p w14:paraId="41C272BF"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a) të dhënat e regjistrave të çështjeve përmbarimore aktive dhe/ose të pezulluara, të regjistruara deri në datën e hyrjes në fuqi të këtij vendimi, si dhe të çështjeve përmbarimore të reja, që paraqiten për ekzekutim pas hyrjes në fuqi të këtij vendimi;</w:t>
      </w:r>
    </w:p>
    <w:p w14:paraId="41C272C0"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b) të dhënat e regjistrave të çështjeve përmbarimore të pushuara, të arkivuara ose të transferuara, të regjistruara nga përmbaruesit gjyqësorë deri në datën e hyrjes në fuqi të këtij vendimi; </w:t>
      </w:r>
    </w:p>
    <w:p w14:paraId="41C272C1"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c) të dhënat e regjistruara në sistem nga përmbaruesit gjyqësorë, sipas numrit të protokollit të librit të përmbaruesit gjyqësor ose zyrës/shoqërisë përmbarimore për dokumentet procedurale, vendimet, urdhrat e ekzekutimit apo të dhënat që lidhen me çështjen dhe palët në procesin e ekzekutimit;</w:t>
      </w:r>
    </w:p>
    <w:p w14:paraId="41C272C2" w14:textId="6F62FB4A"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ç)</w:t>
      </w:r>
      <w:r w:rsidR="00421A6C">
        <w:rPr>
          <w:rFonts w:ascii="Garamond" w:hAnsi="Garamond" w:cs="Times New Roman"/>
          <w:color w:val="000000"/>
          <w:sz w:val="24"/>
          <w:szCs w:val="24"/>
        </w:rPr>
        <w:t xml:space="preserve"> </w:t>
      </w:r>
      <w:r w:rsidRPr="003C7A3A">
        <w:rPr>
          <w:rFonts w:ascii="Garamond" w:hAnsi="Garamond" w:cs="Times New Roman"/>
          <w:color w:val="000000"/>
          <w:sz w:val="24"/>
          <w:szCs w:val="24"/>
        </w:rPr>
        <w:t>informacion për procesin ekzekutues të çështjes përmbarimore të përmbaruesit, i cili paraqitet kur kërkohet nga strukturat që kanë të drejtën e aksesit në sistem.</w:t>
      </w:r>
    </w:p>
    <w:p w14:paraId="41C272C3"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3. Të dhënat që përmban baza e të dhënave shtetërore ALBIS ndahen në të dhëna parësore dhe të dhëna dytësore.</w:t>
      </w:r>
    </w:p>
    <w:p w14:paraId="41C272C4"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4. Të dhëna parësore konsiderohen të dhënat e mbledhura në këtë bazë të dhënash dhe që kanë të bëjnë me:</w:t>
      </w:r>
    </w:p>
    <w:p w14:paraId="41C272C5"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a) të dhëna për çështjet përmbarimore dhe përshkrime për ekzekutimin e tyre (numri i çështjes, numri i vjetër i çështjes, zyra e përmbarimit/përmbaruesi privat, numri i protokollit, data e regjistrimit të çështjes, kreditori, debitori, lloji i detyrimit dhe lloji i taksës ose tarifës); </w:t>
      </w:r>
    </w:p>
    <w:p w14:paraId="41C272C6"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b) fazën procedurale të procesit përmbarimor, referuar dokumenteve të përmbaruesit gjyqësor gjatë veprimtarisë së tij, të regjistruara në sistem (data dhe numri i protokollit të kërkesës, statusi i çështjes, transferimet e çështjeve përmbarimore, data e fillimit të ekzekutimit, komunikimi ndërinstitucional shkresor i çdo çështjeje përmbarimore, informacion mbi procesin ekzekutues nga përmbaruesi gjyqësor dhe komente). </w:t>
      </w:r>
    </w:p>
    <w:p w14:paraId="41C272C7"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5. Të dhëna dytësore konsiderohen të dhënat e siguruara nga ndërveprimi me baza të tjera të të dhënave shtetërore dhe kanë të bëjnë me:</w:t>
      </w:r>
    </w:p>
    <w:p w14:paraId="41C272C8"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a) të dhënat identifikuese të qytetarëve;</w:t>
      </w:r>
    </w:p>
    <w:p w14:paraId="41C272C9"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b) të dhëna identifikuese të subjekteve; </w:t>
      </w:r>
    </w:p>
    <w:p w14:paraId="41C272CA"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c) të dhëna të pasurive të paluajtshme;</w:t>
      </w:r>
    </w:p>
    <w:p w14:paraId="41C272CB" w14:textId="50410E32"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ç)</w:t>
      </w:r>
      <w:r w:rsidR="00421A6C">
        <w:rPr>
          <w:rFonts w:ascii="Garamond" w:hAnsi="Garamond" w:cs="Times New Roman"/>
          <w:color w:val="000000"/>
          <w:sz w:val="24"/>
          <w:szCs w:val="24"/>
        </w:rPr>
        <w:t xml:space="preserve"> </w:t>
      </w:r>
      <w:r w:rsidRPr="003C7A3A">
        <w:rPr>
          <w:rFonts w:ascii="Garamond" w:hAnsi="Garamond" w:cs="Times New Roman"/>
          <w:color w:val="000000"/>
          <w:sz w:val="24"/>
          <w:szCs w:val="24"/>
        </w:rPr>
        <w:t>të dhëna të mjeteve;</w:t>
      </w:r>
    </w:p>
    <w:p w14:paraId="41C272CC" w14:textId="710523E3"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d)</w:t>
      </w:r>
      <w:r w:rsidR="00421A6C">
        <w:rPr>
          <w:rFonts w:ascii="Garamond" w:hAnsi="Garamond" w:cs="Times New Roman"/>
          <w:color w:val="000000"/>
          <w:sz w:val="24"/>
          <w:szCs w:val="24"/>
        </w:rPr>
        <w:t xml:space="preserve"> </w:t>
      </w:r>
      <w:r w:rsidRPr="003C7A3A">
        <w:rPr>
          <w:rFonts w:ascii="Garamond" w:hAnsi="Garamond" w:cs="Times New Roman"/>
          <w:color w:val="000000"/>
          <w:sz w:val="24"/>
          <w:szCs w:val="24"/>
        </w:rPr>
        <w:t>të dhëna të vendimeve gjyqësore.</w:t>
      </w:r>
    </w:p>
    <w:p w14:paraId="41C272CD"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lastRenderedPageBreak/>
        <w:t>6. Baza e të dhënave ALBIS ndërvepron me bazat e tjera të të dhënave shtetërore për marrjen e të dhënave, si më poshtë vijon:</w:t>
      </w:r>
    </w:p>
    <w:p w14:paraId="41C272CE"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a) Nga Regjistri Kombëtar i Zyrës së Gjendjes Civile merr të dhënat e mëposhtme:</w:t>
      </w:r>
    </w:p>
    <w:p w14:paraId="41C272CF" w14:textId="35AB4421"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 </w:t>
      </w:r>
      <w:r w:rsidR="00003D85" w:rsidRPr="003C7A3A">
        <w:rPr>
          <w:rFonts w:ascii="Garamond" w:hAnsi="Garamond" w:cs="Times New Roman"/>
          <w:color w:val="000000"/>
          <w:sz w:val="24"/>
          <w:szCs w:val="24"/>
        </w:rPr>
        <w:t>emrin, atësinë dhe mbiemrin;</w:t>
      </w:r>
    </w:p>
    <w:p w14:paraId="41C272D0" w14:textId="65383C46"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 numrin personal të identifikimit; </w:t>
      </w:r>
    </w:p>
    <w:p w14:paraId="41C272D1" w14:textId="77289368"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iii.</w:t>
      </w:r>
      <w:r>
        <w:rPr>
          <w:rFonts w:ascii="Garamond" w:hAnsi="Garamond" w:cs="Times New Roman"/>
          <w:color w:val="000000"/>
          <w:sz w:val="24"/>
          <w:szCs w:val="24"/>
        </w:rPr>
        <w:t xml:space="preserve"> </w:t>
      </w:r>
      <w:r w:rsidRPr="003C7A3A">
        <w:rPr>
          <w:rFonts w:ascii="Garamond" w:hAnsi="Garamond" w:cs="Times New Roman"/>
          <w:color w:val="000000"/>
          <w:sz w:val="24"/>
          <w:szCs w:val="24"/>
        </w:rPr>
        <w:t>adresën e banimit;</w:t>
      </w:r>
    </w:p>
    <w:p w14:paraId="41C272D2" w14:textId="7752178E"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iv.</w:t>
      </w:r>
      <w:r>
        <w:rPr>
          <w:rFonts w:ascii="Garamond" w:hAnsi="Garamond" w:cs="Times New Roman"/>
          <w:color w:val="000000"/>
          <w:sz w:val="24"/>
          <w:szCs w:val="24"/>
        </w:rPr>
        <w:t xml:space="preserve"> </w:t>
      </w:r>
      <w:r w:rsidRPr="003C7A3A">
        <w:rPr>
          <w:rFonts w:ascii="Garamond" w:hAnsi="Garamond" w:cs="Times New Roman"/>
          <w:color w:val="000000"/>
          <w:sz w:val="24"/>
          <w:szCs w:val="24"/>
        </w:rPr>
        <w:t xml:space="preserve">qytetin; </w:t>
      </w:r>
    </w:p>
    <w:p w14:paraId="41C272D3" w14:textId="22CF9880" w:rsidR="00316E1B" w:rsidRPr="003C7A3A" w:rsidRDefault="00A714BE" w:rsidP="00316E1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v</w:t>
      </w:r>
      <w:r w:rsidR="00003D85" w:rsidRPr="003C7A3A">
        <w:rPr>
          <w:rFonts w:ascii="Garamond" w:hAnsi="Garamond" w:cs="Times New Roman"/>
          <w:color w:val="000000"/>
          <w:sz w:val="24"/>
          <w:szCs w:val="24"/>
        </w:rPr>
        <w:t>. shtetin;</w:t>
      </w:r>
    </w:p>
    <w:p w14:paraId="41C272D4" w14:textId="31CAE739"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w:t>
      </w:r>
      <w:r w:rsidR="00A714BE">
        <w:rPr>
          <w:rFonts w:ascii="Garamond" w:hAnsi="Garamond" w:cs="Times New Roman"/>
          <w:color w:val="000000"/>
          <w:sz w:val="24"/>
          <w:szCs w:val="24"/>
        </w:rPr>
        <w:t>i</w:t>
      </w:r>
      <w:bookmarkStart w:id="0" w:name="_GoBack"/>
      <w:bookmarkEnd w:id="0"/>
      <w:r w:rsidRPr="003C7A3A">
        <w:rPr>
          <w:rFonts w:ascii="Garamond" w:hAnsi="Garamond" w:cs="Times New Roman"/>
          <w:color w:val="000000"/>
          <w:sz w:val="24"/>
          <w:szCs w:val="24"/>
        </w:rPr>
        <w:t>. vdekjen.</w:t>
      </w:r>
    </w:p>
    <w:p w14:paraId="41C272D5"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b) Nga Regjistri Tregtar i QKB-së merr të dhënat e mëposhtme:</w:t>
      </w:r>
    </w:p>
    <w:p w14:paraId="41C272D6" w14:textId="27B0ADA2"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 emërtimin e subjektit;</w:t>
      </w:r>
    </w:p>
    <w:p w14:paraId="41C272D7" w14:textId="217F6A68"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 tipin e subjektit</w:t>
      </w:r>
      <w:r w:rsidR="00316E1B" w:rsidRPr="003C7A3A">
        <w:rPr>
          <w:rFonts w:ascii="Garamond" w:hAnsi="Garamond" w:cs="Times New Roman"/>
          <w:color w:val="000000"/>
          <w:sz w:val="24"/>
          <w:szCs w:val="24"/>
        </w:rPr>
        <w:t xml:space="preserve">; </w:t>
      </w:r>
    </w:p>
    <w:p w14:paraId="41C272D8"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iii. NIPT-in;</w:t>
      </w:r>
    </w:p>
    <w:p w14:paraId="41C272D9" w14:textId="1B9393BF"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iv. </w:t>
      </w:r>
      <w:r w:rsidR="00003D85" w:rsidRPr="003C7A3A">
        <w:rPr>
          <w:rFonts w:ascii="Garamond" w:hAnsi="Garamond" w:cs="Times New Roman"/>
          <w:color w:val="000000"/>
          <w:sz w:val="24"/>
          <w:szCs w:val="24"/>
        </w:rPr>
        <w:t xml:space="preserve">adresën e selisë së subjektit ose ushtrimit të aktivitetit; </w:t>
      </w:r>
    </w:p>
    <w:p w14:paraId="41C272DA" w14:textId="641DF54F"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 kodin postar;</w:t>
      </w:r>
    </w:p>
    <w:p w14:paraId="41C272DB" w14:textId="21916D74"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vi. qytetin;</w:t>
      </w:r>
    </w:p>
    <w:p w14:paraId="41C272DC" w14:textId="7ADFD226"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vii. shtetin</w:t>
      </w:r>
      <w:r w:rsidR="00316E1B" w:rsidRPr="003C7A3A">
        <w:rPr>
          <w:rFonts w:ascii="Garamond" w:hAnsi="Garamond" w:cs="Times New Roman"/>
          <w:color w:val="000000"/>
          <w:sz w:val="24"/>
          <w:szCs w:val="24"/>
        </w:rPr>
        <w:t>;</w:t>
      </w:r>
    </w:p>
    <w:p w14:paraId="41C272DD"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c) Nga Regjistri Elektronik i Pasurive të Paluajtshme merr të dhënat e mëposhtme:</w:t>
      </w:r>
    </w:p>
    <w:p w14:paraId="41C272DE" w14:textId="1CF2AB83"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w:t>
      </w:r>
      <w:r w:rsidR="00003D85" w:rsidRPr="003C7A3A">
        <w:rPr>
          <w:rFonts w:ascii="Garamond" w:hAnsi="Garamond" w:cs="Times New Roman"/>
          <w:color w:val="000000"/>
          <w:sz w:val="24"/>
          <w:szCs w:val="24"/>
        </w:rPr>
        <w:t>. numrin e pasurisë;</w:t>
      </w:r>
    </w:p>
    <w:p w14:paraId="41C272DF" w14:textId="3A617FC7"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 numrin e zonës kadastrale;</w:t>
      </w:r>
    </w:p>
    <w:p w14:paraId="41C272E0" w14:textId="62F6CB2D"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iii. të dhëna të volumit dhe të faqes, të shënuara në kartelë;</w:t>
      </w:r>
    </w:p>
    <w:p w14:paraId="41C272E1" w14:textId="3758133F"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iv. llojin e pasurisë;</w:t>
      </w:r>
    </w:p>
    <w:p w14:paraId="41C272E2" w14:textId="6837C091"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 të dhëna mbi pronësinë e pasurisë së paluajtshme;</w:t>
      </w:r>
    </w:p>
    <w:p w14:paraId="41C272E3" w14:textId="5A7AE095" w:rsidR="00316E1B" w:rsidRPr="003C7A3A" w:rsidRDefault="00003D85"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vi. gj</w:t>
      </w:r>
      <w:r w:rsidR="00316E1B" w:rsidRPr="003C7A3A">
        <w:rPr>
          <w:rFonts w:ascii="Garamond" w:hAnsi="Garamond" w:cs="Times New Roman"/>
          <w:color w:val="000000"/>
          <w:sz w:val="24"/>
          <w:szCs w:val="24"/>
        </w:rPr>
        <w:t>endjen juridike të pasurisë;</w:t>
      </w:r>
    </w:p>
    <w:p w14:paraId="41C272E4" w14:textId="02F7C4F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ç)</w:t>
      </w:r>
      <w:r w:rsidR="00421A6C">
        <w:rPr>
          <w:rFonts w:ascii="Garamond" w:hAnsi="Garamond" w:cs="Times New Roman"/>
          <w:color w:val="000000"/>
          <w:sz w:val="24"/>
          <w:szCs w:val="24"/>
        </w:rPr>
        <w:t xml:space="preserve"> </w:t>
      </w:r>
      <w:r w:rsidRPr="003C7A3A">
        <w:rPr>
          <w:rFonts w:ascii="Garamond" w:hAnsi="Garamond" w:cs="Times New Roman"/>
          <w:color w:val="000000"/>
          <w:sz w:val="24"/>
          <w:szCs w:val="24"/>
        </w:rPr>
        <w:t>Nga Regjistri Kombëtar i Mjeteve merr të dhënat e mëposhtme:</w:t>
      </w:r>
    </w:p>
    <w:p w14:paraId="41C272E5" w14:textId="3B816F1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 </w:t>
      </w:r>
      <w:r w:rsidR="00865F90" w:rsidRPr="003C7A3A">
        <w:rPr>
          <w:rFonts w:ascii="Garamond" w:hAnsi="Garamond" w:cs="Times New Roman"/>
          <w:color w:val="000000"/>
          <w:sz w:val="24"/>
          <w:szCs w:val="24"/>
        </w:rPr>
        <w:t xml:space="preserve">targën </w:t>
      </w:r>
      <w:r w:rsidRPr="003C7A3A">
        <w:rPr>
          <w:rFonts w:ascii="Garamond" w:hAnsi="Garamond" w:cs="Times New Roman"/>
          <w:color w:val="000000"/>
          <w:sz w:val="24"/>
          <w:szCs w:val="24"/>
        </w:rPr>
        <w:t>e mjetit;</w:t>
      </w:r>
    </w:p>
    <w:p w14:paraId="41C272E6" w14:textId="3D572BA9"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 </w:t>
      </w:r>
      <w:r w:rsidR="00865F90" w:rsidRPr="003C7A3A">
        <w:rPr>
          <w:rFonts w:ascii="Garamond" w:hAnsi="Garamond" w:cs="Times New Roman"/>
          <w:color w:val="000000"/>
          <w:sz w:val="24"/>
          <w:szCs w:val="24"/>
        </w:rPr>
        <w:t xml:space="preserve">numrin </w:t>
      </w:r>
      <w:r w:rsidRPr="003C7A3A">
        <w:rPr>
          <w:rFonts w:ascii="Garamond" w:hAnsi="Garamond" w:cs="Times New Roman"/>
          <w:color w:val="000000"/>
          <w:sz w:val="24"/>
          <w:szCs w:val="24"/>
        </w:rPr>
        <w:t>e shasisë;</w:t>
      </w:r>
    </w:p>
    <w:p w14:paraId="41C272E7" w14:textId="4FEB86A9"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iii. </w:t>
      </w:r>
      <w:r w:rsidR="00865F90" w:rsidRPr="003C7A3A">
        <w:rPr>
          <w:rFonts w:ascii="Garamond" w:hAnsi="Garamond" w:cs="Times New Roman"/>
          <w:color w:val="000000"/>
          <w:sz w:val="24"/>
          <w:szCs w:val="24"/>
        </w:rPr>
        <w:t xml:space="preserve">të </w:t>
      </w:r>
      <w:r w:rsidRPr="003C7A3A">
        <w:rPr>
          <w:rFonts w:ascii="Garamond" w:hAnsi="Garamond" w:cs="Times New Roman"/>
          <w:color w:val="000000"/>
          <w:sz w:val="24"/>
          <w:szCs w:val="24"/>
        </w:rPr>
        <w:t>dhëna të mjetit (lloji, marka, modeli, tipi, karroceria, ngjyra,</w:t>
      </w:r>
      <w:r w:rsidR="00421A6C">
        <w:rPr>
          <w:rFonts w:ascii="Garamond" w:hAnsi="Garamond" w:cs="Times New Roman"/>
          <w:color w:val="000000"/>
          <w:sz w:val="24"/>
          <w:szCs w:val="24"/>
        </w:rPr>
        <w:t xml:space="preserve"> </w:t>
      </w:r>
      <w:r w:rsidRPr="003C7A3A">
        <w:rPr>
          <w:rFonts w:ascii="Garamond" w:hAnsi="Garamond" w:cs="Times New Roman"/>
          <w:color w:val="000000"/>
          <w:sz w:val="24"/>
          <w:szCs w:val="24"/>
        </w:rPr>
        <w:t xml:space="preserve"> numri i dyerve, lënda djegëse, fuqia, cilindrata, viti i prodhimit, numri i vendeve);</w:t>
      </w:r>
    </w:p>
    <w:p w14:paraId="41C272E8" w14:textId="0D27A57C"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iv. </w:t>
      </w:r>
      <w:r w:rsidR="00865F90" w:rsidRPr="003C7A3A">
        <w:rPr>
          <w:rFonts w:ascii="Garamond" w:hAnsi="Garamond" w:cs="Times New Roman"/>
          <w:color w:val="000000"/>
          <w:sz w:val="24"/>
          <w:szCs w:val="24"/>
        </w:rPr>
        <w:t xml:space="preserve">llojin </w:t>
      </w:r>
      <w:r w:rsidRPr="003C7A3A">
        <w:rPr>
          <w:rFonts w:ascii="Garamond" w:hAnsi="Garamond" w:cs="Times New Roman"/>
          <w:color w:val="000000"/>
          <w:sz w:val="24"/>
          <w:szCs w:val="24"/>
        </w:rPr>
        <w:t>e përdorimit;</w:t>
      </w:r>
    </w:p>
    <w:p w14:paraId="41C272E9" w14:textId="403295BF"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v. </w:t>
      </w:r>
      <w:r w:rsidR="00865F90" w:rsidRPr="003C7A3A">
        <w:rPr>
          <w:rFonts w:ascii="Garamond" w:hAnsi="Garamond" w:cs="Times New Roman"/>
          <w:color w:val="000000"/>
          <w:sz w:val="24"/>
          <w:szCs w:val="24"/>
        </w:rPr>
        <w:t xml:space="preserve">të </w:t>
      </w:r>
      <w:r w:rsidRPr="003C7A3A">
        <w:rPr>
          <w:rFonts w:ascii="Garamond" w:hAnsi="Garamond" w:cs="Times New Roman"/>
          <w:color w:val="000000"/>
          <w:sz w:val="24"/>
          <w:szCs w:val="24"/>
        </w:rPr>
        <w:t>dhëna mbi pronësinë e mjetit;</w:t>
      </w:r>
    </w:p>
    <w:p w14:paraId="41C272EA" w14:textId="386FA07E"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vi. </w:t>
      </w:r>
      <w:r w:rsidR="00865F90" w:rsidRPr="003C7A3A">
        <w:rPr>
          <w:rFonts w:ascii="Garamond" w:hAnsi="Garamond" w:cs="Times New Roman"/>
          <w:color w:val="000000"/>
          <w:sz w:val="24"/>
          <w:szCs w:val="24"/>
        </w:rPr>
        <w:t xml:space="preserve">gjendjen </w:t>
      </w:r>
      <w:r w:rsidRPr="003C7A3A">
        <w:rPr>
          <w:rFonts w:ascii="Garamond" w:hAnsi="Garamond" w:cs="Times New Roman"/>
          <w:color w:val="000000"/>
          <w:sz w:val="24"/>
          <w:szCs w:val="24"/>
        </w:rPr>
        <w:t>juridike të mjetit (sanksione e detyrime administrative të vendosura nga Drejtoria e Përgjithshme e Shërbimeve të Transportit Rrugor);</w:t>
      </w:r>
    </w:p>
    <w:p w14:paraId="41C272EB"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d) Nga Sistemi Elektronik i Regjistrimit të Çështjeve Gjyqësore merr të dhënat e mëposhtme:</w:t>
      </w:r>
    </w:p>
    <w:p w14:paraId="41C272EC" w14:textId="0A7CC0ED"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 </w:t>
      </w:r>
      <w:r w:rsidR="00865F90" w:rsidRPr="003C7A3A">
        <w:rPr>
          <w:rFonts w:ascii="Garamond" w:hAnsi="Garamond" w:cs="Times New Roman"/>
          <w:color w:val="000000"/>
          <w:sz w:val="24"/>
          <w:szCs w:val="24"/>
        </w:rPr>
        <w:t xml:space="preserve">numrin </w:t>
      </w:r>
      <w:r w:rsidRPr="003C7A3A">
        <w:rPr>
          <w:rFonts w:ascii="Garamond" w:hAnsi="Garamond" w:cs="Times New Roman"/>
          <w:color w:val="000000"/>
          <w:sz w:val="24"/>
          <w:szCs w:val="24"/>
        </w:rPr>
        <w:t>dhe datën e urdhrit të ekzekutimit;</w:t>
      </w:r>
    </w:p>
    <w:p w14:paraId="41C272ED" w14:textId="2FA543EC"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 </w:t>
      </w:r>
      <w:r w:rsidR="00865F90" w:rsidRPr="003C7A3A">
        <w:rPr>
          <w:rFonts w:ascii="Garamond" w:hAnsi="Garamond" w:cs="Times New Roman"/>
          <w:color w:val="000000"/>
          <w:sz w:val="24"/>
          <w:szCs w:val="24"/>
        </w:rPr>
        <w:t xml:space="preserve">numrin </w:t>
      </w:r>
      <w:r w:rsidRPr="003C7A3A">
        <w:rPr>
          <w:rFonts w:ascii="Garamond" w:hAnsi="Garamond" w:cs="Times New Roman"/>
          <w:color w:val="000000"/>
          <w:sz w:val="24"/>
          <w:szCs w:val="24"/>
        </w:rPr>
        <w:t xml:space="preserve">dhe datën e vendimit të gjykatës; </w:t>
      </w:r>
    </w:p>
    <w:p w14:paraId="41C272EE" w14:textId="6639F985"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iii. </w:t>
      </w:r>
      <w:r w:rsidR="00865F90" w:rsidRPr="003C7A3A">
        <w:rPr>
          <w:rFonts w:ascii="Garamond" w:hAnsi="Garamond" w:cs="Times New Roman"/>
          <w:color w:val="000000"/>
          <w:sz w:val="24"/>
          <w:szCs w:val="24"/>
        </w:rPr>
        <w:t>objektin</w:t>
      </w:r>
      <w:r w:rsidRPr="003C7A3A">
        <w:rPr>
          <w:rFonts w:ascii="Garamond" w:hAnsi="Garamond" w:cs="Times New Roman"/>
          <w:color w:val="000000"/>
          <w:sz w:val="24"/>
          <w:szCs w:val="24"/>
        </w:rPr>
        <w:t>.</w:t>
      </w:r>
    </w:p>
    <w:p w14:paraId="41C272EF"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7. Ndërveprimi i bazës së të dhënave shtetërore ALBIS me bazat e tjera të të dhënave shtetërore kryhet në përputhje me rregullat e parashikuara nga legjislacioni në fuqi për bazat e të dhënave shtetërore.</w:t>
      </w:r>
    </w:p>
    <w:p w14:paraId="41C272F0"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8. Subjektet përgjegjëse të bazës së të dhënave shtetërore ALBIS janë, si më poshtë vijon:</w:t>
      </w:r>
    </w:p>
    <w:p w14:paraId="41C272F1" w14:textId="3FF7C73F"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a) </w:t>
      </w:r>
      <w:r w:rsidR="00865F90" w:rsidRPr="003C7A3A">
        <w:rPr>
          <w:rFonts w:ascii="Garamond" w:hAnsi="Garamond" w:cs="Times New Roman"/>
          <w:color w:val="000000"/>
          <w:sz w:val="24"/>
          <w:szCs w:val="24"/>
        </w:rPr>
        <w:t xml:space="preserve">institucioni </w:t>
      </w:r>
      <w:r w:rsidRPr="003C7A3A">
        <w:rPr>
          <w:rFonts w:ascii="Garamond" w:hAnsi="Garamond" w:cs="Times New Roman"/>
          <w:color w:val="000000"/>
          <w:sz w:val="24"/>
          <w:szCs w:val="24"/>
        </w:rPr>
        <w:t>administrues është Ministria e Drejtësisë;</w:t>
      </w:r>
    </w:p>
    <w:p w14:paraId="41C272F2" w14:textId="73D5531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b) </w:t>
      </w:r>
      <w:r w:rsidR="00865F90" w:rsidRPr="003C7A3A">
        <w:rPr>
          <w:rFonts w:ascii="Garamond" w:hAnsi="Garamond" w:cs="Times New Roman"/>
          <w:color w:val="000000"/>
          <w:sz w:val="24"/>
          <w:szCs w:val="24"/>
        </w:rPr>
        <w:t xml:space="preserve">dhënës </w:t>
      </w:r>
      <w:r w:rsidRPr="003C7A3A">
        <w:rPr>
          <w:rFonts w:ascii="Garamond" w:hAnsi="Garamond" w:cs="Times New Roman"/>
          <w:color w:val="000000"/>
          <w:sz w:val="24"/>
          <w:szCs w:val="24"/>
        </w:rPr>
        <w:t>të informacionit janë:</w:t>
      </w:r>
    </w:p>
    <w:p w14:paraId="41C272F3"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 Drejtoria e Përgjithshme e Përmbarimit;</w:t>
      </w:r>
    </w:p>
    <w:p w14:paraId="41C272F4"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 zyrat vendore të përmbarimit gjyqësor shtetëror nëpërmjet përmbaruesve gjyqësorë shtetërorë; </w:t>
      </w:r>
    </w:p>
    <w:p w14:paraId="41C272F5"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iii. Dhoma Kombëtare e Përmbaruesve Gjyqësorë Privatë; </w:t>
      </w:r>
    </w:p>
    <w:p w14:paraId="41C272F6"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iv. përmbaruesit gjyqësorë privatë.</w:t>
      </w:r>
    </w:p>
    <w:p w14:paraId="41C272F7"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9. Niveli i aksesit në bazën e të dhënave ALBIS është, si më poshtë vijon:</w:t>
      </w:r>
    </w:p>
    <w:p w14:paraId="41C272F8" w14:textId="6CF1C6A2" w:rsidR="00316E1B" w:rsidRPr="003C7A3A" w:rsidRDefault="00316E1B" w:rsidP="00316E1B">
      <w:pPr>
        <w:tabs>
          <w:tab w:val="left" w:pos="152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a)</w:t>
      </w:r>
      <w:r w:rsidR="00421A6C">
        <w:rPr>
          <w:rFonts w:ascii="Garamond" w:hAnsi="Garamond" w:cs="Times New Roman"/>
          <w:color w:val="000000"/>
          <w:sz w:val="24"/>
          <w:szCs w:val="24"/>
        </w:rPr>
        <w:t xml:space="preserve"> </w:t>
      </w:r>
      <w:r w:rsidR="00865F90" w:rsidRPr="003C7A3A">
        <w:rPr>
          <w:rFonts w:ascii="Garamond" w:hAnsi="Garamond" w:cs="Times New Roman"/>
          <w:color w:val="000000"/>
          <w:sz w:val="24"/>
          <w:szCs w:val="24"/>
        </w:rPr>
        <w:t xml:space="preserve">administratori </w:t>
      </w:r>
      <w:r w:rsidRPr="003C7A3A">
        <w:rPr>
          <w:rFonts w:ascii="Garamond" w:hAnsi="Garamond" w:cs="Times New Roman"/>
          <w:color w:val="000000"/>
          <w:sz w:val="24"/>
          <w:szCs w:val="24"/>
        </w:rPr>
        <w:t>ka të drejtat e administrimit, modifikimit, leximit të sistemit dhe për të prodhuar statistika;</w:t>
      </w:r>
    </w:p>
    <w:p w14:paraId="41C272F9" w14:textId="0DEC402D"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lastRenderedPageBreak/>
        <w:t xml:space="preserve">b) </w:t>
      </w:r>
      <w:r w:rsidR="00865F90" w:rsidRPr="003C7A3A">
        <w:rPr>
          <w:rFonts w:ascii="Garamond" w:hAnsi="Garamond" w:cs="Times New Roman"/>
          <w:color w:val="000000"/>
          <w:sz w:val="24"/>
          <w:szCs w:val="24"/>
        </w:rPr>
        <w:t xml:space="preserve">specialistët </w:t>
      </w:r>
      <w:r w:rsidRPr="003C7A3A">
        <w:rPr>
          <w:rFonts w:ascii="Garamond" w:hAnsi="Garamond" w:cs="Times New Roman"/>
          <w:color w:val="000000"/>
          <w:sz w:val="24"/>
          <w:szCs w:val="24"/>
        </w:rPr>
        <w:t>me detyra monitoruese të Ministrisë së Drejtësisë dhe të Drejtorisë së Përgjithshme të Përmbarimit kanë të drejta leximi në ato çështje që ata kontrollojnë;</w:t>
      </w:r>
    </w:p>
    <w:p w14:paraId="41C272FA" w14:textId="0E7CAC42"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c) </w:t>
      </w:r>
      <w:r w:rsidR="00865F90" w:rsidRPr="003C7A3A">
        <w:rPr>
          <w:rFonts w:ascii="Garamond" w:hAnsi="Garamond" w:cs="Times New Roman"/>
          <w:color w:val="000000"/>
          <w:sz w:val="24"/>
          <w:szCs w:val="24"/>
        </w:rPr>
        <w:t xml:space="preserve">drejtori </w:t>
      </w:r>
      <w:r w:rsidRPr="003C7A3A">
        <w:rPr>
          <w:rFonts w:ascii="Garamond" w:hAnsi="Garamond" w:cs="Times New Roman"/>
          <w:color w:val="000000"/>
          <w:sz w:val="24"/>
          <w:szCs w:val="24"/>
        </w:rPr>
        <w:t xml:space="preserve">i </w:t>
      </w:r>
      <w:r w:rsidR="00865F90" w:rsidRPr="003C7A3A">
        <w:rPr>
          <w:rFonts w:ascii="Garamond" w:hAnsi="Garamond" w:cs="Times New Roman"/>
          <w:color w:val="000000"/>
          <w:sz w:val="24"/>
          <w:szCs w:val="24"/>
        </w:rPr>
        <w:t xml:space="preserve">përgjithshëm </w:t>
      </w:r>
      <w:r w:rsidRPr="003C7A3A">
        <w:rPr>
          <w:rFonts w:ascii="Garamond" w:hAnsi="Garamond" w:cs="Times New Roman"/>
          <w:color w:val="000000"/>
          <w:sz w:val="24"/>
          <w:szCs w:val="24"/>
        </w:rPr>
        <w:t xml:space="preserve">i Drejtorisë së Përgjithshme të Çështjeve Rregullatore të Drejtësisë në Ministrinë e Drejtësisë dhe drejtori i </w:t>
      </w:r>
      <w:r w:rsidR="00865F90" w:rsidRPr="003C7A3A">
        <w:rPr>
          <w:rFonts w:ascii="Garamond" w:hAnsi="Garamond" w:cs="Times New Roman"/>
          <w:color w:val="000000"/>
          <w:sz w:val="24"/>
          <w:szCs w:val="24"/>
        </w:rPr>
        <w:t xml:space="preserve">përgjithshëm </w:t>
      </w:r>
      <w:r w:rsidRPr="003C7A3A">
        <w:rPr>
          <w:rFonts w:ascii="Garamond" w:hAnsi="Garamond" w:cs="Times New Roman"/>
          <w:color w:val="000000"/>
          <w:sz w:val="24"/>
          <w:szCs w:val="24"/>
        </w:rPr>
        <w:t>i Drejtorisë së Përgjithshme të Përmbarimit ka të drejtë leximi në të gjitha çështjet e përmbarimit shtetëror dhe të drejtën për të prodhuar statistika;</w:t>
      </w:r>
    </w:p>
    <w:p w14:paraId="41C272FB" w14:textId="4A004226"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ç)</w:t>
      </w:r>
      <w:r w:rsidR="00421A6C">
        <w:rPr>
          <w:rFonts w:ascii="Garamond" w:hAnsi="Garamond" w:cs="Times New Roman"/>
          <w:color w:val="000000"/>
          <w:sz w:val="24"/>
          <w:szCs w:val="24"/>
        </w:rPr>
        <w:t xml:space="preserve"> </w:t>
      </w:r>
      <w:r w:rsidR="00865F90" w:rsidRPr="003C7A3A">
        <w:rPr>
          <w:rFonts w:ascii="Garamond" w:hAnsi="Garamond" w:cs="Times New Roman"/>
          <w:color w:val="000000"/>
          <w:sz w:val="24"/>
          <w:szCs w:val="24"/>
        </w:rPr>
        <w:t xml:space="preserve">drejtori </w:t>
      </w:r>
      <w:r w:rsidRPr="003C7A3A">
        <w:rPr>
          <w:rFonts w:ascii="Garamond" w:hAnsi="Garamond" w:cs="Times New Roman"/>
          <w:color w:val="000000"/>
          <w:sz w:val="24"/>
          <w:szCs w:val="24"/>
        </w:rPr>
        <w:t xml:space="preserve">i </w:t>
      </w:r>
      <w:r w:rsidR="00865F90" w:rsidRPr="003C7A3A">
        <w:rPr>
          <w:rFonts w:ascii="Garamond" w:hAnsi="Garamond" w:cs="Times New Roman"/>
          <w:color w:val="000000"/>
          <w:sz w:val="24"/>
          <w:szCs w:val="24"/>
        </w:rPr>
        <w:t xml:space="preserve">përgjithshëm </w:t>
      </w:r>
      <w:r w:rsidRPr="003C7A3A">
        <w:rPr>
          <w:rFonts w:ascii="Garamond" w:hAnsi="Garamond" w:cs="Times New Roman"/>
          <w:color w:val="000000"/>
          <w:sz w:val="24"/>
          <w:szCs w:val="24"/>
        </w:rPr>
        <w:t>i Drejtorisë së Përgjithshme të Çështjeve Rregullatore të Drejtësisë në Ministrinë e Drejtësisë ka të drejtë leximi në të gjitha çështjet e përmbarimit privat dhe të drejtën për të prodhuar statistika;</w:t>
      </w:r>
    </w:p>
    <w:p w14:paraId="41C272FC" w14:textId="501F944F"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d) </w:t>
      </w:r>
      <w:r w:rsidR="00865F90" w:rsidRPr="003C7A3A">
        <w:rPr>
          <w:rFonts w:ascii="Garamond" w:hAnsi="Garamond" w:cs="Times New Roman"/>
          <w:color w:val="000000"/>
          <w:sz w:val="24"/>
          <w:szCs w:val="24"/>
        </w:rPr>
        <w:t xml:space="preserve">prokurori </w:t>
      </w:r>
      <w:r w:rsidRPr="003C7A3A">
        <w:rPr>
          <w:rFonts w:ascii="Garamond" w:hAnsi="Garamond" w:cs="Times New Roman"/>
          <w:color w:val="000000"/>
          <w:sz w:val="24"/>
          <w:szCs w:val="24"/>
        </w:rPr>
        <w:t>ose çdo organ tjetër, që ligji i njeh të drejtën për të pasur akses, ka të drejtë leximi në të gjitha çështjet e përmbarimit shtetëror dhe në të gjitha çështjet e përmbarimit privat;</w:t>
      </w:r>
    </w:p>
    <w:p w14:paraId="41C272FD" w14:textId="42A3E70D"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dh) </w:t>
      </w:r>
      <w:r w:rsidR="00865F90" w:rsidRPr="003C7A3A">
        <w:rPr>
          <w:rFonts w:ascii="Garamond" w:hAnsi="Garamond" w:cs="Times New Roman"/>
          <w:color w:val="000000"/>
          <w:sz w:val="24"/>
          <w:szCs w:val="24"/>
        </w:rPr>
        <w:t xml:space="preserve">kryetari </w:t>
      </w:r>
      <w:r w:rsidRPr="003C7A3A">
        <w:rPr>
          <w:rFonts w:ascii="Garamond" w:hAnsi="Garamond" w:cs="Times New Roman"/>
          <w:color w:val="000000"/>
          <w:sz w:val="24"/>
          <w:szCs w:val="24"/>
        </w:rPr>
        <w:t>i Zyrës Rajonale ka të drejtë të regjistrojë një çështje në sistem, të hedhë shortin, të zëvendësojë përmbaruesin e zyrës përkatëse, të transferojë çështjen në një zyrë tjetër, të drejtë leximi në të gjitha çështjet e zyrës së tij, të drejtën për të prodhuar statistika dhe ka të njëjtat të drejta me një përmbarues kur ai/ajo është përgjegjës për çështjen;</w:t>
      </w:r>
    </w:p>
    <w:p w14:paraId="41C272FE" w14:textId="5317E91E"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e)</w:t>
      </w:r>
      <w:r w:rsidR="00421A6C">
        <w:rPr>
          <w:rFonts w:ascii="Garamond" w:hAnsi="Garamond" w:cs="Times New Roman"/>
          <w:color w:val="000000"/>
          <w:sz w:val="24"/>
          <w:szCs w:val="24"/>
        </w:rPr>
        <w:t xml:space="preserve"> </w:t>
      </w:r>
      <w:r w:rsidR="00865F90" w:rsidRPr="003C7A3A">
        <w:rPr>
          <w:rFonts w:ascii="Garamond" w:hAnsi="Garamond" w:cs="Times New Roman"/>
          <w:color w:val="000000"/>
          <w:sz w:val="24"/>
          <w:szCs w:val="24"/>
        </w:rPr>
        <w:t xml:space="preserve">përmbaruesi </w:t>
      </w:r>
      <w:r w:rsidRPr="003C7A3A">
        <w:rPr>
          <w:rFonts w:ascii="Garamond" w:hAnsi="Garamond" w:cs="Times New Roman"/>
          <w:color w:val="000000"/>
          <w:sz w:val="24"/>
          <w:szCs w:val="24"/>
        </w:rPr>
        <w:t>shtetëror ka të gjitha të drejtat e nevojshme për përpunimin e çështjeve që i janë përcaktuar dhe të drejta leximi vetëm për çështjet që i takojnë;</w:t>
      </w:r>
    </w:p>
    <w:p w14:paraId="41C272FF" w14:textId="558DF89A"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ë)</w:t>
      </w:r>
      <w:r w:rsidR="00421A6C">
        <w:rPr>
          <w:rFonts w:ascii="Garamond" w:hAnsi="Garamond" w:cs="Times New Roman"/>
          <w:color w:val="000000"/>
          <w:sz w:val="24"/>
          <w:szCs w:val="24"/>
        </w:rPr>
        <w:t xml:space="preserve"> </w:t>
      </w:r>
      <w:r w:rsidR="00865F90" w:rsidRPr="003C7A3A">
        <w:rPr>
          <w:rFonts w:ascii="Garamond" w:hAnsi="Garamond" w:cs="Times New Roman"/>
          <w:color w:val="000000"/>
          <w:sz w:val="24"/>
          <w:szCs w:val="24"/>
        </w:rPr>
        <w:t xml:space="preserve">përmbaruesi </w:t>
      </w:r>
      <w:r w:rsidRPr="003C7A3A">
        <w:rPr>
          <w:rFonts w:ascii="Garamond" w:hAnsi="Garamond" w:cs="Times New Roman"/>
          <w:color w:val="000000"/>
          <w:sz w:val="24"/>
          <w:szCs w:val="24"/>
        </w:rPr>
        <w:t>privat ka të gjitha të drejtat e nevojshme për regjistrimin dhe përpunimin e çështjeve që ai ka marrë përsipër;</w:t>
      </w:r>
    </w:p>
    <w:p w14:paraId="41C27300" w14:textId="33010742"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f)</w:t>
      </w:r>
      <w:r w:rsidR="00421A6C">
        <w:rPr>
          <w:rFonts w:ascii="Garamond" w:hAnsi="Garamond" w:cs="Times New Roman"/>
          <w:color w:val="000000"/>
          <w:sz w:val="24"/>
          <w:szCs w:val="24"/>
        </w:rPr>
        <w:t xml:space="preserve"> </w:t>
      </w:r>
      <w:r w:rsidR="00865F90" w:rsidRPr="003C7A3A">
        <w:rPr>
          <w:rFonts w:ascii="Garamond" w:hAnsi="Garamond" w:cs="Times New Roman"/>
          <w:color w:val="000000"/>
          <w:sz w:val="24"/>
          <w:szCs w:val="24"/>
        </w:rPr>
        <w:t xml:space="preserve">përmbaruesi </w:t>
      </w:r>
      <w:r w:rsidRPr="003C7A3A">
        <w:rPr>
          <w:rFonts w:ascii="Garamond" w:hAnsi="Garamond" w:cs="Times New Roman"/>
          <w:color w:val="000000"/>
          <w:sz w:val="24"/>
          <w:szCs w:val="24"/>
        </w:rPr>
        <w:t xml:space="preserve">gjyqësor, shtetëror ose privat, përjashtimisht, për çdo procedurë me objekt “Ekzekutim detyrimesh në të holla” ka të drejta leximi të të dhënave parësore, të përcaktuara në shkronjën “a”, të pikës 4, të këtij vendimi. </w:t>
      </w:r>
    </w:p>
    <w:p w14:paraId="41C27301"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10. Të gjitha subjektet, që kanë akses në bazën të dhënave ALBIS, marrin masa organizative dhe teknike të përshtatshme për të mbrojtur të dhënat personale nga shkatërrime të paligjshme ose aksidentale, si dhe nga humbje aksidentale, për të mbrojtur aksesin ose përhapjen nga persona të paautorizuar, si dhe nga çdo formë tjetër e paligjshme përpunimi, në përputhje me legjislacionin në fuqi për mbrojtjen e të dhënave personale.</w:t>
      </w:r>
    </w:p>
    <w:p w14:paraId="41C27302"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11. Afati i ruajtjes së të dhënave në bazën e të dhënave ALBIS është, si më poshtë vijon: </w:t>
      </w:r>
    </w:p>
    <w:p w14:paraId="41C27303"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a) Ruhen në ruajtje të përhershme të dhënat mbi:</w:t>
      </w:r>
    </w:p>
    <w:p w14:paraId="41C27304"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 regjistrat e çështjeve përmbarimore të regjistruara deri në datën e hyrjes në fuqi të këtij vendimi, si dhe të çështjeve përmbarimore të reja, që paraqiten për ekzekutim pas hyrjes në fuqi të këtij vendimi;</w:t>
      </w:r>
    </w:p>
    <w:p w14:paraId="41C27305"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 përmbaruesin ose zyrën përmbarimore;</w:t>
      </w:r>
    </w:p>
    <w:p w14:paraId="41C27306"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iii. numrin dhe datën e regjistrimit të çështjes;</w:t>
      </w:r>
    </w:p>
    <w:p w14:paraId="41C27307"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iv. të dhënat identifikuese të qytetarëve dhe subjekteve; </w:t>
      </w:r>
    </w:p>
    <w:p w14:paraId="41C27308"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v. numrin dhe datën e vendimit të gjykatës; </w:t>
      </w:r>
    </w:p>
    <w:p w14:paraId="41C27309"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vi. numrin dhe datën e urdhrit të ekzekutimit;</w:t>
      </w:r>
    </w:p>
    <w:p w14:paraId="41C2730A"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vii. llojin e detyrimit;</w:t>
      </w:r>
    </w:p>
    <w:p w14:paraId="41C2730B" w14:textId="556B1B02"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viii. </w:t>
      </w:r>
      <w:r w:rsidR="005C47F2">
        <w:rPr>
          <w:rFonts w:ascii="Garamond" w:hAnsi="Garamond" w:cs="Times New Roman"/>
          <w:color w:val="000000"/>
          <w:sz w:val="24"/>
          <w:szCs w:val="24"/>
        </w:rPr>
        <w:t>l</w:t>
      </w:r>
      <w:r w:rsidRPr="003C7A3A">
        <w:rPr>
          <w:rFonts w:ascii="Garamond" w:hAnsi="Garamond" w:cs="Times New Roman"/>
          <w:color w:val="000000"/>
          <w:sz w:val="24"/>
          <w:szCs w:val="24"/>
        </w:rPr>
        <w:t>lojin e taksës ose të tarifës;</w:t>
      </w:r>
    </w:p>
    <w:p w14:paraId="41C2730C"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ix. statusin e çështjes përmbarimore;</w:t>
      </w:r>
    </w:p>
    <w:p w14:paraId="41C2730D"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x. numrin dhe datën e vendimit të pushimit të ekzekutimit;</w:t>
      </w:r>
    </w:p>
    <w:p w14:paraId="41C2730E"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xi. transferimin e çështjeve;</w:t>
      </w:r>
    </w:p>
    <w:p w14:paraId="41C2730F" w14:textId="77777777" w:rsidR="00316E1B" w:rsidRPr="003C7A3A" w:rsidRDefault="00316E1B" w:rsidP="00316E1B">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xii. komentet.</w:t>
      </w:r>
    </w:p>
    <w:p w14:paraId="41C27310"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b) Dosjet dhe çdo dokument tjetër i prodhuar nga përmbaruesi për çështjet përmbarimore të ekzekutuara tërësisht apo të pushuara sipas parashikimeve në fuqi të Kodit të Procedurës Civile ruhen për një afat 10-vjeçar (dhjetëvjeçar) nga dita e përfundimit të procedurës së ekzekutimit ose nga dita e pushimit të ekzekutimit. </w:t>
      </w:r>
    </w:p>
    <w:p w14:paraId="41C27311"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12. Agjencia Kombëtare e Shoqërisë së Informacionit, si autoriteti rregullator koordinues i bazave të të dhënave shtetërore, regjistron, auditon dhe koordinon ndërveprimin me bazat e të dhënave shtetërore.</w:t>
      </w:r>
    </w:p>
    <w:p w14:paraId="41C27312" w14:textId="25F9A99B"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13. Rregullorja për administrimin, organizimin, funksionimin e brendshëm të bazës të të dhënave të ALBIS</w:t>
      </w:r>
      <w:r w:rsidR="0013261B">
        <w:rPr>
          <w:rFonts w:ascii="Garamond" w:hAnsi="Garamond" w:cs="Times New Roman"/>
          <w:color w:val="000000"/>
          <w:sz w:val="24"/>
          <w:szCs w:val="24"/>
        </w:rPr>
        <w:t>-it</w:t>
      </w:r>
      <w:r w:rsidRPr="003C7A3A">
        <w:rPr>
          <w:rFonts w:ascii="Garamond" w:hAnsi="Garamond" w:cs="Times New Roman"/>
          <w:color w:val="000000"/>
          <w:sz w:val="24"/>
          <w:szCs w:val="24"/>
        </w:rPr>
        <w:t>, si dhe procedurat përkatëse miratohen me urdhër të ministrit të Drejtësisë, në përputhje me rregullat e parashikuara nga legjislacioni në fuqi për bazat e të dhënave shtetërore.</w:t>
      </w:r>
    </w:p>
    <w:p w14:paraId="41C27313"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 xml:space="preserve">14. Përmbaruesit gjyqësorë shtetërorë dhe privatë, brenda gjashtë muajsh nga hyrja në fuqi e këtij vendimi, përfundojnë hedhjen e të dhënave në bazën e të dhënave ALBIS, për të gjitha çështjet përmbarimore që kanë në administrim, sipas shkronjave “a” e “b”, të pikës 2, të këtij vendimi. </w:t>
      </w:r>
    </w:p>
    <w:p w14:paraId="41C27314" w14:textId="36544D4E"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15. Të dhënat e mbledhura në zbatim të vendimit nr.</w:t>
      </w:r>
      <w:r w:rsidR="00B86A14">
        <w:rPr>
          <w:rFonts w:ascii="Garamond" w:hAnsi="Garamond" w:cs="Times New Roman"/>
          <w:color w:val="000000"/>
          <w:sz w:val="24"/>
          <w:szCs w:val="24"/>
        </w:rPr>
        <w:t xml:space="preserve"> </w:t>
      </w:r>
      <w:r w:rsidRPr="003C7A3A">
        <w:rPr>
          <w:rFonts w:ascii="Garamond" w:hAnsi="Garamond" w:cs="Times New Roman"/>
          <w:color w:val="000000"/>
          <w:sz w:val="24"/>
          <w:szCs w:val="24"/>
        </w:rPr>
        <w:t>443</w:t>
      </w:r>
      <w:r w:rsidR="003A281E">
        <w:rPr>
          <w:rFonts w:ascii="Garamond" w:hAnsi="Garamond" w:cs="Times New Roman"/>
          <w:color w:val="000000"/>
          <w:sz w:val="24"/>
          <w:szCs w:val="24"/>
        </w:rPr>
        <w:t>,</w:t>
      </w:r>
      <w:r w:rsidRPr="003C7A3A">
        <w:rPr>
          <w:rFonts w:ascii="Garamond" w:hAnsi="Garamond" w:cs="Times New Roman"/>
          <w:color w:val="000000"/>
          <w:sz w:val="24"/>
          <w:szCs w:val="24"/>
        </w:rPr>
        <w:t xml:space="preserve"> datë 16.6.2011, të Këshillit të Ministrave, “Për krijimin, regjistrimin, mënyrën e funksionimit, të administrimit e të ndërveprimit dhe për sigurinë e Sistemit të Menaxhimit Elektronik të Çështjeve të Përmbarimit Gjyqësor”, i ndryshuar, konsiderohen të mbledhura dhe përpunohen sipas këtij vendimi.</w:t>
      </w:r>
    </w:p>
    <w:p w14:paraId="41C27315" w14:textId="429049B5"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16. Vendimi nr.</w:t>
      </w:r>
      <w:r w:rsidR="00B86A14">
        <w:rPr>
          <w:rFonts w:ascii="Garamond" w:hAnsi="Garamond" w:cs="Times New Roman"/>
          <w:color w:val="000000"/>
          <w:sz w:val="24"/>
          <w:szCs w:val="24"/>
        </w:rPr>
        <w:t xml:space="preserve"> </w:t>
      </w:r>
      <w:r w:rsidRPr="003C7A3A">
        <w:rPr>
          <w:rFonts w:ascii="Garamond" w:hAnsi="Garamond" w:cs="Times New Roman"/>
          <w:color w:val="000000"/>
          <w:sz w:val="24"/>
          <w:szCs w:val="24"/>
        </w:rPr>
        <w:t>443, datë 16.6.2011, i Këshillit të Ministrave, “Për krijimin, regjistrimin, mënyrën e funksionimit, të administrimit e të ndërveprimit dhe për sigurinë e Sistemit të Menaxhimit Elektronik të Çështjeve të Përmbarimit Gjyqësor”, i ndryshuar, shfuqizohet.</w:t>
      </w:r>
    </w:p>
    <w:p w14:paraId="41C27316"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17. Ngarkohen Ministria e Drejtësisë, Drejtoria e Përgjithshme e Përmbarimit, Dhoma Kombëtare e Përmbaruesve Gjyqësorë Privatë, Agjencia Kombëtare e Shoqërisë së Informacionit, si dhe përmbaruesit gjyqësorë shtetërorë dhe privatë për zbatimin e këtij vendimi.</w:t>
      </w:r>
    </w:p>
    <w:p w14:paraId="41C27317"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r w:rsidRPr="003C7A3A">
        <w:rPr>
          <w:rFonts w:ascii="Garamond" w:hAnsi="Garamond" w:cs="Times New Roman"/>
          <w:color w:val="000000"/>
          <w:sz w:val="24"/>
          <w:szCs w:val="24"/>
        </w:rPr>
        <w:t>Ky vendim hyn në fuqi pas botimit në Fletoren Zyrtare.</w:t>
      </w:r>
    </w:p>
    <w:p w14:paraId="41C27318" w14:textId="77777777" w:rsidR="00316E1B" w:rsidRPr="003C7A3A" w:rsidRDefault="00316E1B" w:rsidP="00316E1B">
      <w:pPr>
        <w:autoSpaceDE w:val="0"/>
        <w:autoSpaceDN w:val="0"/>
        <w:adjustRightInd w:val="0"/>
        <w:spacing w:after="0" w:line="240" w:lineRule="auto"/>
        <w:ind w:firstLine="284"/>
        <w:jc w:val="both"/>
        <w:rPr>
          <w:rFonts w:ascii="Garamond" w:hAnsi="Garamond" w:cs="Times New Roman"/>
          <w:color w:val="000000"/>
          <w:sz w:val="24"/>
          <w:szCs w:val="24"/>
        </w:rPr>
      </w:pPr>
    </w:p>
    <w:p w14:paraId="41C27319" w14:textId="77777777" w:rsidR="00316E1B" w:rsidRPr="003C7A3A" w:rsidRDefault="00316E1B" w:rsidP="00316E1B">
      <w:pPr>
        <w:autoSpaceDE w:val="0"/>
        <w:autoSpaceDN w:val="0"/>
        <w:adjustRightInd w:val="0"/>
        <w:spacing w:after="0" w:line="240" w:lineRule="auto"/>
        <w:ind w:firstLine="284"/>
        <w:jc w:val="right"/>
        <w:rPr>
          <w:rFonts w:ascii="Garamond" w:hAnsi="Garamond" w:cs="Times New Roman"/>
          <w:bCs/>
          <w:color w:val="000000"/>
          <w:sz w:val="24"/>
          <w:szCs w:val="24"/>
        </w:rPr>
      </w:pPr>
      <w:r w:rsidRPr="003C7A3A">
        <w:rPr>
          <w:rFonts w:ascii="Garamond" w:hAnsi="Garamond" w:cs="Times New Roman"/>
          <w:bCs/>
          <w:color w:val="000000"/>
          <w:sz w:val="24"/>
          <w:szCs w:val="24"/>
        </w:rPr>
        <w:t>KRYEMINISTËR</w:t>
      </w:r>
    </w:p>
    <w:p w14:paraId="41C2731A" w14:textId="77777777" w:rsidR="00000E64" w:rsidRPr="003C7A3A" w:rsidRDefault="00316E1B" w:rsidP="00316E1B">
      <w:pPr>
        <w:autoSpaceDE w:val="0"/>
        <w:autoSpaceDN w:val="0"/>
        <w:adjustRightInd w:val="0"/>
        <w:spacing w:after="0" w:line="240" w:lineRule="auto"/>
        <w:ind w:firstLine="284"/>
        <w:jc w:val="right"/>
        <w:rPr>
          <w:rFonts w:ascii="Garamond" w:hAnsi="Garamond" w:cs="Times New Roman"/>
          <w:b/>
          <w:bCs/>
          <w:color w:val="000000"/>
          <w:sz w:val="24"/>
          <w:szCs w:val="24"/>
        </w:rPr>
      </w:pPr>
      <w:r w:rsidRPr="003C7A3A">
        <w:rPr>
          <w:rFonts w:ascii="Garamond" w:hAnsi="Garamond" w:cs="Times New Roman"/>
          <w:b/>
          <w:bCs/>
          <w:color w:val="000000"/>
          <w:sz w:val="24"/>
          <w:szCs w:val="24"/>
        </w:rPr>
        <w:t>Edi Rama</w:t>
      </w:r>
    </w:p>
    <w:p w14:paraId="41C2731B" w14:textId="77777777" w:rsidR="00316E1B" w:rsidRPr="003C7A3A" w:rsidRDefault="00316E1B" w:rsidP="00316E1B">
      <w:pPr>
        <w:autoSpaceDE w:val="0"/>
        <w:autoSpaceDN w:val="0"/>
        <w:adjustRightInd w:val="0"/>
        <w:spacing w:after="0" w:line="240" w:lineRule="auto"/>
        <w:ind w:firstLine="284"/>
        <w:rPr>
          <w:rFonts w:ascii="Garamond" w:hAnsi="Garamond"/>
          <w:sz w:val="24"/>
          <w:szCs w:val="24"/>
        </w:rPr>
      </w:pPr>
    </w:p>
    <w:sectPr w:rsidR="00316E1B" w:rsidRPr="003C7A3A" w:rsidSect="00C94ACE">
      <w:footerReference w:type="default" r:id="rId11"/>
      <w:pgSz w:w="11907" w:h="16839" w:code="9"/>
      <w:pgMar w:top="1440" w:right="1440" w:bottom="1440" w:left="1440" w:header="720" w:footer="4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043A9" w14:textId="77777777" w:rsidR="003B4ED8" w:rsidRDefault="003B4ED8" w:rsidP="00F137BC">
      <w:pPr>
        <w:spacing w:after="0" w:line="240" w:lineRule="auto"/>
      </w:pPr>
      <w:r>
        <w:separator/>
      </w:r>
    </w:p>
  </w:endnote>
  <w:endnote w:type="continuationSeparator" w:id="0">
    <w:p w14:paraId="16D679CA" w14:textId="77777777" w:rsidR="003B4ED8" w:rsidRDefault="003B4ED8" w:rsidP="00F137BC">
      <w:pPr>
        <w:spacing w:after="0" w:line="240" w:lineRule="auto"/>
      </w:pPr>
      <w:r>
        <w:continuationSeparator/>
      </w:r>
    </w:p>
  </w:endnote>
  <w:endnote w:type="continuationNotice" w:id="1">
    <w:p w14:paraId="450E5C70" w14:textId="77777777" w:rsidR="003A270D" w:rsidRDefault="003A27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27320" w14:textId="77777777" w:rsidR="003B4ED8" w:rsidRPr="00000E64" w:rsidRDefault="003B4ED8">
    <w:pPr>
      <w:pStyle w:val="Footer"/>
      <w:jc w:val="right"/>
      <w:rPr>
        <w:rFonts w:ascii="Times New Roman" w:hAnsi="Times New Roman" w:cs="Times New Roman"/>
        <w:sz w:val="24"/>
        <w:szCs w:val="24"/>
      </w:rPr>
    </w:pPr>
  </w:p>
  <w:p w14:paraId="41C27321" w14:textId="77777777" w:rsidR="003B4ED8" w:rsidRDefault="003B4E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275444" w14:textId="77777777" w:rsidR="003B4ED8" w:rsidRDefault="003B4ED8" w:rsidP="00F137BC">
      <w:pPr>
        <w:spacing w:after="0" w:line="240" w:lineRule="auto"/>
      </w:pPr>
      <w:r>
        <w:separator/>
      </w:r>
    </w:p>
  </w:footnote>
  <w:footnote w:type="continuationSeparator" w:id="0">
    <w:p w14:paraId="02649CD3" w14:textId="77777777" w:rsidR="003B4ED8" w:rsidRDefault="003B4ED8" w:rsidP="00F137BC">
      <w:pPr>
        <w:spacing w:after="0" w:line="240" w:lineRule="auto"/>
      </w:pPr>
      <w:r>
        <w:continuationSeparator/>
      </w:r>
    </w:p>
  </w:footnote>
  <w:footnote w:type="continuationNotice" w:id="1">
    <w:p w14:paraId="67F4DB59" w14:textId="77777777" w:rsidR="003A270D" w:rsidRDefault="003A27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40F10"/>
    <w:multiLevelType w:val="hybridMultilevel"/>
    <w:tmpl w:val="1AFC96AA"/>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061913D4"/>
    <w:multiLevelType w:val="hybridMultilevel"/>
    <w:tmpl w:val="CB76E56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5E60B7"/>
    <w:multiLevelType w:val="hybridMultilevel"/>
    <w:tmpl w:val="3BB26528"/>
    <w:lvl w:ilvl="0" w:tplc="041C000F">
      <w:start w:val="1"/>
      <w:numFmt w:val="decimal"/>
      <w:lvlText w:val="%1."/>
      <w:lvlJc w:val="left"/>
      <w:pPr>
        <w:ind w:left="720" w:hanging="360"/>
      </w:pPr>
    </w:lvl>
    <w:lvl w:ilvl="1" w:tplc="E5FEF8E0">
      <w:start w:val="1"/>
      <w:numFmt w:val="lowerRoman"/>
      <w:lvlText w:val="%2)"/>
      <w:lvlJc w:val="left"/>
      <w:pPr>
        <w:ind w:left="1800" w:hanging="720"/>
      </w:pPr>
      <w:rPr>
        <w:rFonts w:hint="default"/>
      </w:rPr>
    </w:lvl>
    <w:lvl w:ilvl="2" w:tplc="1ADEFF8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E097514"/>
    <w:multiLevelType w:val="hybridMultilevel"/>
    <w:tmpl w:val="97B6B60A"/>
    <w:lvl w:ilvl="0" w:tplc="041C000F">
      <w:start w:val="1"/>
      <w:numFmt w:val="decimal"/>
      <w:lvlText w:val="%1."/>
      <w:lvlJc w:val="left"/>
      <w:pPr>
        <w:ind w:left="720" w:hanging="360"/>
      </w:pPr>
    </w:lvl>
    <w:lvl w:ilvl="1" w:tplc="E5FEF8E0">
      <w:start w:val="1"/>
      <w:numFmt w:val="lowerRoman"/>
      <w:lvlText w:val="%2)"/>
      <w:lvlJc w:val="left"/>
      <w:pPr>
        <w:ind w:left="1800" w:hanging="720"/>
      </w:pPr>
      <w:rPr>
        <w:rFonts w:hint="default"/>
      </w:rPr>
    </w:lvl>
    <w:lvl w:ilvl="2" w:tplc="1ADEFF8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20051345"/>
    <w:multiLevelType w:val="hybridMultilevel"/>
    <w:tmpl w:val="349223BE"/>
    <w:lvl w:ilvl="0" w:tplc="041C000F">
      <w:start w:val="1"/>
      <w:numFmt w:val="decimal"/>
      <w:lvlText w:val="%1."/>
      <w:lvlJc w:val="left"/>
      <w:pPr>
        <w:ind w:left="720" w:hanging="360"/>
      </w:pPr>
      <w:rPr>
        <w:rFonts w:hint="default"/>
      </w:rPr>
    </w:lvl>
    <w:lvl w:ilvl="1" w:tplc="DCE028DC">
      <w:start w:val="1"/>
      <w:numFmt w:val="lowerLetter"/>
      <w:lvlText w:val="%2)"/>
      <w:lvlJc w:val="left"/>
      <w:pPr>
        <w:ind w:left="1440" w:hanging="360"/>
      </w:pPr>
      <w:rPr>
        <w:rFonts w:hint="default"/>
      </w:rPr>
    </w:lvl>
    <w:lvl w:ilvl="2" w:tplc="B7060BBC">
      <w:start w:val="1"/>
      <w:numFmt w:val="lowerRoman"/>
      <w:lvlText w:val="%3."/>
      <w:lvlJc w:val="left"/>
      <w:pPr>
        <w:ind w:left="2160" w:hanging="720"/>
      </w:pPr>
      <w:rPr>
        <w:rFonts w:hint="default"/>
      </w:r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25E91C4A"/>
    <w:multiLevelType w:val="hybridMultilevel"/>
    <w:tmpl w:val="DB18B87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6D74C80"/>
    <w:multiLevelType w:val="hybridMultilevel"/>
    <w:tmpl w:val="1AB6223A"/>
    <w:lvl w:ilvl="0" w:tplc="B7060BBC">
      <w:start w:val="1"/>
      <w:numFmt w:val="lowerRoman"/>
      <w:lvlText w:val="%1."/>
      <w:lvlJc w:val="left"/>
      <w:pPr>
        <w:ind w:left="2340" w:hanging="360"/>
      </w:pPr>
      <w:rPr>
        <w:rFonts w:hint="default"/>
      </w:rPr>
    </w:lvl>
    <w:lvl w:ilvl="1" w:tplc="041C0019" w:tentative="1">
      <w:start w:val="1"/>
      <w:numFmt w:val="lowerLetter"/>
      <w:lvlText w:val="%2."/>
      <w:lvlJc w:val="left"/>
      <w:pPr>
        <w:ind w:left="3060" w:hanging="360"/>
      </w:pPr>
    </w:lvl>
    <w:lvl w:ilvl="2" w:tplc="041C001B">
      <w:start w:val="1"/>
      <w:numFmt w:val="lowerRoman"/>
      <w:lvlText w:val="%3."/>
      <w:lvlJc w:val="right"/>
      <w:pPr>
        <w:ind w:left="3780" w:hanging="180"/>
      </w:pPr>
    </w:lvl>
    <w:lvl w:ilvl="3" w:tplc="041C000F" w:tentative="1">
      <w:start w:val="1"/>
      <w:numFmt w:val="decimal"/>
      <w:lvlText w:val="%4."/>
      <w:lvlJc w:val="left"/>
      <w:pPr>
        <w:ind w:left="4500" w:hanging="360"/>
      </w:pPr>
    </w:lvl>
    <w:lvl w:ilvl="4" w:tplc="041C0019" w:tentative="1">
      <w:start w:val="1"/>
      <w:numFmt w:val="lowerLetter"/>
      <w:lvlText w:val="%5."/>
      <w:lvlJc w:val="left"/>
      <w:pPr>
        <w:ind w:left="5220" w:hanging="360"/>
      </w:pPr>
    </w:lvl>
    <w:lvl w:ilvl="5" w:tplc="041C001B" w:tentative="1">
      <w:start w:val="1"/>
      <w:numFmt w:val="lowerRoman"/>
      <w:lvlText w:val="%6."/>
      <w:lvlJc w:val="right"/>
      <w:pPr>
        <w:ind w:left="5940" w:hanging="180"/>
      </w:pPr>
    </w:lvl>
    <w:lvl w:ilvl="6" w:tplc="041C000F" w:tentative="1">
      <w:start w:val="1"/>
      <w:numFmt w:val="decimal"/>
      <w:lvlText w:val="%7."/>
      <w:lvlJc w:val="left"/>
      <w:pPr>
        <w:ind w:left="6660" w:hanging="360"/>
      </w:pPr>
    </w:lvl>
    <w:lvl w:ilvl="7" w:tplc="041C0019" w:tentative="1">
      <w:start w:val="1"/>
      <w:numFmt w:val="lowerLetter"/>
      <w:lvlText w:val="%8."/>
      <w:lvlJc w:val="left"/>
      <w:pPr>
        <w:ind w:left="7380" w:hanging="360"/>
      </w:pPr>
    </w:lvl>
    <w:lvl w:ilvl="8" w:tplc="041C001B" w:tentative="1">
      <w:start w:val="1"/>
      <w:numFmt w:val="lowerRoman"/>
      <w:lvlText w:val="%9."/>
      <w:lvlJc w:val="right"/>
      <w:pPr>
        <w:ind w:left="8100" w:hanging="180"/>
      </w:pPr>
    </w:lvl>
  </w:abstractNum>
  <w:abstractNum w:abstractNumId="7">
    <w:nsid w:val="3FBE21B6"/>
    <w:multiLevelType w:val="hybridMultilevel"/>
    <w:tmpl w:val="EBC0D250"/>
    <w:lvl w:ilvl="0" w:tplc="B7060BBC">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493A7A8D"/>
    <w:multiLevelType w:val="hybridMultilevel"/>
    <w:tmpl w:val="AC689BE8"/>
    <w:lvl w:ilvl="0" w:tplc="041C000F">
      <w:start w:val="1"/>
      <w:numFmt w:val="decimal"/>
      <w:lvlText w:val="%1."/>
      <w:lvlJc w:val="left"/>
      <w:pPr>
        <w:ind w:left="720" w:hanging="360"/>
      </w:pPr>
    </w:lvl>
    <w:lvl w:ilvl="1" w:tplc="E5FEF8E0">
      <w:start w:val="1"/>
      <w:numFmt w:val="lowerRoman"/>
      <w:lvlText w:val="%2)"/>
      <w:lvlJc w:val="left"/>
      <w:pPr>
        <w:ind w:left="1800" w:hanging="720"/>
      </w:pPr>
      <w:rPr>
        <w:rFonts w:hint="default"/>
      </w:rPr>
    </w:lvl>
    <w:lvl w:ilvl="2" w:tplc="1ADEFF8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53AA59C3"/>
    <w:multiLevelType w:val="hybridMultilevel"/>
    <w:tmpl w:val="032292EC"/>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59E47B0"/>
    <w:multiLevelType w:val="hybridMultilevel"/>
    <w:tmpl w:val="D8D87C1A"/>
    <w:lvl w:ilvl="0" w:tplc="B7060BBC">
      <w:start w:val="1"/>
      <w:numFmt w:val="lowerRoman"/>
      <w:lvlText w:val="%1."/>
      <w:lvlJc w:val="left"/>
      <w:pPr>
        <w:ind w:left="270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5E9668FC"/>
    <w:multiLevelType w:val="hybridMultilevel"/>
    <w:tmpl w:val="6C627C7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6E417BCE"/>
    <w:multiLevelType w:val="hybridMultilevel"/>
    <w:tmpl w:val="1AB6223A"/>
    <w:lvl w:ilvl="0" w:tplc="B7060BBC">
      <w:start w:val="1"/>
      <w:numFmt w:val="lowerRoman"/>
      <w:lvlText w:val="%1."/>
      <w:lvlJc w:val="left"/>
      <w:pPr>
        <w:ind w:left="2340" w:hanging="360"/>
      </w:pPr>
      <w:rPr>
        <w:rFonts w:hint="default"/>
      </w:rPr>
    </w:lvl>
    <w:lvl w:ilvl="1" w:tplc="041C0019" w:tentative="1">
      <w:start w:val="1"/>
      <w:numFmt w:val="lowerLetter"/>
      <w:lvlText w:val="%2."/>
      <w:lvlJc w:val="left"/>
      <w:pPr>
        <w:ind w:left="3060" w:hanging="360"/>
      </w:pPr>
    </w:lvl>
    <w:lvl w:ilvl="2" w:tplc="041C001B">
      <w:start w:val="1"/>
      <w:numFmt w:val="lowerRoman"/>
      <w:lvlText w:val="%3."/>
      <w:lvlJc w:val="right"/>
      <w:pPr>
        <w:ind w:left="3780" w:hanging="180"/>
      </w:pPr>
    </w:lvl>
    <w:lvl w:ilvl="3" w:tplc="041C000F" w:tentative="1">
      <w:start w:val="1"/>
      <w:numFmt w:val="decimal"/>
      <w:lvlText w:val="%4."/>
      <w:lvlJc w:val="left"/>
      <w:pPr>
        <w:ind w:left="4500" w:hanging="360"/>
      </w:pPr>
    </w:lvl>
    <w:lvl w:ilvl="4" w:tplc="041C0019" w:tentative="1">
      <w:start w:val="1"/>
      <w:numFmt w:val="lowerLetter"/>
      <w:lvlText w:val="%5."/>
      <w:lvlJc w:val="left"/>
      <w:pPr>
        <w:ind w:left="5220" w:hanging="360"/>
      </w:pPr>
    </w:lvl>
    <w:lvl w:ilvl="5" w:tplc="041C001B" w:tentative="1">
      <w:start w:val="1"/>
      <w:numFmt w:val="lowerRoman"/>
      <w:lvlText w:val="%6."/>
      <w:lvlJc w:val="right"/>
      <w:pPr>
        <w:ind w:left="5940" w:hanging="180"/>
      </w:pPr>
    </w:lvl>
    <w:lvl w:ilvl="6" w:tplc="041C000F" w:tentative="1">
      <w:start w:val="1"/>
      <w:numFmt w:val="decimal"/>
      <w:lvlText w:val="%7."/>
      <w:lvlJc w:val="left"/>
      <w:pPr>
        <w:ind w:left="6660" w:hanging="360"/>
      </w:pPr>
    </w:lvl>
    <w:lvl w:ilvl="7" w:tplc="041C0019" w:tentative="1">
      <w:start w:val="1"/>
      <w:numFmt w:val="lowerLetter"/>
      <w:lvlText w:val="%8."/>
      <w:lvlJc w:val="left"/>
      <w:pPr>
        <w:ind w:left="7380" w:hanging="360"/>
      </w:pPr>
    </w:lvl>
    <w:lvl w:ilvl="8" w:tplc="041C001B" w:tentative="1">
      <w:start w:val="1"/>
      <w:numFmt w:val="lowerRoman"/>
      <w:lvlText w:val="%9."/>
      <w:lvlJc w:val="right"/>
      <w:pPr>
        <w:ind w:left="8100" w:hanging="180"/>
      </w:pPr>
    </w:lvl>
  </w:abstractNum>
  <w:abstractNum w:abstractNumId="13">
    <w:nsid w:val="70CF756D"/>
    <w:multiLevelType w:val="hybridMultilevel"/>
    <w:tmpl w:val="EBC0D250"/>
    <w:lvl w:ilvl="0" w:tplc="B7060BBC">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76E570F7"/>
    <w:multiLevelType w:val="hybridMultilevel"/>
    <w:tmpl w:val="1AACBBD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1"/>
  </w:num>
  <w:num w:numId="5">
    <w:abstractNumId w:val="2"/>
  </w:num>
  <w:num w:numId="6">
    <w:abstractNumId w:val="4"/>
  </w:num>
  <w:num w:numId="7">
    <w:abstractNumId w:val="10"/>
  </w:num>
  <w:num w:numId="8">
    <w:abstractNumId w:val="1"/>
  </w:num>
  <w:num w:numId="9">
    <w:abstractNumId w:val="0"/>
  </w:num>
  <w:num w:numId="10">
    <w:abstractNumId w:val="3"/>
  </w:num>
  <w:num w:numId="11">
    <w:abstractNumId w:val="8"/>
  </w:num>
  <w:num w:numId="12">
    <w:abstractNumId w:val="14"/>
  </w:num>
  <w:num w:numId="13">
    <w:abstractNumId w:val="7"/>
  </w:num>
  <w:num w:numId="14">
    <w:abstractNumId w:val="6"/>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78"/>
    <w:rsid w:val="00000E64"/>
    <w:rsid w:val="00001DE3"/>
    <w:rsid w:val="00003D85"/>
    <w:rsid w:val="00004D1C"/>
    <w:rsid w:val="00006BD5"/>
    <w:rsid w:val="000243D2"/>
    <w:rsid w:val="00066C3C"/>
    <w:rsid w:val="000C59B6"/>
    <w:rsid w:val="000E599F"/>
    <w:rsid w:val="000E793E"/>
    <w:rsid w:val="00113685"/>
    <w:rsid w:val="0012530E"/>
    <w:rsid w:val="0013261B"/>
    <w:rsid w:val="0013289B"/>
    <w:rsid w:val="00152E77"/>
    <w:rsid w:val="00160BCD"/>
    <w:rsid w:val="001D7150"/>
    <w:rsid w:val="001E095D"/>
    <w:rsid w:val="001F69FB"/>
    <w:rsid w:val="0021676F"/>
    <w:rsid w:val="00240442"/>
    <w:rsid w:val="00245B4F"/>
    <w:rsid w:val="002566A5"/>
    <w:rsid w:val="00284C8C"/>
    <w:rsid w:val="002B1582"/>
    <w:rsid w:val="002B666A"/>
    <w:rsid w:val="003007FE"/>
    <w:rsid w:val="003113B4"/>
    <w:rsid w:val="00316E1B"/>
    <w:rsid w:val="003263DE"/>
    <w:rsid w:val="00357422"/>
    <w:rsid w:val="0037587B"/>
    <w:rsid w:val="003767B5"/>
    <w:rsid w:val="003867C1"/>
    <w:rsid w:val="003942C6"/>
    <w:rsid w:val="003A270D"/>
    <w:rsid w:val="003A281E"/>
    <w:rsid w:val="003B01D4"/>
    <w:rsid w:val="003B4ED8"/>
    <w:rsid w:val="003C7A3A"/>
    <w:rsid w:val="003F2DA0"/>
    <w:rsid w:val="003F3D3B"/>
    <w:rsid w:val="00421A6C"/>
    <w:rsid w:val="00431BB6"/>
    <w:rsid w:val="00450295"/>
    <w:rsid w:val="0045238A"/>
    <w:rsid w:val="00492E05"/>
    <w:rsid w:val="004B405B"/>
    <w:rsid w:val="004B5C0E"/>
    <w:rsid w:val="004B6F80"/>
    <w:rsid w:val="004E63BF"/>
    <w:rsid w:val="004F0820"/>
    <w:rsid w:val="004F3918"/>
    <w:rsid w:val="004F6EA5"/>
    <w:rsid w:val="00515617"/>
    <w:rsid w:val="005172F4"/>
    <w:rsid w:val="00533F77"/>
    <w:rsid w:val="00536FC5"/>
    <w:rsid w:val="00541104"/>
    <w:rsid w:val="00552E72"/>
    <w:rsid w:val="00571529"/>
    <w:rsid w:val="005C47F2"/>
    <w:rsid w:val="005D30ED"/>
    <w:rsid w:val="005F6675"/>
    <w:rsid w:val="0062117E"/>
    <w:rsid w:val="00635B7C"/>
    <w:rsid w:val="00652D87"/>
    <w:rsid w:val="00691826"/>
    <w:rsid w:val="006A5FB7"/>
    <w:rsid w:val="006D4AB8"/>
    <w:rsid w:val="00721ED5"/>
    <w:rsid w:val="00730D16"/>
    <w:rsid w:val="00733462"/>
    <w:rsid w:val="00754B77"/>
    <w:rsid w:val="007A144D"/>
    <w:rsid w:val="007A33FC"/>
    <w:rsid w:val="007D34E7"/>
    <w:rsid w:val="007D42D7"/>
    <w:rsid w:val="007E6F8B"/>
    <w:rsid w:val="00842690"/>
    <w:rsid w:val="008507E4"/>
    <w:rsid w:val="00865F90"/>
    <w:rsid w:val="008716BF"/>
    <w:rsid w:val="008B7343"/>
    <w:rsid w:val="009001BA"/>
    <w:rsid w:val="00900225"/>
    <w:rsid w:val="00926578"/>
    <w:rsid w:val="00940BC2"/>
    <w:rsid w:val="009544BA"/>
    <w:rsid w:val="00A0332B"/>
    <w:rsid w:val="00A145E8"/>
    <w:rsid w:val="00A2798A"/>
    <w:rsid w:val="00A338B6"/>
    <w:rsid w:val="00A65CC1"/>
    <w:rsid w:val="00A714BE"/>
    <w:rsid w:val="00AA2DA4"/>
    <w:rsid w:val="00AB7406"/>
    <w:rsid w:val="00AD548B"/>
    <w:rsid w:val="00B008E4"/>
    <w:rsid w:val="00B04AED"/>
    <w:rsid w:val="00B131B2"/>
    <w:rsid w:val="00B86A14"/>
    <w:rsid w:val="00B86BBC"/>
    <w:rsid w:val="00B9588A"/>
    <w:rsid w:val="00BB4CED"/>
    <w:rsid w:val="00BC1761"/>
    <w:rsid w:val="00C16438"/>
    <w:rsid w:val="00C371D6"/>
    <w:rsid w:val="00C4240E"/>
    <w:rsid w:val="00C43F3F"/>
    <w:rsid w:val="00C47853"/>
    <w:rsid w:val="00C53E26"/>
    <w:rsid w:val="00C56EF6"/>
    <w:rsid w:val="00C57B97"/>
    <w:rsid w:val="00C8409B"/>
    <w:rsid w:val="00C94ACE"/>
    <w:rsid w:val="00CB0B3F"/>
    <w:rsid w:val="00CB123E"/>
    <w:rsid w:val="00CD0FDB"/>
    <w:rsid w:val="00CF2B89"/>
    <w:rsid w:val="00D03C05"/>
    <w:rsid w:val="00D55186"/>
    <w:rsid w:val="00D656C1"/>
    <w:rsid w:val="00DA35F0"/>
    <w:rsid w:val="00DB0A72"/>
    <w:rsid w:val="00DB2A54"/>
    <w:rsid w:val="00DC0D65"/>
    <w:rsid w:val="00DD1945"/>
    <w:rsid w:val="00DE65C4"/>
    <w:rsid w:val="00DF1CFA"/>
    <w:rsid w:val="00DF2105"/>
    <w:rsid w:val="00E02315"/>
    <w:rsid w:val="00E03E7C"/>
    <w:rsid w:val="00E102E7"/>
    <w:rsid w:val="00E63BA7"/>
    <w:rsid w:val="00EC35C2"/>
    <w:rsid w:val="00F01254"/>
    <w:rsid w:val="00F137BC"/>
    <w:rsid w:val="00F1655A"/>
    <w:rsid w:val="00F16E3D"/>
    <w:rsid w:val="00F26DF0"/>
    <w:rsid w:val="00F72500"/>
    <w:rsid w:val="00F74E59"/>
    <w:rsid w:val="00F963DA"/>
    <w:rsid w:val="00FA0D25"/>
    <w:rsid w:val="00FF2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C272B4"/>
  <w15:docId w15:val="{6BB62023-A976-4F30-B21F-782BAF76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5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13B4"/>
    <w:rPr>
      <w:sz w:val="16"/>
      <w:szCs w:val="16"/>
    </w:rPr>
  </w:style>
  <w:style w:type="paragraph" w:styleId="CommentText">
    <w:name w:val="annotation text"/>
    <w:basedOn w:val="Normal"/>
    <w:link w:val="CommentTextChar"/>
    <w:uiPriority w:val="99"/>
    <w:unhideWhenUsed/>
    <w:rsid w:val="003113B4"/>
    <w:pPr>
      <w:spacing w:line="240" w:lineRule="auto"/>
    </w:pPr>
    <w:rPr>
      <w:sz w:val="20"/>
      <w:szCs w:val="20"/>
    </w:rPr>
  </w:style>
  <w:style w:type="character" w:customStyle="1" w:styleId="CommentTextChar">
    <w:name w:val="Comment Text Char"/>
    <w:basedOn w:val="DefaultParagraphFont"/>
    <w:link w:val="CommentText"/>
    <w:uiPriority w:val="99"/>
    <w:rsid w:val="003113B4"/>
    <w:rPr>
      <w:sz w:val="20"/>
      <w:szCs w:val="20"/>
    </w:rPr>
  </w:style>
  <w:style w:type="paragraph" w:styleId="CommentSubject">
    <w:name w:val="annotation subject"/>
    <w:basedOn w:val="CommentText"/>
    <w:next w:val="CommentText"/>
    <w:link w:val="CommentSubjectChar"/>
    <w:uiPriority w:val="99"/>
    <w:semiHidden/>
    <w:unhideWhenUsed/>
    <w:rsid w:val="003113B4"/>
    <w:rPr>
      <w:b/>
      <w:bCs/>
    </w:rPr>
  </w:style>
  <w:style w:type="character" w:customStyle="1" w:styleId="CommentSubjectChar">
    <w:name w:val="Comment Subject Char"/>
    <w:basedOn w:val="CommentTextChar"/>
    <w:link w:val="CommentSubject"/>
    <w:uiPriority w:val="99"/>
    <w:semiHidden/>
    <w:rsid w:val="003113B4"/>
    <w:rPr>
      <w:b/>
      <w:bCs/>
      <w:sz w:val="20"/>
      <w:szCs w:val="20"/>
    </w:rPr>
  </w:style>
  <w:style w:type="paragraph" w:styleId="BalloonText">
    <w:name w:val="Balloon Text"/>
    <w:basedOn w:val="Normal"/>
    <w:link w:val="BalloonTextChar"/>
    <w:uiPriority w:val="99"/>
    <w:semiHidden/>
    <w:unhideWhenUsed/>
    <w:rsid w:val="003113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3B4"/>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7A33FC"/>
    <w:pPr>
      <w:spacing w:after="0" w:line="240" w:lineRule="auto"/>
      <w:ind w:left="720"/>
      <w:contextualSpacing/>
    </w:pPr>
    <w:rPr>
      <w:rFonts w:ascii="Times New Roman" w:eastAsia="Times New Roman" w:hAnsi="Times New Roman" w:cs="Times New Roman"/>
      <w:sz w:val="24"/>
      <w:szCs w:val="24"/>
      <w:lang w:eastAsia="sq-AL"/>
    </w:rPr>
  </w:style>
  <w:style w:type="paragraph" w:styleId="NormalWeb">
    <w:name w:val="Normal (Web)"/>
    <w:aliases w:val="Normal (Web) Char,Normal (Web) Char Char Char Char,Normal (Web) Char Char Char Char Char Char"/>
    <w:basedOn w:val="Normal"/>
    <w:uiPriority w:val="99"/>
    <w:qFormat/>
    <w:rsid w:val="007A33F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fi">
    <w:name w:val="Paragrafi"/>
    <w:link w:val="ParagrafiChar"/>
    <w:qFormat/>
    <w:rsid w:val="007A33FC"/>
    <w:pPr>
      <w:widowControl w:val="0"/>
      <w:spacing w:after="0" w:line="240" w:lineRule="auto"/>
      <w:ind w:firstLine="720"/>
      <w:jc w:val="both"/>
    </w:pPr>
    <w:rPr>
      <w:rFonts w:ascii="CG Times" w:eastAsia="MS Mincho" w:hAnsi="CG Times" w:cs="CG Times"/>
      <w:lang w:val="en-US"/>
    </w:rPr>
  </w:style>
  <w:style w:type="character" w:customStyle="1" w:styleId="ParagrafiChar">
    <w:name w:val="Paragrafi Char"/>
    <w:link w:val="Paragrafi"/>
    <w:locked/>
    <w:rsid w:val="007A33FC"/>
    <w:rPr>
      <w:rFonts w:ascii="CG Times" w:eastAsia="MS Mincho" w:hAnsi="CG Times" w:cs="CG Times"/>
      <w:lang w:val="en-US"/>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7A33FC"/>
    <w:rPr>
      <w:rFonts w:ascii="Times New Roman" w:eastAsia="Times New Roman" w:hAnsi="Times New Roman" w:cs="Times New Roman"/>
      <w:sz w:val="24"/>
      <w:szCs w:val="24"/>
      <w:lang w:eastAsia="sq-AL"/>
    </w:rPr>
  </w:style>
  <w:style w:type="paragraph" w:customStyle="1" w:styleId="Hapesira7">
    <w:name w:val="Hapesira 7"/>
    <w:basedOn w:val="Paragrafi"/>
    <w:uiPriority w:val="99"/>
    <w:qFormat/>
    <w:rsid w:val="007A33FC"/>
    <w:pPr>
      <w:ind w:firstLine="284"/>
    </w:pPr>
    <w:rPr>
      <w:rFonts w:ascii="Garamond" w:hAnsi="Garamond"/>
      <w:sz w:val="14"/>
      <w:szCs w:val="24"/>
    </w:rPr>
  </w:style>
  <w:style w:type="paragraph" w:customStyle="1" w:styleId="CM30">
    <w:name w:val="CM30"/>
    <w:basedOn w:val="Normal"/>
    <w:next w:val="Normal"/>
    <w:uiPriority w:val="99"/>
    <w:qFormat/>
    <w:rsid w:val="007A33FC"/>
    <w:pPr>
      <w:widowControl w:val="0"/>
      <w:autoSpaceDE w:val="0"/>
      <w:autoSpaceDN w:val="0"/>
      <w:adjustRightInd w:val="0"/>
      <w:spacing w:after="0" w:line="240" w:lineRule="auto"/>
    </w:pPr>
    <w:rPr>
      <w:rFonts w:ascii="Calibri" w:eastAsiaTheme="minorEastAsia" w:hAnsi="Calibri"/>
      <w:sz w:val="24"/>
      <w:szCs w:val="24"/>
      <w:lang w:val="en-US"/>
    </w:rPr>
  </w:style>
  <w:style w:type="paragraph" w:styleId="Header">
    <w:name w:val="header"/>
    <w:basedOn w:val="Normal"/>
    <w:link w:val="HeaderChar"/>
    <w:uiPriority w:val="99"/>
    <w:unhideWhenUsed/>
    <w:rsid w:val="00F13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7BC"/>
  </w:style>
  <w:style w:type="paragraph" w:styleId="Footer">
    <w:name w:val="footer"/>
    <w:basedOn w:val="Normal"/>
    <w:link w:val="FooterChar"/>
    <w:uiPriority w:val="99"/>
    <w:unhideWhenUsed/>
    <w:rsid w:val="00F13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451142">
      <w:bodyDiv w:val="1"/>
      <w:marLeft w:val="0"/>
      <w:marRight w:val="0"/>
      <w:marTop w:val="0"/>
      <w:marBottom w:val="0"/>
      <w:divBdr>
        <w:top w:val="none" w:sz="0" w:space="0" w:color="auto"/>
        <w:left w:val="none" w:sz="0" w:space="0" w:color="auto"/>
        <w:bottom w:val="none" w:sz="0" w:space="0" w:color="auto"/>
        <w:right w:val="none" w:sz="0" w:space="0" w:color="auto"/>
      </w:divBdr>
    </w:div>
    <w:div w:id="1044645504">
      <w:bodyDiv w:val="1"/>
      <w:marLeft w:val="0"/>
      <w:marRight w:val="0"/>
      <w:marTop w:val="0"/>
      <w:marBottom w:val="0"/>
      <w:divBdr>
        <w:top w:val="none" w:sz="0" w:space="0" w:color="auto"/>
        <w:left w:val="none" w:sz="0" w:space="0" w:color="auto"/>
        <w:bottom w:val="none" w:sz="0" w:space="0" w:color="auto"/>
        <w:right w:val="none" w:sz="0" w:space="0" w:color="auto"/>
      </w:divBdr>
    </w:div>
    <w:div w:id="1181504226">
      <w:bodyDiv w:val="1"/>
      <w:marLeft w:val="0"/>
      <w:marRight w:val="0"/>
      <w:marTop w:val="0"/>
      <w:marBottom w:val="0"/>
      <w:divBdr>
        <w:top w:val="none" w:sz="0" w:space="0" w:color="auto"/>
        <w:left w:val="none" w:sz="0" w:space="0" w:color="auto"/>
        <w:bottom w:val="none" w:sz="0" w:space="0" w:color="auto"/>
        <w:right w:val="none" w:sz="0" w:space="0" w:color="auto"/>
      </w:divBdr>
    </w:div>
    <w:div w:id="180978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282447CB524FBEB058C574F8EB8E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590</Nr_x002e__x0020_akti>
    <Data_x0020_e_x0020_Krijimit xmlns="0e656187-b300-4fb0-8bf4-3a50f872073c">2022-09-08T11:37:14Z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2022-09-07T22:00:00Z</Date_x0020_protokolli>
    <Titulli xmlns="0e656187-b300-4fb0-8bf4-3a50f872073c">Për mënyrën e mbajtjes së regjistrit qendror të kërkesave për vënie në ekzekutim të urdhrave të ekzekutimit dhe ndërveprimit me bazat e tjera të të dhënave shtetërore</Titulli>
    <Modifikuesi xmlns="0e656187-b300-4fb0-8bf4-3a50f872073c">jorina.kryeziu</Modifikuesi>
    <Nr_x002e__x0020_prot_x0020_QBZ xmlns="0e656187-b300-4fb0-8bf4-3a50f872073c">1368</Nr_x002e__x0020_prot_x0020_QBZ>
    <Data_x0020_e_x0020_Modifikimit xmlns="0e656187-b300-4fb0-8bf4-3a50f872073c">2022-09-08T13:36:48Z</Data_x0020_e_x0020_Modifikimit>
    <Dekretuar xmlns="0e656187-b300-4fb0-8bf4-3a50f872073c">false</Dekretuar>
    <Data xmlns="0e656187-b300-4fb0-8bf4-3a50f872073c">2022-09-06T22:00:00Z</Data>
    <Nr_x002e__x0020_protokolli_x0020_i_x0020_aktit xmlns="0e656187-b300-4fb0-8bf4-3a50f872073c">4858/1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742F4-CF0E-4916-A676-6F8AD1814C62}">
  <ds:schemaRefs>
    <ds:schemaRef ds:uri="http://schemas.microsoft.com/sharepoint/v3/contenttype/forms"/>
  </ds:schemaRefs>
</ds:datastoreItem>
</file>

<file path=customXml/itemProps2.xml><?xml version="1.0" encoding="utf-8"?>
<ds:datastoreItem xmlns:ds="http://schemas.openxmlformats.org/officeDocument/2006/customXml" ds:itemID="{1471F824-ABC4-494C-AF54-E3767E3A8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C296A18-9C73-4717-8AFD-CB0ACF8E2372}">
  <ds:schemaRefs>
    <ds:schemaRef ds:uri="http://schemas.microsoft.com/office/2006/documentManagement/type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FD52CF61-33F2-4869-80BC-362399D8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Projektvendimi ALBIS final</vt:lpstr>
    </vt:vector>
  </TitlesOfParts>
  <Company/>
  <LinksUpToDate>false</LinksUpToDate>
  <CharactersWithSpaces>10659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mbajtjes së regjistrit qendror të kërkesave për vënie në ekzekutim të urdhrave të ekzekutimit dhe ndërveprimit me bazat e tjera të të dhënave shtetërore</dc:title>
  <dc:creator>Roland Stafa</dc:creator>
  <cp:lastModifiedBy>Sara Mborja</cp:lastModifiedBy>
  <cp:revision>13</cp:revision>
  <cp:lastPrinted>2022-09-06T12:40:00Z</cp:lastPrinted>
  <dcterms:created xsi:type="dcterms:W3CDTF">2022-09-08T12:10:00Z</dcterms:created>
  <dcterms:modified xsi:type="dcterms:W3CDTF">2022-09-09T10:15:00Z</dcterms:modified>
</cp:coreProperties>
</file>