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7615C" w14:textId="77777777" w:rsidR="005A30F2" w:rsidRPr="00B32521" w:rsidRDefault="005A30F2" w:rsidP="005A30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CA7615D" w14:textId="7210F07F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="00706E54"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657</w:t>
      </w:r>
      <w:r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706E54"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10.10.2022</w:t>
      </w:r>
    </w:p>
    <w:p w14:paraId="0CA7615E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0CA7615F" w14:textId="0A24631F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SHTESA DHE NDRYSHIME NË VENDIMIN NR.</w:t>
      </w:r>
      <w:r w:rsidR="00EA7753"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502, DATË 24.6.2020, TË KËSHILLIT TË MINISTRAVE, “PËR KRIJIMIN E BAZËS SË TË DHËNAVE SHTETËRORE </w:t>
      </w:r>
      <w:r w:rsidR="00961A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REGJISTRI ELEKTRONIK I EKSPERTËVE</w:t>
      </w:r>
      <w:r w:rsidR="00961A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bookmarkStart w:id="0" w:name="_GoBack"/>
      <w:bookmarkEnd w:id="0"/>
      <w:r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0CA76160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0CA76161" w14:textId="030443E5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3, të nenit 10, të ligjit nr.</w:t>
      </w:r>
      <w:r w:rsidR="00EA7753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82/2021, “Për përkthimin zyrtar dhe profesionin e përkthyesit zyrtar”, me propozimin e ministrit të Drejtësisë, Këshilli i Ministrave</w:t>
      </w:r>
    </w:p>
    <w:p w14:paraId="0CA76162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0CA76163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CA76164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</w:p>
    <w:p w14:paraId="0CA76165" w14:textId="5467E365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Në vendimin nr.</w:t>
      </w:r>
      <w:r w:rsidR="00207E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502, datë 24.6.2020, të Këshillit të Ministrave, bëhen shtesat dhe ndryshimet e mëposhtme:</w:t>
      </w:r>
    </w:p>
    <w:p w14:paraId="0CA76166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1. Në fund të titullit të vendimit</w:t>
      </w: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shtohen fjalët “... , i përkthyesve zyrtarë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interpretëve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gjuhëve të shenjave”. </w:t>
      </w:r>
    </w:p>
    <w:p w14:paraId="0CA76167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2. Baza ligjore ndryshohet</w:t>
      </w: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 vijon:</w:t>
      </w:r>
    </w:p>
    <w:p w14:paraId="0CA76168" w14:textId="560A8321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“Në mbështetje të nenit 100 të Kushtetutës, të nenit 4, të ligjit nr.</w:t>
      </w:r>
      <w:r w:rsidR="00EA7753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10325,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datë 23.9.2010, “Për bazat e të dhënave shtetërore”, të neneve 224/a, paragrafi i dytë, e 224/d, pika 1, të ligjit nr.</w:t>
      </w:r>
      <w:r w:rsidR="00EA7753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8116, datë 29.3.1996, “Kodi i Procedurës Civile i Republikës së Shqipërisë”, të ndryshuar, si dhe të nenit 10, pika 3, të ligjit nr.</w:t>
      </w:r>
      <w:r w:rsidR="00EA7753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82/2021, “Për përkthimin zyrtar dhe profesionin e përkthyesit zyrtar”, me propozimin e ministrit të Drejtësisë, Këshilli i Ministrave”</w:t>
      </w: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. </w:t>
      </w:r>
    </w:p>
    <w:p w14:paraId="0CA76169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3. Pika 1 ndryshohet</w:t>
      </w: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 vijon:</w:t>
      </w:r>
    </w:p>
    <w:p w14:paraId="0CA7616A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“1. Krijimin e bazës së të dhënave shtetërore “Regjistri elektronik i ekspertëve, i përkthyesve zyrtarë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interpretëve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gjuhëve të shenjave”. Regjistri elektronik i ekspertëve, i përkthyesve zyrtarë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interpretëve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gjuhëve të shenjave përbëhet nga regjistri elektronik i ekspertëve (në vijim</w:t>
      </w: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REE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”) dhe nga seksioni i veçantë, regjistri elektronik i përkthyesve zyrtarë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interpretëve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gjuhës së shenjave (në vijim</w:t>
      </w: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“regjistri elektronik i përkthyesve”).”. </w:t>
      </w:r>
    </w:p>
    <w:p w14:paraId="0CA7616B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4. Pas pikës 13 shtohen nënpikat 13.1, 13.2, 13.3, 13.4, 13.5, 13.6, 13.7, 13.8, 13.9. 13.10, 13.11, 13.12, 13.13, 13.14, 13.15, 13.16, 13.17, 13.18, 13.19, 13.20, me këtë përmbajtje:</w:t>
      </w:r>
    </w:p>
    <w:p w14:paraId="0CA7616C" w14:textId="6ADDA7EA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“13/1. Në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REE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ngrihet si seksion i veçantë regjistri elektronik i përkthyesve, ku grumbullohet dhe administrohet informacioni për përkthyesit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gjuhës së sh</w:t>
      </w:r>
      <w:r w:rsidR="0072043C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enjave, sipas parashikimeve të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A7753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82/2021, “Për përkthimin zyrtar dhe profesionin e përkthyesit zyrtar” (në vijim, “ligji për përkthimin zyrtar”). </w:t>
      </w:r>
    </w:p>
    <w:p w14:paraId="0CA7616D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13/2. Regjistri elektronik i përkthyesve mbahet vetëm në format elektronik dhe ndahet në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nënseksione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sipas kategorisë së informacionit që përmban. Përpunimi dhe përditësimi i informacionit në regjistrin elektronik të përkthyesve kryhen nëpërmjet një sistemi kompjuterik. </w:t>
      </w:r>
    </w:p>
    <w:p w14:paraId="0CA7616E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13/3. Në regjistrin elektronik të përkthyesve regjistrohen të gjithë përkthyesit zyrtarë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gjuhës së shenjave, që janë certifikuar për kryerjen e veprimtarisë, në përputhje me kushtet dhe procedurat e parashikuara në ligjin për përkthimin zyrtar. </w:t>
      </w:r>
    </w:p>
    <w:p w14:paraId="0CA7616F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13/4. Të gjitha të dhënat, kërkesat për regjistrim dhe dokumentet shoqëruese, që duhet të jenë pjesë e regjistrit elektronik të përkthyesve, pavarësisht, nëse janë paraqitur në formë shkresore apo elektronike, regjistrohen dhe ruhen në regjistrin elektronik të përkthyesve.</w:t>
      </w:r>
    </w:p>
    <w:p w14:paraId="0CA76170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13/5. Regjistri elektronik i përkthyesve plotësohet dhe përditësohet me të dhëna, në përputhje me legjislacionin në fuqi për mbrojtjen e të dhënave personale. Në rast se plotësimi apo përditësimi i të dhënave në këtë regjistër ka të bëjë me informacion të klasifikuar, trajtimi dhe përpunimi i tyre bëhet në përputhje me legjislacionin në fuqi për informacionin e klasifikuar. </w:t>
      </w:r>
    </w:p>
    <w:p w14:paraId="0CA76171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13/6. Në regjistrin elektronik të përkthyesve reflektohen si të dhëna parësore, të dhënat për:</w:t>
      </w:r>
    </w:p>
    <w:p w14:paraId="0CA76172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a) numrin rendor;</w:t>
      </w:r>
    </w:p>
    <w:p w14:paraId="0CA76173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b) numrin e protokollit dhe datën e regjistrimit të përkthyesit ose të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interpretit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regjistrin elektronik të përkthyesve;</w:t>
      </w:r>
    </w:p>
    <w:p w14:paraId="0CA76174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c) numrin/at e kontaktit;</w:t>
      </w:r>
    </w:p>
    <w:p w14:paraId="0CA76175" w14:textId="24527E74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adresën zyrtare elektronike;</w:t>
      </w:r>
    </w:p>
    <w:p w14:paraId="0CA76176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d) llojin e gjuhës ose gjuhëve të huaja, për të cilat është certifikuar përkthyesi;</w:t>
      </w:r>
    </w:p>
    <w:p w14:paraId="0CA76177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numrin e certifikatës të përkthyesit ose të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interpretit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CA76178" w14:textId="5ED4D633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e)</w:t>
      </w:r>
      <w:r w:rsid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datën e lëshimit të certifikatës;</w:t>
      </w:r>
    </w:p>
    <w:p w14:paraId="0CA76179" w14:textId="40B34D48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ë)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autoritetin lëshues të certifikatës;</w:t>
      </w:r>
    </w:p>
    <w:p w14:paraId="0CA7617A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f) vitet e përvojës profesionale, si dhe të dhëna për eksperiencat profesionale në fushën e përkthimit zyrtar ose interpretimit;</w:t>
      </w:r>
    </w:p>
    <w:p w14:paraId="0CA7617B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g) të dhënat për formën e organizimit të përkthyesit;</w:t>
      </w:r>
    </w:p>
    <w:p w14:paraId="0CA7617C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gj) çdo ndryshim, që lidhet me të dhënat e përkthyesit ose të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interpretit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organizimin e përkthyesit;</w:t>
      </w:r>
    </w:p>
    <w:p w14:paraId="0CA7617D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h) të dhëna për procedimet disiplinore, vendimet e komisioneve disiplinore përkatëse, masat disiplinore;</w:t>
      </w:r>
    </w:p>
    <w:p w14:paraId="0CA7617E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i) të dhëna për përkthyesit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çregjistruar nga regjistri elektronik i përkthyesve;</w:t>
      </w:r>
    </w:p>
    <w:p w14:paraId="0CA7617F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j) të dhëna për kontraktimet dhe shërbimet e ofruara;</w:t>
      </w:r>
    </w:p>
    <w:p w14:paraId="0CA76180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k) të dhëna për dokumentet shoqëruese dhe informacione që regjistrohen, njoftohen apo depozitohen në regjistrin elektronik të përkthyesve;</w:t>
      </w:r>
    </w:p>
    <w:p w14:paraId="0CA76181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l) të dhëna për sistemin e pikëzimit të përkthyesit zyrtar;</w:t>
      </w:r>
    </w:p>
    <w:p w14:paraId="0CA76182" w14:textId="77777777" w:rsidR="005A30F2" w:rsidRPr="00B32521" w:rsidRDefault="0072043C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ll) </w:t>
      </w:r>
      <w:r w:rsidR="005A30F2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të dhëna për trajnimet dhe kualifikimet kombëtare e ndërkombëtare në fushën e përkthimit zyrtar ose të interpretimit;</w:t>
      </w:r>
    </w:p>
    <w:p w14:paraId="0CA76183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m) çdo të dhënë tjetër, që i shërben ushtrimit të veprimtarisë të përkthimit zyrtar ose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interpretit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gjuhës së shenjave, në përputhje me ligjin për përkthimin zyrtar dhe kontrollit të zbatimit të këtij ligji nga Ministria e Drejtësisë.</w:t>
      </w:r>
    </w:p>
    <w:p w14:paraId="0CA76184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13/7. Të dhënat e regjistrit elektronik të përkthyesve që parashikohen në pikën 13/6, të këtij vendimi, shkronja “a” deri në shkronjën “gj”, të këtij vendimi, publikohen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faqen zyrtare të Ministrisë së Drejtësisë. </w:t>
      </w:r>
    </w:p>
    <w:p w14:paraId="0CA76185" w14:textId="147935DD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13/8. Çdo përkthyes ose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gjuhës së shenjave është i detyruar t’i përgjigjet menjëherë kërkesave të Ministrisë së Drejtësisë për të gjitha të dhënat e përcaktuara në pikën 13/6, të këtij vendimi, si dhe të deklarojë jo më vonë se 10 (dhjetë) ditë, çdo ndryshim të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që përmban regjistri elektronik i përkthyesve, sipas parashikimeve të ligjit për përkthimin zyrtar, duke paraqitur edhe dokumentin përkatës që vërteton këto ndryshime sipas rastit. Përkthyesit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mbajnë përgjegjësi ligjore individuale për vërtetësinë e të dhënave, që paraqesin për plotësimin apo ndryshimin e të dhënave që përmban regjistri elektronik i përkthyesve me qëllim përditësimin e tyre.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CA76186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13/9. Në rast se në regjistrin elektronik të përkthyesve konstatohen pasaktësi, gabime teknike apo gabime të tjera gjatë apo pas regjistrimit të përkthyesit ose të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interpretit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kërkesë të subjektit të interesuar apo kryesisht, korrigjohen nga Ministria e Drejtësisë. Realizimi i korrigjimit dhe të dhënat e korrigjuara publikohen në regjistrin elektronik të përkthyesve, si dhe i njoftohen përkthyesit ose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interpretit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CA76187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13/10. Regjistri elektronik i përkthyesve parashikon sistemin e pikëzimit, ku palët kontraktuese mund të kryejnë vlerësimin e shërbimit të dhënë nga përkthyesi zyrtar. Ky sistem përfshin, të paktën, të dhënat e mëposhtme:</w:t>
      </w:r>
    </w:p>
    <w:p w14:paraId="0CA76188" w14:textId="5A1B93CF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B32521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organin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apo subjektin pranë të cilit përkthyesi zyrtar ka dhënë shërbimin për të cilin është kontraktuar;</w:t>
      </w:r>
    </w:p>
    <w:p w14:paraId="0CA76189" w14:textId="744ADD2E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B32521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dhënat e shërbimit të ofruar;</w:t>
      </w:r>
    </w:p>
    <w:p w14:paraId="0CA7618A" w14:textId="14ECA806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B32521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vlerësimin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e respektimit të afateve për plotësimin e detyrave;</w:t>
      </w:r>
    </w:p>
    <w:p w14:paraId="0CA7618B" w14:textId="503A0013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2521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vlerësimin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disponueshmërisë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përkthyesit zyrtar;</w:t>
      </w:r>
    </w:p>
    <w:p w14:paraId="0CA7618C" w14:textId="52B744F4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d)</w:t>
      </w:r>
      <w:r w:rsidR="00B32521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B32521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vlerësimin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e paanshmërisë së përkthyesit zyrtar;</w:t>
      </w:r>
    </w:p>
    <w:p w14:paraId="0CA7618D" w14:textId="25E21B4B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2521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vlerësimin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e komunikimit dhe etikës së përkthyesit zyrtar;</w:t>
      </w:r>
    </w:p>
    <w:p w14:paraId="0CA7618E" w14:textId="0991CF90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e) </w:t>
      </w:r>
      <w:r w:rsidR="00B32521"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totalin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vlerësimit. </w:t>
      </w:r>
    </w:p>
    <w:p w14:paraId="0CA7618F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13/11. Subjektet e interesuara plotësojnë dhe dërgojnë formularin e vlerësimit me të dhënat e mësipërme, sipas modelit të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aksesueshëm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regjistrin elektronik të përkthyesve dhe në faqen zyrtare të Ministrisë së Drejtësisë, nëpërmjet shërbimit postar apo në rrugë elektronike pranë Ministrisë së Drejtësisë. </w:t>
      </w:r>
    </w:p>
    <w:p w14:paraId="0CA76190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13/12. Mbi bazën e të dhënave që rezultojnë nga sistemi i pikëzimit të përkthyesve zyrtarë, Ministria e Drejtësisë harton të paktën një herë në vit raportin e analizës, duke evidentuar gjetjet dhe problematikat ndaj përkthyesve në ofrimin e shërbimit të përkthimit zyrtar sipas ligjit, me qëllim marrjen e masave për adresimin efektiv të tyre.</w:t>
      </w:r>
    </w:p>
    <w:p w14:paraId="0CA76191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13/13. Të dhëna dytësore konsiderohen të dhënat e mëposhtme:</w:t>
      </w:r>
    </w:p>
    <w:p w14:paraId="0CA76192" w14:textId="0E6AD252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dhëna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referenciare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gjendjes civile, si numri personal i identifikimit, emri, mbiemri, atësia, vendlindja, datëlindja, gjinia, bashkia, adresa;</w:t>
      </w:r>
    </w:p>
    <w:p w14:paraId="0CA76193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Të dhëna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referenciare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emri i subjektit, tipi i subjektit, forma ligjore,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NUIS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bashkia, adresa, shteti. </w:t>
      </w:r>
    </w:p>
    <w:p w14:paraId="0CA76194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13/14. Regjistri elektronik i përkthyesve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ndërvepron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bazat e të dhënave, si më poshtë vijon:</w:t>
      </w:r>
    </w:p>
    <w:p w14:paraId="0CA76195" w14:textId="6F024BE1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a) Regjistrin Kombëtar të Gjendjes Civile, administruar nga institucioni përgjegjës, i përcaktuar sipas parashikimeve të ligjit nr.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10129,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datë 11.5.2009, “Për Gjendjen civile”, të ndryshuar, për të dhënat që lidhen me përbërësit e gjendjes civile të përkthyesve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interpretëve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CA76196" w14:textId="098CA2CF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Regjistrin Tregtar, administruar nga Qendra Kombëtare e Biznesit, për të dhënat që lidhen me statusin dhe formën e organizimit të përkthyesve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interpretëve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subjekte tregtare. </w:t>
      </w:r>
    </w:p>
    <w:p w14:paraId="0CA76197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13/15. Dhënës të informacionit në regjistrin elektronik të përkthyesve janë:</w:t>
      </w:r>
    </w:p>
    <w:p w14:paraId="0CA76198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a) Ministria e Drejtësisë;</w:t>
      </w:r>
    </w:p>
    <w:p w14:paraId="0CA76199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b) Drejtoria e Përgjithshme e Gjendjes Civile;</w:t>
      </w:r>
    </w:p>
    <w:p w14:paraId="0CA7619A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c) Qendra Kombëtare e Biznesit.</w:t>
      </w:r>
    </w:p>
    <w:p w14:paraId="0CA7619B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13/16. Subjekte të interesuara në regjistrin elektronik të përkthyesve janë:</w:t>
      </w:r>
    </w:p>
    <w:p w14:paraId="0CA7619C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përkthyesit zyrtarë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gjuhës së shenjave, të certifikuar sipas ligjit për përkthimin zyrtar;</w:t>
      </w:r>
    </w:p>
    <w:p w14:paraId="0CA7619D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b) gjykata;</w:t>
      </w:r>
    </w:p>
    <w:p w14:paraId="0CA7619E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c) prokuroria;</w:t>
      </w:r>
    </w:p>
    <w:p w14:paraId="0CA7619F" w14:textId="2777D2DE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oficeri i policisë gjyqësore;</w:t>
      </w:r>
    </w:p>
    <w:p w14:paraId="0CA761A0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d) Gjykata Kushtetuese;</w:t>
      </w:r>
    </w:p>
    <w:p w14:paraId="0CA761A1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çdo autoritet publik, të cilit ligji u ka njohur të drejtën për përkthimin zyrtar, sipas ligjit për përkthimin zyrtar. </w:t>
      </w:r>
    </w:p>
    <w:p w14:paraId="0CA761A2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13/17. Niveli i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aksesimit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regjistrin elektronik të përkthyesve paraqitet, si më poshtë vijon:</w:t>
      </w:r>
    </w:p>
    <w:p w14:paraId="0CA761A3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Ministria e Drejtësisë ka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akses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plotë dhe të pakufizuar në informacionin që prodhohet, regjistrohet dhe administrohet në regjistrin elektronik të përkthyesve, në rolet: </w:t>
      </w:r>
    </w:p>
    <w:p w14:paraId="0CA761A4" w14:textId="377B6B24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D669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lexues; </w:t>
      </w:r>
    </w:p>
    <w:p w14:paraId="0CA761A5" w14:textId="28A5AC2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6D669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auditues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CA761A6" w14:textId="4179E0C2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="006D669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monitorues;</w:t>
      </w:r>
    </w:p>
    <w:p w14:paraId="0CA761A7" w14:textId="347B1BF6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="006D669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aprovues;</w:t>
      </w:r>
    </w:p>
    <w:p w14:paraId="0CA761A8" w14:textId="19FC6FE5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6D669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prodhues i statistikave përkatëse. </w:t>
      </w:r>
    </w:p>
    <w:p w14:paraId="0CA761A9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Subjektet e interesuara, të përcaktuara në pikën 13/16, të këtij vendimi, kanë të drejtë të kenë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akses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drejtpërdrejtë në leximin dhe printimin e të dhënave, që pasqyrohen në regjistrin elektronik të përkthyesve për përkthyesit dhe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interpretët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CA761AA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13/18. Ministria e Drejtësisë përfaqëson autoritetin e vetëm, i cili përcakton të drejtat dhe kufizimet e operimet në regjistrin elektronik të përkthyesve për të gjitha subjektet, që u jepet e drejta e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aksesit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regjistrin elektronik të përkthyesve, sipas përcaktimeve të këtij vendimi.</w:t>
      </w:r>
    </w:p>
    <w:p w14:paraId="0CA761AB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13/19. Veprimet në regjistrin elektronik të përkthyesve kryhen nga nëpunësit e Ministrisë së Drejtësisë, të autorizuar për këtë qëllim nga ministri i Drejtësisë. Këta nëpunës kanë të drejtë të </w:t>
      </w: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kenë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akses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drejtpërdrejtë në leximin, printimin, shkrimin dhe modifikimin e të dhënave të regjistruara në regjistrin elektronik të përkthyesve.</w:t>
      </w:r>
    </w:p>
    <w:p w14:paraId="0CA761AC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13/20. </w:t>
      </w:r>
      <w:proofErr w:type="spellStart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>Aksesi</w:t>
      </w:r>
      <w:proofErr w:type="spellEnd"/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regjistrin elektronik të përkthyesve i nënshtrohet rregullave për mbrojtjen e të dhënave personale, sipas legjislacionit në fuqi.”. </w:t>
      </w:r>
    </w:p>
    <w:p w14:paraId="0CA761AD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Ngarkohen Ministria e Drejtësisë dhe Agjencia Kombëtare e Shoqërisë së Informacionit për zbatimin e këtij vendimi. </w:t>
      </w:r>
    </w:p>
    <w:p w14:paraId="0CA761AE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0CA761AF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CA761B0" w14:textId="77777777" w:rsidR="005A30F2" w:rsidRPr="00B32521" w:rsidRDefault="005A30F2" w:rsidP="007204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25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0CA761B1" w14:textId="77777777" w:rsidR="005A30F2" w:rsidRPr="00B32521" w:rsidRDefault="0072043C" w:rsidP="007204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B325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0CA761B2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CA761B3" w14:textId="77777777" w:rsidR="005A30F2" w:rsidRPr="00B32521" w:rsidRDefault="005A30F2" w:rsidP="005A30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CA761B4" w14:textId="77777777" w:rsidR="00F148EF" w:rsidRPr="00B32521" w:rsidRDefault="00F148EF" w:rsidP="005A30F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148EF" w:rsidRPr="00B32521" w:rsidSect="00321F67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E85B5F" w14:textId="77777777" w:rsidR="00EA7753" w:rsidRDefault="00EA7753" w:rsidP="00402169">
      <w:pPr>
        <w:spacing w:after="0" w:line="240" w:lineRule="auto"/>
      </w:pPr>
      <w:r>
        <w:separator/>
      </w:r>
    </w:p>
  </w:endnote>
  <w:endnote w:type="continuationSeparator" w:id="0">
    <w:p w14:paraId="5F5D6223" w14:textId="77777777" w:rsidR="00EA7753" w:rsidRDefault="00EA7753" w:rsidP="00402169">
      <w:pPr>
        <w:spacing w:after="0" w:line="240" w:lineRule="auto"/>
      </w:pPr>
      <w:r>
        <w:continuationSeparator/>
      </w:r>
    </w:p>
  </w:endnote>
  <w:endnote w:type="continuationNotice" w:id="1">
    <w:p w14:paraId="00CEAC6A" w14:textId="77777777" w:rsidR="00595F42" w:rsidRDefault="00595F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35566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CA761B9" w14:textId="77777777" w:rsidR="00EA7753" w:rsidRPr="00A03D7B" w:rsidRDefault="00EA775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03D7B">
          <w:rPr>
            <w:rFonts w:ascii="Times New Roman" w:hAnsi="Times New Roman" w:cs="Times New Roman"/>
            <w:sz w:val="24"/>
          </w:rPr>
          <w:fldChar w:fldCharType="begin"/>
        </w:r>
        <w:r w:rsidRPr="00A03D7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3D7B">
          <w:rPr>
            <w:rFonts w:ascii="Times New Roman" w:hAnsi="Times New Roman" w:cs="Times New Roman"/>
            <w:sz w:val="24"/>
          </w:rPr>
          <w:fldChar w:fldCharType="separate"/>
        </w:r>
        <w:r w:rsidR="00961A23">
          <w:rPr>
            <w:rFonts w:ascii="Times New Roman" w:hAnsi="Times New Roman" w:cs="Times New Roman"/>
            <w:noProof/>
            <w:sz w:val="24"/>
          </w:rPr>
          <w:t>1</w:t>
        </w:r>
        <w:r w:rsidRPr="00A03D7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CA761BA" w14:textId="77777777" w:rsidR="00EA7753" w:rsidRDefault="00EA77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AD0299" w14:textId="77777777" w:rsidR="00EA7753" w:rsidRDefault="00EA7753" w:rsidP="00402169">
      <w:pPr>
        <w:spacing w:after="0" w:line="240" w:lineRule="auto"/>
      </w:pPr>
      <w:r>
        <w:separator/>
      </w:r>
    </w:p>
  </w:footnote>
  <w:footnote w:type="continuationSeparator" w:id="0">
    <w:p w14:paraId="49C936FF" w14:textId="77777777" w:rsidR="00EA7753" w:rsidRDefault="00EA7753" w:rsidP="00402169">
      <w:pPr>
        <w:spacing w:after="0" w:line="240" w:lineRule="auto"/>
      </w:pPr>
      <w:r>
        <w:continuationSeparator/>
      </w:r>
    </w:p>
  </w:footnote>
  <w:footnote w:type="continuationNotice" w:id="1">
    <w:p w14:paraId="14071430" w14:textId="77777777" w:rsidR="00595F42" w:rsidRDefault="00595F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E463C"/>
    <w:multiLevelType w:val="hybridMultilevel"/>
    <w:tmpl w:val="5A40B476"/>
    <w:lvl w:ilvl="0" w:tplc="1D98C1E8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120F82"/>
    <w:multiLevelType w:val="hybridMultilevel"/>
    <w:tmpl w:val="8034B558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1182627E"/>
    <w:multiLevelType w:val="hybridMultilevel"/>
    <w:tmpl w:val="AE7C3D72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1B7D4AAC"/>
    <w:multiLevelType w:val="hybridMultilevel"/>
    <w:tmpl w:val="EB1AD33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1EB81DD4"/>
    <w:multiLevelType w:val="hybridMultilevel"/>
    <w:tmpl w:val="22FEEA3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35926461"/>
    <w:multiLevelType w:val="hybridMultilevel"/>
    <w:tmpl w:val="6E121690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>
    <w:nsid w:val="3A133074"/>
    <w:multiLevelType w:val="hybridMultilevel"/>
    <w:tmpl w:val="042C4946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>
    <w:nsid w:val="59A85841"/>
    <w:multiLevelType w:val="hybridMultilevel"/>
    <w:tmpl w:val="20F6DC7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616E1150"/>
    <w:multiLevelType w:val="hybridMultilevel"/>
    <w:tmpl w:val="5F5CA5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6B1786"/>
    <w:multiLevelType w:val="hybridMultilevel"/>
    <w:tmpl w:val="807693F8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785651E3"/>
    <w:multiLevelType w:val="hybridMultilevel"/>
    <w:tmpl w:val="FB5EDB66"/>
    <w:lvl w:ilvl="0" w:tplc="43C2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95A5435"/>
    <w:multiLevelType w:val="hybridMultilevel"/>
    <w:tmpl w:val="FD1EFF56"/>
    <w:lvl w:ilvl="0" w:tplc="96A48F4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274B2D"/>
    <w:multiLevelType w:val="hybridMultilevel"/>
    <w:tmpl w:val="EC02B72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0"/>
  </w:num>
  <w:num w:numId="5">
    <w:abstractNumId w:val="8"/>
  </w:num>
  <w:num w:numId="6">
    <w:abstractNumId w:val="12"/>
  </w:num>
  <w:num w:numId="7">
    <w:abstractNumId w:val="3"/>
  </w:num>
  <w:num w:numId="8">
    <w:abstractNumId w:val="2"/>
  </w:num>
  <w:num w:numId="9">
    <w:abstractNumId w:val="6"/>
  </w:num>
  <w:num w:numId="10">
    <w:abstractNumId w:val="9"/>
  </w:num>
  <w:num w:numId="11">
    <w:abstractNumId w:val="5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4F2"/>
    <w:rsid w:val="0001526F"/>
    <w:rsid w:val="000412B2"/>
    <w:rsid w:val="000460A8"/>
    <w:rsid w:val="00051C99"/>
    <w:rsid w:val="000542BC"/>
    <w:rsid w:val="00065B78"/>
    <w:rsid w:val="00095CC6"/>
    <w:rsid w:val="000A3FAB"/>
    <w:rsid w:val="000B26DB"/>
    <w:rsid w:val="000B4452"/>
    <w:rsid w:val="001046FA"/>
    <w:rsid w:val="00107B88"/>
    <w:rsid w:val="00116BDD"/>
    <w:rsid w:val="0014699F"/>
    <w:rsid w:val="0016307E"/>
    <w:rsid w:val="00167CA6"/>
    <w:rsid w:val="00181ABD"/>
    <w:rsid w:val="001A038B"/>
    <w:rsid w:val="001A29ED"/>
    <w:rsid w:val="001B62F7"/>
    <w:rsid w:val="001B6486"/>
    <w:rsid w:val="001C5825"/>
    <w:rsid w:val="001C7801"/>
    <w:rsid w:val="001D2AFC"/>
    <w:rsid w:val="00200A95"/>
    <w:rsid w:val="00207EB2"/>
    <w:rsid w:val="0021144B"/>
    <w:rsid w:val="00215F50"/>
    <w:rsid w:val="00216F2F"/>
    <w:rsid w:val="00284DFB"/>
    <w:rsid w:val="002C3451"/>
    <w:rsid w:val="002E6FB1"/>
    <w:rsid w:val="002F2D04"/>
    <w:rsid w:val="002F43CB"/>
    <w:rsid w:val="003035D6"/>
    <w:rsid w:val="00303B33"/>
    <w:rsid w:val="00321F67"/>
    <w:rsid w:val="00340A4F"/>
    <w:rsid w:val="003549F8"/>
    <w:rsid w:val="00356E8B"/>
    <w:rsid w:val="00364797"/>
    <w:rsid w:val="003734AE"/>
    <w:rsid w:val="003951E4"/>
    <w:rsid w:val="003A06D6"/>
    <w:rsid w:val="003B7A15"/>
    <w:rsid w:val="003C0D9F"/>
    <w:rsid w:val="003C1020"/>
    <w:rsid w:val="003C2771"/>
    <w:rsid w:val="003D0F54"/>
    <w:rsid w:val="003D1BC9"/>
    <w:rsid w:val="003D4CEE"/>
    <w:rsid w:val="003D5599"/>
    <w:rsid w:val="003D6F36"/>
    <w:rsid w:val="00402169"/>
    <w:rsid w:val="004104B4"/>
    <w:rsid w:val="00411589"/>
    <w:rsid w:val="00427756"/>
    <w:rsid w:val="00431623"/>
    <w:rsid w:val="00464BAD"/>
    <w:rsid w:val="004C2ADD"/>
    <w:rsid w:val="004F3793"/>
    <w:rsid w:val="00551EC1"/>
    <w:rsid w:val="00580383"/>
    <w:rsid w:val="00595F42"/>
    <w:rsid w:val="005A0D4E"/>
    <w:rsid w:val="005A30F2"/>
    <w:rsid w:val="005A3A63"/>
    <w:rsid w:val="005B2E2C"/>
    <w:rsid w:val="005F003D"/>
    <w:rsid w:val="00607874"/>
    <w:rsid w:val="00631744"/>
    <w:rsid w:val="00635C20"/>
    <w:rsid w:val="00656A7B"/>
    <w:rsid w:val="00670ACF"/>
    <w:rsid w:val="00671EE1"/>
    <w:rsid w:val="006856C1"/>
    <w:rsid w:val="006906F3"/>
    <w:rsid w:val="00697F55"/>
    <w:rsid w:val="006A62E0"/>
    <w:rsid w:val="006B03F0"/>
    <w:rsid w:val="006B1E8A"/>
    <w:rsid w:val="006C577E"/>
    <w:rsid w:val="006D669E"/>
    <w:rsid w:val="006E3EDE"/>
    <w:rsid w:val="006E4904"/>
    <w:rsid w:val="006F6D11"/>
    <w:rsid w:val="00706E54"/>
    <w:rsid w:val="0071441F"/>
    <w:rsid w:val="00717A2D"/>
    <w:rsid w:val="0072043C"/>
    <w:rsid w:val="00746280"/>
    <w:rsid w:val="00747DC3"/>
    <w:rsid w:val="0075520A"/>
    <w:rsid w:val="00782930"/>
    <w:rsid w:val="007B68BF"/>
    <w:rsid w:val="007D6041"/>
    <w:rsid w:val="007E07A4"/>
    <w:rsid w:val="00811778"/>
    <w:rsid w:val="008149FB"/>
    <w:rsid w:val="00821CF1"/>
    <w:rsid w:val="0083121C"/>
    <w:rsid w:val="00841938"/>
    <w:rsid w:val="008549DC"/>
    <w:rsid w:val="00866085"/>
    <w:rsid w:val="00867AFA"/>
    <w:rsid w:val="008824CB"/>
    <w:rsid w:val="008B1134"/>
    <w:rsid w:val="008D5A78"/>
    <w:rsid w:val="008E45A2"/>
    <w:rsid w:val="008E6FED"/>
    <w:rsid w:val="00903C64"/>
    <w:rsid w:val="00912A10"/>
    <w:rsid w:val="00912DB2"/>
    <w:rsid w:val="0094112E"/>
    <w:rsid w:val="00954645"/>
    <w:rsid w:val="00961A23"/>
    <w:rsid w:val="0098674E"/>
    <w:rsid w:val="009A02BF"/>
    <w:rsid w:val="009C0F64"/>
    <w:rsid w:val="009E3577"/>
    <w:rsid w:val="009E538D"/>
    <w:rsid w:val="00A03D7B"/>
    <w:rsid w:val="00A21BBF"/>
    <w:rsid w:val="00A26FB8"/>
    <w:rsid w:val="00A36A57"/>
    <w:rsid w:val="00A377A8"/>
    <w:rsid w:val="00A70DD1"/>
    <w:rsid w:val="00A72DE2"/>
    <w:rsid w:val="00A75027"/>
    <w:rsid w:val="00A7694E"/>
    <w:rsid w:val="00A7725C"/>
    <w:rsid w:val="00AA6653"/>
    <w:rsid w:val="00AB2D1D"/>
    <w:rsid w:val="00AB4600"/>
    <w:rsid w:val="00AB7B30"/>
    <w:rsid w:val="00AC0B68"/>
    <w:rsid w:val="00AC7816"/>
    <w:rsid w:val="00AF02F7"/>
    <w:rsid w:val="00AF6228"/>
    <w:rsid w:val="00AF72C9"/>
    <w:rsid w:val="00B32184"/>
    <w:rsid w:val="00B32521"/>
    <w:rsid w:val="00B42E56"/>
    <w:rsid w:val="00B55FEB"/>
    <w:rsid w:val="00B62A43"/>
    <w:rsid w:val="00B83E4D"/>
    <w:rsid w:val="00B94B69"/>
    <w:rsid w:val="00B959F1"/>
    <w:rsid w:val="00BA24BC"/>
    <w:rsid w:val="00BE043E"/>
    <w:rsid w:val="00BE4DFD"/>
    <w:rsid w:val="00BE53D2"/>
    <w:rsid w:val="00BF33A5"/>
    <w:rsid w:val="00BF39CD"/>
    <w:rsid w:val="00C142FF"/>
    <w:rsid w:val="00C20DE8"/>
    <w:rsid w:val="00C25341"/>
    <w:rsid w:val="00C31087"/>
    <w:rsid w:val="00C52D02"/>
    <w:rsid w:val="00C87F24"/>
    <w:rsid w:val="00CD4B8C"/>
    <w:rsid w:val="00CD5419"/>
    <w:rsid w:val="00CF4023"/>
    <w:rsid w:val="00D001D9"/>
    <w:rsid w:val="00D06B81"/>
    <w:rsid w:val="00D141A7"/>
    <w:rsid w:val="00D31898"/>
    <w:rsid w:val="00D37AEE"/>
    <w:rsid w:val="00D43AB5"/>
    <w:rsid w:val="00D66AEA"/>
    <w:rsid w:val="00D71ACC"/>
    <w:rsid w:val="00D82409"/>
    <w:rsid w:val="00D911D6"/>
    <w:rsid w:val="00D96AC9"/>
    <w:rsid w:val="00DA094D"/>
    <w:rsid w:val="00DA64F2"/>
    <w:rsid w:val="00DB2141"/>
    <w:rsid w:val="00DB3348"/>
    <w:rsid w:val="00DD7552"/>
    <w:rsid w:val="00DF2981"/>
    <w:rsid w:val="00E007E3"/>
    <w:rsid w:val="00E11F12"/>
    <w:rsid w:val="00E16DDC"/>
    <w:rsid w:val="00E36B69"/>
    <w:rsid w:val="00E428CA"/>
    <w:rsid w:val="00E4396C"/>
    <w:rsid w:val="00E631D1"/>
    <w:rsid w:val="00E66347"/>
    <w:rsid w:val="00E67199"/>
    <w:rsid w:val="00E927C5"/>
    <w:rsid w:val="00E952B6"/>
    <w:rsid w:val="00E97796"/>
    <w:rsid w:val="00EA7753"/>
    <w:rsid w:val="00EB5811"/>
    <w:rsid w:val="00EB6B8E"/>
    <w:rsid w:val="00EE103C"/>
    <w:rsid w:val="00EF53EA"/>
    <w:rsid w:val="00F01F1B"/>
    <w:rsid w:val="00F148EF"/>
    <w:rsid w:val="00F2259A"/>
    <w:rsid w:val="00F3466A"/>
    <w:rsid w:val="00F47E2D"/>
    <w:rsid w:val="00F74636"/>
    <w:rsid w:val="00F82D3A"/>
    <w:rsid w:val="00F8412A"/>
    <w:rsid w:val="00FB7D46"/>
    <w:rsid w:val="00FC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7615C"/>
  <w15:docId w15:val="{703437AA-2B97-4CE1-A62F-6ED72301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1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169"/>
  </w:style>
  <w:style w:type="paragraph" w:styleId="Footer">
    <w:name w:val="footer"/>
    <w:basedOn w:val="Normal"/>
    <w:link w:val="FooterChar"/>
    <w:uiPriority w:val="99"/>
    <w:unhideWhenUsed/>
    <w:rsid w:val="00402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169"/>
  </w:style>
  <w:style w:type="paragraph" w:styleId="BalloonText">
    <w:name w:val="Balloon Text"/>
    <w:basedOn w:val="Normal"/>
    <w:link w:val="BalloonTextChar"/>
    <w:uiPriority w:val="99"/>
    <w:semiHidden/>
    <w:unhideWhenUsed/>
    <w:rsid w:val="00DA0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94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45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5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45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5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5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657</Nr_x002e__x0020_akti>
    <Data_x0020_e_x0020_Krijimit xmlns="0e656187-b300-4fb0-8bf4-3a50f872073c">2022-10-11T10:48:20Z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2022-10-10T22:00:00Z</Date_x0020_protokolli>
    <Titulli xmlns="0e656187-b300-4fb0-8bf4-3a50f872073c">Për disa shtesa dhe ndryshime në vendimin nr.502, datë 24.6.2020, të Këshillit të Ministrave, “Për krijimin e bazës së të dhënave shtetërore “Regjistri elektronik i ekspertëve””</Titulli>
    <Modifikuesi xmlns="0e656187-b300-4fb0-8bf4-3a50f872073c">Suada.Daci</Modifikuesi>
    <Nr_x002e__x0020_prot_x0020_QBZ xmlns="0e656187-b300-4fb0-8bf4-3a50f872073c">1507</Nr_x002e__x0020_prot_x0020_QBZ>
    <Data_x0020_e_x0020_Modifikimit xmlns="0e656187-b300-4fb0-8bf4-3a50f872073c">2022-10-11T11:25:26Z</Data_x0020_e_x0020_Modifikimit>
    <Dekretuar xmlns="0e656187-b300-4fb0-8bf4-3a50f872073c">false</Dekretuar>
    <Data xmlns="0e656187-b300-4fb0-8bf4-3a50f872073c">2022-10-09T22:00:00Z</Data>
    <Nr_x002e__x0020_protokolli_x0020_i_x0020_aktit xmlns="0e656187-b300-4fb0-8bf4-3a50f872073c">5209/1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A8EC3A3F8D4887A36BDAFDE7A4BD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A8EC3A3F8D4887A36BDAFDE7A4BD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F9843-862A-4410-87B9-131C028DCC6A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816A4F1-FB2C-4374-9955-5BF7D6209D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D29A9D-9FE2-44D0-B407-3096C264A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8C2618-527F-42E8-8B37-074A3A73B5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BE366D-506C-448F-B683-065E66D4F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CABB54-FC51-43C1-9861-7E4F71F3D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KM</vt:lpstr>
    </vt:vector>
  </TitlesOfParts>
  <Company/>
  <LinksUpToDate>false</LinksUpToDate>
  <CharactersWithSpaces>10717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PER KM</dc:title>
  <dc:creator>Elsa Gjini</dc:creator>
  <cp:lastModifiedBy>Jorina Kryeziu</cp:lastModifiedBy>
  <cp:revision>7</cp:revision>
  <dcterms:created xsi:type="dcterms:W3CDTF">2022-10-11T11:26:00Z</dcterms:created>
  <dcterms:modified xsi:type="dcterms:W3CDTF">2022-10-11T11:41:00Z</dcterms:modified>
</cp:coreProperties>
</file>