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18041" w14:textId="77777777" w:rsidR="003B4531" w:rsidRPr="00E012DF" w:rsidRDefault="003B4531" w:rsidP="003B4531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012DF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4DC18042" w14:textId="77777777" w:rsidR="003B4531" w:rsidRPr="00E012DF" w:rsidRDefault="003B4531" w:rsidP="003B4531">
      <w:pPr>
        <w:pStyle w:val="Heading2"/>
        <w:ind w:firstLine="284"/>
        <w:jc w:val="center"/>
        <w:rPr>
          <w:rFonts w:ascii="Garamond" w:hAnsi="Garamond"/>
          <w:u w:val="none"/>
          <w:lang w:val="sq-AL"/>
        </w:rPr>
      </w:pPr>
      <w:r w:rsidRPr="00E012DF">
        <w:rPr>
          <w:rFonts w:ascii="Garamond" w:hAnsi="Garamond"/>
          <w:u w:val="none"/>
          <w:lang w:val="sq-AL"/>
        </w:rPr>
        <w:t>Nr.</w:t>
      </w:r>
      <w:r w:rsidR="008A4285" w:rsidRPr="00E012DF">
        <w:rPr>
          <w:rFonts w:ascii="Garamond" w:hAnsi="Garamond"/>
          <w:u w:val="none"/>
          <w:lang w:val="sq-AL"/>
        </w:rPr>
        <w:t xml:space="preserve"> 680</w:t>
      </w:r>
      <w:r w:rsidRPr="00E012DF">
        <w:rPr>
          <w:rFonts w:ascii="Garamond" w:hAnsi="Garamond"/>
          <w:u w:val="none"/>
          <w:lang w:val="sq-AL"/>
        </w:rPr>
        <w:t xml:space="preserve">, datë </w:t>
      </w:r>
      <w:r w:rsidR="008A4285" w:rsidRPr="00E012DF">
        <w:rPr>
          <w:rFonts w:ascii="Garamond" w:hAnsi="Garamond"/>
          <w:u w:val="none"/>
          <w:lang w:val="sq-AL"/>
        </w:rPr>
        <w:t>26.10.2022</w:t>
      </w:r>
    </w:p>
    <w:p w14:paraId="4DC18043" w14:textId="77777777" w:rsidR="003B4531" w:rsidRPr="00E012DF" w:rsidRDefault="003B4531" w:rsidP="003B45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DC18044" w14:textId="0CA0B78B" w:rsidR="003B4531" w:rsidRPr="00E012DF" w:rsidRDefault="003B4531" w:rsidP="002C51D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012DF">
        <w:rPr>
          <w:rFonts w:ascii="Garamond" w:hAnsi="Garamond" w:cs="Times New Roman"/>
          <w:b/>
          <w:bCs/>
          <w:sz w:val="24"/>
          <w:szCs w:val="24"/>
        </w:rPr>
        <w:t>PËR SHPRONËSIMIN PËR INTERES PUBLIK</w:t>
      </w:r>
      <w:r w:rsidRPr="00E012DF">
        <w:rPr>
          <w:rFonts w:ascii="Garamond" w:hAnsi="Garamond" w:cs="Times New Roman"/>
          <w:sz w:val="24"/>
          <w:szCs w:val="24"/>
        </w:rPr>
        <w:t xml:space="preserve"> </w:t>
      </w:r>
      <w:r w:rsidR="008A4285" w:rsidRPr="00E012DF">
        <w:rPr>
          <w:rFonts w:ascii="Garamond" w:hAnsi="Garamond" w:cs="Times New Roman"/>
          <w:b/>
          <w:bCs/>
          <w:sz w:val="24"/>
          <w:szCs w:val="24"/>
        </w:rPr>
        <w:t>TË PRONARËVE</w:t>
      </w:r>
      <w:r w:rsidRPr="00E012DF">
        <w:rPr>
          <w:rFonts w:ascii="Garamond" w:hAnsi="Garamond" w:cs="Times New Roman"/>
          <w:b/>
          <w:bCs/>
          <w:sz w:val="24"/>
          <w:szCs w:val="24"/>
        </w:rPr>
        <w:t xml:space="preserve"> TË PASURIVE T</w:t>
      </w:r>
      <w:r w:rsidR="008A4285" w:rsidRPr="00E012DF">
        <w:rPr>
          <w:rFonts w:ascii="Garamond" w:hAnsi="Garamond" w:cs="Times New Roman"/>
          <w:b/>
          <w:bCs/>
          <w:sz w:val="24"/>
          <w:szCs w:val="24"/>
        </w:rPr>
        <w:t xml:space="preserve">Ë PALUAJTSHME, PRONË PRIVATE, </w:t>
      </w:r>
      <w:r w:rsidRPr="00E012DF">
        <w:rPr>
          <w:rFonts w:ascii="Garamond" w:hAnsi="Garamond" w:cs="Times New Roman"/>
          <w:b/>
          <w:bCs/>
          <w:sz w:val="24"/>
          <w:szCs w:val="24"/>
        </w:rPr>
        <w:t>NË FUNKSION TË PROCESIT TË RINDËRTIMIT TË GODINËS</w:t>
      </w:r>
      <w:r w:rsidR="00E012D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E012DF">
        <w:rPr>
          <w:rFonts w:ascii="Garamond" w:hAnsi="Garamond" w:cs="Times New Roman"/>
          <w:b/>
          <w:bCs/>
          <w:sz w:val="24"/>
          <w:szCs w:val="24"/>
        </w:rPr>
        <w:t>SË KOPSHTIT PUBLIK VORË, BASHKIA VORË</w:t>
      </w:r>
    </w:p>
    <w:p w14:paraId="4DC18045" w14:textId="77777777" w:rsidR="003B4531" w:rsidRPr="00E012DF" w:rsidRDefault="003B4531" w:rsidP="003B453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DC18046" w14:textId="24119486" w:rsidR="003B4531" w:rsidRPr="00E012DF" w:rsidRDefault="003B4531" w:rsidP="002C51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12DF">
        <w:rPr>
          <w:rFonts w:ascii="Garamond" w:hAnsi="Garamond" w:cs="Times New Roman"/>
          <w:sz w:val="24"/>
          <w:szCs w:val="24"/>
        </w:rPr>
        <w:t>Në mbështetje të nenit 100 të Kushtetutës</w:t>
      </w:r>
      <w:r w:rsidR="002C51DC">
        <w:rPr>
          <w:rFonts w:ascii="Garamond" w:hAnsi="Garamond" w:cs="Times New Roman"/>
          <w:sz w:val="24"/>
          <w:szCs w:val="24"/>
        </w:rPr>
        <w:t>;</w:t>
      </w:r>
      <w:r w:rsidRPr="00E012DF">
        <w:rPr>
          <w:rFonts w:ascii="Garamond" w:hAnsi="Garamond" w:cs="Times New Roman"/>
          <w:sz w:val="24"/>
          <w:szCs w:val="24"/>
        </w:rPr>
        <w:t xml:space="preserve"> të neneve 5, pika 1, 20 e 21, të ligjit nr.</w:t>
      </w:r>
      <w:r w:rsidR="002C51DC">
        <w:rPr>
          <w:rFonts w:ascii="Garamond" w:hAnsi="Garamond" w:cs="Times New Roman"/>
          <w:sz w:val="24"/>
          <w:szCs w:val="24"/>
        </w:rPr>
        <w:t xml:space="preserve"> </w:t>
      </w:r>
      <w:r w:rsidRPr="00E012DF">
        <w:rPr>
          <w:rFonts w:ascii="Garamond" w:hAnsi="Garamond" w:cs="Times New Roman"/>
          <w:sz w:val="24"/>
          <w:szCs w:val="24"/>
        </w:rPr>
        <w:t>8561, datë 22.12.1999, “Për shpronësimet dhe marrjen në përdorim të përkohshëm të pasurisë, pronë private, për interes publik”, të ndryshuar</w:t>
      </w:r>
      <w:r w:rsidR="002C51DC">
        <w:rPr>
          <w:rFonts w:ascii="Garamond" w:hAnsi="Garamond" w:cs="Times New Roman"/>
          <w:sz w:val="24"/>
          <w:szCs w:val="24"/>
        </w:rPr>
        <w:t>;</w:t>
      </w:r>
      <w:r w:rsidRPr="00E012DF">
        <w:rPr>
          <w:rFonts w:ascii="Garamond" w:hAnsi="Garamond" w:cs="Times New Roman"/>
          <w:sz w:val="24"/>
          <w:szCs w:val="24"/>
        </w:rPr>
        <w:t xml:space="preserve"> të aktit normativ nr.</w:t>
      </w:r>
      <w:r w:rsidR="002C51DC">
        <w:rPr>
          <w:rFonts w:ascii="Garamond" w:hAnsi="Garamond" w:cs="Times New Roman"/>
          <w:sz w:val="24"/>
          <w:szCs w:val="24"/>
        </w:rPr>
        <w:t xml:space="preserve"> </w:t>
      </w:r>
      <w:r w:rsidRPr="00E012DF">
        <w:rPr>
          <w:rFonts w:ascii="Garamond" w:hAnsi="Garamond" w:cs="Times New Roman"/>
          <w:sz w:val="24"/>
          <w:szCs w:val="24"/>
        </w:rPr>
        <w:t>9, datë 16.12.2019, të Këshillit të Ministrave, “Për përballimin e pasojave të fatkeqësisë natyrore”, miratuar me ligjin nr.</w:t>
      </w:r>
      <w:r w:rsidR="002C51DC">
        <w:rPr>
          <w:rFonts w:ascii="Garamond" w:hAnsi="Garamond" w:cs="Times New Roman"/>
          <w:sz w:val="24"/>
          <w:szCs w:val="24"/>
        </w:rPr>
        <w:t xml:space="preserve"> </w:t>
      </w:r>
      <w:r w:rsidRPr="00E012DF">
        <w:rPr>
          <w:rFonts w:ascii="Garamond" w:hAnsi="Garamond" w:cs="Times New Roman"/>
          <w:sz w:val="24"/>
          <w:szCs w:val="24"/>
        </w:rPr>
        <w:t>97/2019, dhe në vijim</w:t>
      </w:r>
      <w:r w:rsidR="00E012DF">
        <w:rPr>
          <w:rFonts w:ascii="Garamond" w:hAnsi="Garamond" w:cs="Times New Roman"/>
          <w:sz w:val="24"/>
          <w:szCs w:val="24"/>
        </w:rPr>
        <w:t xml:space="preserve"> </w:t>
      </w:r>
      <w:r w:rsidRPr="00E012DF">
        <w:rPr>
          <w:rFonts w:ascii="Garamond" w:hAnsi="Garamond" w:cs="Times New Roman"/>
          <w:sz w:val="24"/>
          <w:szCs w:val="24"/>
        </w:rPr>
        <w:t>të vendimit nr.</w:t>
      </w:r>
      <w:r w:rsidR="002C51DC">
        <w:rPr>
          <w:rFonts w:ascii="Garamond" w:hAnsi="Garamond" w:cs="Times New Roman"/>
          <w:sz w:val="24"/>
          <w:szCs w:val="24"/>
        </w:rPr>
        <w:t xml:space="preserve"> </w:t>
      </w:r>
      <w:r w:rsidRPr="00E012DF">
        <w:rPr>
          <w:rFonts w:ascii="Garamond" w:hAnsi="Garamond" w:cs="Times New Roman"/>
          <w:sz w:val="24"/>
          <w:szCs w:val="24"/>
        </w:rPr>
        <w:t>7, datë 6.1.2020, të Këshillit të Ministrave, “Për kushtet dhe procedurat për shpronësimet dhe/ose shkëmbimin e pronës për interes publik në funksion të procesit të rindërtimit”, të ndryshuar</w:t>
      </w:r>
      <w:r w:rsidR="002C51DC">
        <w:rPr>
          <w:rFonts w:ascii="Garamond" w:hAnsi="Garamond" w:cs="Times New Roman"/>
          <w:sz w:val="24"/>
          <w:szCs w:val="24"/>
        </w:rPr>
        <w:t>;</w:t>
      </w:r>
      <w:r w:rsidRPr="00E012DF">
        <w:rPr>
          <w:rFonts w:ascii="Garamond" w:hAnsi="Garamond" w:cs="Times New Roman"/>
          <w:sz w:val="24"/>
          <w:szCs w:val="24"/>
        </w:rPr>
        <w:t xml:space="preserve"> e të vendimit nr.</w:t>
      </w:r>
      <w:r w:rsidR="002C51DC">
        <w:rPr>
          <w:rFonts w:ascii="Garamond" w:hAnsi="Garamond" w:cs="Times New Roman"/>
          <w:sz w:val="24"/>
          <w:szCs w:val="24"/>
        </w:rPr>
        <w:t xml:space="preserve"> </w:t>
      </w:r>
      <w:r w:rsidRPr="00E012DF">
        <w:rPr>
          <w:rFonts w:ascii="Garamond" w:hAnsi="Garamond" w:cs="Times New Roman"/>
          <w:sz w:val="24"/>
          <w:szCs w:val="24"/>
        </w:rPr>
        <w:t>8,</w:t>
      </w:r>
      <w:r w:rsidR="00E012DF">
        <w:rPr>
          <w:rFonts w:ascii="Garamond" w:hAnsi="Garamond" w:cs="Times New Roman"/>
          <w:sz w:val="24"/>
          <w:szCs w:val="24"/>
        </w:rPr>
        <w:t xml:space="preserve"> </w:t>
      </w:r>
      <w:r w:rsidRPr="00E012DF">
        <w:rPr>
          <w:rFonts w:ascii="Garamond" w:hAnsi="Garamond" w:cs="Times New Roman"/>
          <w:sz w:val="24"/>
          <w:szCs w:val="24"/>
        </w:rPr>
        <w:t xml:space="preserve">datë 6.1.2020, të Këshillit të Ministrave, “Për përcaktimin e kushteve dhe të kritereve të përfitimit të sipërfaqeve ndërtimore në objektet e reja për banim nga subjektet që posedojnë ndërtime të klasifikuara si ndërtime pa leje”, të ndryshuar, me propozimin e </w:t>
      </w:r>
      <w:r w:rsidR="002C51DC" w:rsidRPr="00E012DF">
        <w:rPr>
          <w:rFonts w:ascii="Garamond" w:hAnsi="Garamond" w:cs="Times New Roman"/>
          <w:sz w:val="24"/>
          <w:szCs w:val="24"/>
        </w:rPr>
        <w:t xml:space="preserve">zëvendëskryeministrit </w:t>
      </w:r>
      <w:r w:rsidRPr="00E012DF">
        <w:rPr>
          <w:rFonts w:ascii="Garamond" w:hAnsi="Garamond" w:cs="Times New Roman"/>
          <w:sz w:val="24"/>
          <w:szCs w:val="24"/>
        </w:rPr>
        <w:t>dhe ministër i Infrastrukturës dhe Energjisë, Këshilli i Ministrave</w:t>
      </w:r>
    </w:p>
    <w:p w14:paraId="4DC18047" w14:textId="77777777" w:rsidR="003B4531" w:rsidRPr="00E012DF" w:rsidRDefault="003B4531" w:rsidP="003B45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DC18048" w14:textId="77777777" w:rsidR="003B4531" w:rsidRPr="00E012DF" w:rsidRDefault="003B4531" w:rsidP="003B453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012DF">
        <w:rPr>
          <w:rFonts w:ascii="Garamond" w:hAnsi="Garamond" w:cs="Times New Roman"/>
          <w:bCs/>
          <w:sz w:val="24"/>
          <w:szCs w:val="24"/>
        </w:rPr>
        <w:t>VENDOSI:</w:t>
      </w:r>
    </w:p>
    <w:p w14:paraId="4DC18049" w14:textId="77777777" w:rsidR="003B4531" w:rsidRPr="00E012DF" w:rsidRDefault="003B4531" w:rsidP="003B453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DC1804A" w14:textId="0F969FD9" w:rsidR="003B4531" w:rsidRPr="00E012DF" w:rsidRDefault="003B4531" w:rsidP="002C51DC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012DF">
        <w:rPr>
          <w:rFonts w:ascii="Garamond" w:hAnsi="Garamond"/>
          <w:sz w:val="24"/>
          <w:szCs w:val="24"/>
          <w:lang w:val="sq-AL"/>
        </w:rPr>
        <w:t>1. Shpronësimin për interes publik të pronarëve të pasurive të paluajtshme, pronë private, në funksion të procesit të rindërtimit të godinës së kopshtit publik Vorë, Bashkia Vorë, sipas tabelës që i bashkëlidhet këtij vendimi.</w:t>
      </w:r>
    </w:p>
    <w:p w14:paraId="4DC1804B" w14:textId="00152348" w:rsidR="003B4531" w:rsidRPr="00E012DF" w:rsidRDefault="003B4531" w:rsidP="003B4531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12DF">
        <w:rPr>
          <w:rFonts w:ascii="Garamond" w:hAnsi="Garamond" w:cs="Times New Roman"/>
          <w:sz w:val="24"/>
          <w:szCs w:val="24"/>
        </w:rPr>
        <w:t>2.</w:t>
      </w:r>
      <w:r w:rsidR="00E012DF">
        <w:rPr>
          <w:rFonts w:ascii="Garamond" w:hAnsi="Garamond" w:cs="Times New Roman"/>
          <w:sz w:val="24"/>
          <w:szCs w:val="24"/>
        </w:rPr>
        <w:t xml:space="preserve"> </w:t>
      </w:r>
      <w:r w:rsidRPr="00E012DF">
        <w:rPr>
          <w:rFonts w:ascii="Garamond" w:hAnsi="Garamond" w:cs="Times New Roman"/>
          <w:sz w:val="24"/>
          <w:szCs w:val="24"/>
        </w:rPr>
        <w:t>Shpronësimi bëhet në favor të Bashkisë Vorë.</w:t>
      </w:r>
    </w:p>
    <w:p w14:paraId="4DC1804C" w14:textId="77777777" w:rsidR="003B4531" w:rsidRPr="00E012DF" w:rsidRDefault="003B4531" w:rsidP="003B4531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12DF">
        <w:rPr>
          <w:rFonts w:ascii="Garamond" w:hAnsi="Garamond" w:cs="Times New Roman"/>
          <w:sz w:val="24"/>
          <w:szCs w:val="24"/>
        </w:rPr>
        <w:t>3. Pronarët e pasurive të paluajtshme, që shpronësohen, kompensohen në vlerë të plotë, sipas masës përkatëse, që paraqitet në tabelën, që i bashkëlidhet këtij vendimi, për pasurinë e llojit “truall”, në vlerën 1 425 312 (një milion e katërqind e njëzet e pesë mijë e treqind e dymbëdhjetë) lekë.</w:t>
      </w:r>
    </w:p>
    <w:p w14:paraId="4DC1804D" w14:textId="77777777" w:rsidR="003B4531" w:rsidRPr="00E012DF" w:rsidRDefault="003B4531" w:rsidP="003B4531">
      <w:pPr>
        <w:pStyle w:val="ListParagraph"/>
        <w:tabs>
          <w:tab w:val="left" w:pos="26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012DF">
        <w:rPr>
          <w:rFonts w:ascii="Garamond" w:hAnsi="Garamond"/>
          <w:sz w:val="24"/>
          <w:szCs w:val="24"/>
          <w:lang w:val="sq-AL"/>
        </w:rPr>
        <w:t>4. Vlera e përgjithshme e shpronësimit prej 1 425 312 (një milion e katërqind e njëzet e pesë mijë e treqind e dymbëdhjetë) lekësh përballohet nga shpenzimet e fondit të rindërtimit dhe i transferohet Bashkisë Vorë, në buxhetin e vitit 2022, në formën e transfertës së pakushtëzuar.</w:t>
      </w:r>
    </w:p>
    <w:p w14:paraId="4DC1804E" w14:textId="77777777" w:rsidR="003B4531" w:rsidRPr="00E012DF" w:rsidRDefault="003B4531" w:rsidP="003B4531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12DF">
        <w:rPr>
          <w:rFonts w:ascii="Garamond" w:hAnsi="Garamond" w:cs="Times New Roman"/>
          <w:sz w:val="24"/>
          <w:szCs w:val="24"/>
        </w:rPr>
        <w:t>5. Shpenzimet procedurale, në vlerën 70 000 (shtatëdhjetë mijë) lekë, përballohen nga buxheti i miratuar për Ministrinë e Infrastrukturës dhe Energjisë.</w:t>
      </w:r>
    </w:p>
    <w:p w14:paraId="4DC1804F" w14:textId="09A840F5" w:rsidR="003B4531" w:rsidRPr="00E012DF" w:rsidRDefault="003B4531" w:rsidP="003B45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12DF">
        <w:rPr>
          <w:rFonts w:ascii="Garamond" w:hAnsi="Garamond" w:cs="Times New Roman"/>
          <w:sz w:val="24"/>
          <w:szCs w:val="24"/>
        </w:rPr>
        <w:t>6. Shpronësimi fillon menjëherë p</w:t>
      </w:r>
      <w:r w:rsidR="002C51DC">
        <w:rPr>
          <w:rFonts w:ascii="Garamond" w:hAnsi="Garamond" w:cs="Times New Roman"/>
          <w:sz w:val="24"/>
          <w:szCs w:val="24"/>
        </w:rPr>
        <w:t xml:space="preserve">as botimit të këtij vendimi në </w:t>
      </w:r>
      <w:r w:rsidRPr="00E012DF">
        <w:rPr>
          <w:rFonts w:ascii="Garamond" w:hAnsi="Garamond" w:cs="Times New Roman"/>
          <w:sz w:val="24"/>
          <w:szCs w:val="24"/>
        </w:rPr>
        <w:t xml:space="preserve">Fletoren </w:t>
      </w:r>
      <w:r w:rsidR="002C51DC" w:rsidRPr="00E012DF">
        <w:rPr>
          <w:rFonts w:ascii="Garamond" w:hAnsi="Garamond" w:cs="Times New Roman"/>
          <w:sz w:val="24"/>
          <w:szCs w:val="24"/>
        </w:rPr>
        <w:t>Zyrtar</w:t>
      </w:r>
      <w:r w:rsidR="002C51DC">
        <w:rPr>
          <w:rFonts w:ascii="Garamond" w:hAnsi="Garamond" w:cs="Times New Roman"/>
          <w:sz w:val="24"/>
          <w:szCs w:val="24"/>
        </w:rPr>
        <w:t>e</w:t>
      </w:r>
      <w:r w:rsidR="002C51DC" w:rsidRPr="00E012DF">
        <w:rPr>
          <w:rFonts w:ascii="Garamond" w:hAnsi="Garamond" w:cs="Times New Roman"/>
          <w:sz w:val="24"/>
          <w:szCs w:val="24"/>
        </w:rPr>
        <w:t xml:space="preserve"> </w:t>
      </w:r>
      <w:r w:rsidRPr="00E012DF">
        <w:rPr>
          <w:rFonts w:ascii="Garamond" w:hAnsi="Garamond" w:cs="Times New Roman"/>
          <w:sz w:val="24"/>
          <w:szCs w:val="24"/>
        </w:rPr>
        <w:t>dhe afati i përfundimit të shpronësimit të jetë brenda 3 (tre) muajve nga data e hyrjes në fuqi të tij.</w:t>
      </w:r>
    </w:p>
    <w:p w14:paraId="4DC18050" w14:textId="77777777" w:rsidR="003B4531" w:rsidRPr="00E012DF" w:rsidRDefault="003B4531" w:rsidP="003B4531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012DF">
        <w:rPr>
          <w:rFonts w:ascii="Garamond" w:hAnsi="Garamond"/>
          <w:sz w:val="24"/>
          <w:szCs w:val="24"/>
          <w:lang w:val="sq-AL"/>
        </w:rPr>
        <w:t>7. Pronarët e pasqyruar në tabelën, që i bashkëlidhet këtij vendimi, kompensohen, për efekt shpronësimi, pasi të kenë paraqitur dokumentacionin justifikues për likuidim pranë Bashkisë Vorë.</w:t>
      </w:r>
    </w:p>
    <w:p w14:paraId="4DC18051" w14:textId="390F6C7D" w:rsidR="003B4531" w:rsidRPr="00E012DF" w:rsidRDefault="003B4531" w:rsidP="003B45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12DF">
        <w:rPr>
          <w:rFonts w:ascii="Garamond" w:hAnsi="Garamond" w:cs="Times New Roman"/>
          <w:sz w:val="24"/>
          <w:szCs w:val="24"/>
        </w:rPr>
        <w:t>8. Bashkia Vorë kryen procedurat për likuidimin e pronarëve të shpronësuar, sipas përcaktimeve të bëra në këtë vendim.</w:t>
      </w:r>
      <w:r w:rsidR="00E012DF">
        <w:rPr>
          <w:rFonts w:ascii="Garamond" w:hAnsi="Garamond" w:cs="Times New Roman"/>
          <w:sz w:val="24"/>
          <w:szCs w:val="24"/>
        </w:rPr>
        <w:t xml:space="preserve"> </w:t>
      </w:r>
    </w:p>
    <w:p w14:paraId="4DC18052" w14:textId="77777777" w:rsidR="003B4531" w:rsidRPr="00E012DF" w:rsidRDefault="003B4531" w:rsidP="003B45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12DF">
        <w:rPr>
          <w:rFonts w:ascii="Garamond" w:hAnsi="Garamond" w:cs="Times New Roman"/>
          <w:sz w:val="24"/>
          <w:szCs w:val="24"/>
        </w:rPr>
        <w:t>9. Afati i fillimit dhe i përfundimit të punimeve të jetë në përputhje me afatet e parashikuara nga Bashkia Vorë.</w:t>
      </w:r>
    </w:p>
    <w:p w14:paraId="4DC18053" w14:textId="25D174C8" w:rsidR="003B4531" w:rsidRPr="00E012DF" w:rsidRDefault="003B4531" w:rsidP="003B45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12DF">
        <w:rPr>
          <w:rFonts w:ascii="Garamond" w:hAnsi="Garamond" w:cs="Times New Roman"/>
          <w:sz w:val="24"/>
          <w:szCs w:val="24"/>
        </w:rPr>
        <w:t>10. Agjencia Shtetërore e Kada</w:t>
      </w:r>
      <w:r w:rsidR="00223641">
        <w:rPr>
          <w:rFonts w:ascii="Garamond" w:hAnsi="Garamond" w:cs="Times New Roman"/>
          <w:sz w:val="24"/>
          <w:szCs w:val="24"/>
        </w:rPr>
        <w:t>strës, Drejtoria Rajonale Kamzë–</w:t>
      </w:r>
      <w:r w:rsidRPr="00E012DF">
        <w:rPr>
          <w:rFonts w:ascii="Garamond" w:hAnsi="Garamond" w:cs="Times New Roman"/>
          <w:sz w:val="24"/>
          <w:szCs w:val="24"/>
        </w:rPr>
        <w:t>Vorë, brenda 30 (tridhjetë) ditëve nga data e miratimit të këtij vendimi, pasqyron në kartelat e pasurive të paluajtshme informacionin për miratimin e shpronësimit për interes publik të pasurive, pronë private, të cilat preken nga realizimi i projektit. Regjistrimi i aktit të kalimit të pronësisë për pasuritë e shpronësuara në favor të Bashkisë Vorë do të kryhet pas aplikimit nga Bashkia Vorë për shërbimin përkatës.</w:t>
      </w:r>
    </w:p>
    <w:p w14:paraId="4DC18054" w14:textId="77777777" w:rsidR="003B4531" w:rsidRPr="00E012DF" w:rsidRDefault="003B4531" w:rsidP="003B4531">
      <w:pPr>
        <w:pStyle w:val="NoSpacing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DC18055" w14:textId="086FCC49" w:rsidR="003B4531" w:rsidRPr="00E012DF" w:rsidRDefault="003B4531" w:rsidP="00223641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12DF">
        <w:rPr>
          <w:rFonts w:ascii="Garamond" w:hAnsi="Garamond" w:cs="Times New Roman"/>
          <w:sz w:val="24"/>
          <w:szCs w:val="24"/>
        </w:rPr>
        <w:lastRenderedPageBreak/>
        <w:t>11. Agjencia Shtetërore e Kadastrës, Drejtoria Rajonale Kamzë</w:t>
      </w:r>
      <w:r w:rsidR="00223641">
        <w:rPr>
          <w:rFonts w:ascii="Garamond" w:hAnsi="Garamond" w:cs="Times New Roman"/>
          <w:sz w:val="24"/>
          <w:szCs w:val="24"/>
        </w:rPr>
        <w:t>–</w:t>
      </w:r>
      <w:r w:rsidRPr="00E012DF">
        <w:rPr>
          <w:rFonts w:ascii="Garamond" w:hAnsi="Garamond" w:cs="Times New Roman"/>
          <w:sz w:val="24"/>
          <w:szCs w:val="24"/>
        </w:rPr>
        <w:t>Vorë, pezullon të gjitha transaksionet me pasuritë e shpronësuara, deri në momentin kur do të realizohen procesi i hedhjes së gjurmës së projektit mbi hartat kadastrale dhe regjistrimi i aktit të kalimit të pronësisë në favor të Bashkisë Vorë për pasuritë e shpronësuara.</w:t>
      </w:r>
    </w:p>
    <w:p w14:paraId="4DC18056" w14:textId="5FFE372C" w:rsidR="003B4531" w:rsidRPr="00E012DF" w:rsidRDefault="003B4531" w:rsidP="003B4531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012DF">
        <w:rPr>
          <w:rFonts w:ascii="Garamond" w:hAnsi="Garamond"/>
          <w:sz w:val="24"/>
          <w:szCs w:val="24"/>
          <w:lang w:val="sq-AL"/>
        </w:rPr>
        <w:t>12. Ngarkohen Ministria e Infrastrukturës dhe Energjisë, Ministria e Financave dhe Ekonomisë, Agjencia Shtetërore e Kadastrës, Drejtoria Rajonale</w:t>
      </w:r>
      <w:r w:rsidR="00E012DF">
        <w:rPr>
          <w:rFonts w:ascii="Garamond" w:hAnsi="Garamond"/>
          <w:sz w:val="24"/>
          <w:szCs w:val="24"/>
          <w:lang w:val="sq-AL"/>
        </w:rPr>
        <w:t xml:space="preserve"> </w:t>
      </w:r>
      <w:r w:rsidR="00A77070">
        <w:rPr>
          <w:rFonts w:ascii="Garamond" w:hAnsi="Garamond"/>
          <w:sz w:val="24"/>
          <w:szCs w:val="24"/>
          <w:lang w:val="sq-AL"/>
        </w:rPr>
        <w:t>Kamzë–</w:t>
      </w:r>
      <w:r w:rsidR="00F356D3">
        <w:rPr>
          <w:rFonts w:ascii="Garamond" w:hAnsi="Garamond"/>
          <w:sz w:val="24"/>
          <w:szCs w:val="24"/>
          <w:lang w:val="sq-AL"/>
        </w:rPr>
        <w:t xml:space="preserve">Vorë </w:t>
      </w:r>
      <w:bookmarkStart w:id="0" w:name="_GoBack"/>
      <w:bookmarkEnd w:id="0"/>
      <w:r w:rsidRPr="00E012DF">
        <w:rPr>
          <w:rFonts w:ascii="Garamond" w:hAnsi="Garamond"/>
          <w:sz w:val="24"/>
          <w:szCs w:val="24"/>
          <w:lang w:val="sq-AL"/>
        </w:rPr>
        <w:t>dhe Bashkia Vorë për zbatimin e këtij vendimi.</w:t>
      </w:r>
    </w:p>
    <w:p w14:paraId="4DC18057" w14:textId="77777777" w:rsidR="003B4531" w:rsidRPr="00E012DF" w:rsidRDefault="003B4531" w:rsidP="003B45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12DF">
        <w:rPr>
          <w:rFonts w:ascii="Garamond" w:hAnsi="Garamond" w:cs="Times New Roman"/>
          <w:sz w:val="24"/>
          <w:szCs w:val="24"/>
        </w:rPr>
        <w:t>Ky vendim hyn në fuqi menjëherë dhe botohet në Fletoren Zyrtare.</w:t>
      </w:r>
    </w:p>
    <w:p w14:paraId="4DC18058" w14:textId="77777777" w:rsidR="003B4531" w:rsidRPr="00E012DF" w:rsidRDefault="003B4531" w:rsidP="003B4531">
      <w:pPr>
        <w:pStyle w:val="BodyText"/>
        <w:ind w:firstLine="284"/>
        <w:jc w:val="right"/>
        <w:rPr>
          <w:rFonts w:ascii="Garamond" w:hAnsi="Garamond"/>
          <w:smallCaps/>
          <w:lang w:val="sq-AL"/>
        </w:rPr>
      </w:pPr>
    </w:p>
    <w:p w14:paraId="4DC18059" w14:textId="77777777" w:rsidR="003B4531" w:rsidRPr="00E012DF" w:rsidRDefault="003B4531" w:rsidP="003B4531">
      <w:pPr>
        <w:pStyle w:val="BodyText"/>
        <w:ind w:firstLine="284"/>
        <w:jc w:val="right"/>
        <w:rPr>
          <w:rFonts w:ascii="Garamond" w:hAnsi="Garamond"/>
          <w:b w:val="0"/>
          <w:smallCaps/>
          <w:lang w:val="sq-AL"/>
        </w:rPr>
      </w:pPr>
      <w:r w:rsidRPr="00E012DF">
        <w:rPr>
          <w:rFonts w:ascii="Garamond" w:hAnsi="Garamond"/>
          <w:b w:val="0"/>
          <w:smallCaps/>
          <w:lang w:val="sq-AL"/>
        </w:rPr>
        <w:t>KRYEMINISTËR</w:t>
      </w:r>
    </w:p>
    <w:p w14:paraId="4DC1805A" w14:textId="77777777" w:rsidR="003B4531" w:rsidRPr="00E012DF" w:rsidRDefault="003B4531" w:rsidP="003B4531">
      <w:pPr>
        <w:pStyle w:val="BodyText"/>
        <w:ind w:firstLine="284"/>
        <w:jc w:val="right"/>
        <w:rPr>
          <w:rFonts w:ascii="Garamond" w:hAnsi="Garamond" w:cs="Times New Roman Bold"/>
          <w:lang w:val="sq-AL"/>
        </w:rPr>
      </w:pPr>
      <w:r w:rsidRPr="00E012DF">
        <w:rPr>
          <w:rFonts w:ascii="Garamond" w:hAnsi="Garamond" w:cs="Times New Roman Bold"/>
          <w:lang w:val="sq-AL"/>
        </w:rPr>
        <w:t xml:space="preserve">Edi </w:t>
      </w:r>
      <w:proofErr w:type="spellStart"/>
      <w:r w:rsidRPr="00E012DF">
        <w:rPr>
          <w:rFonts w:ascii="Garamond" w:hAnsi="Garamond" w:cs="Times New Roman Bold"/>
          <w:lang w:val="sq-AL"/>
        </w:rPr>
        <w:t>Rama</w:t>
      </w:r>
      <w:proofErr w:type="spellEnd"/>
    </w:p>
    <w:p w14:paraId="4DC1805B" w14:textId="77777777" w:rsidR="003B4531" w:rsidRPr="00E012DF" w:rsidRDefault="003B4531" w:rsidP="003B4531">
      <w:pPr>
        <w:pStyle w:val="BodyText"/>
        <w:ind w:firstLine="284"/>
        <w:jc w:val="right"/>
        <w:rPr>
          <w:rFonts w:ascii="Garamond" w:hAnsi="Garamond" w:cs="Times New Roman Bold"/>
          <w:smallCaps/>
          <w:lang w:val="sq-AL"/>
        </w:rPr>
      </w:pPr>
    </w:p>
    <w:p w14:paraId="4DC1805C" w14:textId="77777777" w:rsidR="00335478" w:rsidRPr="00E012DF" w:rsidRDefault="00335478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5D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5E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5F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0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1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2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3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4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5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6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7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8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9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A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B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C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D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E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6F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0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1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2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3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4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5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6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7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8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9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A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B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C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D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E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7F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80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81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82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DC18083" w14:textId="77777777" w:rsidR="004C18FC" w:rsidRPr="00E012DF" w:rsidRDefault="004C18FC" w:rsidP="003B45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4C18FC" w:rsidRPr="00E012DF" w:rsidSect="000951D6">
          <w:footerReference w:type="default" r:id="rId11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"/>
        <w:gridCol w:w="431"/>
        <w:gridCol w:w="368"/>
        <w:gridCol w:w="401"/>
        <w:gridCol w:w="326"/>
        <w:gridCol w:w="306"/>
        <w:gridCol w:w="381"/>
        <w:gridCol w:w="290"/>
        <w:gridCol w:w="367"/>
        <w:gridCol w:w="457"/>
        <w:gridCol w:w="384"/>
        <w:gridCol w:w="350"/>
        <w:gridCol w:w="428"/>
        <w:gridCol w:w="443"/>
        <w:gridCol w:w="425"/>
        <w:gridCol w:w="425"/>
        <w:gridCol w:w="357"/>
        <w:gridCol w:w="491"/>
        <w:gridCol w:w="491"/>
        <w:gridCol w:w="435"/>
        <w:gridCol w:w="411"/>
        <w:gridCol w:w="372"/>
        <w:gridCol w:w="464"/>
        <w:gridCol w:w="464"/>
        <w:gridCol w:w="435"/>
        <w:gridCol w:w="330"/>
        <w:gridCol w:w="343"/>
        <w:gridCol w:w="464"/>
        <w:gridCol w:w="464"/>
        <w:gridCol w:w="435"/>
        <w:gridCol w:w="330"/>
        <w:gridCol w:w="464"/>
        <w:gridCol w:w="804"/>
        <w:gridCol w:w="476"/>
      </w:tblGrid>
      <w:tr w:rsidR="00642417" w:rsidRPr="00E012DF" w14:paraId="4DC18085" w14:textId="77777777" w:rsidTr="008A4285">
        <w:trPr>
          <w:trHeight w:val="180"/>
        </w:trPr>
        <w:tc>
          <w:tcPr>
            <w:tcW w:w="14219" w:type="dxa"/>
            <w:gridSpan w:val="34"/>
            <w:noWrap/>
            <w:hideMark/>
          </w:tcPr>
          <w:p w14:paraId="4DC18084" w14:textId="77C0D034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lastRenderedPageBreak/>
              <w:t xml:space="preserve">LISTA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EMERORE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E</w:t>
            </w:r>
            <w:r w:rsid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PRONAREVE QE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SHPRONESOHEN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NGA PROJEKTI "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RINDERTIM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I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GODINES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SE KOPSHTIT PUBLIK VORE", BASHKIA VORE</w:t>
            </w:r>
          </w:p>
        </w:tc>
      </w:tr>
      <w:tr w:rsidR="00642417" w:rsidRPr="00E012DF" w14:paraId="4DC1808B" w14:textId="77777777" w:rsidTr="008A4285">
        <w:trPr>
          <w:trHeight w:val="180"/>
        </w:trPr>
        <w:tc>
          <w:tcPr>
            <w:tcW w:w="430" w:type="dxa"/>
            <w:vMerge w:val="restart"/>
            <w:noWrap/>
            <w:hideMark/>
          </w:tcPr>
          <w:p w14:paraId="4DC1808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Nr.</w:t>
            </w:r>
          </w:p>
        </w:tc>
        <w:tc>
          <w:tcPr>
            <w:tcW w:w="12048" w:type="dxa"/>
            <w:gridSpan w:val="30"/>
            <w:hideMark/>
          </w:tcPr>
          <w:p w14:paraId="4DC1808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0</w:t>
            </w:r>
          </w:p>
        </w:tc>
        <w:tc>
          <w:tcPr>
            <w:tcW w:w="464" w:type="dxa"/>
            <w:vMerge w:val="restart"/>
            <w:hideMark/>
          </w:tcPr>
          <w:p w14:paraId="4DC1808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Vlera totale paraprake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per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shpronesim</w:t>
            </w:r>
            <w:proofErr w:type="spellEnd"/>
          </w:p>
        </w:tc>
        <w:tc>
          <w:tcPr>
            <w:tcW w:w="802" w:type="dxa"/>
            <w:vMerge w:val="restart"/>
            <w:hideMark/>
          </w:tcPr>
          <w:p w14:paraId="4DC1808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SHENIME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MBI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SHPRONESIM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/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SHKEMBIMIN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PASURISE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SIPAS KREUT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II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TE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VKM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NR.7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, DATE 06.01.2020</w:t>
            </w:r>
          </w:p>
        </w:tc>
        <w:tc>
          <w:tcPr>
            <w:tcW w:w="475" w:type="dxa"/>
            <w:vMerge w:val="restart"/>
            <w:hideMark/>
          </w:tcPr>
          <w:p w14:paraId="4DC1808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KOMENTE</w:t>
            </w:r>
          </w:p>
        </w:tc>
      </w:tr>
      <w:tr w:rsidR="00642417" w:rsidRPr="00E012DF" w14:paraId="4DC18099" w14:textId="77777777" w:rsidTr="008A4285">
        <w:trPr>
          <w:trHeight w:val="180"/>
        </w:trPr>
        <w:tc>
          <w:tcPr>
            <w:tcW w:w="430" w:type="dxa"/>
            <w:vMerge/>
            <w:hideMark/>
          </w:tcPr>
          <w:p w14:paraId="4DC1808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1195" w:type="dxa"/>
            <w:gridSpan w:val="3"/>
            <w:hideMark/>
          </w:tcPr>
          <w:p w14:paraId="4DC1808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C.SEKSIONI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I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PASURISE</w:t>
            </w:r>
            <w:proofErr w:type="spellEnd"/>
          </w:p>
        </w:tc>
        <w:tc>
          <w:tcPr>
            <w:tcW w:w="1668" w:type="dxa"/>
            <w:gridSpan w:val="5"/>
            <w:hideMark/>
          </w:tcPr>
          <w:p w14:paraId="4DC1808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A. SEKSIONI I IDENTIFIKIMIT TE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PASURISE</w:t>
            </w:r>
            <w:proofErr w:type="spellEnd"/>
          </w:p>
        </w:tc>
        <w:tc>
          <w:tcPr>
            <w:tcW w:w="1617" w:type="dxa"/>
            <w:gridSpan w:val="4"/>
            <w:noWrap/>
            <w:hideMark/>
          </w:tcPr>
          <w:p w14:paraId="4DC1808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B. SEKSIONI I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PERSHKRIMIT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TE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PASURISE</w:t>
            </w:r>
            <w:proofErr w:type="spellEnd"/>
          </w:p>
        </w:tc>
        <w:tc>
          <w:tcPr>
            <w:tcW w:w="442" w:type="dxa"/>
            <w:vMerge w:val="restart"/>
            <w:hideMark/>
          </w:tcPr>
          <w:p w14:paraId="4DC1809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Pershkrimi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i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vecante</w:t>
            </w:r>
            <w:proofErr w:type="spellEnd"/>
          </w:p>
        </w:tc>
        <w:tc>
          <w:tcPr>
            <w:tcW w:w="424" w:type="dxa"/>
            <w:vMerge w:val="restart"/>
            <w:hideMark/>
          </w:tcPr>
          <w:p w14:paraId="4DC1809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SEKSIONI D</w:t>
            </w:r>
          </w:p>
        </w:tc>
        <w:tc>
          <w:tcPr>
            <w:tcW w:w="424" w:type="dxa"/>
            <w:vMerge w:val="restart"/>
            <w:hideMark/>
          </w:tcPr>
          <w:p w14:paraId="4DC1809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SEKSIONI E </w:t>
            </w:r>
          </w:p>
        </w:tc>
        <w:tc>
          <w:tcPr>
            <w:tcW w:w="2181" w:type="dxa"/>
            <w:gridSpan w:val="5"/>
            <w:hideMark/>
          </w:tcPr>
          <w:p w14:paraId="4DC1809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Tokë "truall"</w:t>
            </w:r>
          </w:p>
        </w:tc>
        <w:tc>
          <w:tcPr>
            <w:tcW w:w="2063" w:type="dxa"/>
            <w:gridSpan w:val="5"/>
            <w:hideMark/>
          </w:tcPr>
          <w:p w14:paraId="4DC1809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Ndërtesë banimi (shtëpi,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ap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2034" w:type="dxa"/>
            <w:gridSpan w:val="5"/>
            <w:hideMark/>
          </w:tcPr>
          <w:p w14:paraId="4DC1809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Ndërtesë jo banimi</w:t>
            </w:r>
          </w:p>
        </w:tc>
        <w:tc>
          <w:tcPr>
            <w:tcW w:w="464" w:type="dxa"/>
            <w:vMerge/>
            <w:hideMark/>
          </w:tcPr>
          <w:p w14:paraId="4DC1809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802" w:type="dxa"/>
            <w:vMerge/>
            <w:hideMark/>
          </w:tcPr>
          <w:p w14:paraId="4DC1809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75" w:type="dxa"/>
            <w:vMerge/>
            <w:hideMark/>
          </w:tcPr>
          <w:p w14:paraId="4DC1809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</w:tr>
      <w:tr w:rsidR="00642417" w:rsidRPr="00E012DF" w14:paraId="4DC180BC" w14:textId="77777777" w:rsidTr="008A4285">
        <w:trPr>
          <w:trHeight w:val="276"/>
        </w:trPr>
        <w:tc>
          <w:tcPr>
            <w:tcW w:w="430" w:type="dxa"/>
            <w:vMerge/>
            <w:hideMark/>
          </w:tcPr>
          <w:p w14:paraId="4DC1809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9" w:type="dxa"/>
            <w:vMerge w:val="restart"/>
            <w:noWrap/>
            <w:hideMark/>
          </w:tcPr>
          <w:p w14:paraId="4DC1809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Emri</w:t>
            </w:r>
          </w:p>
        </w:tc>
        <w:tc>
          <w:tcPr>
            <w:tcW w:w="366" w:type="dxa"/>
            <w:vMerge w:val="restart"/>
            <w:noWrap/>
            <w:hideMark/>
          </w:tcPr>
          <w:p w14:paraId="4DC1809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Atësia</w:t>
            </w:r>
          </w:p>
        </w:tc>
        <w:tc>
          <w:tcPr>
            <w:tcW w:w="400" w:type="dxa"/>
            <w:vMerge w:val="restart"/>
            <w:noWrap/>
            <w:hideMark/>
          </w:tcPr>
          <w:p w14:paraId="4DC1809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Mbiemri</w:t>
            </w:r>
          </w:p>
        </w:tc>
        <w:tc>
          <w:tcPr>
            <w:tcW w:w="326" w:type="dxa"/>
            <w:vMerge w:val="restart"/>
            <w:hideMark/>
          </w:tcPr>
          <w:p w14:paraId="4DC1809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ZK</w:t>
            </w:r>
            <w:proofErr w:type="spellEnd"/>
          </w:p>
        </w:tc>
        <w:tc>
          <w:tcPr>
            <w:tcW w:w="306" w:type="dxa"/>
            <w:vMerge w:val="restart"/>
            <w:noWrap/>
            <w:hideMark/>
          </w:tcPr>
          <w:p w14:paraId="4DC1809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Nr. Pas.</w:t>
            </w:r>
          </w:p>
        </w:tc>
        <w:tc>
          <w:tcPr>
            <w:tcW w:w="381" w:type="dxa"/>
            <w:vMerge w:val="restart"/>
            <w:hideMark/>
          </w:tcPr>
          <w:p w14:paraId="4DC180A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Vol </w:t>
            </w:r>
          </w:p>
        </w:tc>
        <w:tc>
          <w:tcPr>
            <w:tcW w:w="289" w:type="dxa"/>
            <w:vMerge w:val="restart"/>
            <w:hideMark/>
          </w:tcPr>
          <w:p w14:paraId="4DC180A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Fq</w:t>
            </w:r>
            <w:proofErr w:type="spellEnd"/>
          </w:p>
        </w:tc>
        <w:tc>
          <w:tcPr>
            <w:tcW w:w="366" w:type="dxa"/>
            <w:vMerge w:val="restart"/>
            <w:hideMark/>
          </w:tcPr>
          <w:p w14:paraId="4DC180A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Indeksi i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hartes</w:t>
            </w:r>
            <w:proofErr w:type="spellEnd"/>
          </w:p>
        </w:tc>
        <w:tc>
          <w:tcPr>
            <w:tcW w:w="456" w:type="dxa"/>
            <w:vMerge w:val="restart"/>
            <w:hideMark/>
          </w:tcPr>
          <w:p w14:paraId="4DC180A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Dokumenti i Pronësisë</w:t>
            </w:r>
          </w:p>
        </w:tc>
        <w:tc>
          <w:tcPr>
            <w:tcW w:w="384" w:type="dxa"/>
            <w:vMerge w:val="restart"/>
            <w:hideMark/>
          </w:tcPr>
          <w:p w14:paraId="4DC180A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Lloji Pas.</w:t>
            </w:r>
          </w:p>
        </w:tc>
        <w:tc>
          <w:tcPr>
            <w:tcW w:w="350" w:type="dxa"/>
            <w:vMerge w:val="restart"/>
            <w:hideMark/>
          </w:tcPr>
          <w:p w14:paraId="4DC180A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Sip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. Totale (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  <w:vertAlign w:val="superscript"/>
              </w:rPr>
              <w:t>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427" w:type="dxa"/>
            <w:vMerge w:val="restart"/>
            <w:hideMark/>
          </w:tcPr>
          <w:p w14:paraId="4DC180A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Siperfaqja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pasurise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sipas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LN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(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442" w:type="dxa"/>
            <w:vMerge/>
            <w:hideMark/>
          </w:tcPr>
          <w:p w14:paraId="4DC180A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4" w:type="dxa"/>
            <w:vMerge/>
            <w:hideMark/>
          </w:tcPr>
          <w:p w14:paraId="4DC180A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4" w:type="dxa"/>
            <w:vMerge/>
            <w:hideMark/>
          </w:tcPr>
          <w:p w14:paraId="4DC180A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57" w:type="dxa"/>
            <w:vMerge w:val="restart"/>
            <w:hideMark/>
          </w:tcPr>
          <w:p w14:paraId="4DC180A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Sip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Totale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konf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Nga ASHK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Kamez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Vore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br/>
              <w:t>(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  <w:vertAlign w:val="superscript"/>
              </w:rPr>
              <w:t>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490" w:type="dxa"/>
            <w:vMerge w:val="restart"/>
            <w:hideMark/>
          </w:tcPr>
          <w:p w14:paraId="4DC180AB" w14:textId="176B9CC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Sip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Per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shpronesim</w:t>
            </w:r>
            <w:proofErr w:type="spellEnd"/>
            <w:r w:rsid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sipas planit te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shpronesimit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- truall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br/>
              <w:t>(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  <w:vertAlign w:val="superscript"/>
              </w:rPr>
              <w:t>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490" w:type="dxa"/>
            <w:vMerge w:val="restart"/>
            <w:hideMark/>
          </w:tcPr>
          <w:p w14:paraId="4DC180A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Sip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Per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shpronesim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sipas planit te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shpronesimit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- objekt 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br/>
              <w:t>(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  <w:vertAlign w:val="superscript"/>
              </w:rPr>
              <w:t>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434" w:type="dxa"/>
            <w:vMerge w:val="restart"/>
            <w:hideMark/>
          </w:tcPr>
          <w:p w14:paraId="4DC180AD" w14:textId="033AC1C9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Çmimi (lekë/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  <w:vertAlign w:val="superscript"/>
              </w:rPr>
              <w:t>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) sipas Vendimit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ne.89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, date 03.02.2016</w:t>
            </w:r>
            <w:r w:rsid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</w:p>
        </w:tc>
        <w:tc>
          <w:tcPr>
            <w:tcW w:w="410" w:type="dxa"/>
            <w:vMerge w:val="restart"/>
            <w:hideMark/>
          </w:tcPr>
          <w:p w14:paraId="4DC180A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Vlera 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br/>
              <w:t>(lekë)</w:t>
            </w:r>
          </w:p>
        </w:tc>
        <w:tc>
          <w:tcPr>
            <w:tcW w:w="371" w:type="dxa"/>
            <w:vMerge w:val="restart"/>
            <w:hideMark/>
          </w:tcPr>
          <w:p w14:paraId="4DC180A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Sip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Ndërt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konf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nga ASHK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Kamez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-Vore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br/>
              <w:t>(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  <w:vertAlign w:val="superscript"/>
              </w:rPr>
              <w:t>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464" w:type="dxa"/>
            <w:vMerge w:val="restart"/>
            <w:hideMark/>
          </w:tcPr>
          <w:p w14:paraId="4DC180B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Sip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Per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shpronesim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zene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nga projekti-truall 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br/>
              <w:t>(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  <w:vertAlign w:val="superscript"/>
              </w:rPr>
              <w:t>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464" w:type="dxa"/>
            <w:vMerge w:val="restart"/>
            <w:hideMark/>
          </w:tcPr>
          <w:p w14:paraId="4DC180B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Sip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Per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shpronesim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zene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nga projekti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ndertes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br/>
              <w:t>(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  <w:vertAlign w:val="superscript"/>
              </w:rPr>
              <w:t>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434" w:type="dxa"/>
            <w:vMerge w:val="restart"/>
            <w:hideMark/>
          </w:tcPr>
          <w:p w14:paraId="4DC180B2" w14:textId="09A07EDB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Çmimi sipas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UKM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nr.3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, date 28.12.2019</w:t>
            </w:r>
            <w:r w:rsid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(l/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  <w:vertAlign w:val="superscript"/>
              </w:rPr>
              <w:t>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330" w:type="dxa"/>
            <w:vMerge w:val="restart"/>
            <w:hideMark/>
          </w:tcPr>
          <w:p w14:paraId="4DC180B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Vlera 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br/>
              <w:t>(lekë)</w:t>
            </w:r>
          </w:p>
        </w:tc>
        <w:tc>
          <w:tcPr>
            <w:tcW w:w="342" w:type="dxa"/>
            <w:vMerge w:val="restart"/>
            <w:hideMark/>
          </w:tcPr>
          <w:p w14:paraId="4DC180B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Sip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Ndërt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konf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nga ASHK 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br/>
              <w:t>(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  <w:vertAlign w:val="superscript"/>
              </w:rPr>
              <w:t>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464" w:type="dxa"/>
            <w:vMerge w:val="restart"/>
            <w:hideMark/>
          </w:tcPr>
          <w:p w14:paraId="4DC180B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Sip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Per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shpronesim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-truall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br/>
              <w:t>(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  <w:vertAlign w:val="superscript"/>
              </w:rPr>
              <w:t>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464" w:type="dxa"/>
            <w:vMerge w:val="restart"/>
            <w:hideMark/>
          </w:tcPr>
          <w:p w14:paraId="4DC180B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Sip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.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Per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shpronesim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sipas projektit te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ndertesave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kolektive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br/>
              <w:t>(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  <w:vertAlign w:val="superscript"/>
              </w:rPr>
              <w:t>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434" w:type="dxa"/>
            <w:vMerge w:val="restart"/>
            <w:hideMark/>
          </w:tcPr>
          <w:p w14:paraId="4DC180B7" w14:textId="48D77B88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Çmimi sipas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UKM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nr.3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, date 28.12.2019</w:t>
            </w:r>
            <w:r w:rsid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(l/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  <w:vertAlign w:val="superscript"/>
              </w:rPr>
              <w:t>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330" w:type="dxa"/>
            <w:vMerge w:val="restart"/>
            <w:hideMark/>
          </w:tcPr>
          <w:p w14:paraId="4DC180B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Vlera 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br/>
              <w:t>(lekë)</w:t>
            </w:r>
          </w:p>
        </w:tc>
        <w:tc>
          <w:tcPr>
            <w:tcW w:w="464" w:type="dxa"/>
            <w:vMerge/>
            <w:hideMark/>
          </w:tcPr>
          <w:p w14:paraId="4DC180B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802" w:type="dxa"/>
            <w:vMerge/>
            <w:hideMark/>
          </w:tcPr>
          <w:p w14:paraId="4DC180B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75" w:type="dxa"/>
            <w:vMerge/>
            <w:hideMark/>
          </w:tcPr>
          <w:p w14:paraId="4DC180B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</w:tr>
      <w:tr w:rsidR="00642417" w:rsidRPr="00E012DF" w14:paraId="4DC180DF" w14:textId="77777777" w:rsidTr="008A4285">
        <w:trPr>
          <w:trHeight w:val="276"/>
        </w:trPr>
        <w:tc>
          <w:tcPr>
            <w:tcW w:w="430" w:type="dxa"/>
            <w:vMerge/>
            <w:hideMark/>
          </w:tcPr>
          <w:p w14:paraId="4DC180B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9" w:type="dxa"/>
            <w:vMerge/>
            <w:hideMark/>
          </w:tcPr>
          <w:p w14:paraId="4DC180B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66" w:type="dxa"/>
            <w:vMerge/>
            <w:hideMark/>
          </w:tcPr>
          <w:p w14:paraId="4DC180B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00" w:type="dxa"/>
            <w:vMerge/>
            <w:hideMark/>
          </w:tcPr>
          <w:p w14:paraId="4DC180C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26" w:type="dxa"/>
            <w:vMerge/>
            <w:hideMark/>
          </w:tcPr>
          <w:p w14:paraId="4DC180C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06" w:type="dxa"/>
            <w:vMerge/>
            <w:hideMark/>
          </w:tcPr>
          <w:p w14:paraId="4DC180C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81" w:type="dxa"/>
            <w:vMerge/>
            <w:hideMark/>
          </w:tcPr>
          <w:p w14:paraId="4DC180C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289" w:type="dxa"/>
            <w:vMerge/>
            <w:hideMark/>
          </w:tcPr>
          <w:p w14:paraId="4DC180C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66" w:type="dxa"/>
            <w:vMerge/>
            <w:hideMark/>
          </w:tcPr>
          <w:p w14:paraId="4DC180C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56" w:type="dxa"/>
            <w:vMerge/>
            <w:hideMark/>
          </w:tcPr>
          <w:p w14:paraId="4DC180C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84" w:type="dxa"/>
            <w:vMerge/>
            <w:hideMark/>
          </w:tcPr>
          <w:p w14:paraId="4DC180C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50" w:type="dxa"/>
            <w:vMerge/>
            <w:hideMark/>
          </w:tcPr>
          <w:p w14:paraId="4DC180C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7" w:type="dxa"/>
            <w:vMerge/>
            <w:hideMark/>
          </w:tcPr>
          <w:p w14:paraId="4DC180C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42" w:type="dxa"/>
            <w:vMerge/>
            <w:hideMark/>
          </w:tcPr>
          <w:p w14:paraId="4DC180C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4" w:type="dxa"/>
            <w:vMerge/>
            <w:hideMark/>
          </w:tcPr>
          <w:p w14:paraId="4DC180C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4" w:type="dxa"/>
            <w:vMerge/>
            <w:hideMark/>
          </w:tcPr>
          <w:p w14:paraId="4DC180C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57" w:type="dxa"/>
            <w:vMerge/>
            <w:hideMark/>
          </w:tcPr>
          <w:p w14:paraId="4DC180C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vMerge/>
            <w:hideMark/>
          </w:tcPr>
          <w:p w14:paraId="4DC180C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vMerge/>
            <w:hideMark/>
          </w:tcPr>
          <w:p w14:paraId="4DC180C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vMerge/>
            <w:hideMark/>
          </w:tcPr>
          <w:p w14:paraId="4DC180D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10" w:type="dxa"/>
            <w:vMerge/>
            <w:hideMark/>
          </w:tcPr>
          <w:p w14:paraId="4DC180D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71" w:type="dxa"/>
            <w:vMerge/>
            <w:hideMark/>
          </w:tcPr>
          <w:p w14:paraId="4DC180D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0D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0D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vMerge/>
            <w:hideMark/>
          </w:tcPr>
          <w:p w14:paraId="4DC180D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vMerge/>
            <w:hideMark/>
          </w:tcPr>
          <w:p w14:paraId="4DC180D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42" w:type="dxa"/>
            <w:vMerge/>
            <w:hideMark/>
          </w:tcPr>
          <w:p w14:paraId="4DC180D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0D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0D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vMerge/>
            <w:hideMark/>
          </w:tcPr>
          <w:p w14:paraId="4DC180D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vMerge/>
            <w:hideMark/>
          </w:tcPr>
          <w:p w14:paraId="4DC180D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0D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802" w:type="dxa"/>
            <w:vMerge/>
            <w:hideMark/>
          </w:tcPr>
          <w:p w14:paraId="4DC180D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75" w:type="dxa"/>
            <w:vMerge/>
            <w:hideMark/>
          </w:tcPr>
          <w:p w14:paraId="4DC180D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</w:tr>
      <w:tr w:rsidR="00642417" w:rsidRPr="00E012DF" w14:paraId="4DC18102" w14:textId="77777777" w:rsidTr="008A4285">
        <w:trPr>
          <w:trHeight w:val="276"/>
        </w:trPr>
        <w:tc>
          <w:tcPr>
            <w:tcW w:w="430" w:type="dxa"/>
            <w:vMerge/>
            <w:hideMark/>
          </w:tcPr>
          <w:p w14:paraId="4DC180E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9" w:type="dxa"/>
            <w:vMerge/>
            <w:hideMark/>
          </w:tcPr>
          <w:p w14:paraId="4DC180E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66" w:type="dxa"/>
            <w:vMerge/>
            <w:hideMark/>
          </w:tcPr>
          <w:p w14:paraId="4DC180E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00" w:type="dxa"/>
            <w:vMerge/>
            <w:hideMark/>
          </w:tcPr>
          <w:p w14:paraId="4DC180E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26" w:type="dxa"/>
            <w:vMerge/>
            <w:hideMark/>
          </w:tcPr>
          <w:p w14:paraId="4DC180E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06" w:type="dxa"/>
            <w:vMerge/>
            <w:hideMark/>
          </w:tcPr>
          <w:p w14:paraId="4DC180E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81" w:type="dxa"/>
            <w:vMerge/>
            <w:hideMark/>
          </w:tcPr>
          <w:p w14:paraId="4DC180E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289" w:type="dxa"/>
            <w:vMerge/>
            <w:hideMark/>
          </w:tcPr>
          <w:p w14:paraId="4DC180E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66" w:type="dxa"/>
            <w:vMerge/>
            <w:hideMark/>
          </w:tcPr>
          <w:p w14:paraId="4DC180E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56" w:type="dxa"/>
            <w:vMerge/>
            <w:hideMark/>
          </w:tcPr>
          <w:p w14:paraId="4DC180E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84" w:type="dxa"/>
            <w:vMerge/>
            <w:hideMark/>
          </w:tcPr>
          <w:p w14:paraId="4DC180E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50" w:type="dxa"/>
            <w:vMerge/>
            <w:hideMark/>
          </w:tcPr>
          <w:p w14:paraId="4DC180E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7" w:type="dxa"/>
            <w:vMerge/>
            <w:hideMark/>
          </w:tcPr>
          <w:p w14:paraId="4DC180E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42" w:type="dxa"/>
            <w:vMerge/>
            <w:hideMark/>
          </w:tcPr>
          <w:p w14:paraId="4DC180E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4" w:type="dxa"/>
            <w:vMerge/>
            <w:hideMark/>
          </w:tcPr>
          <w:p w14:paraId="4DC180E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4" w:type="dxa"/>
            <w:vMerge/>
            <w:hideMark/>
          </w:tcPr>
          <w:p w14:paraId="4DC180E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57" w:type="dxa"/>
            <w:vMerge/>
            <w:hideMark/>
          </w:tcPr>
          <w:p w14:paraId="4DC180F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vMerge/>
            <w:hideMark/>
          </w:tcPr>
          <w:p w14:paraId="4DC180F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vMerge/>
            <w:hideMark/>
          </w:tcPr>
          <w:p w14:paraId="4DC180F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vMerge/>
            <w:hideMark/>
          </w:tcPr>
          <w:p w14:paraId="4DC180F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10" w:type="dxa"/>
            <w:vMerge/>
            <w:hideMark/>
          </w:tcPr>
          <w:p w14:paraId="4DC180F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71" w:type="dxa"/>
            <w:vMerge/>
            <w:hideMark/>
          </w:tcPr>
          <w:p w14:paraId="4DC180F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0F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0F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vMerge/>
            <w:hideMark/>
          </w:tcPr>
          <w:p w14:paraId="4DC180F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vMerge/>
            <w:hideMark/>
          </w:tcPr>
          <w:p w14:paraId="4DC180F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42" w:type="dxa"/>
            <w:vMerge/>
            <w:hideMark/>
          </w:tcPr>
          <w:p w14:paraId="4DC180F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0F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0F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vMerge/>
            <w:hideMark/>
          </w:tcPr>
          <w:p w14:paraId="4DC180F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vMerge/>
            <w:hideMark/>
          </w:tcPr>
          <w:p w14:paraId="4DC180F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0F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802" w:type="dxa"/>
            <w:vMerge/>
            <w:hideMark/>
          </w:tcPr>
          <w:p w14:paraId="4DC1810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75" w:type="dxa"/>
            <w:vMerge/>
            <w:hideMark/>
          </w:tcPr>
          <w:p w14:paraId="4DC1810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</w:tr>
      <w:tr w:rsidR="00642417" w:rsidRPr="00E012DF" w14:paraId="4DC18125" w14:textId="77777777" w:rsidTr="008A4285">
        <w:trPr>
          <w:trHeight w:val="276"/>
        </w:trPr>
        <w:tc>
          <w:tcPr>
            <w:tcW w:w="430" w:type="dxa"/>
            <w:vMerge/>
            <w:hideMark/>
          </w:tcPr>
          <w:p w14:paraId="4DC1810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9" w:type="dxa"/>
            <w:vMerge/>
            <w:hideMark/>
          </w:tcPr>
          <w:p w14:paraId="4DC1810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66" w:type="dxa"/>
            <w:vMerge/>
            <w:hideMark/>
          </w:tcPr>
          <w:p w14:paraId="4DC1810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00" w:type="dxa"/>
            <w:vMerge/>
            <w:hideMark/>
          </w:tcPr>
          <w:p w14:paraId="4DC1810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26" w:type="dxa"/>
            <w:vMerge/>
            <w:hideMark/>
          </w:tcPr>
          <w:p w14:paraId="4DC1810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06" w:type="dxa"/>
            <w:vMerge/>
            <w:hideMark/>
          </w:tcPr>
          <w:p w14:paraId="4DC1810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81" w:type="dxa"/>
            <w:vMerge/>
            <w:hideMark/>
          </w:tcPr>
          <w:p w14:paraId="4DC1810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289" w:type="dxa"/>
            <w:vMerge/>
            <w:hideMark/>
          </w:tcPr>
          <w:p w14:paraId="4DC1810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66" w:type="dxa"/>
            <w:vMerge/>
            <w:hideMark/>
          </w:tcPr>
          <w:p w14:paraId="4DC1810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56" w:type="dxa"/>
            <w:vMerge/>
            <w:hideMark/>
          </w:tcPr>
          <w:p w14:paraId="4DC1810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84" w:type="dxa"/>
            <w:vMerge/>
            <w:hideMark/>
          </w:tcPr>
          <w:p w14:paraId="4DC1810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50" w:type="dxa"/>
            <w:vMerge/>
            <w:hideMark/>
          </w:tcPr>
          <w:p w14:paraId="4DC1810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7" w:type="dxa"/>
            <w:vMerge/>
            <w:hideMark/>
          </w:tcPr>
          <w:p w14:paraId="4DC1810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42" w:type="dxa"/>
            <w:vMerge/>
            <w:hideMark/>
          </w:tcPr>
          <w:p w14:paraId="4DC1811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4" w:type="dxa"/>
            <w:vMerge/>
            <w:hideMark/>
          </w:tcPr>
          <w:p w14:paraId="4DC1811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4" w:type="dxa"/>
            <w:vMerge/>
            <w:hideMark/>
          </w:tcPr>
          <w:p w14:paraId="4DC1811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57" w:type="dxa"/>
            <w:vMerge/>
            <w:hideMark/>
          </w:tcPr>
          <w:p w14:paraId="4DC1811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vMerge/>
            <w:hideMark/>
          </w:tcPr>
          <w:p w14:paraId="4DC1811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vMerge/>
            <w:hideMark/>
          </w:tcPr>
          <w:p w14:paraId="4DC1811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vMerge/>
            <w:hideMark/>
          </w:tcPr>
          <w:p w14:paraId="4DC1811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10" w:type="dxa"/>
            <w:vMerge/>
            <w:hideMark/>
          </w:tcPr>
          <w:p w14:paraId="4DC1811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71" w:type="dxa"/>
            <w:vMerge/>
            <w:hideMark/>
          </w:tcPr>
          <w:p w14:paraId="4DC1811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11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11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vMerge/>
            <w:hideMark/>
          </w:tcPr>
          <w:p w14:paraId="4DC1811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vMerge/>
            <w:hideMark/>
          </w:tcPr>
          <w:p w14:paraId="4DC1811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42" w:type="dxa"/>
            <w:vMerge/>
            <w:hideMark/>
          </w:tcPr>
          <w:p w14:paraId="4DC1811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11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11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vMerge/>
            <w:hideMark/>
          </w:tcPr>
          <w:p w14:paraId="4DC1812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vMerge/>
            <w:hideMark/>
          </w:tcPr>
          <w:p w14:paraId="4DC1812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vMerge/>
            <w:hideMark/>
          </w:tcPr>
          <w:p w14:paraId="4DC1812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802" w:type="dxa"/>
            <w:vMerge/>
            <w:hideMark/>
          </w:tcPr>
          <w:p w14:paraId="4DC1812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75" w:type="dxa"/>
            <w:vMerge/>
            <w:hideMark/>
          </w:tcPr>
          <w:p w14:paraId="4DC1812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</w:tr>
      <w:tr w:rsidR="00642417" w:rsidRPr="00E012DF" w14:paraId="4DC18148" w14:textId="77777777" w:rsidTr="008A4285">
        <w:trPr>
          <w:trHeight w:val="180"/>
        </w:trPr>
        <w:tc>
          <w:tcPr>
            <w:tcW w:w="430" w:type="dxa"/>
            <w:noWrap/>
            <w:hideMark/>
          </w:tcPr>
          <w:p w14:paraId="4DC1812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1. PRONE PRIVATE</w:t>
            </w:r>
          </w:p>
        </w:tc>
        <w:tc>
          <w:tcPr>
            <w:tcW w:w="429" w:type="dxa"/>
            <w:noWrap/>
            <w:hideMark/>
          </w:tcPr>
          <w:p w14:paraId="4DC1812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366" w:type="dxa"/>
            <w:noWrap/>
            <w:hideMark/>
          </w:tcPr>
          <w:p w14:paraId="4DC1812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400" w:type="dxa"/>
            <w:noWrap/>
            <w:hideMark/>
          </w:tcPr>
          <w:p w14:paraId="4DC1812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DC1812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306" w:type="dxa"/>
            <w:noWrap/>
            <w:hideMark/>
          </w:tcPr>
          <w:p w14:paraId="4DC1812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381" w:type="dxa"/>
            <w:noWrap/>
            <w:hideMark/>
          </w:tcPr>
          <w:p w14:paraId="4DC1812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289" w:type="dxa"/>
            <w:noWrap/>
            <w:hideMark/>
          </w:tcPr>
          <w:p w14:paraId="4DC1812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366" w:type="dxa"/>
            <w:noWrap/>
            <w:hideMark/>
          </w:tcPr>
          <w:p w14:paraId="4DC1812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DC1812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384" w:type="dxa"/>
            <w:noWrap/>
            <w:hideMark/>
          </w:tcPr>
          <w:p w14:paraId="4DC1813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DC1813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0</w:t>
            </w:r>
          </w:p>
        </w:tc>
        <w:tc>
          <w:tcPr>
            <w:tcW w:w="427" w:type="dxa"/>
            <w:noWrap/>
            <w:hideMark/>
          </w:tcPr>
          <w:p w14:paraId="4DC18132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42" w:type="dxa"/>
            <w:noWrap/>
            <w:hideMark/>
          </w:tcPr>
          <w:p w14:paraId="4DC18133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24" w:type="dxa"/>
            <w:hideMark/>
          </w:tcPr>
          <w:p w14:paraId="4DC18134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24" w:type="dxa"/>
            <w:hideMark/>
          </w:tcPr>
          <w:p w14:paraId="4DC18135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357" w:type="dxa"/>
            <w:noWrap/>
            <w:hideMark/>
          </w:tcPr>
          <w:p w14:paraId="4DC1813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552</w:t>
            </w:r>
          </w:p>
        </w:tc>
        <w:tc>
          <w:tcPr>
            <w:tcW w:w="490" w:type="dxa"/>
            <w:noWrap/>
            <w:hideMark/>
          </w:tcPr>
          <w:p w14:paraId="4DC1813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336</w:t>
            </w:r>
          </w:p>
        </w:tc>
        <w:tc>
          <w:tcPr>
            <w:tcW w:w="490" w:type="dxa"/>
            <w:noWrap/>
            <w:hideMark/>
          </w:tcPr>
          <w:p w14:paraId="4DC1813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0</w:t>
            </w:r>
          </w:p>
        </w:tc>
        <w:tc>
          <w:tcPr>
            <w:tcW w:w="434" w:type="dxa"/>
            <w:noWrap/>
            <w:hideMark/>
          </w:tcPr>
          <w:p w14:paraId="4DC1813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410" w:type="dxa"/>
            <w:noWrap/>
            <w:hideMark/>
          </w:tcPr>
          <w:p w14:paraId="4DC1813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1,425,312</w:t>
            </w:r>
          </w:p>
        </w:tc>
        <w:tc>
          <w:tcPr>
            <w:tcW w:w="371" w:type="dxa"/>
            <w:noWrap/>
            <w:hideMark/>
          </w:tcPr>
          <w:p w14:paraId="4DC1813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0</w:t>
            </w:r>
          </w:p>
        </w:tc>
        <w:tc>
          <w:tcPr>
            <w:tcW w:w="464" w:type="dxa"/>
            <w:noWrap/>
            <w:hideMark/>
          </w:tcPr>
          <w:p w14:paraId="4DC1813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0</w:t>
            </w:r>
          </w:p>
        </w:tc>
        <w:tc>
          <w:tcPr>
            <w:tcW w:w="464" w:type="dxa"/>
            <w:noWrap/>
            <w:hideMark/>
          </w:tcPr>
          <w:p w14:paraId="4DC1813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0</w:t>
            </w:r>
          </w:p>
        </w:tc>
        <w:tc>
          <w:tcPr>
            <w:tcW w:w="434" w:type="dxa"/>
            <w:noWrap/>
            <w:hideMark/>
          </w:tcPr>
          <w:p w14:paraId="4DC1813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330" w:type="dxa"/>
            <w:noWrap/>
            <w:hideMark/>
          </w:tcPr>
          <w:p w14:paraId="4DC1813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0</w:t>
            </w:r>
          </w:p>
        </w:tc>
        <w:tc>
          <w:tcPr>
            <w:tcW w:w="342" w:type="dxa"/>
            <w:noWrap/>
            <w:hideMark/>
          </w:tcPr>
          <w:p w14:paraId="4DC1814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0</w:t>
            </w:r>
          </w:p>
        </w:tc>
        <w:tc>
          <w:tcPr>
            <w:tcW w:w="464" w:type="dxa"/>
            <w:noWrap/>
            <w:hideMark/>
          </w:tcPr>
          <w:p w14:paraId="4DC1814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0</w:t>
            </w:r>
          </w:p>
        </w:tc>
        <w:tc>
          <w:tcPr>
            <w:tcW w:w="464" w:type="dxa"/>
            <w:noWrap/>
            <w:hideMark/>
          </w:tcPr>
          <w:p w14:paraId="4DC1814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0</w:t>
            </w:r>
          </w:p>
        </w:tc>
        <w:tc>
          <w:tcPr>
            <w:tcW w:w="434" w:type="dxa"/>
            <w:noWrap/>
            <w:hideMark/>
          </w:tcPr>
          <w:p w14:paraId="4DC1814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330" w:type="dxa"/>
            <w:noWrap/>
            <w:hideMark/>
          </w:tcPr>
          <w:p w14:paraId="4DC1814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0</w:t>
            </w:r>
          </w:p>
        </w:tc>
        <w:tc>
          <w:tcPr>
            <w:tcW w:w="464" w:type="dxa"/>
            <w:noWrap/>
            <w:hideMark/>
          </w:tcPr>
          <w:p w14:paraId="4DC1814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802" w:type="dxa"/>
            <w:hideMark/>
          </w:tcPr>
          <w:p w14:paraId="4DC18146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75" w:type="dxa"/>
            <w:hideMark/>
          </w:tcPr>
          <w:p w14:paraId="4DC18147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</w:tr>
      <w:tr w:rsidR="00642417" w:rsidRPr="00E012DF" w14:paraId="4DC1816B" w14:textId="77777777" w:rsidTr="008A4285">
        <w:trPr>
          <w:trHeight w:val="180"/>
        </w:trPr>
        <w:tc>
          <w:tcPr>
            <w:tcW w:w="430" w:type="dxa"/>
            <w:noWrap/>
            <w:hideMark/>
          </w:tcPr>
          <w:p w14:paraId="4DC18149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1</w:t>
            </w:r>
          </w:p>
        </w:tc>
        <w:tc>
          <w:tcPr>
            <w:tcW w:w="429" w:type="dxa"/>
            <w:hideMark/>
          </w:tcPr>
          <w:p w14:paraId="4DC1814A" w14:textId="21693F2C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SHEFQET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SABRIJE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XHEVRIJE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Pr="00E012DF">
              <w:rPr>
                <w:rFonts w:ascii="Arial" w:hAnsi="Arial" w:cs="Arial"/>
                <w:sz w:val="6"/>
                <w:szCs w:val="6"/>
              </w:rPr>
              <w:t>OSMAN</w:t>
            </w:r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Pr="00E012DF">
              <w:rPr>
                <w:rFonts w:ascii="Arial" w:hAnsi="Arial" w:cs="Arial"/>
                <w:sz w:val="6"/>
                <w:szCs w:val="6"/>
              </w:rPr>
              <w:t>SHERIFE</w:t>
            </w:r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XHAVIT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Pr="00E012DF">
              <w:rPr>
                <w:rFonts w:ascii="Arial" w:hAnsi="Arial" w:cs="Arial"/>
                <w:sz w:val="6"/>
                <w:szCs w:val="6"/>
              </w:rPr>
              <w:t>ARTAN</w:t>
            </w:r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</w:p>
        </w:tc>
        <w:tc>
          <w:tcPr>
            <w:tcW w:w="366" w:type="dxa"/>
            <w:hideMark/>
          </w:tcPr>
          <w:p w14:paraId="4DC1814B" w14:textId="18A90A5C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ZENEL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ZENEL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ZENEL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ISMAIL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HASAN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ZENEL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ZENEL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</w:p>
        </w:tc>
        <w:tc>
          <w:tcPr>
            <w:tcW w:w="400" w:type="dxa"/>
            <w:hideMark/>
          </w:tcPr>
          <w:p w14:paraId="4DC1814C" w14:textId="6145FE06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MUÇA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Pr="00E012DF">
              <w:rPr>
                <w:rFonts w:ascii="Arial" w:hAnsi="Arial" w:cs="Arial"/>
                <w:sz w:val="6"/>
                <w:szCs w:val="6"/>
              </w:rPr>
              <w:t>KULLI</w:t>
            </w:r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Pr="00E012DF">
              <w:rPr>
                <w:rFonts w:ascii="Arial" w:hAnsi="Arial" w:cs="Arial"/>
                <w:sz w:val="6"/>
                <w:szCs w:val="6"/>
              </w:rPr>
              <w:t>GJERGJI</w:t>
            </w:r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MUÇA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MUÇA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MUÇA</w:t>
            </w:r>
            <w:proofErr w:type="spellEnd"/>
            <w:r w:rsid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MUÇA</w:t>
            </w:r>
            <w:proofErr w:type="spellEnd"/>
          </w:p>
        </w:tc>
        <w:tc>
          <w:tcPr>
            <w:tcW w:w="326" w:type="dxa"/>
            <w:noWrap/>
            <w:hideMark/>
          </w:tcPr>
          <w:p w14:paraId="4DC1814D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3127</w:t>
            </w:r>
          </w:p>
        </w:tc>
        <w:tc>
          <w:tcPr>
            <w:tcW w:w="306" w:type="dxa"/>
            <w:noWrap/>
            <w:hideMark/>
          </w:tcPr>
          <w:p w14:paraId="4DC1814E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1/24</w:t>
            </w:r>
          </w:p>
        </w:tc>
        <w:tc>
          <w:tcPr>
            <w:tcW w:w="381" w:type="dxa"/>
            <w:noWrap/>
            <w:hideMark/>
          </w:tcPr>
          <w:p w14:paraId="4DC1814F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4</w:t>
            </w:r>
          </w:p>
        </w:tc>
        <w:tc>
          <w:tcPr>
            <w:tcW w:w="289" w:type="dxa"/>
            <w:noWrap/>
            <w:hideMark/>
          </w:tcPr>
          <w:p w14:paraId="4DC18150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160</w:t>
            </w:r>
          </w:p>
        </w:tc>
        <w:tc>
          <w:tcPr>
            <w:tcW w:w="366" w:type="dxa"/>
            <w:noWrap/>
            <w:hideMark/>
          </w:tcPr>
          <w:p w14:paraId="4DC18151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VO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>-D-2</w:t>
            </w:r>
          </w:p>
        </w:tc>
        <w:tc>
          <w:tcPr>
            <w:tcW w:w="456" w:type="dxa"/>
            <w:hideMark/>
          </w:tcPr>
          <w:p w14:paraId="4DC18152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Kartela e Pasurisë së Paluajtshme</w:t>
            </w:r>
          </w:p>
        </w:tc>
        <w:tc>
          <w:tcPr>
            <w:tcW w:w="384" w:type="dxa"/>
            <w:noWrap/>
            <w:hideMark/>
          </w:tcPr>
          <w:p w14:paraId="4DC18153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TRUALL</w:t>
            </w:r>
          </w:p>
        </w:tc>
        <w:tc>
          <w:tcPr>
            <w:tcW w:w="350" w:type="dxa"/>
            <w:noWrap/>
            <w:hideMark/>
          </w:tcPr>
          <w:p w14:paraId="4DC18154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552,00</w:t>
            </w:r>
          </w:p>
        </w:tc>
        <w:tc>
          <w:tcPr>
            <w:tcW w:w="427" w:type="dxa"/>
            <w:hideMark/>
          </w:tcPr>
          <w:p w14:paraId="4DC18155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42" w:type="dxa"/>
            <w:hideMark/>
          </w:tcPr>
          <w:p w14:paraId="4DC18156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24" w:type="dxa"/>
            <w:hideMark/>
          </w:tcPr>
          <w:p w14:paraId="4DC18157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24" w:type="dxa"/>
            <w:hideMark/>
          </w:tcPr>
          <w:p w14:paraId="4DC18158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 xml:space="preserve">Okupues Shaban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Muça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 xml:space="preserve">. Ka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nje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ndertim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 xml:space="preserve"> pa leje.</w:t>
            </w:r>
          </w:p>
        </w:tc>
        <w:tc>
          <w:tcPr>
            <w:tcW w:w="357" w:type="dxa"/>
            <w:noWrap/>
            <w:hideMark/>
          </w:tcPr>
          <w:p w14:paraId="4DC18159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552.00</w:t>
            </w:r>
          </w:p>
        </w:tc>
        <w:tc>
          <w:tcPr>
            <w:tcW w:w="490" w:type="dxa"/>
            <w:noWrap/>
            <w:hideMark/>
          </w:tcPr>
          <w:p w14:paraId="4DC1815A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336.00</w:t>
            </w:r>
          </w:p>
        </w:tc>
        <w:tc>
          <w:tcPr>
            <w:tcW w:w="490" w:type="dxa"/>
            <w:noWrap/>
            <w:hideMark/>
          </w:tcPr>
          <w:p w14:paraId="4DC1815B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34" w:type="dxa"/>
            <w:noWrap/>
            <w:hideMark/>
          </w:tcPr>
          <w:p w14:paraId="4DC1815C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2560</w:t>
            </w:r>
          </w:p>
        </w:tc>
        <w:tc>
          <w:tcPr>
            <w:tcW w:w="410" w:type="dxa"/>
            <w:noWrap/>
            <w:hideMark/>
          </w:tcPr>
          <w:p w14:paraId="4DC1815D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1,425,312</w:t>
            </w:r>
          </w:p>
        </w:tc>
        <w:tc>
          <w:tcPr>
            <w:tcW w:w="371" w:type="dxa"/>
            <w:noWrap/>
            <w:hideMark/>
          </w:tcPr>
          <w:p w14:paraId="4DC1815E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64" w:type="dxa"/>
            <w:noWrap/>
            <w:hideMark/>
          </w:tcPr>
          <w:p w14:paraId="4DC1815F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64" w:type="dxa"/>
            <w:noWrap/>
            <w:hideMark/>
          </w:tcPr>
          <w:p w14:paraId="4DC18160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34" w:type="dxa"/>
            <w:noWrap/>
            <w:hideMark/>
          </w:tcPr>
          <w:p w14:paraId="4DC18161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330" w:type="dxa"/>
            <w:noWrap/>
            <w:hideMark/>
          </w:tcPr>
          <w:p w14:paraId="4DC18162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0</w:t>
            </w:r>
          </w:p>
        </w:tc>
        <w:tc>
          <w:tcPr>
            <w:tcW w:w="342" w:type="dxa"/>
            <w:noWrap/>
            <w:hideMark/>
          </w:tcPr>
          <w:p w14:paraId="4DC18163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64" w:type="dxa"/>
            <w:noWrap/>
            <w:hideMark/>
          </w:tcPr>
          <w:p w14:paraId="4DC18164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64" w:type="dxa"/>
            <w:noWrap/>
            <w:hideMark/>
          </w:tcPr>
          <w:p w14:paraId="4DC18165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34" w:type="dxa"/>
            <w:noWrap/>
            <w:hideMark/>
          </w:tcPr>
          <w:p w14:paraId="4DC18166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330" w:type="dxa"/>
            <w:noWrap/>
            <w:hideMark/>
          </w:tcPr>
          <w:p w14:paraId="4DC18167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0</w:t>
            </w:r>
          </w:p>
        </w:tc>
        <w:tc>
          <w:tcPr>
            <w:tcW w:w="464" w:type="dxa"/>
            <w:noWrap/>
            <w:hideMark/>
          </w:tcPr>
          <w:p w14:paraId="4DC18168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1,425,312</w:t>
            </w:r>
          </w:p>
        </w:tc>
        <w:tc>
          <w:tcPr>
            <w:tcW w:w="802" w:type="dxa"/>
            <w:hideMark/>
          </w:tcPr>
          <w:p w14:paraId="4DC18169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475" w:type="dxa"/>
            <w:hideMark/>
          </w:tcPr>
          <w:p w14:paraId="4DC1816A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Mbeshtetur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 xml:space="preserve"> ne informacionin e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derguar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 xml:space="preserve"> nga ASHK me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shkresen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 xml:space="preserve"> nr. 7901/1 date 07.12.2021, protokolluar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prane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Bashkise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 xml:space="preserve"> Vore me nr. 8175/1 date 07.12.2021 nga verifikimet e kryera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per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pasurine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 xml:space="preserve"> nr. 1\24 rezulton qe nuk ka objekte fizike ne proces legalizimi ne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kete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 xml:space="preserve"> pasuri. </w:t>
            </w:r>
          </w:p>
        </w:tc>
      </w:tr>
      <w:tr w:rsidR="00642417" w:rsidRPr="00E012DF" w14:paraId="4DC18189" w14:textId="77777777" w:rsidTr="008A4285">
        <w:trPr>
          <w:trHeight w:val="180"/>
        </w:trPr>
        <w:tc>
          <w:tcPr>
            <w:tcW w:w="430" w:type="dxa"/>
            <w:noWrap/>
            <w:hideMark/>
          </w:tcPr>
          <w:p w14:paraId="4DC1816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1827" w:type="dxa"/>
            <w:gridSpan w:val="5"/>
            <w:hideMark/>
          </w:tcPr>
          <w:p w14:paraId="4DC1816D" w14:textId="254A5958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1. Çmimi</w:t>
            </w:r>
            <w:r w:rsid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sipas Vendimit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nr.89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, date 03.02.2016 -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Per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miratimin 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hartes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se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vleres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se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tokes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ne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Republiken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Shqiperise</w:t>
            </w:r>
            <w:proofErr w:type="spellEnd"/>
          </w:p>
        </w:tc>
        <w:tc>
          <w:tcPr>
            <w:tcW w:w="670" w:type="dxa"/>
            <w:gridSpan w:val="2"/>
            <w:noWrap/>
            <w:hideMark/>
          </w:tcPr>
          <w:p w14:paraId="4DC1816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Çmimi (lek/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366" w:type="dxa"/>
            <w:noWrap/>
            <w:hideMark/>
          </w:tcPr>
          <w:p w14:paraId="4DC1816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56" w:type="dxa"/>
            <w:noWrap/>
            <w:hideMark/>
          </w:tcPr>
          <w:p w14:paraId="4DC1817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84" w:type="dxa"/>
            <w:noWrap/>
            <w:hideMark/>
          </w:tcPr>
          <w:p w14:paraId="4DC1817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50" w:type="dxa"/>
            <w:noWrap/>
            <w:hideMark/>
          </w:tcPr>
          <w:p w14:paraId="4DC1817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7" w:type="dxa"/>
            <w:noWrap/>
            <w:hideMark/>
          </w:tcPr>
          <w:p w14:paraId="4DC18173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42" w:type="dxa"/>
            <w:noWrap/>
            <w:hideMark/>
          </w:tcPr>
          <w:p w14:paraId="4DC18174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24" w:type="dxa"/>
            <w:hideMark/>
          </w:tcPr>
          <w:p w14:paraId="4DC1817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4" w:type="dxa"/>
            <w:hideMark/>
          </w:tcPr>
          <w:p w14:paraId="4DC18176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57" w:type="dxa"/>
            <w:noWrap/>
            <w:hideMark/>
          </w:tcPr>
          <w:p w14:paraId="4DC1817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noWrap/>
            <w:hideMark/>
          </w:tcPr>
          <w:p w14:paraId="4DC1817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noWrap/>
            <w:hideMark/>
          </w:tcPr>
          <w:p w14:paraId="4DC1817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434" w:type="dxa"/>
            <w:noWrap/>
            <w:hideMark/>
          </w:tcPr>
          <w:p w14:paraId="4DC1817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10" w:type="dxa"/>
            <w:noWrap/>
            <w:hideMark/>
          </w:tcPr>
          <w:p w14:paraId="4DC1817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71" w:type="dxa"/>
            <w:noWrap/>
            <w:hideMark/>
          </w:tcPr>
          <w:p w14:paraId="4DC1817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7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7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noWrap/>
            <w:hideMark/>
          </w:tcPr>
          <w:p w14:paraId="4DC1817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noWrap/>
            <w:hideMark/>
          </w:tcPr>
          <w:p w14:paraId="4DC1818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42" w:type="dxa"/>
            <w:noWrap/>
            <w:hideMark/>
          </w:tcPr>
          <w:p w14:paraId="4DC1818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8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8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noWrap/>
            <w:hideMark/>
          </w:tcPr>
          <w:p w14:paraId="4DC1818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noWrap/>
            <w:hideMark/>
          </w:tcPr>
          <w:p w14:paraId="4DC1818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8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802" w:type="dxa"/>
            <w:noWrap/>
            <w:hideMark/>
          </w:tcPr>
          <w:p w14:paraId="4DC1818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75" w:type="dxa"/>
            <w:noWrap/>
            <w:hideMark/>
          </w:tcPr>
          <w:p w14:paraId="4DC1818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</w:tr>
      <w:tr w:rsidR="00642417" w:rsidRPr="00E012DF" w14:paraId="4DC181AB" w14:textId="77777777" w:rsidTr="008A4285">
        <w:trPr>
          <w:trHeight w:val="180"/>
        </w:trPr>
        <w:tc>
          <w:tcPr>
            <w:tcW w:w="430" w:type="dxa"/>
            <w:noWrap/>
            <w:hideMark/>
          </w:tcPr>
          <w:p w14:paraId="4DC1818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9" w:type="dxa"/>
            <w:noWrap/>
            <w:hideMark/>
          </w:tcPr>
          <w:p w14:paraId="4DC1818B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366" w:type="dxa"/>
            <w:noWrap/>
            <w:hideMark/>
          </w:tcPr>
          <w:p w14:paraId="4DC1818C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00" w:type="dxa"/>
            <w:noWrap/>
            <w:hideMark/>
          </w:tcPr>
          <w:p w14:paraId="4DC1818D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1.</w:t>
            </w:r>
          </w:p>
        </w:tc>
        <w:tc>
          <w:tcPr>
            <w:tcW w:w="326" w:type="dxa"/>
            <w:noWrap/>
            <w:hideMark/>
          </w:tcPr>
          <w:p w14:paraId="4DC1818E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Truall</w:t>
            </w:r>
          </w:p>
        </w:tc>
        <w:tc>
          <w:tcPr>
            <w:tcW w:w="306" w:type="dxa"/>
            <w:noWrap/>
            <w:hideMark/>
          </w:tcPr>
          <w:p w14:paraId="4DC1818F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670" w:type="dxa"/>
            <w:gridSpan w:val="2"/>
            <w:noWrap/>
            <w:hideMark/>
          </w:tcPr>
          <w:p w14:paraId="4DC18190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4,242</w:t>
            </w:r>
          </w:p>
        </w:tc>
        <w:tc>
          <w:tcPr>
            <w:tcW w:w="366" w:type="dxa"/>
            <w:noWrap/>
            <w:hideMark/>
          </w:tcPr>
          <w:p w14:paraId="4DC1819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56" w:type="dxa"/>
            <w:noWrap/>
            <w:hideMark/>
          </w:tcPr>
          <w:p w14:paraId="4DC1819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84" w:type="dxa"/>
            <w:noWrap/>
            <w:hideMark/>
          </w:tcPr>
          <w:p w14:paraId="4DC18193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50" w:type="dxa"/>
            <w:noWrap/>
            <w:hideMark/>
          </w:tcPr>
          <w:p w14:paraId="4DC1819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7" w:type="dxa"/>
            <w:noWrap/>
            <w:hideMark/>
          </w:tcPr>
          <w:p w14:paraId="4DC18195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42" w:type="dxa"/>
            <w:noWrap/>
            <w:hideMark/>
          </w:tcPr>
          <w:p w14:paraId="4DC18196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24" w:type="dxa"/>
            <w:hideMark/>
          </w:tcPr>
          <w:p w14:paraId="4DC1819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4" w:type="dxa"/>
            <w:hideMark/>
          </w:tcPr>
          <w:p w14:paraId="4DC18198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57" w:type="dxa"/>
            <w:noWrap/>
            <w:hideMark/>
          </w:tcPr>
          <w:p w14:paraId="4DC1819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noWrap/>
            <w:hideMark/>
          </w:tcPr>
          <w:p w14:paraId="4DC1819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noWrap/>
            <w:hideMark/>
          </w:tcPr>
          <w:p w14:paraId="4DC1819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434" w:type="dxa"/>
            <w:noWrap/>
            <w:hideMark/>
          </w:tcPr>
          <w:p w14:paraId="4DC1819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10" w:type="dxa"/>
            <w:noWrap/>
            <w:hideMark/>
          </w:tcPr>
          <w:p w14:paraId="4DC1819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71" w:type="dxa"/>
            <w:noWrap/>
            <w:hideMark/>
          </w:tcPr>
          <w:p w14:paraId="4DC1819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9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A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noWrap/>
            <w:hideMark/>
          </w:tcPr>
          <w:p w14:paraId="4DC181A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noWrap/>
            <w:hideMark/>
          </w:tcPr>
          <w:p w14:paraId="4DC181A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42" w:type="dxa"/>
            <w:noWrap/>
            <w:hideMark/>
          </w:tcPr>
          <w:p w14:paraId="4DC181A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A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A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noWrap/>
            <w:hideMark/>
          </w:tcPr>
          <w:p w14:paraId="4DC181A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noWrap/>
            <w:hideMark/>
          </w:tcPr>
          <w:p w14:paraId="4DC181A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A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802" w:type="dxa"/>
            <w:noWrap/>
            <w:hideMark/>
          </w:tcPr>
          <w:p w14:paraId="4DC181A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75" w:type="dxa"/>
            <w:noWrap/>
            <w:hideMark/>
          </w:tcPr>
          <w:p w14:paraId="4DC181A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</w:tr>
      <w:tr w:rsidR="00642417" w:rsidRPr="00E012DF" w14:paraId="4DC181CA" w14:textId="77777777" w:rsidTr="008A4285">
        <w:trPr>
          <w:trHeight w:val="180"/>
        </w:trPr>
        <w:tc>
          <w:tcPr>
            <w:tcW w:w="430" w:type="dxa"/>
            <w:noWrap/>
            <w:hideMark/>
          </w:tcPr>
          <w:p w14:paraId="4DC181A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1827" w:type="dxa"/>
            <w:gridSpan w:val="5"/>
            <w:hideMark/>
          </w:tcPr>
          <w:p w14:paraId="4DC181AD" w14:textId="62AA4144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2. Çmimi sipas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UKM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nr.3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, date 28.12.2019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per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Miratimin e kostos mesatare te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ndertimit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te Banesave nga Enti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Kombetar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i Banesave, 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per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vitin 2016</w:t>
            </w:r>
            <w:r w:rsidR="00E012DF">
              <w:rPr>
                <w:rFonts w:ascii="Arial" w:hAnsi="Arial" w:cs="Arial"/>
                <w:b/>
                <w:bCs/>
                <w:sz w:val="6"/>
                <w:szCs w:val="6"/>
              </w:rPr>
              <w:t xml:space="preserve"> </w:t>
            </w:r>
          </w:p>
        </w:tc>
        <w:tc>
          <w:tcPr>
            <w:tcW w:w="381" w:type="dxa"/>
            <w:noWrap/>
            <w:hideMark/>
          </w:tcPr>
          <w:p w14:paraId="4DC181A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Çmimi (lek/</w:t>
            </w:r>
            <w:proofErr w:type="spellStart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m2</w:t>
            </w:r>
            <w:proofErr w:type="spellEnd"/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)</w:t>
            </w:r>
          </w:p>
        </w:tc>
        <w:tc>
          <w:tcPr>
            <w:tcW w:w="289" w:type="dxa"/>
            <w:hideMark/>
          </w:tcPr>
          <w:p w14:paraId="4DC181A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366" w:type="dxa"/>
            <w:noWrap/>
            <w:hideMark/>
          </w:tcPr>
          <w:p w14:paraId="4DC181B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56" w:type="dxa"/>
            <w:noWrap/>
            <w:hideMark/>
          </w:tcPr>
          <w:p w14:paraId="4DC181B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84" w:type="dxa"/>
            <w:noWrap/>
            <w:hideMark/>
          </w:tcPr>
          <w:p w14:paraId="4DC181B2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50" w:type="dxa"/>
            <w:noWrap/>
            <w:hideMark/>
          </w:tcPr>
          <w:p w14:paraId="4DC181B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7" w:type="dxa"/>
            <w:noWrap/>
            <w:hideMark/>
          </w:tcPr>
          <w:p w14:paraId="4DC181B4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42" w:type="dxa"/>
            <w:noWrap/>
            <w:hideMark/>
          </w:tcPr>
          <w:p w14:paraId="4DC181B5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24" w:type="dxa"/>
            <w:hideMark/>
          </w:tcPr>
          <w:p w14:paraId="4DC181B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4" w:type="dxa"/>
            <w:hideMark/>
          </w:tcPr>
          <w:p w14:paraId="4DC181B7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57" w:type="dxa"/>
            <w:noWrap/>
            <w:hideMark/>
          </w:tcPr>
          <w:p w14:paraId="4DC181B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noWrap/>
            <w:hideMark/>
          </w:tcPr>
          <w:p w14:paraId="4DC181B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noWrap/>
            <w:hideMark/>
          </w:tcPr>
          <w:p w14:paraId="4DC181B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434" w:type="dxa"/>
            <w:noWrap/>
            <w:hideMark/>
          </w:tcPr>
          <w:p w14:paraId="4DC181B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10" w:type="dxa"/>
            <w:noWrap/>
            <w:hideMark/>
          </w:tcPr>
          <w:p w14:paraId="4DC181B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71" w:type="dxa"/>
            <w:noWrap/>
            <w:hideMark/>
          </w:tcPr>
          <w:p w14:paraId="4DC181B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B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B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noWrap/>
            <w:hideMark/>
          </w:tcPr>
          <w:p w14:paraId="4DC181C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noWrap/>
            <w:hideMark/>
          </w:tcPr>
          <w:p w14:paraId="4DC181C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42" w:type="dxa"/>
            <w:noWrap/>
            <w:hideMark/>
          </w:tcPr>
          <w:p w14:paraId="4DC181C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C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C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noWrap/>
            <w:hideMark/>
          </w:tcPr>
          <w:p w14:paraId="4DC181C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noWrap/>
            <w:hideMark/>
          </w:tcPr>
          <w:p w14:paraId="4DC181C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C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802" w:type="dxa"/>
            <w:noWrap/>
            <w:hideMark/>
          </w:tcPr>
          <w:p w14:paraId="4DC181C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75" w:type="dxa"/>
            <w:noWrap/>
            <w:hideMark/>
          </w:tcPr>
          <w:p w14:paraId="4DC181C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</w:tr>
      <w:tr w:rsidR="00642417" w:rsidRPr="00E012DF" w14:paraId="4DC181EB" w14:textId="77777777" w:rsidTr="008A4285">
        <w:trPr>
          <w:trHeight w:val="180"/>
        </w:trPr>
        <w:tc>
          <w:tcPr>
            <w:tcW w:w="430" w:type="dxa"/>
            <w:noWrap/>
            <w:hideMark/>
          </w:tcPr>
          <w:p w14:paraId="4DC181C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9" w:type="dxa"/>
            <w:noWrap/>
            <w:hideMark/>
          </w:tcPr>
          <w:p w14:paraId="4DC181CC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366" w:type="dxa"/>
            <w:noWrap/>
            <w:hideMark/>
          </w:tcPr>
          <w:p w14:paraId="4DC181CD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00" w:type="dxa"/>
            <w:noWrap/>
            <w:hideMark/>
          </w:tcPr>
          <w:p w14:paraId="4DC181CE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1.</w:t>
            </w:r>
          </w:p>
        </w:tc>
        <w:tc>
          <w:tcPr>
            <w:tcW w:w="632" w:type="dxa"/>
            <w:gridSpan w:val="2"/>
            <w:noWrap/>
            <w:hideMark/>
          </w:tcPr>
          <w:p w14:paraId="4DC181CF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Njesi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 xml:space="preserve"> Banimi/ Apartament</w:t>
            </w:r>
          </w:p>
        </w:tc>
        <w:tc>
          <w:tcPr>
            <w:tcW w:w="670" w:type="dxa"/>
            <w:gridSpan w:val="2"/>
            <w:noWrap/>
            <w:hideMark/>
          </w:tcPr>
          <w:p w14:paraId="4DC181D0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32,113</w:t>
            </w:r>
          </w:p>
        </w:tc>
        <w:tc>
          <w:tcPr>
            <w:tcW w:w="366" w:type="dxa"/>
            <w:noWrap/>
            <w:hideMark/>
          </w:tcPr>
          <w:p w14:paraId="4DC181D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56" w:type="dxa"/>
            <w:noWrap/>
            <w:hideMark/>
          </w:tcPr>
          <w:p w14:paraId="4DC181D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84" w:type="dxa"/>
            <w:noWrap/>
            <w:hideMark/>
          </w:tcPr>
          <w:p w14:paraId="4DC181D3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50" w:type="dxa"/>
            <w:noWrap/>
            <w:hideMark/>
          </w:tcPr>
          <w:p w14:paraId="4DC181D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7" w:type="dxa"/>
            <w:noWrap/>
            <w:hideMark/>
          </w:tcPr>
          <w:p w14:paraId="4DC181D5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42" w:type="dxa"/>
            <w:noWrap/>
            <w:hideMark/>
          </w:tcPr>
          <w:p w14:paraId="4DC181D6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24" w:type="dxa"/>
            <w:hideMark/>
          </w:tcPr>
          <w:p w14:paraId="4DC181D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4" w:type="dxa"/>
            <w:hideMark/>
          </w:tcPr>
          <w:p w14:paraId="4DC181D8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57" w:type="dxa"/>
            <w:noWrap/>
            <w:hideMark/>
          </w:tcPr>
          <w:p w14:paraId="4DC181D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noWrap/>
            <w:hideMark/>
          </w:tcPr>
          <w:p w14:paraId="4DC181D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noWrap/>
            <w:hideMark/>
          </w:tcPr>
          <w:p w14:paraId="4DC181D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434" w:type="dxa"/>
            <w:noWrap/>
            <w:hideMark/>
          </w:tcPr>
          <w:p w14:paraId="4DC181D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10" w:type="dxa"/>
            <w:noWrap/>
            <w:hideMark/>
          </w:tcPr>
          <w:p w14:paraId="4DC181D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71" w:type="dxa"/>
            <w:noWrap/>
            <w:hideMark/>
          </w:tcPr>
          <w:p w14:paraId="4DC181D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D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E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noWrap/>
            <w:hideMark/>
          </w:tcPr>
          <w:p w14:paraId="4DC181E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noWrap/>
            <w:hideMark/>
          </w:tcPr>
          <w:p w14:paraId="4DC181E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42" w:type="dxa"/>
            <w:noWrap/>
            <w:hideMark/>
          </w:tcPr>
          <w:p w14:paraId="4DC181E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E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E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noWrap/>
            <w:hideMark/>
          </w:tcPr>
          <w:p w14:paraId="4DC181E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noWrap/>
            <w:hideMark/>
          </w:tcPr>
          <w:p w14:paraId="4DC181E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1E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802" w:type="dxa"/>
            <w:noWrap/>
            <w:hideMark/>
          </w:tcPr>
          <w:p w14:paraId="4DC181E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75" w:type="dxa"/>
            <w:noWrap/>
            <w:hideMark/>
          </w:tcPr>
          <w:p w14:paraId="4DC181E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</w:tr>
      <w:tr w:rsidR="00642417" w:rsidRPr="00E012DF" w14:paraId="4DC1820C" w14:textId="77777777" w:rsidTr="008A4285">
        <w:trPr>
          <w:trHeight w:val="180"/>
        </w:trPr>
        <w:tc>
          <w:tcPr>
            <w:tcW w:w="430" w:type="dxa"/>
            <w:noWrap/>
            <w:hideMark/>
          </w:tcPr>
          <w:p w14:paraId="4DC181E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9" w:type="dxa"/>
            <w:noWrap/>
            <w:hideMark/>
          </w:tcPr>
          <w:p w14:paraId="4DC181ED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366" w:type="dxa"/>
            <w:noWrap/>
            <w:hideMark/>
          </w:tcPr>
          <w:p w14:paraId="4DC181EE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00" w:type="dxa"/>
            <w:noWrap/>
            <w:hideMark/>
          </w:tcPr>
          <w:p w14:paraId="4DC181EF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2.</w:t>
            </w:r>
          </w:p>
        </w:tc>
        <w:tc>
          <w:tcPr>
            <w:tcW w:w="632" w:type="dxa"/>
            <w:gridSpan w:val="2"/>
            <w:noWrap/>
            <w:hideMark/>
          </w:tcPr>
          <w:p w14:paraId="4DC181F0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Njesi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 xml:space="preserve"> </w:t>
            </w:r>
            <w:proofErr w:type="spellStart"/>
            <w:r w:rsidRPr="00E012DF">
              <w:rPr>
                <w:rFonts w:ascii="Arial" w:hAnsi="Arial" w:cs="Arial"/>
                <w:sz w:val="6"/>
                <w:szCs w:val="6"/>
              </w:rPr>
              <w:t>sherbimi</w:t>
            </w:r>
            <w:proofErr w:type="spellEnd"/>
            <w:r w:rsidRPr="00E012DF">
              <w:rPr>
                <w:rFonts w:ascii="Arial" w:hAnsi="Arial" w:cs="Arial"/>
                <w:sz w:val="6"/>
                <w:szCs w:val="6"/>
              </w:rPr>
              <w:t>*</w:t>
            </w:r>
          </w:p>
        </w:tc>
        <w:tc>
          <w:tcPr>
            <w:tcW w:w="670" w:type="dxa"/>
            <w:gridSpan w:val="2"/>
            <w:noWrap/>
            <w:hideMark/>
          </w:tcPr>
          <w:p w14:paraId="4DC181F1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  <w:r w:rsidRPr="00E012DF">
              <w:rPr>
                <w:rFonts w:ascii="Arial" w:hAnsi="Arial" w:cs="Arial"/>
                <w:sz w:val="6"/>
                <w:szCs w:val="6"/>
              </w:rPr>
              <w:t>32,113</w:t>
            </w:r>
          </w:p>
        </w:tc>
        <w:tc>
          <w:tcPr>
            <w:tcW w:w="366" w:type="dxa"/>
            <w:noWrap/>
            <w:hideMark/>
          </w:tcPr>
          <w:p w14:paraId="4DC181F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56" w:type="dxa"/>
            <w:noWrap/>
            <w:hideMark/>
          </w:tcPr>
          <w:p w14:paraId="4DC181F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84" w:type="dxa"/>
            <w:noWrap/>
            <w:hideMark/>
          </w:tcPr>
          <w:p w14:paraId="4DC181F4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50" w:type="dxa"/>
            <w:noWrap/>
            <w:hideMark/>
          </w:tcPr>
          <w:p w14:paraId="4DC181F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7" w:type="dxa"/>
            <w:noWrap/>
            <w:hideMark/>
          </w:tcPr>
          <w:p w14:paraId="4DC181F6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42" w:type="dxa"/>
            <w:noWrap/>
            <w:hideMark/>
          </w:tcPr>
          <w:p w14:paraId="4DC181F7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24" w:type="dxa"/>
            <w:hideMark/>
          </w:tcPr>
          <w:p w14:paraId="4DC181F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24" w:type="dxa"/>
            <w:hideMark/>
          </w:tcPr>
          <w:p w14:paraId="4DC181F9" w14:textId="77777777" w:rsidR="00642417" w:rsidRPr="00E012DF" w:rsidRDefault="00642417" w:rsidP="00642417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57" w:type="dxa"/>
            <w:noWrap/>
            <w:hideMark/>
          </w:tcPr>
          <w:p w14:paraId="4DC181F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noWrap/>
            <w:hideMark/>
          </w:tcPr>
          <w:p w14:paraId="4DC181F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90" w:type="dxa"/>
            <w:noWrap/>
            <w:hideMark/>
          </w:tcPr>
          <w:p w14:paraId="4DC181FC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  <w:r w:rsidRPr="00E012DF">
              <w:rPr>
                <w:rFonts w:ascii="Arial" w:hAnsi="Arial" w:cs="Arial"/>
                <w:b/>
                <w:bCs/>
                <w:sz w:val="6"/>
                <w:szCs w:val="6"/>
              </w:rPr>
              <w:t> </w:t>
            </w:r>
          </w:p>
        </w:tc>
        <w:tc>
          <w:tcPr>
            <w:tcW w:w="434" w:type="dxa"/>
            <w:noWrap/>
            <w:hideMark/>
          </w:tcPr>
          <w:p w14:paraId="4DC181FD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10" w:type="dxa"/>
            <w:noWrap/>
            <w:hideMark/>
          </w:tcPr>
          <w:p w14:paraId="4DC181FE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71" w:type="dxa"/>
            <w:noWrap/>
            <w:hideMark/>
          </w:tcPr>
          <w:p w14:paraId="4DC181FF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200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201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noWrap/>
            <w:hideMark/>
          </w:tcPr>
          <w:p w14:paraId="4DC18202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noWrap/>
            <w:hideMark/>
          </w:tcPr>
          <w:p w14:paraId="4DC18203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42" w:type="dxa"/>
            <w:noWrap/>
            <w:hideMark/>
          </w:tcPr>
          <w:p w14:paraId="4DC18204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205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206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34" w:type="dxa"/>
            <w:noWrap/>
            <w:hideMark/>
          </w:tcPr>
          <w:p w14:paraId="4DC18207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30" w:type="dxa"/>
            <w:noWrap/>
            <w:hideMark/>
          </w:tcPr>
          <w:p w14:paraId="4DC18208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64" w:type="dxa"/>
            <w:noWrap/>
            <w:hideMark/>
          </w:tcPr>
          <w:p w14:paraId="4DC18209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802" w:type="dxa"/>
            <w:noWrap/>
            <w:hideMark/>
          </w:tcPr>
          <w:p w14:paraId="4DC1820A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75" w:type="dxa"/>
            <w:noWrap/>
            <w:hideMark/>
          </w:tcPr>
          <w:p w14:paraId="4DC1820B" w14:textId="77777777" w:rsidR="00642417" w:rsidRPr="00E012DF" w:rsidRDefault="00642417" w:rsidP="00642417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</w:tr>
    </w:tbl>
    <w:p w14:paraId="4DC1820D" w14:textId="77777777" w:rsidR="004C18FC" w:rsidRPr="00E012DF" w:rsidRDefault="004C18FC" w:rsidP="004C18F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C18FC" w:rsidRPr="00E012DF" w:rsidSect="004C18FC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C18210" w14:textId="77777777" w:rsidR="00CE49F9" w:rsidRDefault="00CE49F9" w:rsidP="00C02C0F">
      <w:pPr>
        <w:spacing w:after="0" w:line="240" w:lineRule="auto"/>
      </w:pPr>
      <w:r>
        <w:separator/>
      </w:r>
    </w:p>
  </w:endnote>
  <w:endnote w:type="continuationSeparator" w:id="0">
    <w:p w14:paraId="4DC18211" w14:textId="77777777" w:rsidR="00CE49F9" w:rsidRDefault="00CE49F9" w:rsidP="00C02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18212" w14:textId="77777777" w:rsidR="00C02C0F" w:rsidRPr="005D0D36" w:rsidRDefault="00C02C0F">
    <w:pPr>
      <w:pStyle w:val="Footer"/>
      <w:jc w:val="right"/>
      <w:rPr>
        <w:rFonts w:ascii="Times New Roman" w:hAnsi="Times New Roman" w:cs="Times New Roman"/>
        <w:sz w:val="24"/>
      </w:rPr>
    </w:pPr>
  </w:p>
  <w:p w14:paraId="4DC18213" w14:textId="77777777" w:rsidR="00C02C0F" w:rsidRDefault="00C02C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C1820E" w14:textId="77777777" w:rsidR="00CE49F9" w:rsidRDefault="00CE49F9" w:rsidP="00C02C0F">
      <w:pPr>
        <w:spacing w:after="0" w:line="240" w:lineRule="auto"/>
      </w:pPr>
      <w:r>
        <w:separator/>
      </w:r>
    </w:p>
  </w:footnote>
  <w:footnote w:type="continuationSeparator" w:id="0">
    <w:p w14:paraId="4DC1820F" w14:textId="77777777" w:rsidR="00CE49F9" w:rsidRDefault="00CE49F9" w:rsidP="00C02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A55EA"/>
    <w:multiLevelType w:val="hybridMultilevel"/>
    <w:tmpl w:val="5468A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211BC9"/>
    <w:multiLevelType w:val="hybridMultilevel"/>
    <w:tmpl w:val="89DAFF98"/>
    <w:lvl w:ilvl="0" w:tplc="F66041D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481AFC"/>
    <w:multiLevelType w:val="hybridMultilevel"/>
    <w:tmpl w:val="706EB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9C83CDB"/>
    <w:multiLevelType w:val="hybridMultilevel"/>
    <w:tmpl w:val="3030003A"/>
    <w:lvl w:ilvl="0" w:tplc="FD346A12">
      <w:start w:val="1"/>
      <w:numFmt w:val="decimal"/>
      <w:lvlText w:val="%1."/>
      <w:lvlJc w:val="left"/>
      <w:pPr>
        <w:ind w:left="90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8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2F90"/>
    <w:rsid w:val="00004070"/>
    <w:rsid w:val="0000457F"/>
    <w:rsid w:val="00020E71"/>
    <w:rsid w:val="00027188"/>
    <w:rsid w:val="00027D47"/>
    <w:rsid w:val="00042695"/>
    <w:rsid w:val="00046DED"/>
    <w:rsid w:val="00052544"/>
    <w:rsid w:val="000658A7"/>
    <w:rsid w:val="0007557E"/>
    <w:rsid w:val="000951D6"/>
    <w:rsid w:val="00096CCF"/>
    <w:rsid w:val="000A685B"/>
    <w:rsid w:val="000B36B5"/>
    <w:rsid w:val="000D5655"/>
    <w:rsid w:val="000E1400"/>
    <w:rsid w:val="000E2A41"/>
    <w:rsid w:val="000F2D74"/>
    <w:rsid w:val="000F44AF"/>
    <w:rsid w:val="000F68A1"/>
    <w:rsid w:val="001037EC"/>
    <w:rsid w:val="00104DA3"/>
    <w:rsid w:val="00106738"/>
    <w:rsid w:val="0011114C"/>
    <w:rsid w:val="00121470"/>
    <w:rsid w:val="001235C9"/>
    <w:rsid w:val="0012528A"/>
    <w:rsid w:val="001368FC"/>
    <w:rsid w:val="00136B9C"/>
    <w:rsid w:val="00136D6D"/>
    <w:rsid w:val="00180923"/>
    <w:rsid w:val="001A6A7B"/>
    <w:rsid w:val="001B04D3"/>
    <w:rsid w:val="001B2DCA"/>
    <w:rsid w:val="001C7AA2"/>
    <w:rsid w:val="001D2185"/>
    <w:rsid w:val="001D7950"/>
    <w:rsid w:val="001E39E5"/>
    <w:rsid w:val="001E4571"/>
    <w:rsid w:val="001E6437"/>
    <w:rsid w:val="001F1E46"/>
    <w:rsid w:val="00202226"/>
    <w:rsid w:val="00223641"/>
    <w:rsid w:val="00230AC3"/>
    <w:rsid w:val="002321B2"/>
    <w:rsid w:val="00233A24"/>
    <w:rsid w:val="00240B95"/>
    <w:rsid w:val="002445AD"/>
    <w:rsid w:val="00250F38"/>
    <w:rsid w:val="00266585"/>
    <w:rsid w:val="00275F91"/>
    <w:rsid w:val="0027634D"/>
    <w:rsid w:val="00276BA7"/>
    <w:rsid w:val="00291C88"/>
    <w:rsid w:val="0029253A"/>
    <w:rsid w:val="002A75D5"/>
    <w:rsid w:val="002B5AFB"/>
    <w:rsid w:val="002B61C8"/>
    <w:rsid w:val="002B7F5C"/>
    <w:rsid w:val="002C51DC"/>
    <w:rsid w:val="002C70A3"/>
    <w:rsid w:val="002D751A"/>
    <w:rsid w:val="002E569E"/>
    <w:rsid w:val="002F026F"/>
    <w:rsid w:val="002F0521"/>
    <w:rsid w:val="002F52FB"/>
    <w:rsid w:val="00313B65"/>
    <w:rsid w:val="003334C1"/>
    <w:rsid w:val="00334F71"/>
    <w:rsid w:val="00335478"/>
    <w:rsid w:val="00336DBD"/>
    <w:rsid w:val="00346F6C"/>
    <w:rsid w:val="00347EDE"/>
    <w:rsid w:val="00352AAA"/>
    <w:rsid w:val="00362412"/>
    <w:rsid w:val="00372AA6"/>
    <w:rsid w:val="00381CD4"/>
    <w:rsid w:val="00386AA5"/>
    <w:rsid w:val="00391B69"/>
    <w:rsid w:val="003A7C3F"/>
    <w:rsid w:val="003B4531"/>
    <w:rsid w:val="003B601A"/>
    <w:rsid w:val="003C3B18"/>
    <w:rsid w:val="003C3FB3"/>
    <w:rsid w:val="003C5018"/>
    <w:rsid w:val="003E3BEC"/>
    <w:rsid w:val="003E5550"/>
    <w:rsid w:val="004036AC"/>
    <w:rsid w:val="0040498A"/>
    <w:rsid w:val="00405A60"/>
    <w:rsid w:val="00415167"/>
    <w:rsid w:val="004170B9"/>
    <w:rsid w:val="0043196A"/>
    <w:rsid w:val="00437577"/>
    <w:rsid w:val="0044516E"/>
    <w:rsid w:val="00446040"/>
    <w:rsid w:val="00447A06"/>
    <w:rsid w:val="0045190D"/>
    <w:rsid w:val="0045582C"/>
    <w:rsid w:val="00470233"/>
    <w:rsid w:val="00474EFA"/>
    <w:rsid w:val="00487AE5"/>
    <w:rsid w:val="004A30CB"/>
    <w:rsid w:val="004A42F0"/>
    <w:rsid w:val="004A497E"/>
    <w:rsid w:val="004A5D61"/>
    <w:rsid w:val="004B3030"/>
    <w:rsid w:val="004C18FC"/>
    <w:rsid w:val="004C5AA2"/>
    <w:rsid w:val="004D0828"/>
    <w:rsid w:val="004D6308"/>
    <w:rsid w:val="004E65DC"/>
    <w:rsid w:val="004F7B95"/>
    <w:rsid w:val="005019DC"/>
    <w:rsid w:val="00502015"/>
    <w:rsid w:val="00510464"/>
    <w:rsid w:val="005205B0"/>
    <w:rsid w:val="00525E2C"/>
    <w:rsid w:val="005419C5"/>
    <w:rsid w:val="005528D2"/>
    <w:rsid w:val="00552DCB"/>
    <w:rsid w:val="00557AE6"/>
    <w:rsid w:val="00562BDD"/>
    <w:rsid w:val="005647EC"/>
    <w:rsid w:val="00565CDE"/>
    <w:rsid w:val="00577E11"/>
    <w:rsid w:val="0058451A"/>
    <w:rsid w:val="00585010"/>
    <w:rsid w:val="00592AD6"/>
    <w:rsid w:val="005A0048"/>
    <w:rsid w:val="005A02FA"/>
    <w:rsid w:val="005A0B42"/>
    <w:rsid w:val="005A401F"/>
    <w:rsid w:val="005A6804"/>
    <w:rsid w:val="005B37C3"/>
    <w:rsid w:val="005B723E"/>
    <w:rsid w:val="005C0B64"/>
    <w:rsid w:val="005C0E54"/>
    <w:rsid w:val="005C3740"/>
    <w:rsid w:val="005C37B5"/>
    <w:rsid w:val="005C7182"/>
    <w:rsid w:val="005D0582"/>
    <w:rsid w:val="005D0D36"/>
    <w:rsid w:val="005D1525"/>
    <w:rsid w:val="005D199F"/>
    <w:rsid w:val="005D4A28"/>
    <w:rsid w:val="005F5C33"/>
    <w:rsid w:val="00621CB8"/>
    <w:rsid w:val="00642417"/>
    <w:rsid w:val="006471FA"/>
    <w:rsid w:val="00654999"/>
    <w:rsid w:val="00656C17"/>
    <w:rsid w:val="006626D4"/>
    <w:rsid w:val="00674970"/>
    <w:rsid w:val="00677316"/>
    <w:rsid w:val="006924F8"/>
    <w:rsid w:val="00696590"/>
    <w:rsid w:val="00696774"/>
    <w:rsid w:val="00697120"/>
    <w:rsid w:val="00697B39"/>
    <w:rsid w:val="006A381F"/>
    <w:rsid w:val="006A4D91"/>
    <w:rsid w:val="006A504B"/>
    <w:rsid w:val="006D4D46"/>
    <w:rsid w:val="006D4E6C"/>
    <w:rsid w:val="006F482A"/>
    <w:rsid w:val="006F6179"/>
    <w:rsid w:val="00704165"/>
    <w:rsid w:val="00706950"/>
    <w:rsid w:val="00714C3E"/>
    <w:rsid w:val="007202D5"/>
    <w:rsid w:val="00736C4F"/>
    <w:rsid w:val="007470B1"/>
    <w:rsid w:val="007523D3"/>
    <w:rsid w:val="00752660"/>
    <w:rsid w:val="00763714"/>
    <w:rsid w:val="0076373B"/>
    <w:rsid w:val="00764BE1"/>
    <w:rsid w:val="007664A9"/>
    <w:rsid w:val="0076706F"/>
    <w:rsid w:val="00771971"/>
    <w:rsid w:val="00781590"/>
    <w:rsid w:val="00785D63"/>
    <w:rsid w:val="0079726F"/>
    <w:rsid w:val="007B1801"/>
    <w:rsid w:val="007C3056"/>
    <w:rsid w:val="007D48C7"/>
    <w:rsid w:val="007F3AC6"/>
    <w:rsid w:val="007F6822"/>
    <w:rsid w:val="007F7E7B"/>
    <w:rsid w:val="00802179"/>
    <w:rsid w:val="0080247E"/>
    <w:rsid w:val="008027F2"/>
    <w:rsid w:val="008072EF"/>
    <w:rsid w:val="0083254D"/>
    <w:rsid w:val="00832AB6"/>
    <w:rsid w:val="00833F60"/>
    <w:rsid w:val="00834699"/>
    <w:rsid w:val="00834E39"/>
    <w:rsid w:val="008473B1"/>
    <w:rsid w:val="00861E7D"/>
    <w:rsid w:val="0086732B"/>
    <w:rsid w:val="00870F2A"/>
    <w:rsid w:val="00896E05"/>
    <w:rsid w:val="008A1215"/>
    <w:rsid w:val="008A2BA6"/>
    <w:rsid w:val="008A4285"/>
    <w:rsid w:val="008A4E1D"/>
    <w:rsid w:val="008B2977"/>
    <w:rsid w:val="008B530D"/>
    <w:rsid w:val="008B6005"/>
    <w:rsid w:val="008B7ECF"/>
    <w:rsid w:val="008D725C"/>
    <w:rsid w:val="008F22D7"/>
    <w:rsid w:val="009009AE"/>
    <w:rsid w:val="00912204"/>
    <w:rsid w:val="00914E54"/>
    <w:rsid w:val="009204BC"/>
    <w:rsid w:val="00921EE7"/>
    <w:rsid w:val="00925B57"/>
    <w:rsid w:val="00932B43"/>
    <w:rsid w:val="00934A81"/>
    <w:rsid w:val="009404E3"/>
    <w:rsid w:val="0095762D"/>
    <w:rsid w:val="00975F71"/>
    <w:rsid w:val="0098252F"/>
    <w:rsid w:val="00982C6F"/>
    <w:rsid w:val="00990DEC"/>
    <w:rsid w:val="009924FB"/>
    <w:rsid w:val="0099537A"/>
    <w:rsid w:val="009B470A"/>
    <w:rsid w:val="009B4859"/>
    <w:rsid w:val="009B6462"/>
    <w:rsid w:val="009C2F05"/>
    <w:rsid w:val="009D3890"/>
    <w:rsid w:val="009D3B41"/>
    <w:rsid w:val="009D628E"/>
    <w:rsid w:val="009D6300"/>
    <w:rsid w:val="009E3D85"/>
    <w:rsid w:val="009F6078"/>
    <w:rsid w:val="009F6DBD"/>
    <w:rsid w:val="009F6E2E"/>
    <w:rsid w:val="00A05C8B"/>
    <w:rsid w:val="00A06707"/>
    <w:rsid w:val="00A110C2"/>
    <w:rsid w:val="00A20117"/>
    <w:rsid w:val="00A229F9"/>
    <w:rsid w:val="00A31FB3"/>
    <w:rsid w:val="00A3328B"/>
    <w:rsid w:val="00A42C2B"/>
    <w:rsid w:val="00A45CB4"/>
    <w:rsid w:val="00A466F9"/>
    <w:rsid w:val="00A741D0"/>
    <w:rsid w:val="00A750C6"/>
    <w:rsid w:val="00A77070"/>
    <w:rsid w:val="00A92B1E"/>
    <w:rsid w:val="00AB1B5F"/>
    <w:rsid w:val="00AB52F7"/>
    <w:rsid w:val="00AC03C4"/>
    <w:rsid w:val="00AC298C"/>
    <w:rsid w:val="00AD1FD8"/>
    <w:rsid w:val="00AD558B"/>
    <w:rsid w:val="00AE1C23"/>
    <w:rsid w:val="00AE4275"/>
    <w:rsid w:val="00AE6817"/>
    <w:rsid w:val="00AF354D"/>
    <w:rsid w:val="00AF4965"/>
    <w:rsid w:val="00B01858"/>
    <w:rsid w:val="00B01E94"/>
    <w:rsid w:val="00B02D0C"/>
    <w:rsid w:val="00B05B6C"/>
    <w:rsid w:val="00B0728E"/>
    <w:rsid w:val="00B07FAA"/>
    <w:rsid w:val="00B13D90"/>
    <w:rsid w:val="00B17512"/>
    <w:rsid w:val="00B2763F"/>
    <w:rsid w:val="00B30CA4"/>
    <w:rsid w:val="00B41FDF"/>
    <w:rsid w:val="00B45FCC"/>
    <w:rsid w:val="00B52F5A"/>
    <w:rsid w:val="00B548AC"/>
    <w:rsid w:val="00B56278"/>
    <w:rsid w:val="00B72C5B"/>
    <w:rsid w:val="00B8269A"/>
    <w:rsid w:val="00B90EE8"/>
    <w:rsid w:val="00B94D39"/>
    <w:rsid w:val="00BA402F"/>
    <w:rsid w:val="00BA7107"/>
    <w:rsid w:val="00BD29B8"/>
    <w:rsid w:val="00BE55E5"/>
    <w:rsid w:val="00BE6B87"/>
    <w:rsid w:val="00BF0721"/>
    <w:rsid w:val="00BF5A2B"/>
    <w:rsid w:val="00BF609A"/>
    <w:rsid w:val="00BF6239"/>
    <w:rsid w:val="00C02C0F"/>
    <w:rsid w:val="00C06C85"/>
    <w:rsid w:val="00C15AB5"/>
    <w:rsid w:val="00C1716A"/>
    <w:rsid w:val="00C20F08"/>
    <w:rsid w:val="00C2152D"/>
    <w:rsid w:val="00C2396D"/>
    <w:rsid w:val="00C27214"/>
    <w:rsid w:val="00C3246C"/>
    <w:rsid w:val="00C3334A"/>
    <w:rsid w:val="00C33E46"/>
    <w:rsid w:val="00C422A1"/>
    <w:rsid w:val="00C528DB"/>
    <w:rsid w:val="00C551D1"/>
    <w:rsid w:val="00C71197"/>
    <w:rsid w:val="00C80C2C"/>
    <w:rsid w:val="00C82E74"/>
    <w:rsid w:val="00C87135"/>
    <w:rsid w:val="00CA0811"/>
    <w:rsid w:val="00CA1E0B"/>
    <w:rsid w:val="00CA3C76"/>
    <w:rsid w:val="00CA4290"/>
    <w:rsid w:val="00CA6B12"/>
    <w:rsid w:val="00CC0316"/>
    <w:rsid w:val="00CC0958"/>
    <w:rsid w:val="00CC600C"/>
    <w:rsid w:val="00CD495B"/>
    <w:rsid w:val="00CE36D3"/>
    <w:rsid w:val="00CE49F9"/>
    <w:rsid w:val="00CF4AD9"/>
    <w:rsid w:val="00CF5E68"/>
    <w:rsid w:val="00D04380"/>
    <w:rsid w:val="00D054A8"/>
    <w:rsid w:val="00D060F6"/>
    <w:rsid w:val="00D06450"/>
    <w:rsid w:val="00D1689D"/>
    <w:rsid w:val="00D17E56"/>
    <w:rsid w:val="00D2631D"/>
    <w:rsid w:val="00D35162"/>
    <w:rsid w:val="00D40228"/>
    <w:rsid w:val="00D435C8"/>
    <w:rsid w:val="00D45565"/>
    <w:rsid w:val="00D46F25"/>
    <w:rsid w:val="00D552B3"/>
    <w:rsid w:val="00D577B0"/>
    <w:rsid w:val="00D66F20"/>
    <w:rsid w:val="00D676FC"/>
    <w:rsid w:val="00D71B00"/>
    <w:rsid w:val="00D7750B"/>
    <w:rsid w:val="00D80981"/>
    <w:rsid w:val="00D80E8A"/>
    <w:rsid w:val="00D84C85"/>
    <w:rsid w:val="00D865C2"/>
    <w:rsid w:val="00D918F3"/>
    <w:rsid w:val="00D95DD1"/>
    <w:rsid w:val="00D9773F"/>
    <w:rsid w:val="00DA4A4F"/>
    <w:rsid w:val="00DB2EFA"/>
    <w:rsid w:val="00DB3D32"/>
    <w:rsid w:val="00DC09E6"/>
    <w:rsid w:val="00DC2971"/>
    <w:rsid w:val="00DD0B01"/>
    <w:rsid w:val="00DD1E7A"/>
    <w:rsid w:val="00DE310D"/>
    <w:rsid w:val="00DE61F4"/>
    <w:rsid w:val="00DF0135"/>
    <w:rsid w:val="00DF306B"/>
    <w:rsid w:val="00DF465D"/>
    <w:rsid w:val="00DF4F0B"/>
    <w:rsid w:val="00DF5789"/>
    <w:rsid w:val="00E012DF"/>
    <w:rsid w:val="00E04ED4"/>
    <w:rsid w:val="00E13712"/>
    <w:rsid w:val="00E262B7"/>
    <w:rsid w:val="00E430B8"/>
    <w:rsid w:val="00E43560"/>
    <w:rsid w:val="00E57EC5"/>
    <w:rsid w:val="00E65BA5"/>
    <w:rsid w:val="00E7220B"/>
    <w:rsid w:val="00E87556"/>
    <w:rsid w:val="00E95F0B"/>
    <w:rsid w:val="00E96F29"/>
    <w:rsid w:val="00EA082B"/>
    <w:rsid w:val="00EA1B6A"/>
    <w:rsid w:val="00EA40B9"/>
    <w:rsid w:val="00EA58BC"/>
    <w:rsid w:val="00EB106A"/>
    <w:rsid w:val="00EB6FE9"/>
    <w:rsid w:val="00EC5D4F"/>
    <w:rsid w:val="00EC71DB"/>
    <w:rsid w:val="00ED0D69"/>
    <w:rsid w:val="00ED25EF"/>
    <w:rsid w:val="00ED33CF"/>
    <w:rsid w:val="00ED4AF6"/>
    <w:rsid w:val="00F01B83"/>
    <w:rsid w:val="00F076B2"/>
    <w:rsid w:val="00F1530F"/>
    <w:rsid w:val="00F2670C"/>
    <w:rsid w:val="00F356D3"/>
    <w:rsid w:val="00F41239"/>
    <w:rsid w:val="00F47F8F"/>
    <w:rsid w:val="00F62285"/>
    <w:rsid w:val="00F74A7F"/>
    <w:rsid w:val="00F8436E"/>
    <w:rsid w:val="00F931CA"/>
    <w:rsid w:val="00FA4438"/>
    <w:rsid w:val="00FB0091"/>
    <w:rsid w:val="00FB0D37"/>
    <w:rsid w:val="00FB594B"/>
    <w:rsid w:val="00FC3174"/>
    <w:rsid w:val="00FC6029"/>
    <w:rsid w:val="00FC6A04"/>
    <w:rsid w:val="00FD3BD5"/>
    <w:rsid w:val="00FE7301"/>
    <w:rsid w:val="00FF1D88"/>
    <w:rsid w:val="00FF270C"/>
    <w:rsid w:val="00FF437C"/>
    <w:rsid w:val="00FF6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18041"/>
  <w15:docId w15:val="{71CAC57D-637F-4061-ACB9-F3AE31B7C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736C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83469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02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C0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02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C0F"/>
    <w:rPr>
      <w:lang w:val="sq-AL"/>
    </w:rPr>
  </w:style>
  <w:style w:type="table" w:styleId="TableGrid">
    <w:name w:val="Table Grid"/>
    <w:basedOn w:val="TableNormal"/>
    <w:uiPriority w:val="59"/>
    <w:rsid w:val="00642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680</Nr_x002e__x0020_akti>
    <Data_x0020_e_x0020_Krijimit xmlns="0e656187-b300-4fb0-8bf4-3a50f872073c">2022-10-27T12:56:19Z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2022-10-26T22:00:00Z</Date_x0020_protokolli>
    <Titulli xmlns="0e656187-b300-4fb0-8bf4-3a50f872073c">Për shpronësimin, për interes publik, të pronarëve të pasurive të paluajtshme, pronë private, në funksion të procesit të rindërtimit të godinës së kopshtit publik Vorë, Bashkia Vorë</Titulli>
    <Modifikuesi xmlns="0e656187-b300-4fb0-8bf4-3a50f872073c">Suada.Daci</Modifikuesi>
    <Nr_x002e__x0020_prot_x0020_QBZ xmlns="0e656187-b300-4fb0-8bf4-3a50f872073c">1584</Nr_x002e__x0020_prot_x0020_QBZ>
    <Data_x0020_e_x0020_Modifikimit xmlns="0e656187-b300-4fb0-8bf4-3a50f872073c">2022-10-28T07:31:52Z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5736/1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21F406D8FF4FCFB7D81C029EE4E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F03AC-52E2-4250-8050-C5D80AA42F72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539C8E4-3941-4FF5-9528-DB162CED25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B11B8D-2D2C-40EF-AA2D-9466D9BC5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8F1ED4-75C1-4523-AA70-6BA5EE95E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6536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Fadil Pemaj</dc:creator>
  <cp:lastModifiedBy>Alma Lisaku</cp:lastModifiedBy>
  <cp:revision>15</cp:revision>
  <cp:lastPrinted>2022-10-06T08:35:00Z</cp:lastPrinted>
  <dcterms:created xsi:type="dcterms:W3CDTF">2022-10-25T15:40:00Z</dcterms:created>
  <dcterms:modified xsi:type="dcterms:W3CDTF">2022-10-28T07:53:00Z</dcterms:modified>
</cp:coreProperties>
</file>