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4E294A" w14:textId="77777777" w:rsidR="00301E5B" w:rsidRPr="00E83C5E" w:rsidRDefault="00301E5B" w:rsidP="00301E5B">
      <w:pPr>
        <w:autoSpaceDE w:val="0"/>
        <w:autoSpaceDN w:val="0"/>
        <w:adjustRightInd w:val="0"/>
        <w:spacing w:after="0" w:line="240" w:lineRule="auto"/>
        <w:ind w:firstLine="284"/>
        <w:jc w:val="center"/>
        <w:rPr>
          <w:rFonts w:ascii="Garamond" w:hAnsi="Garamond"/>
          <w:b/>
          <w:bCs/>
          <w:color w:val="000000"/>
          <w:sz w:val="24"/>
        </w:rPr>
      </w:pPr>
      <w:r w:rsidRPr="00E83C5E">
        <w:rPr>
          <w:rFonts w:ascii="Garamond" w:hAnsi="Garamond"/>
          <w:b/>
          <w:bCs/>
          <w:color w:val="000000"/>
          <w:sz w:val="24"/>
        </w:rPr>
        <w:t>VENDIM</w:t>
      </w:r>
    </w:p>
    <w:p w14:paraId="574E294B" w14:textId="77777777" w:rsidR="00301E5B" w:rsidRPr="00E83C5E" w:rsidRDefault="00301E5B" w:rsidP="00301E5B">
      <w:pPr>
        <w:autoSpaceDE w:val="0"/>
        <w:autoSpaceDN w:val="0"/>
        <w:adjustRightInd w:val="0"/>
        <w:spacing w:after="0" w:line="240" w:lineRule="auto"/>
        <w:ind w:firstLine="284"/>
        <w:jc w:val="center"/>
        <w:rPr>
          <w:rFonts w:ascii="Garamond" w:hAnsi="Garamond"/>
          <w:b/>
          <w:bCs/>
          <w:color w:val="000000"/>
          <w:sz w:val="24"/>
        </w:rPr>
      </w:pPr>
      <w:r w:rsidRPr="00E83C5E">
        <w:rPr>
          <w:rFonts w:ascii="Garamond" w:hAnsi="Garamond"/>
          <w:b/>
          <w:bCs/>
          <w:color w:val="000000"/>
          <w:sz w:val="24"/>
        </w:rPr>
        <w:t>Nr. 692, datë 26.10.2022</w:t>
      </w:r>
    </w:p>
    <w:p w14:paraId="574E294C" w14:textId="77777777" w:rsidR="00301E5B" w:rsidRPr="00E83C5E" w:rsidRDefault="00301E5B" w:rsidP="00301E5B">
      <w:pPr>
        <w:autoSpaceDE w:val="0"/>
        <w:autoSpaceDN w:val="0"/>
        <w:adjustRightInd w:val="0"/>
        <w:spacing w:after="0" w:line="240" w:lineRule="auto"/>
        <w:ind w:firstLine="284"/>
        <w:jc w:val="center"/>
        <w:rPr>
          <w:rFonts w:ascii="Garamond" w:hAnsi="Garamond"/>
          <w:b/>
          <w:bCs/>
          <w:color w:val="000000"/>
          <w:sz w:val="24"/>
        </w:rPr>
      </w:pPr>
    </w:p>
    <w:p w14:paraId="574E294D" w14:textId="640B985A" w:rsidR="00301E5B" w:rsidRPr="00E83C5E" w:rsidRDefault="00301E5B" w:rsidP="00301E5B">
      <w:pPr>
        <w:autoSpaceDE w:val="0"/>
        <w:autoSpaceDN w:val="0"/>
        <w:adjustRightInd w:val="0"/>
        <w:spacing w:after="0" w:line="240" w:lineRule="auto"/>
        <w:ind w:firstLine="284"/>
        <w:jc w:val="center"/>
        <w:rPr>
          <w:rFonts w:ascii="Garamond" w:hAnsi="Garamond"/>
          <w:b/>
          <w:bCs/>
          <w:color w:val="000000"/>
          <w:sz w:val="24"/>
        </w:rPr>
      </w:pPr>
      <w:r w:rsidRPr="00E83C5E">
        <w:rPr>
          <w:rFonts w:ascii="Garamond" w:hAnsi="Garamond"/>
          <w:b/>
          <w:bCs/>
          <w:color w:val="000000"/>
          <w:sz w:val="24"/>
        </w:rPr>
        <w:t>PËR MIRATIMIN E STRATEGJISË KOMBËTARE TË RINISË</w:t>
      </w:r>
      <w:r w:rsidR="00233C37" w:rsidRPr="00E83C5E">
        <w:rPr>
          <w:rFonts w:ascii="Garamond" w:hAnsi="Garamond"/>
          <w:b/>
          <w:bCs/>
          <w:color w:val="000000"/>
          <w:sz w:val="24"/>
        </w:rPr>
        <w:t xml:space="preserve"> </w:t>
      </w:r>
      <w:r w:rsidRPr="00E83C5E">
        <w:rPr>
          <w:rFonts w:ascii="Garamond" w:hAnsi="Garamond"/>
          <w:b/>
          <w:bCs/>
          <w:color w:val="000000"/>
          <w:sz w:val="24"/>
        </w:rPr>
        <w:t>DHE PLANIT TË VEPRIMIT 2022</w:t>
      </w:r>
      <w:r w:rsidR="00D83BA7" w:rsidRPr="00E83C5E">
        <w:rPr>
          <w:rFonts w:ascii="Garamond" w:hAnsi="Garamond" w:cs="Times New Roman"/>
          <w:b/>
          <w:bCs/>
          <w:sz w:val="24"/>
          <w:szCs w:val="24"/>
        </w:rPr>
        <w:t>–</w:t>
      </w:r>
      <w:r w:rsidRPr="00E83C5E">
        <w:rPr>
          <w:rFonts w:ascii="Garamond" w:hAnsi="Garamond"/>
          <w:b/>
          <w:bCs/>
          <w:color w:val="000000"/>
          <w:sz w:val="24"/>
        </w:rPr>
        <w:t>2029</w:t>
      </w:r>
    </w:p>
    <w:p w14:paraId="574E294E" w14:textId="77777777" w:rsidR="00301E5B" w:rsidRPr="00E83C5E" w:rsidRDefault="00301E5B" w:rsidP="00301E5B">
      <w:pPr>
        <w:autoSpaceDE w:val="0"/>
        <w:autoSpaceDN w:val="0"/>
        <w:adjustRightInd w:val="0"/>
        <w:spacing w:after="0" w:line="240" w:lineRule="auto"/>
        <w:ind w:firstLine="284"/>
        <w:jc w:val="both"/>
        <w:rPr>
          <w:rFonts w:ascii="Garamond" w:hAnsi="Garamond"/>
          <w:color w:val="000000"/>
          <w:sz w:val="24"/>
        </w:rPr>
      </w:pPr>
    </w:p>
    <w:p w14:paraId="574E294F" w14:textId="71D56C1F" w:rsidR="00301E5B" w:rsidRPr="00E83C5E" w:rsidRDefault="00301E5B" w:rsidP="00301E5B">
      <w:pPr>
        <w:autoSpaceDE w:val="0"/>
        <w:autoSpaceDN w:val="0"/>
        <w:adjustRightInd w:val="0"/>
        <w:spacing w:after="0" w:line="240" w:lineRule="auto"/>
        <w:ind w:firstLine="284"/>
        <w:jc w:val="both"/>
        <w:rPr>
          <w:rFonts w:ascii="Garamond" w:hAnsi="Garamond"/>
          <w:color w:val="000000"/>
          <w:sz w:val="24"/>
        </w:rPr>
      </w:pPr>
      <w:r w:rsidRPr="00E83C5E">
        <w:rPr>
          <w:rFonts w:ascii="Garamond" w:hAnsi="Garamond"/>
          <w:color w:val="000000"/>
          <w:sz w:val="24"/>
        </w:rPr>
        <w:t xml:space="preserve">Në mbështetje të nenit 100 të Kushtetutës dhe të shkronjës </w:t>
      </w:r>
      <w:r w:rsidR="00D540B0" w:rsidRPr="00E83C5E">
        <w:rPr>
          <w:rFonts w:ascii="Garamond" w:hAnsi="Garamond"/>
          <w:color w:val="000000"/>
          <w:sz w:val="24"/>
        </w:rPr>
        <w:t>“</w:t>
      </w:r>
      <w:r w:rsidRPr="00E83C5E">
        <w:rPr>
          <w:rFonts w:ascii="Garamond" w:hAnsi="Garamond"/>
          <w:color w:val="000000"/>
          <w:sz w:val="24"/>
        </w:rPr>
        <w:t>a</w:t>
      </w:r>
      <w:r w:rsidR="00D540B0" w:rsidRPr="00E83C5E">
        <w:rPr>
          <w:rFonts w:ascii="Garamond" w:hAnsi="Garamond"/>
          <w:color w:val="000000"/>
          <w:sz w:val="24"/>
        </w:rPr>
        <w:t>”</w:t>
      </w:r>
      <w:r w:rsidRPr="00E83C5E">
        <w:rPr>
          <w:rFonts w:ascii="Garamond" w:hAnsi="Garamond"/>
          <w:color w:val="000000"/>
          <w:sz w:val="24"/>
        </w:rPr>
        <w:t>, të nenit 5, të ligjit nr.</w:t>
      </w:r>
      <w:r w:rsidR="00D83BA7" w:rsidRPr="00E83C5E">
        <w:rPr>
          <w:rFonts w:ascii="Garamond" w:hAnsi="Garamond"/>
          <w:color w:val="000000"/>
          <w:sz w:val="24"/>
        </w:rPr>
        <w:t xml:space="preserve"> </w:t>
      </w:r>
      <w:r w:rsidRPr="00E83C5E">
        <w:rPr>
          <w:rFonts w:ascii="Garamond" w:hAnsi="Garamond"/>
          <w:color w:val="000000"/>
          <w:sz w:val="24"/>
        </w:rPr>
        <w:t xml:space="preserve">75/2019, </w:t>
      </w:r>
      <w:r w:rsidR="00D540B0" w:rsidRPr="00E83C5E">
        <w:rPr>
          <w:rFonts w:ascii="Garamond" w:hAnsi="Garamond"/>
          <w:color w:val="000000"/>
          <w:sz w:val="24"/>
        </w:rPr>
        <w:t>“</w:t>
      </w:r>
      <w:r w:rsidRPr="00E83C5E">
        <w:rPr>
          <w:rFonts w:ascii="Garamond" w:hAnsi="Garamond"/>
          <w:color w:val="000000"/>
          <w:sz w:val="24"/>
        </w:rPr>
        <w:t>Për rininë</w:t>
      </w:r>
      <w:r w:rsidR="00D540B0" w:rsidRPr="00E83C5E">
        <w:rPr>
          <w:rFonts w:ascii="Garamond" w:hAnsi="Garamond"/>
          <w:color w:val="000000"/>
          <w:sz w:val="24"/>
        </w:rPr>
        <w:t>”</w:t>
      </w:r>
      <w:r w:rsidRPr="00E83C5E">
        <w:rPr>
          <w:rFonts w:ascii="Garamond" w:hAnsi="Garamond"/>
          <w:color w:val="000000"/>
          <w:sz w:val="24"/>
        </w:rPr>
        <w:t>, me propozimin e ministrit të Shtetit për Rininë dhe Fëmijët, Këshilli i Ministrave</w:t>
      </w:r>
    </w:p>
    <w:p w14:paraId="574E2950" w14:textId="77777777" w:rsidR="00301E5B" w:rsidRPr="00E83C5E" w:rsidRDefault="00301E5B" w:rsidP="00301E5B">
      <w:pPr>
        <w:autoSpaceDE w:val="0"/>
        <w:autoSpaceDN w:val="0"/>
        <w:adjustRightInd w:val="0"/>
        <w:spacing w:after="0" w:line="240" w:lineRule="auto"/>
        <w:ind w:firstLine="284"/>
        <w:jc w:val="both"/>
        <w:rPr>
          <w:rFonts w:ascii="Garamond" w:hAnsi="Garamond"/>
          <w:color w:val="000000"/>
          <w:sz w:val="24"/>
        </w:rPr>
      </w:pPr>
    </w:p>
    <w:p w14:paraId="574E2951" w14:textId="77777777" w:rsidR="00301E5B" w:rsidRPr="00E83C5E" w:rsidRDefault="00301E5B" w:rsidP="00301E5B">
      <w:pPr>
        <w:autoSpaceDE w:val="0"/>
        <w:autoSpaceDN w:val="0"/>
        <w:adjustRightInd w:val="0"/>
        <w:spacing w:after="0" w:line="240" w:lineRule="auto"/>
        <w:ind w:firstLine="284"/>
        <w:jc w:val="center"/>
        <w:rPr>
          <w:rFonts w:ascii="Garamond" w:hAnsi="Garamond"/>
          <w:bCs/>
          <w:color w:val="000000"/>
          <w:sz w:val="24"/>
        </w:rPr>
      </w:pPr>
      <w:r w:rsidRPr="00E83C5E">
        <w:rPr>
          <w:rFonts w:ascii="Garamond" w:hAnsi="Garamond"/>
          <w:bCs/>
          <w:color w:val="000000"/>
          <w:sz w:val="24"/>
        </w:rPr>
        <w:t>VENDOSI:</w:t>
      </w:r>
    </w:p>
    <w:p w14:paraId="574E2952" w14:textId="77777777" w:rsidR="00301E5B" w:rsidRPr="00E83C5E" w:rsidRDefault="00301E5B" w:rsidP="00301E5B">
      <w:pPr>
        <w:autoSpaceDE w:val="0"/>
        <w:autoSpaceDN w:val="0"/>
        <w:adjustRightInd w:val="0"/>
        <w:spacing w:after="0" w:line="240" w:lineRule="auto"/>
        <w:ind w:firstLine="284"/>
        <w:jc w:val="center"/>
        <w:rPr>
          <w:rFonts w:ascii="Garamond" w:hAnsi="Garamond"/>
          <w:color w:val="000000"/>
          <w:sz w:val="24"/>
        </w:rPr>
      </w:pPr>
    </w:p>
    <w:p w14:paraId="574E2953" w14:textId="74FFFA78" w:rsidR="00301E5B" w:rsidRPr="00E83C5E" w:rsidRDefault="00301E5B" w:rsidP="00301E5B">
      <w:pPr>
        <w:autoSpaceDE w:val="0"/>
        <w:autoSpaceDN w:val="0"/>
        <w:adjustRightInd w:val="0"/>
        <w:spacing w:after="0" w:line="240" w:lineRule="auto"/>
        <w:ind w:firstLine="284"/>
        <w:jc w:val="both"/>
        <w:rPr>
          <w:rFonts w:ascii="Garamond" w:hAnsi="Garamond"/>
          <w:color w:val="000000"/>
          <w:sz w:val="24"/>
        </w:rPr>
      </w:pPr>
      <w:r w:rsidRPr="00E83C5E">
        <w:rPr>
          <w:rFonts w:ascii="Garamond" w:hAnsi="Garamond"/>
          <w:color w:val="000000"/>
          <w:sz w:val="24"/>
        </w:rPr>
        <w:t>1. Miratimin e Strategjisë Kombëtare të Rinisë dhe planit të veprimit 2022</w:t>
      </w:r>
      <w:r w:rsidR="00521F97" w:rsidRPr="00E83C5E">
        <w:rPr>
          <w:rFonts w:ascii="Garamond" w:hAnsi="Garamond" w:cs="Times New Roman"/>
          <w:bCs/>
          <w:sz w:val="24"/>
          <w:szCs w:val="24"/>
        </w:rPr>
        <w:t>–</w:t>
      </w:r>
      <w:r w:rsidRPr="00E83C5E">
        <w:rPr>
          <w:rFonts w:ascii="Garamond" w:hAnsi="Garamond"/>
          <w:color w:val="000000"/>
          <w:sz w:val="24"/>
        </w:rPr>
        <w:t xml:space="preserve">2029, sipas tekstit që i bashkëlidhet këtij vendimi. </w:t>
      </w:r>
    </w:p>
    <w:p w14:paraId="574E2954" w14:textId="77777777" w:rsidR="00301E5B" w:rsidRPr="00E83C5E" w:rsidRDefault="00301E5B" w:rsidP="00301E5B">
      <w:pPr>
        <w:autoSpaceDE w:val="0"/>
        <w:autoSpaceDN w:val="0"/>
        <w:adjustRightInd w:val="0"/>
        <w:spacing w:after="0" w:line="240" w:lineRule="auto"/>
        <w:ind w:firstLine="284"/>
        <w:jc w:val="both"/>
        <w:rPr>
          <w:rFonts w:ascii="Garamond" w:hAnsi="Garamond"/>
          <w:color w:val="000000"/>
          <w:sz w:val="24"/>
        </w:rPr>
      </w:pPr>
      <w:r w:rsidRPr="00E83C5E">
        <w:rPr>
          <w:rFonts w:ascii="Garamond" w:hAnsi="Garamond"/>
          <w:color w:val="000000"/>
          <w:sz w:val="24"/>
        </w:rPr>
        <w:t xml:space="preserve">2. Ngarkohen ministri përgjegjës për rininë, ministritë e linjës dhe institucionet përgjegjëse të përmendura në tekstin e kësaj strategjie dhe planit të saj të veprimit për zbatimin e këtij vendimi. </w:t>
      </w:r>
    </w:p>
    <w:p w14:paraId="574E2955" w14:textId="77777777" w:rsidR="00301E5B" w:rsidRPr="00E83C5E" w:rsidRDefault="00301E5B" w:rsidP="00301E5B">
      <w:pPr>
        <w:autoSpaceDE w:val="0"/>
        <w:autoSpaceDN w:val="0"/>
        <w:adjustRightInd w:val="0"/>
        <w:spacing w:after="0" w:line="240" w:lineRule="auto"/>
        <w:ind w:firstLine="284"/>
        <w:jc w:val="both"/>
        <w:rPr>
          <w:rFonts w:ascii="Garamond" w:hAnsi="Garamond"/>
          <w:color w:val="000000"/>
          <w:sz w:val="24"/>
        </w:rPr>
      </w:pPr>
      <w:r w:rsidRPr="00E83C5E">
        <w:rPr>
          <w:rFonts w:ascii="Garamond" w:hAnsi="Garamond"/>
          <w:color w:val="000000"/>
          <w:sz w:val="24"/>
        </w:rPr>
        <w:t>Ky vendim hyn në fuqi pas botimit në Fletoren Zyrtare.</w:t>
      </w:r>
    </w:p>
    <w:p w14:paraId="574E2956" w14:textId="77777777" w:rsidR="00301E5B" w:rsidRPr="00E83C5E" w:rsidRDefault="00301E5B" w:rsidP="00301E5B">
      <w:pPr>
        <w:autoSpaceDE w:val="0"/>
        <w:autoSpaceDN w:val="0"/>
        <w:adjustRightInd w:val="0"/>
        <w:spacing w:after="0" w:line="240" w:lineRule="auto"/>
        <w:ind w:firstLine="284"/>
        <w:jc w:val="both"/>
        <w:rPr>
          <w:rFonts w:ascii="Garamond" w:hAnsi="Garamond"/>
          <w:color w:val="000000"/>
          <w:sz w:val="24"/>
        </w:rPr>
      </w:pPr>
    </w:p>
    <w:p w14:paraId="574E2957" w14:textId="77777777" w:rsidR="00301E5B" w:rsidRPr="00E83C5E" w:rsidRDefault="00301E5B" w:rsidP="00301E5B">
      <w:pPr>
        <w:autoSpaceDE w:val="0"/>
        <w:autoSpaceDN w:val="0"/>
        <w:adjustRightInd w:val="0"/>
        <w:spacing w:after="0" w:line="240" w:lineRule="auto"/>
        <w:ind w:firstLine="284"/>
        <w:jc w:val="right"/>
        <w:rPr>
          <w:rFonts w:ascii="Garamond" w:hAnsi="Garamond"/>
          <w:bCs/>
          <w:color w:val="000000"/>
          <w:sz w:val="24"/>
        </w:rPr>
      </w:pPr>
      <w:r w:rsidRPr="00E83C5E">
        <w:rPr>
          <w:rFonts w:ascii="Garamond" w:hAnsi="Garamond"/>
          <w:bCs/>
          <w:color w:val="000000"/>
          <w:sz w:val="24"/>
        </w:rPr>
        <w:t xml:space="preserve">KRYEMINISTËR </w:t>
      </w:r>
    </w:p>
    <w:p w14:paraId="574E2958" w14:textId="77777777" w:rsidR="00301E5B" w:rsidRPr="00E83C5E" w:rsidRDefault="00301E5B" w:rsidP="00301E5B">
      <w:pPr>
        <w:autoSpaceDE w:val="0"/>
        <w:autoSpaceDN w:val="0"/>
        <w:adjustRightInd w:val="0"/>
        <w:spacing w:after="0" w:line="240" w:lineRule="auto"/>
        <w:ind w:firstLine="284"/>
        <w:jc w:val="right"/>
        <w:rPr>
          <w:rFonts w:ascii="Garamond" w:hAnsi="Garamond"/>
          <w:b/>
          <w:bCs/>
          <w:color w:val="000000"/>
          <w:sz w:val="24"/>
        </w:rPr>
      </w:pPr>
      <w:r w:rsidRPr="00E83C5E">
        <w:rPr>
          <w:rFonts w:ascii="Garamond" w:hAnsi="Garamond"/>
          <w:b/>
          <w:bCs/>
          <w:color w:val="000000"/>
          <w:sz w:val="24"/>
        </w:rPr>
        <w:t>Edi Rama</w:t>
      </w:r>
    </w:p>
    <w:p w14:paraId="574E2959" w14:textId="77777777" w:rsidR="00065EAE" w:rsidRPr="00E83C5E" w:rsidRDefault="00065EAE" w:rsidP="008C0679">
      <w:pPr>
        <w:pStyle w:val="TEKSTIII"/>
        <w:rPr>
          <w:b/>
        </w:rPr>
      </w:pPr>
    </w:p>
    <w:p w14:paraId="574E295A" w14:textId="3706B69B" w:rsidR="008C0679" w:rsidRPr="00E83C5E" w:rsidRDefault="00301E5B" w:rsidP="008C0679">
      <w:pPr>
        <w:pStyle w:val="Title"/>
        <w:jc w:val="center"/>
        <w:rPr>
          <w:rFonts w:ascii="Garamond" w:hAnsi="Garamond" w:cs="Times New Roman"/>
          <w:b/>
          <w:bCs/>
          <w:spacing w:val="0"/>
          <w:sz w:val="24"/>
          <w:szCs w:val="24"/>
          <w:lang w:val="sq-AL"/>
        </w:rPr>
      </w:pPr>
      <w:r w:rsidRPr="00E83C5E">
        <w:rPr>
          <w:rFonts w:ascii="Garamond" w:hAnsi="Garamond" w:cs="Times New Roman"/>
          <w:b/>
          <w:bCs/>
          <w:spacing w:val="0"/>
          <w:sz w:val="24"/>
          <w:szCs w:val="24"/>
          <w:lang w:val="sq-AL"/>
        </w:rPr>
        <w:t>DRAFTSTRATEGJIA KOMBËTARE E RINISË</w:t>
      </w:r>
    </w:p>
    <w:p w14:paraId="574E295B" w14:textId="2B7B0DB9" w:rsidR="008C0679" w:rsidRPr="00E83C5E" w:rsidRDefault="008C0679" w:rsidP="008C0679">
      <w:pPr>
        <w:pStyle w:val="Title"/>
        <w:jc w:val="center"/>
        <w:rPr>
          <w:rFonts w:ascii="Garamond" w:hAnsi="Garamond" w:cs="Times New Roman"/>
          <w:bCs/>
          <w:spacing w:val="0"/>
          <w:sz w:val="24"/>
          <w:szCs w:val="24"/>
          <w:lang w:val="sq-AL"/>
        </w:rPr>
      </w:pPr>
      <w:r w:rsidRPr="00E83C5E">
        <w:rPr>
          <w:rFonts w:ascii="Garamond" w:hAnsi="Garamond" w:cs="Times New Roman"/>
          <w:bCs/>
          <w:spacing w:val="0"/>
          <w:sz w:val="24"/>
          <w:szCs w:val="24"/>
          <w:lang w:val="sq-AL"/>
        </w:rPr>
        <w:t>2022</w:t>
      </w:r>
      <w:r w:rsidR="00827C8E" w:rsidRPr="00E83C5E">
        <w:rPr>
          <w:rFonts w:ascii="Garamond" w:hAnsi="Garamond" w:cs="Times New Roman"/>
          <w:bCs/>
          <w:spacing w:val="0"/>
          <w:sz w:val="24"/>
          <w:szCs w:val="24"/>
          <w:lang w:val="sq-AL"/>
        </w:rPr>
        <w:t>–</w:t>
      </w:r>
      <w:r w:rsidRPr="00E83C5E">
        <w:rPr>
          <w:rFonts w:ascii="Garamond" w:hAnsi="Garamond" w:cs="Times New Roman"/>
          <w:bCs/>
          <w:spacing w:val="0"/>
          <w:sz w:val="24"/>
          <w:szCs w:val="24"/>
          <w:lang w:val="sq-AL"/>
        </w:rPr>
        <w:t>2029</w:t>
      </w:r>
    </w:p>
    <w:p w14:paraId="574E295C" w14:textId="77777777" w:rsidR="008C0679" w:rsidRPr="00E83C5E" w:rsidRDefault="008C0679" w:rsidP="00065EAE">
      <w:pPr>
        <w:spacing w:after="0" w:line="240" w:lineRule="auto"/>
        <w:ind w:firstLine="284"/>
        <w:jc w:val="both"/>
        <w:rPr>
          <w:rFonts w:ascii="Garamond" w:hAnsi="Garamond"/>
          <w:b/>
          <w:sz w:val="24"/>
          <w:szCs w:val="24"/>
        </w:rPr>
      </w:pPr>
    </w:p>
    <w:p w14:paraId="574E295D" w14:textId="77777777" w:rsidR="00BC2136" w:rsidRPr="00E83C5E" w:rsidRDefault="00BC2136" w:rsidP="00065EAE">
      <w:pPr>
        <w:spacing w:after="0" w:line="240" w:lineRule="auto"/>
        <w:ind w:firstLine="284"/>
        <w:jc w:val="both"/>
        <w:rPr>
          <w:rFonts w:ascii="Garamond" w:hAnsi="Garamond"/>
          <w:sz w:val="24"/>
          <w:szCs w:val="24"/>
        </w:rPr>
      </w:pPr>
      <w:r w:rsidRPr="00E83C5E">
        <w:rPr>
          <w:rFonts w:ascii="Garamond" w:hAnsi="Garamond"/>
          <w:sz w:val="24"/>
          <w:szCs w:val="24"/>
        </w:rPr>
        <w:t>QËLLIMI I PARË POLITIK I STRATEGJISË</w:t>
      </w:r>
    </w:p>
    <w:p w14:paraId="574E295E" w14:textId="555F0E88" w:rsidR="00BC2136" w:rsidRPr="00E83C5E" w:rsidRDefault="00BC2136" w:rsidP="00065EAE">
      <w:pPr>
        <w:spacing w:after="0" w:line="240" w:lineRule="auto"/>
        <w:ind w:firstLine="284"/>
        <w:jc w:val="both"/>
        <w:rPr>
          <w:rFonts w:ascii="Garamond" w:hAnsi="Garamond"/>
          <w:sz w:val="24"/>
          <w:szCs w:val="24"/>
        </w:rPr>
      </w:pPr>
      <w:r w:rsidRPr="00E83C5E">
        <w:rPr>
          <w:rFonts w:ascii="Garamond" w:hAnsi="Garamond"/>
          <w:sz w:val="24"/>
          <w:szCs w:val="24"/>
        </w:rPr>
        <w:t>Të rejat dhe të rinjtë marrin pjesë aktivisht në shoqëri dhe ndihen të fuqizuar për t’u shprehur me zërin e tyre. Politikat ndërsektoriale rinore janë të koordinuara, të bazuara në analiza, me mekanizma të mirëfinancuar.</w:t>
      </w:r>
    </w:p>
    <w:p w14:paraId="574E295F" w14:textId="77777777" w:rsidR="00BC2136" w:rsidRPr="00E83C5E" w:rsidRDefault="00BC2136" w:rsidP="00065EAE">
      <w:pPr>
        <w:spacing w:after="0" w:line="240" w:lineRule="auto"/>
        <w:ind w:firstLine="284"/>
        <w:jc w:val="both"/>
        <w:rPr>
          <w:rFonts w:ascii="Garamond" w:hAnsi="Garamond"/>
          <w:sz w:val="24"/>
          <w:szCs w:val="24"/>
        </w:rPr>
      </w:pPr>
      <w:r w:rsidRPr="00E83C5E">
        <w:rPr>
          <w:rFonts w:ascii="Garamond" w:hAnsi="Garamond"/>
          <w:sz w:val="24"/>
          <w:szCs w:val="24"/>
        </w:rPr>
        <w:t>QËLLIMI I DYTË POLITIK I STRATEGJISË</w:t>
      </w:r>
    </w:p>
    <w:p w14:paraId="574E2960" w14:textId="77777777" w:rsidR="00BC2136" w:rsidRPr="00E83C5E" w:rsidRDefault="00BC2136" w:rsidP="00065EAE">
      <w:pPr>
        <w:spacing w:after="0" w:line="240" w:lineRule="auto"/>
        <w:ind w:firstLine="284"/>
        <w:jc w:val="both"/>
        <w:rPr>
          <w:rFonts w:ascii="Garamond" w:hAnsi="Garamond"/>
          <w:sz w:val="24"/>
          <w:szCs w:val="24"/>
        </w:rPr>
      </w:pPr>
      <w:r w:rsidRPr="00E83C5E">
        <w:rPr>
          <w:rFonts w:ascii="Garamond" w:hAnsi="Garamond"/>
          <w:sz w:val="24"/>
          <w:szCs w:val="24"/>
        </w:rPr>
        <w:t>Mbështetet dhe nxitet novacioni rinor dhe rritja e aftësive dhe profesionalizmit të të rejave dhe të rinjve përmes edukimit cilësor në TIK dhe fusha të tjera të zhvillimit digjital duke rritur dhe përmirësuar kështu mundësitë për të hyrë në tregun e punës.</w:t>
      </w:r>
    </w:p>
    <w:p w14:paraId="574E2961" w14:textId="77777777" w:rsidR="00BC2136" w:rsidRPr="00E83C5E" w:rsidRDefault="00BC2136" w:rsidP="00065EAE">
      <w:pPr>
        <w:spacing w:after="0" w:line="240" w:lineRule="auto"/>
        <w:ind w:firstLine="284"/>
        <w:jc w:val="both"/>
        <w:rPr>
          <w:rFonts w:ascii="Garamond" w:hAnsi="Garamond"/>
          <w:sz w:val="24"/>
          <w:szCs w:val="24"/>
        </w:rPr>
      </w:pPr>
      <w:r w:rsidRPr="00E83C5E">
        <w:rPr>
          <w:rFonts w:ascii="Garamond" w:hAnsi="Garamond"/>
          <w:sz w:val="24"/>
          <w:szCs w:val="24"/>
        </w:rPr>
        <w:t>QËLLIMI I TRETË POLITIK I STRATEGJISË</w:t>
      </w:r>
    </w:p>
    <w:p w14:paraId="574E2962" w14:textId="77777777" w:rsidR="00BC2136" w:rsidRPr="00E83C5E" w:rsidRDefault="00BC2136" w:rsidP="00065EAE">
      <w:pPr>
        <w:pStyle w:val="TEKSTIII"/>
      </w:pPr>
      <w:r w:rsidRPr="00E83C5E">
        <w:t>Mirëqenia aktive, e shëndetshme, fizike, sociale dhe mendore e të rinjve. Siguria, mbrojtja dhe përfshirja e të rinjve në të gjithë diversitetin e tyre, veçanërisht për ata të rinj që janë në situatë rreziku apo mënjanimi social.</w:t>
      </w:r>
    </w:p>
    <w:p w14:paraId="574E2963" w14:textId="179835D2" w:rsidR="00065EAE" w:rsidRPr="00E83C5E" w:rsidRDefault="00065EAE" w:rsidP="00065EAE">
      <w:pPr>
        <w:pStyle w:val="TEKSTIII"/>
        <w:jc w:val="left"/>
      </w:pPr>
      <w:r w:rsidRPr="00E83C5E">
        <w:t xml:space="preserve">Tiranë, </w:t>
      </w:r>
      <w:r w:rsidR="009F59C4" w:rsidRPr="00E83C5E">
        <w:t>k</w:t>
      </w:r>
      <w:r w:rsidRPr="00E83C5E">
        <w:t>orrik 2022</w:t>
      </w:r>
    </w:p>
    <w:p w14:paraId="574E2964" w14:textId="77777777" w:rsidR="00A34849" w:rsidRPr="00E83C5E" w:rsidRDefault="00A34849" w:rsidP="00065EAE">
      <w:pPr>
        <w:pStyle w:val="TEKSTIII"/>
      </w:pPr>
    </w:p>
    <w:p w14:paraId="574E2966" w14:textId="2ACA47C7" w:rsidR="008C0679" w:rsidRPr="00E83C5E" w:rsidRDefault="008C0679" w:rsidP="008C0679">
      <w:pPr>
        <w:pStyle w:val="TEKSTIII"/>
      </w:pPr>
      <w:r w:rsidRPr="00E83C5E">
        <w:rPr>
          <w:b/>
        </w:rPr>
        <w:t>Lista e shkurtimeve</w:t>
      </w:r>
    </w:p>
    <w:tbl>
      <w:tblPr>
        <w:tblW w:w="8689" w:type="dxa"/>
        <w:tblInd w:w="93" w:type="dxa"/>
        <w:tblLook w:val="04A0" w:firstRow="1" w:lastRow="0" w:firstColumn="1" w:lastColumn="0" w:noHBand="0" w:noVBand="1"/>
      </w:tblPr>
      <w:tblGrid>
        <w:gridCol w:w="1340"/>
        <w:gridCol w:w="7349"/>
      </w:tblGrid>
      <w:tr w:rsidR="00A34849" w:rsidRPr="00E83C5E" w14:paraId="574E2969" w14:textId="77777777" w:rsidTr="00C90677">
        <w:trPr>
          <w:trHeight w:val="60"/>
        </w:trPr>
        <w:tc>
          <w:tcPr>
            <w:tcW w:w="1340" w:type="dxa"/>
            <w:shd w:val="clear" w:color="auto" w:fill="auto"/>
            <w:noWrap/>
            <w:vAlign w:val="center"/>
            <w:hideMark/>
          </w:tcPr>
          <w:p w14:paraId="574E2967"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AKCESK</w:t>
            </w:r>
          </w:p>
        </w:tc>
        <w:tc>
          <w:tcPr>
            <w:tcW w:w="7349" w:type="dxa"/>
            <w:shd w:val="clear" w:color="auto" w:fill="auto"/>
            <w:noWrap/>
            <w:vAlign w:val="center"/>
            <w:hideMark/>
          </w:tcPr>
          <w:p w14:paraId="574E2968"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Agjencia Kombëtare për Certifikimin Elektronik dhe Sigurinë Kibernetike</w:t>
            </w:r>
          </w:p>
        </w:tc>
      </w:tr>
      <w:tr w:rsidR="00A34849" w:rsidRPr="00E83C5E" w14:paraId="574E296C" w14:textId="77777777" w:rsidTr="008C0679">
        <w:trPr>
          <w:trHeight w:val="315"/>
        </w:trPr>
        <w:tc>
          <w:tcPr>
            <w:tcW w:w="1340" w:type="dxa"/>
            <w:shd w:val="clear" w:color="auto" w:fill="auto"/>
            <w:noWrap/>
            <w:vAlign w:val="center"/>
            <w:hideMark/>
          </w:tcPr>
          <w:p w14:paraId="574E296A"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AKKSHI</w:t>
            </w:r>
          </w:p>
        </w:tc>
        <w:tc>
          <w:tcPr>
            <w:tcW w:w="7349" w:type="dxa"/>
            <w:shd w:val="clear" w:color="auto" w:fill="auto"/>
            <w:noWrap/>
            <w:vAlign w:val="center"/>
            <w:hideMark/>
          </w:tcPr>
          <w:p w14:paraId="574E296B"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Agjencia Kombëtare për Kërkimin Shkencor dhe Inovacionin</w:t>
            </w:r>
          </w:p>
        </w:tc>
      </w:tr>
      <w:tr w:rsidR="00A34849" w:rsidRPr="00E83C5E" w14:paraId="574E296F" w14:textId="77777777" w:rsidTr="008C0679">
        <w:trPr>
          <w:trHeight w:val="315"/>
        </w:trPr>
        <w:tc>
          <w:tcPr>
            <w:tcW w:w="1340" w:type="dxa"/>
            <w:shd w:val="clear" w:color="auto" w:fill="auto"/>
            <w:noWrap/>
            <w:vAlign w:val="center"/>
            <w:hideMark/>
          </w:tcPr>
          <w:p w14:paraId="574E296D"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AKAFPK</w:t>
            </w:r>
          </w:p>
        </w:tc>
        <w:tc>
          <w:tcPr>
            <w:tcW w:w="7349" w:type="dxa"/>
            <w:shd w:val="clear" w:color="auto" w:fill="auto"/>
            <w:noWrap/>
            <w:vAlign w:val="center"/>
            <w:hideMark/>
          </w:tcPr>
          <w:p w14:paraId="574E296E"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Agjencia Kombëtare për Arsimin, Formimin Profesional dhe Kualifikimet</w:t>
            </w:r>
          </w:p>
        </w:tc>
      </w:tr>
      <w:tr w:rsidR="00A34849" w:rsidRPr="00E83C5E" w14:paraId="574E2972" w14:textId="77777777" w:rsidTr="008C0679">
        <w:trPr>
          <w:trHeight w:val="315"/>
        </w:trPr>
        <w:tc>
          <w:tcPr>
            <w:tcW w:w="1340" w:type="dxa"/>
            <w:shd w:val="clear" w:color="auto" w:fill="auto"/>
            <w:noWrap/>
            <w:vAlign w:val="center"/>
            <w:hideMark/>
          </w:tcPr>
          <w:p w14:paraId="574E2970"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AKPA</w:t>
            </w:r>
          </w:p>
        </w:tc>
        <w:tc>
          <w:tcPr>
            <w:tcW w:w="7349" w:type="dxa"/>
            <w:shd w:val="clear" w:color="auto" w:fill="auto"/>
            <w:noWrap/>
            <w:vAlign w:val="center"/>
            <w:hideMark/>
          </w:tcPr>
          <w:p w14:paraId="574E2971"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Agjencia Kombëtare për Punësimin dhe Aftësitë</w:t>
            </w:r>
          </w:p>
        </w:tc>
      </w:tr>
      <w:tr w:rsidR="00A34849" w:rsidRPr="00E83C5E" w14:paraId="574E2975" w14:textId="77777777" w:rsidTr="008C0679">
        <w:trPr>
          <w:trHeight w:val="315"/>
        </w:trPr>
        <w:tc>
          <w:tcPr>
            <w:tcW w:w="1340" w:type="dxa"/>
            <w:shd w:val="clear" w:color="auto" w:fill="auto"/>
            <w:noWrap/>
            <w:vAlign w:val="center"/>
            <w:hideMark/>
          </w:tcPr>
          <w:p w14:paraId="574E2973"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AKR</w:t>
            </w:r>
          </w:p>
        </w:tc>
        <w:tc>
          <w:tcPr>
            <w:tcW w:w="7349" w:type="dxa"/>
            <w:shd w:val="clear" w:color="auto" w:fill="auto"/>
            <w:noWrap/>
            <w:vAlign w:val="bottom"/>
            <w:hideMark/>
          </w:tcPr>
          <w:p w14:paraId="574E2974"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Agjencia Kombëtare për Rininë</w:t>
            </w:r>
          </w:p>
        </w:tc>
      </w:tr>
      <w:tr w:rsidR="00A34849" w:rsidRPr="00E83C5E" w14:paraId="574E2978" w14:textId="77777777" w:rsidTr="008C0679">
        <w:trPr>
          <w:trHeight w:val="315"/>
        </w:trPr>
        <w:tc>
          <w:tcPr>
            <w:tcW w:w="1340" w:type="dxa"/>
            <w:shd w:val="clear" w:color="auto" w:fill="auto"/>
            <w:noWrap/>
            <w:vAlign w:val="center"/>
            <w:hideMark/>
          </w:tcPr>
          <w:p w14:paraId="574E2976"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AKSHI</w:t>
            </w:r>
          </w:p>
        </w:tc>
        <w:tc>
          <w:tcPr>
            <w:tcW w:w="7349" w:type="dxa"/>
            <w:shd w:val="clear" w:color="auto" w:fill="auto"/>
            <w:noWrap/>
            <w:vAlign w:val="center"/>
            <w:hideMark/>
          </w:tcPr>
          <w:p w14:paraId="574E2977"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Agjencia Kombëtare për Shoqërinë e Informacionit</w:t>
            </w:r>
          </w:p>
        </w:tc>
      </w:tr>
      <w:tr w:rsidR="00A34849" w:rsidRPr="00E83C5E" w14:paraId="574E297B" w14:textId="77777777" w:rsidTr="008C0679">
        <w:trPr>
          <w:trHeight w:val="315"/>
        </w:trPr>
        <w:tc>
          <w:tcPr>
            <w:tcW w:w="1340" w:type="dxa"/>
            <w:shd w:val="clear" w:color="auto" w:fill="auto"/>
            <w:noWrap/>
            <w:vAlign w:val="center"/>
            <w:hideMark/>
          </w:tcPr>
          <w:p w14:paraId="574E2979"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AMA</w:t>
            </w:r>
          </w:p>
        </w:tc>
        <w:tc>
          <w:tcPr>
            <w:tcW w:w="7349" w:type="dxa"/>
            <w:shd w:val="clear" w:color="auto" w:fill="auto"/>
            <w:noWrap/>
            <w:vAlign w:val="bottom"/>
            <w:hideMark/>
          </w:tcPr>
          <w:p w14:paraId="574E297A"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Autoriteti i Mediave Audio-vizuale</w:t>
            </w:r>
          </w:p>
        </w:tc>
      </w:tr>
      <w:tr w:rsidR="00A34849" w:rsidRPr="00E83C5E" w14:paraId="574E297E" w14:textId="77777777" w:rsidTr="008C0679">
        <w:trPr>
          <w:trHeight w:val="315"/>
        </w:trPr>
        <w:tc>
          <w:tcPr>
            <w:tcW w:w="1340" w:type="dxa"/>
            <w:shd w:val="clear" w:color="auto" w:fill="auto"/>
            <w:noWrap/>
            <w:vAlign w:val="center"/>
            <w:hideMark/>
          </w:tcPr>
          <w:p w14:paraId="574E297C"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AMVV</w:t>
            </w:r>
          </w:p>
        </w:tc>
        <w:tc>
          <w:tcPr>
            <w:tcW w:w="7349" w:type="dxa"/>
            <w:shd w:val="clear" w:color="auto" w:fill="auto"/>
            <w:noWrap/>
            <w:vAlign w:val="center"/>
            <w:hideMark/>
          </w:tcPr>
          <w:p w14:paraId="574E297D"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Agjencia për Mbështetjen e Vetëqeverisjes Vendore</w:t>
            </w:r>
          </w:p>
        </w:tc>
      </w:tr>
      <w:tr w:rsidR="00A34849" w:rsidRPr="00E83C5E" w14:paraId="574E2981" w14:textId="77777777" w:rsidTr="008C0679">
        <w:trPr>
          <w:trHeight w:val="315"/>
        </w:trPr>
        <w:tc>
          <w:tcPr>
            <w:tcW w:w="1340" w:type="dxa"/>
            <w:shd w:val="clear" w:color="auto" w:fill="auto"/>
            <w:noWrap/>
            <w:vAlign w:val="center"/>
            <w:hideMark/>
          </w:tcPr>
          <w:p w14:paraId="574E297F"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ASPA</w:t>
            </w:r>
          </w:p>
        </w:tc>
        <w:tc>
          <w:tcPr>
            <w:tcW w:w="7349" w:type="dxa"/>
            <w:shd w:val="clear" w:color="auto" w:fill="auto"/>
            <w:noWrap/>
            <w:vAlign w:val="bottom"/>
            <w:hideMark/>
          </w:tcPr>
          <w:p w14:paraId="574E2980"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Shkolla e Administratës Publike</w:t>
            </w:r>
          </w:p>
        </w:tc>
      </w:tr>
      <w:tr w:rsidR="00A34849" w:rsidRPr="00E83C5E" w14:paraId="574E2984" w14:textId="77777777" w:rsidTr="008C0679">
        <w:trPr>
          <w:trHeight w:val="315"/>
        </w:trPr>
        <w:tc>
          <w:tcPr>
            <w:tcW w:w="1340" w:type="dxa"/>
            <w:shd w:val="clear" w:color="auto" w:fill="auto"/>
            <w:noWrap/>
            <w:vAlign w:val="center"/>
            <w:hideMark/>
          </w:tcPr>
          <w:p w14:paraId="574E2982"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ASHDMF</w:t>
            </w:r>
          </w:p>
        </w:tc>
        <w:tc>
          <w:tcPr>
            <w:tcW w:w="7349" w:type="dxa"/>
            <w:shd w:val="clear" w:color="auto" w:fill="auto"/>
            <w:noWrap/>
            <w:vAlign w:val="center"/>
            <w:hideMark/>
          </w:tcPr>
          <w:p w14:paraId="574E2983"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Agjencia Shtetërore për të Drejtat dhe Mbrojtjen e Fëmijës</w:t>
            </w:r>
          </w:p>
        </w:tc>
      </w:tr>
      <w:tr w:rsidR="00A34849" w:rsidRPr="00E83C5E" w14:paraId="574E2987" w14:textId="77777777" w:rsidTr="008C0679">
        <w:trPr>
          <w:trHeight w:val="300"/>
        </w:trPr>
        <w:tc>
          <w:tcPr>
            <w:tcW w:w="1340" w:type="dxa"/>
            <w:shd w:val="clear" w:color="auto" w:fill="auto"/>
            <w:noWrap/>
            <w:vAlign w:val="center"/>
            <w:hideMark/>
          </w:tcPr>
          <w:p w14:paraId="574E2985"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lastRenderedPageBreak/>
              <w:t>AT</w:t>
            </w:r>
          </w:p>
        </w:tc>
        <w:tc>
          <w:tcPr>
            <w:tcW w:w="7349" w:type="dxa"/>
            <w:shd w:val="clear" w:color="auto" w:fill="auto"/>
            <w:noWrap/>
            <w:vAlign w:val="center"/>
            <w:hideMark/>
          </w:tcPr>
          <w:p w14:paraId="574E2986" w14:textId="69D401E9" w:rsidR="00A34849" w:rsidRPr="00E83C5E" w:rsidRDefault="00A34849" w:rsidP="00B24660">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 xml:space="preserve">Asistencë </w:t>
            </w:r>
            <w:r w:rsidR="00B24660" w:rsidRPr="00E83C5E">
              <w:rPr>
                <w:rFonts w:ascii="Garamond" w:eastAsia="Times New Roman" w:hAnsi="Garamond" w:cs="Times New Roman"/>
                <w:color w:val="000000"/>
                <w:sz w:val="20"/>
                <w:szCs w:val="20"/>
                <w:lang w:eastAsia="sq-AL"/>
              </w:rPr>
              <w:t>t</w:t>
            </w:r>
            <w:r w:rsidRPr="00E83C5E">
              <w:rPr>
                <w:rFonts w:ascii="Garamond" w:eastAsia="Times New Roman" w:hAnsi="Garamond" w:cs="Times New Roman"/>
                <w:color w:val="000000"/>
                <w:sz w:val="20"/>
                <w:szCs w:val="20"/>
                <w:lang w:eastAsia="sq-AL"/>
              </w:rPr>
              <w:t>eknike</w:t>
            </w:r>
          </w:p>
        </w:tc>
      </w:tr>
      <w:tr w:rsidR="00A34849" w:rsidRPr="00E83C5E" w14:paraId="574E298A" w14:textId="77777777" w:rsidTr="008C0679">
        <w:trPr>
          <w:trHeight w:val="300"/>
        </w:trPr>
        <w:tc>
          <w:tcPr>
            <w:tcW w:w="1340" w:type="dxa"/>
            <w:shd w:val="clear" w:color="auto" w:fill="auto"/>
            <w:noWrap/>
            <w:vAlign w:val="center"/>
            <w:hideMark/>
          </w:tcPr>
          <w:p w14:paraId="574E2988"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 xml:space="preserve">BE </w:t>
            </w:r>
          </w:p>
        </w:tc>
        <w:tc>
          <w:tcPr>
            <w:tcW w:w="7349" w:type="dxa"/>
            <w:shd w:val="clear" w:color="auto" w:fill="auto"/>
            <w:noWrap/>
            <w:vAlign w:val="center"/>
            <w:hideMark/>
          </w:tcPr>
          <w:p w14:paraId="574E2989"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 xml:space="preserve">Bashkimi Evropian </w:t>
            </w:r>
          </w:p>
        </w:tc>
      </w:tr>
      <w:tr w:rsidR="00A34849" w:rsidRPr="00E83C5E" w14:paraId="574E298D" w14:textId="77777777" w:rsidTr="008C0679">
        <w:trPr>
          <w:trHeight w:val="315"/>
        </w:trPr>
        <w:tc>
          <w:tcPr>
            <w:tcW w:w="1340" w:type="dxa"/>
            <w:shd w:val="clear" w:color="auto" w:fill="auto"/>
            <w:noWrap/>
            <w:vAlign w:val="center"/>
            <w:hideMark/>
          </w:tcPr>
          <w:p w14:paraId="574E298B"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GPN</w:t>
            </w:r>
          </w:p>
        </w:tc>
        <w:tc>
          <w:tcPr>
            <w:tcW w:w="7349" w:type="dxa"/>
            <w:shd w:val="clear" w:color="auto" w:fill="auto"/>
            <w:noWrap/>
            <w:vAlign w:val="center"/>
            <w:hideMark/>
          </w:tcPr>
          <w:p w14:paraId="574E298C" w14:textId="0EF33985"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 xml:space="preserve">Grup </w:t>
            </w:r>
            <w:r w:rsidR="00246061" w:rsidRPr="00E83C5E">
              <w:rPr>
                <w:rFonts w:ascii="Garamond" w:eastAsia="Times New Roman" w:hAnsi="Garamond" w:cs="Times New Roman"/>
                <w:color w:val="000000"/>
                <w:sz w:val="20"/>
                <w:szCs w:val="20"/>
                <w:lang w:eastAsia="sq-AL"/>
              </w:rPr>
              <w:t>pune ndërministror</w:t>
            </w:r>
          </w:p>
        </w:tc>
      </w:tr>
      <w:tr w:rsidR="00A34849" w:rsidRPr="00E83C5E" w14:paraId="574E2990" w14:textId="77777777" w:rsidTr="008C0679">
        <w:trPr>
          <w:trHeight w:val="315"/>
        </w:trPr>
        <w:tc>
          <w:tcPr>
            <w:tcW w:w="1340" w:type="dxa"/>
            <w:shd w:val="clear" w:color="auto" w:fill="auto"/>
            <w:noWrap/>
            <w:vAlign w:val="center"/>
            <w:hideMark/>
          </w:tcPr>
          <w:p w14:paraId="574E298E"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IPSIS</w:t>
            </w:r>
          </w:p>
        </w:tc>
        <w:tc>
          <w:tcPr>
            <w:tcW w:w="7349" w:type="dxa"/>
            <w:shd w:val="clear" w:color="auto" w:fill="auto"/>
            <w:noWrap/>
            <w:vAlign w:val="center"/>
            <w:hideMark/>
          </w:tcPr>
          <w:p w14:paraId="574E298F"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Sistemit Informatik i Planifikimit të Integruar</w:t>
            </w:r>
          </w:p>
        </w:tc>
      </w:tr>
      <w:tr w:rsidR="00A34849" w:rsidRPr="00E83C5E" w14:paraId="574E2993" w14:textId="77777777" w:rsidTr="008C0679">
        <w:trPr>
          <w:trHeight w:val="315"/>
        </w:trPr>
        <w:tc>
          <w:tcPr>
            <w:tcW w:w="1340" w:type="dxa"/>
            <w:shd w:val="clear" w:color="auto" w:fill="auto"/>
            <w:noWrap/>
            <w:vAlign w:val="center"/>
            <w:hideMark/>
          </w:tcPr>
          <w:p w14:paraId="574E2991"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ISHP</w:t>
            </w:r>
          </w:p>
        </w:tc>
        <w:tc>
          <w:tcPr>
            <w:tcW w:w="7349" w:type="dxa"/>
            <w:shd w:val="clear" w:color="auto" w:fill="auto"/>
            <w:noWrap/>
            <w:vAlign w:val="center"/>
            <w:hideMark/>
          </w:tcPr>
          <w:p w14:paraId="574E2992"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Instituti i Shëndetit Publik</w:t>
            </w:r>
          </w:p>
        </w:tc>
      </w:tr>
      <w:tr w:rsidR="00A34849" w:rsidRPr="00E83C5E" w14:paraId="574E2996" w14:textId="77777777" w:rsidTr="008C0679">
        <w:trPr>
          <w:trHeight w:val="300"/>
        </w:trPr>
        <w:tc>
          <w:tcPr>
            <w:tcW w:w="1340" w:type="dxa"/>
            <w:shd w:val="clear" w:color="auto" w:fill="auto"/>
            <w:noWrap/>
            <w:vAlign w:val="center"/>
            <w:hideMark/>
          </w:tcPr>
          <w:p w14:paraId="574E2994"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 xml:space="preserve">KiE </w:t>
            </w:r>
          </w:p>
        </w:tc>
        <w:tc>
          <w:tcPr>
            <w:tcW w:w="7349" w:type="dxa"/>
            <w:shd w:val="clear" w:color="auto" w:fill="auto"/>
            <w:noWrap/>
            <w:vAlign w:val="center"/>
            <w:hideMark/>
          </w:tcPr>
          <w:p w14:paraId="574E2995"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 xml:space="preserve">Këshilli i Evropës </w:t>
            </w:r>
          </w:p>
        </w:tc>
      </w:tr>
      <w:tr w:rsidR="00A34849" w:rsidRPr="00E83C5E" w14:paraId="574E2999" w14:textId="77777777" w:rsidTr="008C0679">
        <w:trPr>
          <w:trHeight w:val="300"/>
        </w:trPr>
        <w:tc>
          <w:tcPr>
            <w:tcW w:w="1340" w:type="dxa"/>
            <w:shd w:val="clear" w:color="auto" w:fill="auto"/>
            <w:noWrap/>
            <w:vAlign w:val="center"/>
            <w:hideMark/>
          </w:tcPr>
          <w:p w14:paraId="574E2997"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KM</w:t>
            </w:r>
          </w:p>
        </w:tc>
        <w:tc>
          <w:tcPr>
            <w:tcW w:w="7349" w:type="dxa"/>
            <w:shd w:val="clear" w:color="auto" w:fill="auto"/>
            <w:noWrap/>
            <w:vAlign w:val="center"/>
            <w:hideMark/>
          </w:tcPr>
          <w:p w14:paraId="574E2998"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 xml:space="preserve">Këshilli i Ministrave </w:t>
            </w:r>
          </w:p>
        </w:tc>
      </w:tr>
      <w:tr w:rsidR="00A34849" w:rsidRPr="00E83C5E" w14:paraId="574E299C" w14:textId="77777777" w:rsidTr="008C0679">
        <w:trPr>
          <w:trHeight w:val="315"/>
        </w:trPr>
        <w:tc>
          <w:tcPr>
            <w:tcW w:w="1340" w:type="dxa"/>
            <w:shd w:val="clear" w:color="auto" w:fill="auto"/>
            <w:noWrap/>
            <w:vAlign w:val="center"/>
            <w:hideMark/>
          </w:tcPr>
          <w:p w14:paraId="574E299A"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KQZ</w:t>
            </w:r>
          </w:p>
        </w:tc>
        <w:tc>
          <w:tcPr>
            <w:tcW w:w="7349" w:type="dxa"/>
            <w:shd w:val="clear" w:color="auto" w:fill="auto"/>
            <w:noWrap/>
            <w:vAlign w:val="center"/>
            <w:hideMark/>
          </w:tcPr>
          <w:p w14:paraId="574E299B"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Komisioni Qendror i Zgjedhjeve</w:t>
            </w:r>
          </w:p>
        </w:tc>
      </w:tr>
      <w:tr w:rsidR="00A34849" w:rsidRPr="00E83C5E" w14:paraId="574E299F" w14:textId="77777777" w:rsidTr="008C0679">
        <w:trPr>
          <w:trHeight w:val="315"/>
        </w:trPr>
        <w:tc>
          <w:tcPr>
            <w:tcW w:w="1340" w:type="dxa"/>
            <w:shd w:val="clear" w:color="auto" w:fill="auto"/>
            <w:noWrap/>
            <w:vAlign w:val="center"/>
            <w:hideMark/>
          </w:tcPr>
          <w:p w14:paraId="574E299D"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MAS</w:t>
            </w:r>
          </w:p>
        </w:tc>
        <w:tc>
          <w:tcPr>
            <w:tcW w:w="7349" w:type="dxa"/>
            <w:shd w:val="clear" w:color="auto" w:fill="auto"/>
            <w:noWrap/>
            <w:vAlign w:val="center"/>
            <w:hideMark/>
          </w:tcPr>
          <w:p w14:paraId="574E299E"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Ministria e Arsimit dhe Sportit</w:t>
            </w:r>
          </w:p>
        </w:tc>
      </w:tr>
      <w:tr w:rsidR="00A34849" w:rsidRPr="00E83C5E" w14:paraId="574E29A2" w14:textId="77777777" w:rsidTr="008C0679">
        <w:trPr>
          <w:trHeight w:val="315"/>
        </w:trPr>
        <w:tc>
          <w:tcPr>
            <w:tcW w:w="1340" w:type="dxa"/>
            <w:shd w:val="clear" w:color="auto" w:fill="auto"/>
            <w:noWrap/>
            <w:vAlign w:val="center"/>
            <w:hideMark/>
          </w:tcPr>
          <w:p w14:paraId="574E29A0"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MB</w:t>
            </w:r>
          </w:p>
        </w:tc>
        <w:tc>
          <w:tcPr>
            <w:tcW w:w="7349" w:type="dxa"/>
            <w:shd w:val="clear" w:color="auto" w:fill="auto"/>
            <w:noWrap/>
            <w:vAlign w:val="center"/>
            <w:hideMark/>
          </w:tcPr>
          <w:p w14:paraId="574E29A1"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Ministria e Brendshme</w:t>
            </w:r>
          </w:p>
        </w:tc>
      </w:tr>
      <w:tr w:rsidR="00A34849" w:rsidRPr="00E83C5E" w14:paraId="574E29A5" w14:textId="77777777" w:rsidTr="008C0679">
        <w:trPr>
          <w:trHeight w:val="300"/>
        </w:trPr>
        <w:tc>
          <w:tcPr>
            <w:tcW w:w="1340" w:type="dxa"/>
            <w:shd w:val="clear" w:color="auto" w:fill="auto"/>
            <w:noWrap/>
            <w:vAlign w:val="center"/>
            <w:hideMark/>
          </w:tcPr>
          <w:p w14:paraId="574E29A3"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MD</w:t>
            </w:r>
          </w:p>
        </w:tc>
        <w:tc>
          <w:tcPr>
            <w:tcW w:w="7349" w:type="dxa"/>
            <w:shd w:val="clear" w:color="auto" w:fill="auto"/>
            <w:noWrap/>
            <w:vAlign w:val="center"/>
            <w:hideMark/>
          </w:tcPr>
          <w:p w14:paraId="574E29A4" w14:textId="62D417E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Ministria e Drejtësisë</w:t>
            </w:r>
            <w:r w:rsidR="00233C37" w:rsidRPr="00E83C5E">
              <w:rPr>
                <w:rFonts w:ascii="Garamond" w:eastAsia="Times New Roman" w:hAnsi="Garamond" w:cs="Times New Roman"/>
                <w:color w:val="000000"/>
                <w:sz w:val="20"/>
                <w:szCs w:val="20"/>
                <w:lang w:eastAsia="sq-AL"/>
              </w:rPr>
              <w:t xml:space="preserve"> </w:t>
            </w:r>
          </w:p>
        </w:tc>
      </w:tr>
      <w:tr w:rsidR="00A34849" w:rsidRPr="00E83C5E" w14:paraId="574E29A8" w14:textId="77777777" w:rsidTr="008C0679">
        <w:trPr>
          <w:trHeight w:val="315"/>
        </w:trPr>
        <w:tc>
          <w:tcPr>
            <w:tcW w:w="1340" w:type="dxa"/>
            <w:shd w:val="clear" w:color="auto" w:fill="auto"/>
            <w:noWrap/>
            <w:vAlign w:val="center"/>
            <w:hideMark/>
          </w:tcPr>
          <w:p w14:paraId="574E29A6"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MEPJ</w:t>
            </w:r>
          </w:p>
        </w:tc>
        <w:tc>
          <w:tcPr>
            <w:tcW w:w="7349" w:type="dxa"/>
            <w:shd w:val="clear" w:color="auto" w:fill="auto"/>
            <w:noWrap/>
            <w:vAlign w:val="center"/>
            <w:hideMark/>
          </w:tcPr>
          <w:p w14:paraId="574E29A7"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Ministria për Evropën dhe Punët e Jashtme</w:t>
            </w:r>
          </w:p>
        </w:tc>
      </w:tr>
      <w:tr w:rsidR="00A34849" w:rsidRPr="00E83C5E" w14:paraId="574E29AB" w14:textId="77777777" w:rsidTr="008C0679">
        <w:trPr>
          <w:trHeight w:val="300"/>
        </w:trPr>
        <w:tc>
          <w:tcPr>
            <w:tcW w:w="1340" w:type="dxa"/>
            <w:shd w:val="clear" w:color="auto" w:fill="auto"/>
            <w:noWrap/>
            <w:vAlign w:val="center"/>
            <w:hideMark/>
          </w:tcPr>
          <w:p w14:paraId="574E29A9"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MFE</w:t>
            </w:r>
          </w:p>
        </w:tc>
        <w:tc>
          <w:tcPr>
            <w:tcW w:w="7349" w:type="dxa"/>
            <w:shd w:val="clear" w:color="auto" w:fill="auto"/>
            <w:noWrap/>
            <w:vAlign w:val="center"/>
            <w:hideMark/>
          </w:tcPr>
          <w:p w14:paraId="574E29AA"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Ministria e Financave dhe Ekonomisë</w:t>
            </w:r>
          </w:p>
        </w:tc>
      </w:tr>
      <w:tr w:rsidR="00A34849" w:rsidRPr="00E83C5E" w14:paraId="574E29AE" w14:textId="77777777" w:rsidTr="008C0679">
        <w:trPr>
          <w:trHeight w:val="315"/>
        </w:trPr>
        <w:tc>
          <w:tcPr>
            <w:tcW w:w="1340" w:type="dxa"/>
            <w:shd w:val="clear" w:color="auto" w:fill="auto"/>
            <w:noWrap/>
            <w:vAlign w:val="center"/>
            <w:hideMark/>
          </w:tcPr>
          <w:p w14:paraId="574E29AC"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MIE</w:t>
            </w:r>
          </w:p>
        </w:tc>
        <w:tc>
          <w:tcPr>
            <w:tcW w:w="7349" w:type="dxa"/>
            <w:shd w:val="clear" w:color="auto" w:fill="auto"/>
            <w:noWrap/>
            <w:vAlign w:val="center"/>
            <w:hideMark/>
          </w:tcPr>
          <w:p w14:paraId="574E29AD"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Ministria e Infrastrukturës dhe Energjisë</w:t>
            </w:r>
          </w:p>
        </w:tc>
      </w:tr>
      <w:tr w:rsidR="00A34849" w:rsidRPr="00E83C5E" w14:paraId="574E29B1" w14:textId="77777777" w:rsidTr="008C0679">
        <w:trPr>
          <w:trHeight w:val="315"/>
        </w:trPr>
        <w:tc>
          <w:tcPr>
            <w:tcW w:w="1340" w:type="dxa"/>
            <w:shd w:val="clear" w:color="auto" w:fill="auto"/>
            <w:noWrap/>
            <w:vAlign w:val="center"/>
            <w:hideMark/>
          </w:tcPr>
          <w:p w14:paraId="574E29AF"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MiSHMS</w:t>
            </w:r>
          </w:p>
        </w:tc>
        <w:tc>
          <w:tcPr>
            <w:tcW w:w="7349" w:type="dxa"/>
            <w:shd w:val="clear" w:color="auto" w:fill="auto"/>
            <w:noWrap/>
            <w:vAlign w:val="center"/>
            <w:hideMark/>
          </w:tcPr>
          <w:p w14:paraId="574E29B0"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Ministri i Shtetit për Mbështetjen e Sipërmarrjes</w:t>
            </w:r>
          </w:p>
        </w:tc>
      </w:tr>
      <w:tr w:rsidR="00A34849" w:rsidRPr="00E83C5E" w14:paraId="574E29B4" w14:textId="77777777" w:rsidTr="008C0679">
        <w:trPr>
          <w:trHeight w:val="315"/>
        </w:trPr>
        <w:tc>
          <w:tcPr>
            <w:tcW w:w="1340" w:type="dxa"/>
            <w:shd w:val="clear" w:color="auto" w:fill="auto"/>
            <w:noWrap/>
            <w:vAlign w:val="center"/>
            <w:hideMark/>
          </w:tcPr>
          <w:p w14:paraId="574E29B2"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MM</w:t>
            </w:r>
          </w:p>
        </w:tc>
        <w:tc>
          <w:tcPr>
            <w:tcW w:w="7349" w:type="dxa"/>
            <w:shd w:val="clear" w:color="auto" w:fill="auto"/>
            <w:noWrap/>
            <w:vAlign w:val="center"/>
            <w:hideMark/>
          </w:tcPr>
          <w:p w14:paraId="574E29B3"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Ministria e Mbrojtjes</w:t>
            </w:r>
          </w:p>
        </w:tc>
      </w:tr>
      <w:tr w:rsidR="00A34849" w:rsidRPr="00E83C5E" w14:paraId="574E29B7" w14:textId="77777777" w:rsidTr="008C0679">
        <w:trPr>
          <w:trHeight w:val="315"/>
        </w:trPr>
        <w:tc>
          <w:tcPr>
            <w:tcW w:w="1340" w:type="dxa"/>
            <w:shd w:val="clear" w:color="auto" w:fill="auto"/>
            <w:noWrap/>
            <w:vAlign w:val="center"/>
            <w:hideMark/>
          </w:tcPr>
          <w:p w14:paraId="574E29B5"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MSHMS</w:t>
            </w:r>
          </w:p>
        </w:tc>
        <w:tc>
          <w:tcPr>
            <w:tcW w:w="7349" w:type="dxa"/>
            <w:shd w:val="clear" w:color="auto" w:fill="auto"/>
            <w:noWrap/>
            <w:vAlign w:val="center"/>
            <w:hideMark/>
          </w:tcPr>
          <w:p w14:paraId="574E29B6"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Ministria e Shëndetësisë dhe Mbrojtjes Sociale</w:t>
            </w:r>
          </w:p>
        </w:tc>
      </w:tr>
      <w:tr w:rsidR="00A34849" w:rsidRPr="00E83C5E" w14:paraId="574E29BA" w14:textId="77777777" w:rsidTr="008C0679">
        <w:trPr>
          <w:trHeight w:val="315"/>
        </w:trPr>
        <w:tc>
          <w:tcPr>
            <w:tcW w:w="1340" w:type="dxa"/>
            <w:shd w:val="clear" w:color="auto" w:fill="auto"/>
            <w:noWrap/>
            <w:vAlign w:val="center"/>
            <w:hideMark/>
          </w:tcPr>
          <w:p w14:paraId="574E29B8"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MSHRF</w:t>
            </w:r>
          </w:p>
        </w:tc>
        <w:tc>
          <w:tcPr>
            <w:tcW w:w="7349" w:type="dxa"/>
            <w:shd w:val="clear" w:color="auto" w:fill="auto"/>
            <w:noWrap/>
            <w:vAlign w:val="center"/>
            <w:hideMark/>
          </w:tcPr>
          <w:p w14:paraId="574E29B9"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Ministri i Shtetit për Rininë dhe Fëmijët</w:t>
            </w:r>
          </w:p>
        </w:tc>
      </w:tr>
      <w:tr w:rsidR="00A34849" w:rsidRPr="00E83C5E" w14:paraId="574E29BD" w14:textId="77777777" w:rsidTr="008C0679">
        <w:trPr>
          <w:trHeight w:val="300"/>
        </w:trPr>
        <w:tc>
          <w:tcPr>
            <w:tcW w:w="1340" w:type="dxa"/>
            <w:shd w:val="clear" w:color="auto" w:fill="auto"/>
            <w:noWrap/>
            <w:vAlign w:val="center"/>
            <w:hideMark/>
          </w:tcPr>
          <w:p w14:paraId="574E29BB"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OJQ</w:t>
            </w:r>
          </w:p>
        </w:tc>
        <w:tc>
          <w:tcPr>
            <w:tcW w:w="7349" w:type="dxa"/>
            <w:shd w:val="clear" w:color="auto" w:fill="auto"/>
            <w:noWrap/>
            <w:vAlign w:val="center"/>
            <w:hideMark/>
          </w:tcPr>
          <w:p w14:paraId="574E29BC" w14:textId="6DBB8D8C"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 xml:space="preserve">Organizata </w:t>
            </w:r>
            <w:r w:rsidR="002073BD" w:rsidRPr="00E83C5E">
              <w:rPr>
                <w:rFonts w:ascii="Garamond" w:eastAsia="Times New Roman" w:hAnsi="Garamond" w:cs="Times New Roman"/>
                <w:color w:val="000000"/>
                <w:sz w:val="20"/>
                <w:szCs w:val="20"/>
                <w:lang w:eastAsia="sq-AL"/>
              </w:rPr>
              <w:t xml:space="preserve">joqeveritare </w:t>
            </w:r>
          </w:p>
        </w:tc>
      </w:tr>
      <w:tr w:rsidR="00A34849" w:rsidRPr="00E83C5E" w14:paraId="574E29C0" w14:textId="77777777" w:rsidTr="008C0679">
        <w:trPr>
          <w:trHeight w:val="315"/>
        </w:trPr>
        <w:tc>
          <w:tcPr>
            <w:tcW w:w="1340" w:type="dxa"/>
            <w:shd w:val="clear" w:color="auto" w:fill="auto"/>
            <w:noWrap/>
            <w:vAlign w:val="center"/>
            <w:hideMark/>
          </w:tcPr>
          <w:p w14:paraId="574E29BE"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OZHQ</w:t>
            </w:r>
          </w:p>
        </w:tc>
        <w:tc>
          <w:tcPr>
            <w:tcW w:w="7349" w:type="dxa"/>
            <w:shd w:val="clear" w:color="auto" w:fill="auto"/>
            <w:noWrap/>
            <w:vAlign w:val="center"/>
            <w:hideMark/>
          </w:tcPr>
          <w:p w14:paraId="574E29BF" w14:textId="04CDCC51"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 xml:space="preserve">Objektivat e </w:t>
            </w:r>
            <w:r w:rsidR="00246061" w:rsidRPr="00E83C5E">
              <w:rPr>
                <w:rFonts w:ascii="Garamond" w:eastAsia="Times New Roman" w:hAnsi="Garamond" w:cs="Times New Roman"/>
                <w:color w:val="000000"/>
                <w:sz w:val="20"/>
                <w:szCs w:val="20"/>
                <w:lang w:eastAsia="sq-AL"/>
              </w:rPr>
              <w:t>zhvillimit të qëndrueshëm</w:t>
            </w:r>
          </w:p>
        </w:tc>
      </w:tr>
      <w:tr w:rsidR="00A34849" w:rsidRPr="00E83C5E" w14:paraId="574E29C3" w14:textId="77777777" w:rsidTr="008C0679">
        <w:trPr>
          <w:trHeight w:val="315"/>
        </w:trPr>
        <w:tc>
          <w:tcPr>
            <w:tcW w:w="1340" w:type="dxa"/>
            <w:shd w:val="clear" w:color="auto" w:fill="auto"/>
            <w:noWrap/>
            <w:vAlign w:val="center"/>
            <w:hideMark/>
          </w:tcPr>
          <w:p w14:paraId="574E29C1"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PKIE</w:t>
            </w:r>
          </w:p>
        </w:tc>
        <w:tc>
          <w:tcPr>
            <w:tcW w:w="7349" w:type="dxa"/>
            <w:shd w:val="clear" w:color="auto" w:fill="auto"/>
            <w:noWrap/>
            <w:vAlign w:val="center"/>
            <w:hideMark/>
          </w:tcPr>
          <w:p w14:paraId="574E29C2"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Plani Kombëtar për Integrimin Evropian</w:t>
            </w:r>
          </w:p>
        </w:tc>
      </w:tr>
      <w:tr w:rsidR="00A34849" w:rsidRPr="00E83C5E" w14:paraId="574E29C6" w14:textId="77777777" w:rsidTr="008C0679">
        <w:trPr>
          <w:trHeight w:val="315"/>
        </w:trPr>
        <w:tc>
          <w:tcPr>
            <w:tcW w:w="1340" w:type="dxa"/>
            <w:shd w:val="clear" w:color="auto" w:fill="auto"/>
            <w:noWrap/>
            <w:vAlign w:val="center"/>
            <w:hideMark/>
          </w:tcPr>
          <w:p w14:paraId="574E29C4"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RASH</w:t>
            </w:r>
          </w:p>
        </w:tc>
        <w:tc>
          <w:tcPr>
            <w:tcW w:w="7349" w:type="dxa"/>
            <w:shd w:val="clear" w:color="auto" w:fill="auto"/>
            <w:noWrap/>
            <w:vAlign w:val="center"/>
            <w:hideMark/>
          </w:tcPr>
          <w:p w14:paraId="574E29C5"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Rrjeti Akademik Shqiptar</w:t>
            </w:r>
          </w:p>
        </w:tc>
      </w:tr>
      <w:tr w:rsidR="00A34849" w:rsidRPr="00E83C5E" w14:paraId="574E29C9" w14:textId="77777777" w:rsidTr="008C0679">
        <w:trPr>
          <w:trHeight w:val="315"/>
        </w:trPr>
        <w:tc>
          <w:tcPr>
            <w:tcW w:w="1340" w:type="dxa"/>
            <w:shd w:val="clear" w:color="auto" w:fill="auto"/>
            <w:noWrap/>
            <w:vAlign w:val="center"/>
            <w:hideMark/>
          </w:tcPr>
          <w:p w14:paraId="574E29C7"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RYCO</w:t>
            </w:r>
          </w:p>
        </w:tc>
        <w:tc>
          <w:tcPr>
            <w:tcW w:w="7349" w:type="dxa"/>
            <w:shd w:val="clear" w:color="auto" w:fill="auto"/>
            <w:noWrap/>
            <w:vAlign w:val="center"/>
            <w:hideMark/>
          </w:tcPr>
          <w:p w14:paraId="574E29C8"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Regional Youth Cooperation Office (Zyra Rajonale e Bashkëpunimit Rinor)</w:t>
            </w:r>
          </w:p>
        </w:tc>
      </w:tr>
      <w:tr w:rsidR="00A34849" w:rsidRPr="00E83C5E" w14:paraId="574E29CC" w14:textId="77777777" w:rsidTr="008C0679">
        <w:trPr>
          <w:trHeight w:val="615"/>
        </w:trPr>
        <w:tc>
          <w:tcPr>
            <w:tcW w:w="1340" w:type="dxa"/>
            <w:shd w:val="clear" w:color="auto" w:fill="auto"/>
            <w:noWrap/>
            <w:vAlign w:val="center"/>
            <w:hideMark/>
          </w:tcPr>
          <w:p w14:paraId="574E29CA"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SASPAC</w:t>
            </w:r>
          </w:p>
        </w:tc>
        <w:tc>
          <w:tcPr>
            <w:tcW w:w="7349" w:type="dxa"/>
            <w:shd w:val="clear" w:color="auto" w:fill="auto"/>
            <w:vAlign w:val="center"/>
            <w:hideMark/>
          </w:tcPr>
          <w:p w14:paraId="574E29CB" w14:textId="77777777" w:rsidR="00A34849" w:rsidRPr="00E83C5E" w:rsidRDefault="00A34849" w:rsidP="00C90677">
            <w:pPr>
              <w:spacing w:after="0" w:line="240" w:lineRule="auto"/>
              <w:rPr>
                <w:rFonts w:ascii="Garamond" w:eastAsia="Times New Roman" w:hAnsi="Garamond" w:cs="Times New Roman"/>
                <w:color w:val="222222"/>
                <w:sz w:val="20"/>
                <w:szCs w:val="20"/>
                <w:lang w:eastAsia="sq-AL"/>
              </w:rPr>
            </w:pPr>
            <w:r w:rsidRPr="00E83C5E">
              <w:rPr>
                <w:rFonts w:ascii="Garamond" w:eastAsia="Times New Roman" w:hAnsi="Garamond" w:cs="Times New Roman"/>
                <w:color w:val="222222"/>
                <w:sz w:val="20"/>
                <w:szCs w:val="20"/>
                <w:lang w:eastAsia="sq-AL"/>
              </w:rPr>
              <w:t>Agjencia Shtetërore e Programimit Strategjik dhe Koordinimit të Ndihmës (State Agency for Strategic Programming and Aid Coordination)</w:t>
            </w:r>
          </w:p>
        </w:tc>
      </w:tr>
      <w:tr w:rsidR="00A34849" w:rsidRPr="00E83C5E" w14:paraId="574E29CF" w14:textId="77777777" w:rsidTr="008C0679">
        <w:trPr>
          <w:trHeight w:val="315"/>
        </w:trPr>
        <w:tc>
          <w:tcPr>
            <w:tcW w:w="1340" w:type="dxa"/>
            <w:shd w:val="clear" w:color="auto" w:fill="auto"/>
            <w:noWrap/>
            <w:vAlign w:val="center"/>
            <w:hideMark/>
          </w:tcPr>
          <w:p w14:paraId="574E29CD"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SKR</w:t>
            </w:r>
          </w:p>
        </w:tc>
        <w:tc>
          <w:tcPr>
            <w:tcW w:w="7349" w:type="dxa"/>
            <w:shd w:val="clear" w:color="auto" w:fill="auto"/>
            <w:noWrap/>
            <w:vAlign w:val="center"/>
            <w:hideMark/>
          </w:tcPr>
          <w:p w14:paraId="574E29CE"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Strategjia Kombëtare e Rinisë</w:t>
            </w:r>
          </w:p>
        </w:tc>
      </w:tr>
      <w:tr w:rsidR="00A34849" w:rsidRPr="00E83C5E" w14:paraId="574E29D2" w14:textId="77777777" w:rsidTr="008C0679">
        <w:trPr>
          <w:trHeight w:val="315"/>
        </w:trPr>
        <w:tc>
          <w:tcPr>
            <w:tcW w:w="1340" w:type="dxa"/>
            <w:shd w:val="clear" w:color="auto" w:fill="auto"/>
            <w:noWrap/>
            <w:vAlign w:val="center"/>
            <w:hideMark/>
          </w:tcPr>
          <w:p w14:paraId="574E29D0"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SKZHI</w:t>
            </w:r>
          </w:p>
        </w:tc>
        <w:tc>
          <w:tcPr>
            <w:tcW w:w="7349" w:type="dxa"/>
            <w:shd w:val="clear" w:color="auto" w:fill="auto"/>
            <w:noWrap/>
            <w:vAlign w:val="center"/>
            <w:hideMark/>
          </w:tcPr>
          <w:p w14:paraId="574E29D1"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Strategjia Kombëtare për Zhvillim dhe Integrim</w:t>
            </w:r>
          </w:p>
        </w:tc>
      </w:tr>
      <w:tr w:rsidR="00A34849" w:rsidRPr="00E83C5E" w14:paraId="574E29D5" w14:textId="77777777" w:rsidTr="008C0679">
        <w:trPr>
          <w:trHeight w:val="300"/>
        </w:trPr>
        <w:tc>
          <w:tcPr>
            <w:tcW w:w="1340" w:type="dxa"/>
            <w:shd w:val="clear" w:color="auto" w:fill="auto"/>
            <w:noWrap/>
            <w:vAlign w:val="center"/>
            <w:hideMark/>
          </w:tcPr>
          <w:p w14:paraId="574E29D3"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TIK</w:t>
            </w:r>
          </w:p>
        </w:tc>
        <w:tc>
          <w:tcPr>
            <w:tcW w:w="7349" w:type="dxa"/>
            <w:shd w:val="clear" w:color="auto" w:fill="auto"/>
            <w:noWrap/>
            <w:vAlign w:val="center"/>
            <w:hideMark/>
          </w:tcPr>
          <w:p w14:paraId="574E29D4" w14:textId="77777777" w:rsidR="00A34849" w:rsidRPr="00E83C5E" w:rsidRDefault="00A34849" w:rsidP="00C90677">
            <w:pPr>
              <w:spacing w:after="0" w:line="240" w:lineRule="auto"/>
              <w:rPr>
                <w:rFonts w:ascii="Garamond" w:eastAsia="Times New Roman" w:hAnsi="Garamond" w:cs="Times New Roman"/>
                <w:color w:val="000000"/>
                <w:sz w:val="20"/>
                <w:szCs w:val="20"/>
                <w:lang w:eastAsia="sq-AL"/>
              </w:rPr>
            </w:pPr>
            <w:r w:rsidRPr="00E83C5E">
              <w:rPr>
                <w:rFonts w:ascii="Garamond" w:eastAsia="Times New Roman" w:hAnsi="Garamond" w:cs="Times New Roman"/>
                <w:color w:val="000000"/>
                <w:sz w:val="20"/>
                <w:szCs w:val="20"/>
                <w:lang w:eastAsia="sq-AL"/>
              </w:rPr>
              <w:t xml:space="preserve">Teknologjia e informacionit </w:t>
            </w:r>
          </w:p>
        </w:tc>
      </w:tr>
    </w:tbl>
    <w:p w14:paraId="574E29D6" w14:textId="77777777" w:rsidR="00A34849" w:rsidRPr="00E83C5E" w:rsidRDefault="00A34849" w:rsidP="004F08CB">
      <w:pPr>
        <w:pStyle w:val="TEKSTIII"/>
      </w:pPr>
    </w:p>
    <w:p w14:paraId="574E29D7" w14:textId="77777777" w:rsidR="004F08CB" w:rsidRPr="00E83C5E" w:rsidRDefault="004F08CB" w:rsidP="004F08CB">
      <w:pPr>
        <w:pStyle w:val="Heading1"/>
        <w:spacing w:before="0" w:line="240" w:lineRule="auto"/>
        <w:ind w:firstLine="284"/>
        <w:rPr>
          <w:rFonts w:ascii="Garamond" w:hAnsi="Garamond" w:cs="Times New Roman"/>
          <w:bCs/>
          <w:color w:val="auto"/>
          <w:sz w:val="24"/>
          <w:szCs w:val="24"/>
          <w:lang w:val="sq-AL"/>
        </w:rPr>
      </w:pPr>
      <w:r w:rsidRPr="00E83C5E">
        <w:rPr>
          <w:rFonts w:ascii="Garamond" w:hAnsi="Garamond" w:cs="Times New Roman"/>
          <w:bCs/>
          <w:color w:val="auto"/>
          <w:sz w:val="24"/>
          <w:szCs w:val="24"/>
          <w:lang w:val="sq-AL"/>
        </w:rPr>
        <w:t>PJESA I: KONTEKSTI STRATEGJIK</w:t>
      </w:r>
    </w:p>
    <w:p w14:paraId="574E29D8" w14:textId="77777777" w:rsidR="004F08CB" w:rsidRPr="00E83C5E" w:rsidRDefault="004F08CB" w:rsidP="004F08CB">
      <w:pPr>
        <w:pStyle w:val="Heading2"/>
        <w:spacing w:before="0" w:line="240" w:lineRule="auto"/>
        <w:ind w:firstLine="284"/>
        <w:rPr>
          <w:rFonts w:ascii="Garamond" w:hAnsi="Garamond" w:cs="Times New Roman"/>
          <w:b/>
          <w:bCs/>
          <w:sz w:val="24"/>
          <w:szCs w:val="24"/>
        </w:rPr>
      </w:pPr>
      <w:bookmarkStart w:id="0" w:name="_Toc62844172"/>
      <w:r w:rsidRPr="00E83C5E">
        <w:rPr>
          <w:rFonts w:ascii="Garamond" w:hAnsi="Garamond" w:cs="Times New Roman"/>
          <w:b/>
          <w:bCs/>
          <w:color w:val="auto"/>
          <w:sz w:val="24"/>
          <w:szCs w:val="24"/>
        </w:rPr>
        <w:t xml:space="preserve">1. </w:t>
      </w:r>
      <w:bookmarkStart w:id="1" w:name="_Toc47601914"/>
      <w:r w:rsidRPr="00E83C5E">
        <w:rPr>
          <w:rFonts w:ascii="Garamond" w:hAnsi="Garamond" w:cs="Times New Roman"/>
          <w:b/>
          <w:bCs/>
          <w:color w:val="auto"/>
          <w:sz w:val="24"/>
          <w:szCs w:val="24"/>
        </w:rPr>
        <w:t xml:space="preserve">Përmbledhje dhe qëllimi i dokumentit strategjik </w:t>
      </w:r>
      <w:bookmarkEnd w:id="0"/>
      <w:bookmarkEnd w:id="1"/>
    </w:p>
    <w:p w14:paraId="574E29D9" w14:textId="77777777" w:rsidR="004F08CB" w:rsidRPr="00E83C5E" w:rsidRDefault="004F08CB" w:rsidP="004F08CB">
      <w:pPr>
        <w:autoSpaceDE w:val="0"/>
        <w:autoSpaceDN w:val="0"/>
        <w:adjustRightInd w:val="0"/>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Qeveria e Shqipërisë e shikon situatën me të rinjtë si një mundësi për zhvillim dhe vënies e rinisë në qendër të zhvillimit. Pikërisht për këtë gjë u krijua një portofol ministri shteti përgjegjës për rininë dhe fëmijët. Kjo është vërtet një mundësi nëse bashkëpunimi ndërqeveritar, me pushtetin vendor, donatorët dhe palët e tjera vjen e rritet. Investimet e bëra tani do ta shtyjnë rininë e Shqipërisë përpara për të trajtuar me efektshmëri sfidat e zhvillimit. Investimet do të rrisin arsimin efektiv të nivelit dytësor, do të reduktojnë dhunën në shkollë, do të krijojnë mundësi për punësimin dhe do të reduktojnë abuzimin, shfrytëzimin dhe martesën e fëmijëve. Ato do të bëjnë të mundur që të realizohet potenciali i plotë i të rinjve. Kjo strategji dëshiron ta bëjë zhvillimin e të rinjve dhe të rejave një çështje për ata vetë dhe të krijojë mundësitë që me rritjen e pjesëmarrjes së të rinjve në jetën e vendit ata të ndryshojnë pozitivisht jetën e tyre duke investuar në mënyrë më të efektshme në të ardhmen e tyre. </w:t>
      </w:r>
    </w:p>
    <w:p w14:paraId="574E29DA" w14:textId="1C49BDC9" w:rsidR="004F08CB" w:rsidRPr="00E83C5E" w:rsidRDefault="004F08CB" w:rsidP="004F08CB">
      <w:pPr>
        <w:autoSpaceDE w:val="0"/>
        <w:autoSpaceDN w:val="0"/>
        <w:adjustRightInd w:val="0"/>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Sikurse cituar në Planin Kombëtar për Integrimin Evropian 2022–2024 (faqe 408), se: </w:t>
      </w:r>
      <w:r w:rsidR="00D540B0" w:rsidRPr="00E83C5E">
        <w:rPr>
          <w:rFonts w:ascii="Garamond" w:hAnsi="Garamond" w:cs="Times New Roman"/>
          <w:i/>
          <w:iCs/>
          <w:sz w:val="24"/>
          <w:szCs w:val="24"/>
        </w:rPr>
        <w:t>“</w:t>
      </w:r>
      <w:r w:rsidRPr="00E83C5E">
        <w:rPr>
          <w:rFonts w:ascii="Garamond" w:hAnsi="Garamond" w:cs="Times New Roman"/>
          <w:i/>
          <w:iCs/>
          <w:color w:val="000000"/>
          <w:sz w:val="24"/>
          <w:szCs w:val="24"/>
        </w:rPr>
        <w:t xml:space="preserve">Strategjia Kombëtare për Rininë 2022–2029 do të jetë dokumenti ku do të bazohen politikat për aktivizimin, përfshirjen dhe mbështetjen e të rinjve. Ky dokument do të synojë hartimin e politikave rinore kombëtare integruese, për adresimin e problemeve të ndryshme me të cilat përballen sot të rinjtë e që lidhen me sfida si, përfshirja e tyre në proceset vendimmarrëse, punësimi, edukimi, teknologjia dhe inovacioni, rritja e aktiviteteve në lidhje me artet dhe </w:t>
      </w:r>
      <w:r w:rsidRPr="00E83C5E">
        <w:rPr>
          <w:rFonts w:ascii="Garamond" w:hAnsi="Garamond" w:cs="Times New Roman"/>
          <w:i/>
          <w:iCs/>
          <w:color w:val="000000"/>
          <w:sz w:val="24"/>
          <w:szCs w:val="24"/>
        </w:rPr>
        <w:lastRenderedPageBreak/>
        <w:t xml:space="preserve">zejet, shtim të aktiviteteve sportive, vullnetarizëm etj. Strategjia Kombëtare për Rininë </w:t>
      </w:r>
      <w:r w:rsidR="009F59C4" w:rsidRPr="00E83C5E">
        <w:rPr>
          <w:rFonts w:ascii="Garamond" w:hAnsi="Garamond" w:cs="Times New Roman"/>
          <w:i/>
          <w:iCs/>
          <w:color w:val="000000"/>
          <w:sz w:val="24"/>
          <w:szCs w:val="24"/>
        </w:rPr>
        <w:t>2022–2029</w:t>
      </w:r>
      <w:r w:rsidRPr="00E83C5E">
        <w:rPr>
          <w:rFonts w:ascii="Garamond" w:hAnsi="Garamond" w:cs="Times New Roman"/>
          <w:i/>
          <w:iCs/>
          <w:color w:val="000000"/>
          <w:sz w:val="24"/>
          <w:szCs w:val="24"/>
        </w:rPr>
        <w:t xml:space="preserve"> do të jetë në përputhje me Strategjinë Evropiane për Rininë 2019–2027.</w:t>
      </w:r>
      <w:r w:rsidR="00D540B0" w:rsidRPr="00E83C5E">
        <w:rPr>
          <w:rFonts w:ascii="Garamond" w:hAnsi="Garamond" w:cs="Times New Roman"/>
          <w:i/>
          <w:iCs/>
          <w:color w:val="000000"/>
          <w:sz w:val="24"/>
          <w:szCs w:val="24"/>
        </w:rPr>
        <w:t>”</w:t>
      </w:r>
    </w:p>
    <w:p w14:paraId="574E29DB" w14:textId="4D49874B" w:rsidR="004F08CB" w:rsidRPr="00E83C5E" w:rsidRDefault="004F08CB" w:rsidP="004F08CB">
      <w:pPr>
        <w:autoSpaceDE w:val="0"/>
        <w:autoSpaceDN w:val="0"/>
        <w:adjustRightInd w:val="0"/>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Kjo strategji bazohet në ligjin nr. 75/2019 </w:t>
      </w:r>
      <w:r w:rsidR="00D540B0" w:rsidRPr="00E83C5E">
        <w:rPr>
          <w:rFonts w:ascii="Garamond" w:hAnsi="Garamond" w:cs="Times New Roman"/>
          <w:sz w:val="24"/>
          <w:szCs w:val="24"/>
        </w:rPr>
        <w:t>“</w:t>
      </w:r>
      <w:r w:rsidRPr="00E83C5E">
        <w:rPr>
          <w:rFonts w:ascii="Garamond" w:hAnsi="Garamond" w:cs="Times New Roman"/>
          <w:sz w:val="24"/>
          <w:szCs w:val="24"/>
        </w:rPr>
        <w:t>Për Rininë</w:t>
      </w:r>
      <w:r w:rsidR="00D540B0" w:rsidRPr="00E83C5E">
        <w:rPr>
          <w:rFonts w:ascii="Garamond" w:hAnsi="Garamond" w:cs="Times New Roman"/>
          <w:sz w:val="24"/>
          <w:szCs w:val="24"/>
        </w:rPr>
        <w:t>”</w:t>
      </w:r>
      <w:r w:rsidRPr="00E83C5E">
        <w:rPr>
          <w:rFonts w:ascii="Garamond" w:hAnsi="Garamond" w:cs="Times New Roman"/>
          <w:sz w:val="24"/>
          <w:szCs w:val="24"/>
        </w:rPr>
        <w:t xml:space="preserve"> i cili siguron bazën ligjore për hartimin e politikave dhe programeve strategjike për rininë. Me urdhrin e datës 30.12.2021</w:t>
      </w:r>
      <w:r w:rsidR="009F59C4" w:rsidRPr="00E83C5E">
        <w:rPr>
          <w:rFonts w:ascii="Garamond" w:hAnsi="Garamond" w:cs="Times New Roman"/>
          <w:sz w:val="24"/>
          <w:szCs w:val="24"/>
        </w:rPr>
        <w:t>,</w:t>
      </w:r>
      <w:r w:rsidRPr="00E83C5E">
        <w:rPr>
          <w:rFonts w:ascii="Garamond" w:hAnsi="Garamond" w:cs="Times New Roman"/>
          <w:sz w:val="24"/>
          <w:szCs w:val="24"/>
        </w:rPr>
        <w:t xml:space="preserve"> të Kryeministrit të Shqipërisë, ShTZ, Edi Rama u ngrit edhe grupi ndërministror i punës (GNP) për të hartuar këtë strategji. </w:t>
      </w:r>
    </w:p>
    <w:p w14:paraId="574E29DC" w14:textId="756EDF49" w:rsidR="004F08CB" w:rsidRPr="00E83C5E" w:rsidRDefault="004F08CB" w:rsidP="004F08CB">
      <w:pPr>
        <w:autoSpaceDE w:val="0"/>
        <w:autoSpaceDN w:val="0"/>
        <w:adjustRightInd w:val="0"/>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Puna për këtë strategji filloi me një seri sesionesh konsultimesh me të reja dhe të rinj në të gjit</w:t>
      </w:r>
      <w:r w:rsidR="009F59C4" w:rsidRPr="00E83C5E">
        <w:rPr>
          <w:rFonts w:ascii="Garamond" w:hAnsi="Garamond" w:cs="Times New Roman"/>
          <w:sz w:val="24"/>
          <w:szCs w:val="24"/>
        </w:rPr>
        <w:t>h</w:t>
      </w:r>
      <w:r w:rsidRPr="00E83C5E">
        <w:rPr>
          <w:rFonts w:ascii="Garamond" w:hAnsi="Garamond" w:cs="Times New Roman"/>
          <w:sz w:val="24"/>
          <w:szCs w:val="24"/>
        </w:rPr>
        <w:t xml:space="preserve">ë vendin në të cilat qeveria përfaqësohej nga Kryeministri dhe Ministri i Shtetit për Rininë dhe Fëmijët. Në këto sesione konsultimesh morën mbi 1200 të rinj. Takime konsultative u zhvilluan edhe me 45 organizata të ndryshme rinore si edhe me 61 përfaqësues të njësive të vetëqeverisjes vendore. Me ngritjen e GNP takimet konsultative të rregullta vijuan edhe me këtë grup. </w:t>
      </w:r>
    </w:p>
    <w:p w14:paraId="574E29DD" w14:textId="3DEB0426" w:rsidR="004F08CB" w:rsidRPr="00E83C5E" w:rsidRDefault="004F08CB" w:rsidP="004F08CB">
      <w:pPr>
        <w:autoSpaceDE w:val="0"/>
        <w:autoSpaceDN w:val="0"/>
        <w:adjustRightInd w:val="0"/>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Draftet e para të strategjisë u konsultuan edhe me një grup prej 200 të rinjsh të mbajtur në Qytezën e Fëmijëve në </w:t>
      </w:r>
      <w:r w:rsidR="009F59C4" w:rsidRPr="00E83C5E">
        <w:rPr>
          <w:rFonts w:ascii="Garamond" w:hAnsi="Garamond" w:cs="Times New Roman"/>
          <w:sz w:val="24"/>
          <w:szCs w:val="24"/>
        </w:rPr>
        <w:t>Korçë</w:t>
      </w:r>
      <w:r w:rsidRPr="00E83C5E">
        <w:rPr>
          <w:rFonts w:ascii="Garamond" w:hAnsi="Garamond" w:cs="Times New Roman"/>
          <w:sz w:val="24"/>
          <w:szCs w:val="24"/>
        </w:rPr>
        <w:t xml:space="preserve"> në datat 19</w:t>
      </w:r>
      <w:r w:rsidR="005C2C08" w:rsidRPr="00E83C5E">
        <w:rPr>
          <w:rFonts w:ascii="Garamond" w:hAnsi="Garamond" w:cs="Times New Roman"/>
          <w:sz w:val="24"/>
          <w:szCs w:val="24"/>
        </w:rPr>
        <w:t>–</w:t>
      </w:r>
      <w:r w:rsidRPr="00E83C5E">
        <w:rPr>
          <w:rFonts w:ascii="Garamond" w:hAnsi="Garamond" w:cs="Times New Roman"/>
          <w:sz w:val="24"/>
          <w:szCs w:val="24"/>
        </w:rPr>
        <w:t xml:space="preserve">20 mars 2022. </w:t>
      </w:r>
    </w:p>
    <w:p w14:paraId="574E29DE" w14:textId="6017112E" w:rsidR="004F08CB" w:rsidRPr="00E83C5E" w:rsidRDefault="004F08CB" w:rsidP="004F08CB">
      <w:pPr>
        <w:autoSpaceDE w:val="0"/>
        <w:autoSpaceDN w:val="0"/>
        <w:adjustRightInd w:val="0"/>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Politika kombëtare e strategjisë së rinisë dhe përpjekjet programuese përqendrohen në sigurimin e barazisë së mundësive dhe të drejtave, mbështetjes dhe angazhimit për të rejat dhe të rinjtë që janë më të prekshëm, të margjinalizuar dhe më të goditur nga mungesat e shumta, të tilla si varfëria, dhuna, keqtrajtimi, paaftësia dhe përjashtimi social.</w:t>
      </w:r>
      <w:r w:rsidR="00233C37" w:rsidRPr="00E83C5E">
        <w:rPr>
          <w:rFonts w:ascii="Garamond" w:hAnsi="Garamond" w:cs="Times New Roman"/>
          <w:sz w:val="24"/>
          <w:szCs w:val="24"/>
        </w:rPr>
        <w:t xml:space="preserve"> </w:t>
      </w:r>
      <w:r w:rsidRPr="00E83C5E">
        <w:rPr>
          <w:rFonts w:ascii="Garamond" w:hAnsi="Garamond" w:cs="Times New Roman"/>
          <w:sz w:val="24"/>
          <w:szCs w:val="24"/>
        </w:rPr>
        <w:t>Kjo strategji synon të orientojë rininë shqiptare për veprim të mëtejshëm i cili ndikon pozitivisht në të ardhmen e tyre. Politikat që zhvillohen në kuadër të kësaj strategjie janë këto qëllime:</w:t>
      </w:r>
    </w:p>
    <w:p w14:paraId="574E29DF" w14:textId="77777777" w:rsidR="004F08CB" w:rsidRPr="00E83C5E" w:rsidRDefault="004F08CB" w:rsidP="004F08CB">
      <w:pPr>
        <w:spacing w:after="0" w:line="240" w:lineRule="auto"/>
        <w:ind w:left="284"/>
        <w:jc w:val="both"/>
        <w:rPr>
          <w:rFonts w:ascii="Garamond" w:hAnsi="Garamond" w:cs="Times New Roman"/>
          <w:sz w:val="24"/>
          <w:szCs w:val="24"/>
        </w:rPr>
      </w:pPr>
      <w:r w:rsidRPr="00E83C5E">
        <w:rPr>
          <w:rFonts w:ascii="Garamond" w:hAnsi="Garamond" w:cs="Times New Roman"/>
          <w:sz w:val="24"/>
          <w:szCs w:val="24"/>
        </w:rPr>
        <w:t>Të rejat dhe të rinjtë marrin pjesë në mënyrë aktive në shoqëri dhe ndihen të fuqizuar për t’u shprehur me zërat e tyre</w:t>
      </w:r>
    </w:p>
    <w:p w14:paraId="574E29E0" w14:textId="3575290A" w:rsidR="004F08CB" w:rsidRPr="00E83C5E" w:rsidRDefault="004F08CB" w:rsidP="004F08CB">
      <w:pPr>
        <w:pStyle w:val="TEKSTIII"/>
      </w:pPr>
      <w:r w:rsidRPr="00E83C5E">
        <w:t>-</w:t>
      </w:r>
      <w:r w:rsidR="00C011B4" w:rsidRPr="00E83C5E">
        <w:t xml:space="preserve"> </w:t>
      </w:r>
      <w:r w:rsidRPr="00E83C5E">
        <w:t>Rritje e aftësive për punësimin e të rinjve, mbështetur nga shërbimet e këshillimit të karrierës dhe punësimit që janë të orientuara nga të rinjtë, rritja dhe përmirësimi i mundësive për të hyrë në tregun e punës në bazë të drejtësisë</w:t>
      </w:r>
      <w:r w:rsidRPr="00E83C5E">
        <w:rPr>
          <w:rStyle w:val="FootnoteReference"/>
          <w:rFonts w:cs="Times New Roman"/>
        </w:rPr>
        <w:footnoteReference w:id="2"/>
      </w:r>
      <w:r w:rsidRPr="00E83C5E">
        <w:t xml:space="preserve"> dhe të shanseve të barabarta.</w:t>
      </w:r>
    </w:p>
    <w:p w14:paraId="574E29E1" w14:textId="6AB43900" w:rsidR="004F08CB" w:rsidRPr="00E83C5E" w:rsidRDefault="004F08CB" w:rsidP="004F08CB">
      <w:pPr>
        <w:pStyle w:val="TEKSTIII"/>
      </w:pPr>
      <w:r w:rsidRPr="00E83C5E">
        <w:t>-</w:t>
      </w:r>
      <w:r w:rsidR="00C011B4" w:rsidRPr="00E83C5E">
        <w:t xml:space="preserve"> </w:t>
      </w:r>
      <w:r w:rsidRPr="00E83C5E">
        <w:t>Mirëqenie aktive, e shëndetshme, fizike, sociale dhe mendore e të rinjve</w:t>
      </w:r>
    </w:p>
    <w:p w14:paraId="574E29E2" w14:textId="1EFBA312" w:rsidR="004F08CB" w:rsidRPr="00E83C5E" w:rsidRDefault="004F08CB" w:rsidP="004F08CB">
      <w:pPr>
        <w:pStyle w:val="TEKSTIII"/>
      </w:pPr>
      <w:r w:rsidRPr="00E83C5E">
        <w:t>-</w:t>
      </w:r>
      <w:r w:rsidR="00C011B4" w:rsidRPr="00E83C5E">
        <w:t xml:space="preserve"> </w:t>
      </w:r>
      <w:r w:rsidRPr="00E83C5E">
        <w:t>Novacion dhe edukim cilësor për të mbështetur të rinjtë për të arritur potencialin e tyre të plotë</w:t>
      </w:r>
    </w:p>
    <w:p w14:paraId="574E29E3" w14:textId="36ABBCDC" w:rsidR="004F08CB" w:rsidRPr="00E83C5E" w:rsidRDefault="004F08CB" w:rsidP="004F08CB">
      <w:pPr>
        <w:pStyle w:val="TEKSTIII"/>
      </w:pPr>
      <w:r w:rsidRPr="00E83C5E">
        <w:t>-</w:t>
      </w:r>
      <w:r w:rsidR="00C011B4" w:rsidRPr="00E83C5E">
        <w:t xml:space="preserve"> </w:t>
      </w:r>
      <w:r w:rsidRPr="00E83C5E">
        <w:t>Siguri, mbrojtje dhe gjithëpërfshirje e të rinjve në të gjithë diversitetin e tyre, veçanërisht për ata të rinj që janë në situatë rreziku apo vulnerabiliteti.</w:t>
      </w:r>
    </w:p>
    <w:p w14:paraId="574E29E4" w14:textId="75791D29" w:rsidR="004F08CB" w:rsidRPr="00E83C5E" w:rsidRDefault="004F08CB" w:rsidP="004F08CB">
      <w:pPr>
        <w:pStyle w:val="TEKSTIII"/>
      </w:pPr>
      <w:r w:rsidRPr="00E83C5E">
        <w:t>-</w:t>
      </w:r>
      <w:r w:rsidR="00C011B4" w:rsidRPr="00E83C5E">
        <w:t xml:space="preserve"> </w:t>
      </w:r>
      <w:r w:rsidRPr="00E83C5E">
        <w:t>Politika ndërsektoriale rinore e koordinuar, e bazuar në fakte, me mekanizma të mirëfinancuar të ofrimit, monitorimit dhe vlerësimit horizontal dhe vertikal.</w:t>
      </w:r>
    </w:p>
    <w:p w14:paraId="574E29E6" w14:textId="7E04ADE3" w:rsidR="004F08CB" w:rsidRPr="00E83C5E" w:rsidRDefault="004F08CB" w:rsidP="004F08CB">
      <w:pPr>
        <w:pStyle w:val="TEKSTIII"/>
        <w:rPr>
          <w:b/>
        </w:rPr>
      </w:pPr>
      <w:r w:rsidRPr="00E83C5E">
        <w:rPr>
          <w:b/>
        </w:rPr>
        <w:t>1.1 Lidhja e Strategjisë Kombëtare të Rinisë me Programin e Qeverisë 2021</w:t>
      </w:r>
      <w:r w:rsidR="004B553E" w:rsidRPr="00E83C5E">
        <w:rPr>
          <w:rFonts w:cs="Times New Roman"/>
          <w:bCs/>
        </w:rPr>
        <w:t>–</w:t>
      </w:r>
      <w:r w:rsidRPr="00E83C5E">
        <w:rPr>
          <w:b/>
        </w:rPr>
        <w:t>2025</w:t>
      </w:r>
    </w:p>
    <w:p w14:paraId="574E29E7" w14:textId="77737EAB" w:rsidR="004F08CB" w:rsidRPr="00E83C5E" w:rsidRDefault="004F08CB" w:rsidP="004F08CB">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Programi qeverisës 2021–25 e ka në qendër të vëmendjes rininë sepse e shikon </w:t>
      </w:r>
      <w:r w:rsidR="009F59C4" w:rsidRPr="00E83C5E">
        <w:rPr>
          <w:rFonts w:ascii="Garamond" w:hAnsi="Garamond" w:cs="Times New Roman"/>
          <w:sz w:val="24"/>
          <w:szCs w:val="24"/>
        </w:rPr>
        <w:t>zhvillnin</w:t>
      </w:r>
      <w:r w:rsidRPr="00E83C5E">
        <w:rPr>
          <w:rFonts w:ascii="Garamond" w:hAnsi="Garamond" w:cs="Times New Roman"/>
          <w:sz w:val="24"/>
          <w:szCs w:val="24"/>
        </w:rPr>
        <w:t xml:space="preserve"> e saj dhe rolin që ajo luan në zhvillimin e vendit të integruar në fushat kryesore të programit. </w:t>
      </w:r>
    </w:p>
    <w:p w14:paraId="574E29E8" w14:textId="1846DCBB" w:rsidR="004F08CB" w:rsidRPr="00E83C5E" w:rsidRDefault="004F08CB" w:rsidP="004F08CB">
      <w:pPr>
        <w:pStyle w:val="TEKSTIII"/>
        <w:rPr>
          <w:i/>
          <w:iCs/>
        </w:rPr>
      </w:pPr>
      <w:r w:rsidRPr="00E83C5E">
        <w:t>-</w:t>
      </w:r>
      <w:r w:rsidR="009F59C4" w:rsidRPr="00E83C5E">
        <w:t xml:space="preserve"> </w:t>
      </w:r>
      <w:r w:rsidRPr="00E83C5E">
        <w:t xml:space="preserve">Në aspektin e </w:t>
      </w:r>
      <w:r w:rsidRPr="00E83C5E">
        <w:rPr>
          <w:b/>
          <w:bCs/>
        </w:rPr>
        <w:t>zhvillimit ekonomik</w:t>
      </w:r>
      <w:r w:rsidRPr="00E83C5E">
        <w:t xml:space="preserve"> programi qeveritar e vendos theksin te besimi që qeveria ka te</w:t>
      </w:r>
      <w:r w:rsidR="002A22C5" w:rsidRPr="00E83C5E">
        <w:t>k</w:t>
      </w:r>
      <w:r w:rsidRPr="00E83C5E">
        <w:t xml:space="preserve"> të rinjtë </w:t>
      </w:r>
      <w:r w:rsidRPr="00E83C5E">
        <w:rPr>
          <w:i/>
          <w:iCs/>
        </w:rPr>
        <w:t>si forca që do të përshpejtojë progresin drejt Shqipërisë së gjeneratës tjetër</w:t>
      </w:r>
      <w:r w:rsidRPr="00E83C5E">
        <w:t xml:space="preserve">, ndaj qëndron angazhimi për të siguruar </w:t>
      </w:r>
      <w:r w:rsidRPr="00E83C5E">
        <w:rPr>
          <w:i/>
          <w:iCs/>
        </w:rPr>
        <w:t>jo vetëm mundësi më të mira arsimimi në fushat prioritare si shkencat natyrore, teknologji e informacionit dhe inxhinieri, por mundësi reale për të qenë sipërmarrësit e ardhshëm në fushat e inovacionit e teknologjisë, për të konkurruar denjësisht në tregun global.</w:t>
      </w:r>
      <w:r w:rsidRPr="00E83C5E">
        <w:t xml:space="preserve"> </w:t>
      </w:r>
    </w:p>
    <w:p w14:paraId="574E29E9" w14:textId="505BAE9A" w:rsidR="004F08CB" w:rsidRPr="00E83C5E" w:rsidRDefault="004F08CB" w:rsidP="004F08CB">
      <w:pPr>
        <w:pStyle w:val="TEKSTIII"/>
        <w:rPr>
          <w:i/>
          <w:iCs/>
        </w:rPr>
      </w:pPr>
      <w:r w:rsidRPr="00E83C5E">
        <w:t>-</w:t>
      </w:r>
      <w:r w:rsidR="009F59C4" w:rsidRPr="00E83C5E">
        <w:t xml:space="preserve"> </w:t>
      </w:r>
      <w:r w:rsidRPr="00E83C5E">
        <w:t xml:space="preserve">Në procesin e krijimit </w:t>
      </w:r>
      <w:r w:rsidRPr="00E83C5E">
        <w:rPr>
          <w:b/>
          <w:bCs/>
        </w:rPr>
        <w:t>të një ekonomie të fortë të bazuar në modernizim, produktivitet dhe konkurrueshmëri</w:t>
      </w:r>
      <w:r w:rsidRPr="00E83C5E">
        <w:t xml:space="preserve"> Shqipëria shihet si qendër rajonale për sipërmarrjet e reja në ekonominë digjitale duke siguruar punë dinjitoze për të rinjtë për të realizuar kështu një kthesë cilësore në punësimin rinor. </w:t>
      </w:r>
    </w:p>
    <w:p w14:paraId="574E29EA" w14:textId="684623B5" w:rsidR="004F08CB" w:rsidRPr="00E83C5E" w:rsidRDefault="004F08CB" w:rsidP="004F08CB">
      <w:pPr>
        <w:pStyle w:val="TEKSTIII"/>
        <w:rPr>
          <w:i/>
          <w:iCs/>
        </w:rPr>
      </w:pPr>
      <w:r w:rsidRPr="00E83C5E">
        <w:t>-</w:t>
      </w:r>
      <w:r w:rsidR="009F59C4" w:rsidRPr="00E83C5E">
        <w:t xml:space="preserve"> </w:t>
      </w:r>
      <w:r w:rsidRPr="00E83C5E">
        <w:t xml:space="preserve">Programi qeveritar në lidhje me zhvillimin e </w:t>
      </w:r>
      <w:r w:rsidRPr="00E83C5E">
        <w:rPr>
          <w:b/>
          <w:bCs/>
        </w:rPr>
        <w:t xml:space="preserve">shoqërisë së dijes </w:t>
      </w:r>
      <w:r w:rsidRPr="00E83C5E">
        <w:t xml:space="preserve">synon rindërtimin e sistemit arsimor për ta bërë atë më të aksesueshëm dhe me infrastrukturë moderne duke i nxitur të </w:t>
      </w:r>
      <w:r w:rsidRPr="00E83C5E">
        <w:rPr>
          <w:i/>
          <w:iCs/>
        </w:rPr>
        <w:t xml:space="preserve">rinjtë në shkenca, teknologji, inxhinieri dhe matematikë, fusha që garantojnë jo vetëm një të ardhme të sigurt për ta, por edhe zhvillimin dhe konkurrueshmërinë e vendit. </w:t>
      </w:r>
      <w:r w:rsidRPr="00E83C5E">
        <w:t xml:space="preserve">Në arritjen e konkurrimit në realitetin global pritet që </w:t>
      </w:r>
      <w:r w:rsidRPr="00E83C5E">
        <w:lastRenderedPageBreak/>
        <w:t xml:space="preserve">brezat e rinj të aftësohen </w:t>
      </w:r>
      <w:r w:rsidRPr="00E83C5E">
        <w:rPr>
          <w:i/>
          <w:iCs/>
        </w:rPr>
        <w:t>në gjuhë të huaja që në klasën e parë, në kodim, si dhe do të ndërkombëtarizojmë universitet tona në bashkëpunim me universitete simotra</w:t>
      </w:r>
      <w:r w:rsidRPr="00E83C5E">
        <w:t>. Në vizionin qeveritar për Shqipërinë 2030, të rinjtë nuk shihen vetëm përmes zhvillimit të infrastrukturës së shërbimeve për kujdesin dhe rritjen e tyre. Fokusi vendoset në zhvillimin e politikave të reja për shëndet më të mirë, edukim më cilësor dhe hapësira alternative që nxisin formimin dhe talentet e të rinjve.</w:t>
      </w:r>
    </w:p>
    <w:p w14:paraId="574E29EB" w14:textId="28FE8B84" w:rsidR="004F08CB" w:rsidRPr="00E83C5E" w:rsidRDefault="004F08CB" w:rsidP="004F08CB">
      <w:pPr>
        <w:pStyle w:val="TEKSTIII"/>
        <w:rPr>
          <w:i/>
          <w:iCs/>
        </w:rPr>
      </w:pPr>
      <w:r w:rsidRPr="00E83C5E">
        <w:t>-</w:t>
      </w:r>
      <w:r w:rsidR="009F59C4" w:rsidRPr="00E83C5E">
        <w:t xml:space="preserve"> </w:t>
      </w:r>
      <w:r w:rsidRPr="00E83C5E">
        <w:t xml:space="preserve">Në lidhje me </w:t>
      </w:r>
      <w:r w:rsidRPr="00E83C5E">
        <w:rPr>
          <w:b/>
          <w:bCs/>
        </w:rPr>
        <w:t xml:space="preserve">arsimin, </w:t>
      </w:r>
      <w:r w:rsidRPr="00E83C5E">
        <w:t>siç reflektohet edhe në Strategjinë Kombëtare të Arsimit 2021</w:t>
      </w:r>
      <w:r w:rsidR="00356B53">
        <w:t>–</w:t>
      </w:r>
      <w:r w:rsidRPr="00E83C5E">
        <w:t>26, zhvillimi i infrastrukturave të reja shkollore që erdhi edhe si rezultat i shkatërrimit të infrastrukturës nga tërmetet e vitit 2019 shoqërohet me një plan për zhvillim të sistemit arsimor që i jep të rinjve njohuri dhe dije konkurruese. Kjo pritet të arrihet me investimet në teknologji dhe infrastrukturë laboratorike, rritjen e vlerës së diplomave në tregun e punës</w:t>
      </w:r>
      <w:r w:rsidR="00356B53">
        <w:t>,</w:t>
      </w:r>
      <w:r w:rsidRPr="00E83C5E">
        <w:t xml:space="preserve"> si dhe fuqizimin e institucioneve vendase të arsimit të lartë. Zinxhiri i arsimit pret rritje cilësore edhe duke bërë të detyrueshëm mësimin e gjuhës angleze nga klasa e parë fillore, hapjen e kurseve të kodimit dhe profilizimin e klasave sportive. </w:t>
      </w:r>
    </w:p>
    <w:p w14:paraId="574E29EC" w14:textId="201816B9" w:rsidR="004F08CB" w:rsidRPr="00E83C5E" w:rsidRDefault="004C7786" w:rsidP="004C7786">
      <w:pPr>
        <w:pStyle w:val="TEKSTIII"/>
        <w:rPr>
          <w:i/>
          <w:iCs/>
        </w:rPr>
      </w:pPr>
      <w:r w:rsidRPr="00E83C5E">
        <w:t>-</w:t>
      </w:r>
      <w:r w:rsidR="009F59C4" w:rsidRPr="00E83C5E">
        <w:t xml:space="preserve"> </w:t>
      </w:r>
      <w:r w:rsidR="004F08CB" w:rsidRPr="00E83C5E">
        <w:t xml:space="preserve">Në fushën e </w:t>
      </w:r>
      <w:r w:rsidR="004F08CB" w:rsidRPr="00E83C5E">
        <w:rPr>
          <w:b/>
          <w:bCs/>
        </w:rPr>
        <w:t>shëndetësisë</w:t>
      </w:r>
      <w:r w:rsidR="004F08CB" w:rsidRPr="00E83C5E">
        <w:t xml:space="preserve"> bërja funksionale e 10 qendrave model të mjekësisë familjare me shërbime të integruara socio-shëndetësore priten të kenë edhe shërbime specifike për të rinjtë. </w:t>
      </w:r>
    </w:p>
    <w:p w14:paraId="574E29ED" w14:textId="572C76F8" w:rsidR="004F08CB" w:rsidRPr="00E83C5E" w:rsidRDefault="004C7786" w:rsidP="004C7786">
      <w:pPr>
        <w:pStyle w:val="TEKSTIII"/>
        <w:rPr>
          <w:i/>
          <w:iCs/>
        </w:rPr>
      </w:pPr>
      <w:r w:rsidRPr="00E83C5E">
        <w:t>-</w:t>
      </w:r>
      <w:r w:rsidR="009F59C4" w:rsidRPr="00E83C5E">
        <w:t xml:space="preserve"> </w:t>
      </w:r>
      <w:r w:rsidR="004F08CB" w:rsidRPr="00E83C5E">
        <w:t xml:space="preserve">Me një program të ri mbështetës në </w:t>
      </w:r>
      <w:r w:rsidR="004F08CB" w:rsidRPr="00E83C5E">
        <w:rPr>
          <w:b/>
          <w:bCs/>
        </w:rPr>
        <w:t>strehim</w:t>
      </w:r>
      <w:r w:rsidR="004F08CB" w:rsidRPr="00E83C5E">
        <w:t xml:space="preserve"> pritet që familjet e reja të trajtohen me 1 milion lekë mbështetje për pagesën fillestare dhe zbutjen e interesit për blerjen e shtëpisë. Kjo masë nuk e ndërpret programin e banesave sociale në bashkitë e mëdha të cilat do të shkojnë në 2000 në vit. </w:t>
      </w:r>
    </w:p>
    <w:p w14:paraId="574E29EE" w14:textId="1D503C24" w:rsidR="004F08CB" w:rsidRPr="00E83C5E" w:rsidRDefault="004C7786" w:rsidP="004C7786">
      <w:pPr>
        <w:pStyle w:val="TEKSTIII"/>
        <w:rPr>
          <w:i/>
          <w:iCs/>
        </w:rPr>
      </w:pPr>
      <w:r w:rsidRPr="00E83C5E">
        <w:t>-</w:t>
      </w:r>
      <w:r w:rsidR="009F59C4" w:rsidRPr="00E83C5E">
        <w:t xml:space="preserve"> </w:t>
      </w:r>
      <w:r w:rsidR="004F08CB" w:rsidRPr="00E83C5E">
        <w:t xml:space="preserve">Në procesin e zhvillimit të </w:t>
      </w:r>
      <w:r w:rsidR="004F08CB" w:rsidRPr="00E83C5E">
        <w:rPr>
          <w:b/>
          <w:bCs/>
        </w:rPr>
        <w:t>biznesit të vogël</w:t>
      </w:r>
      <w:r w:rsidR="004F08CB" w:rsidRPr="00E83C5E">
        <w:t xml:space="preserve"> merr edhe më shumë vëmendje sipërmarrja e krijuar nga të rinjtë. Fondi i mbështetjes për sipërmarrjet e reja </w:t>
      </w:r>
      <w:r w:rsidR="00081887" w:rsidRPr="00E83C5E">
        <w:rPr>
          <w:i/>
        </w:rPr>
        <w:t>start-up</w:t>
      </w:r>
      <w:r w:rsidR="004F08CB" w:rsidRPr="00E83C5E">
        <w:t xml:space="preserve"> pesëfishohet për të arritur në 10 milionë euro. </w:t>
      </w:r>
    </w:p>
    <w:p w14:paraId="574E29EF" w14:textId="3B245958" w:rsidR="004F08CB" w:rsidRPr="00E83C5E" w:rsidRDefault="004C7786" w:rsidP="004C7786">
      <w:pPr>
        <w:pStyle w:val="TEKSTIII"/>
        <w:rPr>
          <w:i/>
          <w:iCs/>
        </w:rPr>
      </w:pPr>
      <w:r w:rsidRPr="00E83C5E">
        <w:t>-</w:t>
      </w:r>
      <w:r w:rsidR="009F59C4" w:rsidRPr="00E83C5E">
        <w:t xml:space="preserve"> </w:t>
      </w:r>
      <w:r w:rsidR="004F08CB" w:rsidRPr="00E83C5E">
        <w:t xml:space="preserve">Edhe në </w:t>
      </w:r>
      <w:r w:rsidR="004F08CB" w:rsidRPr="00E83C5E">
        <w:rPr>
          <w:b/>
          <w:bCs/>
        </w:rPr>
        <w:t>zhvillimin e fshatit drejt turizmit rural</w:t>
      </w:r>
      <w:r w:rsidR="004F08CB" w:rsidRPr="00E83C5E">
        <w:t xml:space="preserve"> programi ka parashikuar paketa nxitëse për të rinjtë dhe gratë që do të përfshihen në këtë sektor. </w:t>
      </w:r>
    </w:p>
    <w:p w14:paraId="574E29F0" w14:textId="1791B856" w:rsidR="004F08CB" w:rsidRPr="00E83C5E" w:rsidRDefault="004C7786" w:rsidP="004C7786">
      <w:pPr>
        <w:pStyle w:val="TEKSTIII"/>
        <w:rPr>
          <w:b/>
        </w:rPr>
      </w:pPr>
      <w:r w:rsidRPr="00E83C5E">
        <w:rPr>
          <w:b/>
        </w:rPr>
        <w:t xml:space="preserve">1.2 </w:t>
      </w:r>
      <w:r w:rsidR="004F08CB" w:rsidRPr="00E83C5E">
        <w:rPr>
          <w:b/>
        </w:rPr>
        <w:t xml:space="preserve">Lidhja e Strategjisë Kombëtare të Rinisë me Strategjinë e Rinisë së OKB-së dhe </w:t>
      </w:r>
      <w:r w:rsidR="00AF3D4B" w:rsidRPr="00E83C5E">
        <w:rPr>
          <w:b/>
        </w:rPr>
        <w:t xml:space="preserve">objektivat e zhvillimit të qëndrueshëm </w:t>
      </w:r>
    </w:p>
    <w:p w14:paraId="574E29F1" w14:textId="211EC6BD" w:rsidR="004F08CB" w:rsidRPr="00E83C5E" w:rsidRDefault="004C7786" w:rsidP="004F08CB">
      <w:pPr>
        <w:autoSpaceDE w:val="0"/>
        <w:autoSpaceDN w:val="0"/>
        <w:adjustRightInd w:val="0"/>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w:t>
      </w:r>
      <w:r w:rsidR="009F59C4" w:rsidRPr="00E83C5E">
        <w:rPr>
          <w:rFonts w:ascii="Garamond" w:hAnsi="Garamond" w:cs="Times New Roman"/>
          <w:sz w:val="24"/>
          <w:szCs w:val="24"/>
        </w:rPr>
        <w:t xml:space="preserve"> </w:t>
      </w:r>
      <w:r w:rsidR="004F08CB" w:rsidRPr="00E83C5E">
        <w:rPr>
          <w:rFonts w:ascii="Garamond" w:hAnsi="Garamond" w:cs="Times New Roman"/>
          <w:sz w:val="24"/>
          <w:szCs w:val="24"/>
        </w:rPr>
        <w:t>Sot në botë ka 1,8 miliardë njerëz të moshës 10 deri në 24 vjeç duke qenë brezi më i madh i të rejave dhe të rinjve në histori. Rreth 90 për</w:t>
      </w:r>
      <w:r w:rsidR="009F59C4" w:rsidRPr="00E83C5E">
        <w:rPr>
          <w:rFonts w:ascii="Garamond" w:hAnsi="Garamond" w:cs="Times New Roman"/>
          <w:sz w:val="24"/>
          <w:szCs w:val="24"/>
        </w:rPr>
        <w:t xml:space="preserve"> </w:t>
      </w:r>
      <w:r w:rsidR="004F08CB" w:rsidRPr="00E83C5E">
        <w:rPr>
          <w:rFonts w:ascii="Garamond" w:hAnsi="Garamond" w:cs="Times New Roman"/>
          <w:sz w:val="24"/>
          <w:szCs w:val="24"/>
        </w:rPr>
        <w:t>qind e tyre jetojnë në vendet në zhvillim, ku përbëjnë pjesën më të madhe të popullsisë. Numri i popullsisë brenda kësaj moshe pritet të shkojë në rreth 2 miliardë deri në vitin 2030, rreth 1,9 miliardë të rinj parashikohet të bëhen 15 vjeç</w:t>
      </w:r>
      <w:r w:rsidR="004F08CB" w:rsidRPr="00E83C5E">
        <w:rPr>
          <w:rStyle w:val="FootnoteReference"/>
          <w:rFonts w:ascii="Garamond" w:hAnsi="Garamond" w:cs="Times New Roman"/>
          <w:sz w:val="24"/>
          <w:szCs w:val="24"/>
        </w:rPr>
        <w:footnoteReference w:id="3"/>
      </w:r>
      <w:r w:rsidR="004F08CB" w:rsidRPr="00E83C5E">
        <w:rPr>
          <w:rFonts w:ascii="Garamond" w:hAnsi="Garamond" w:cs="Times New Roman"/>
          <w:sz w:val="24"/>
          <w:szCs w:val="24"/>
        </w:rPr>
        <w:t>.</w:t>
      </w:r>
      <w:r w:rsidR="00233C37" w:rsidRPr="00E83C5E">
        <w:rPr>
          <w:rFonts w:ascii="Garamond" w:hAnsi="Garamond" w:cs="Times New Roman"/>
          <w:sz w:val="24"/>
          <w:szCs w:val="24"/>
        </w:rPr>
        <w:t xml:space="preserve"> </w:t>
      </w:r>
      <w:r w:rsidR="004F08CB" w:rsidRPr="00E83C5E">
        <w:rPr>
          <w:rFonts w:ascii="Garamond" w:hAnsi="Garamond" w:cs="Times New Roman"/>
          <w:sz w:val="24"/>
          <w:szCs w:val="24"/>
        </w:rPr>
        <w:t xml:space="preserve">Të lidhur me njëri-tjetrin si kurrë më parë, të rinjtë duan dhe tashmë të kontribuojnë në qëndrueshmërinë e komuniteteve të tyre, duke propozuar zgjidhje inovative, duke nxitur përparimin social dhe duke frymëzuar ndryshime politike. Ata janë gjithashtu agjentë të ndryshimit, duke u mobilizuar për të çuar përpara </w:t>
      </w:r>
      <w:r w:rsidR="00BE3442" w:rsidRPr="00E83C5E">
        <w:rPr>
          <w:rFonts w:ascii="Garamond" w:hAnsi="Garamond" w:cs="Times New Roman"/>
          <w:sz w:val="24"/>
          <w:szCs w:val="24"/>
        </w:rPr>
        <w:t xml:space="preserve">objektivat e zhvillimit të qëndrueshëm </w:t>
      </w:r>
      <w:r w:rsidR="004F08CB" w:rsidRPr="00E83C5E">
        <w:rPr>
          <w:rFonts w:ascii="Garamond" w:hAnsi="Garamond" w:cs="Times New Roman"/>
          <w:sz w:val="24"/>
          <w:szCs w:val="24"/>
        </w:rPr>
        <w:t>për të përmirësuar jetën e njerëzve dhe shëndetin e planetit.</w:t>
      </w:r>
    </w:p>
    <w:p w14:paraId="574E29F2" w14:textId="75D9262C" w:rsidR="004F08CB" w:rsidRPr="00E83C5E" w:rsidRDefault="004C7786" w:rsidP="004F08CB">
      <w:pPr>
        <w:autoSpaceDE w:val="0"/>
        <w:autoSpaceDN w:val="0"/>
        <w:adjustRightInd w:val="0"/>
        <w:spacing w:after="0" w:line="240" w:lineRule="auto"/>
        <w:ind w:firstLine="284"/>
        <w:jc w:val="both"/>
        <w:rPr>
          <w:rFonts w:ascii="Garamond" w:hAnsi="Garamond" w:cs="Times New Roman"/>
          <w:sz w:val="24"/>
          <w:szCs w:val="24"/>
        </w:rPr>
      </w:pPr>
      <w:r w:rsidRPr="00E83C5E">
        <w:rPr>
          <w:rFonts w:ascii="Garamond" w:hAnsi="Garamond" w:cs="Times New Roman"/>
          <w:b/>
          <w:bCs/>
          <w:sz w:val="24"/>
          <w:szCs w:val="24"/>
        </w:rPr>
        <w:t>-</w:t>
      </w:r>
      <w:r w:rsidR="009F59C4" w:rsidRPr="00E83C5E">
        <w:rPr>
          <w:rFonts w:ascii="Garamond" w:hAnsi="Garamond" w:cs="Times New Roman"/>
          <w:b/>
          <w:bCs/>
          <w:sz w:val="24"/>
          <w:szCs w:val="24"/>
        </w:rPr>
        <w:t xml:space="preserve"> </w:t>
      </w:r>
      <w:r w:rsidR="004F08CB" w:rsidRPr="00E83C5E">
        <w:rPr>
          <w:rFonts w:ascii="Garamond" w:hAnsi="Garamond" w:cs="Times New Roman"/>
          <w:b/>
          <w:bCs/>
          <w:sz w:val="24"/>
          <w:szCs w:val="24"/>
        </w:rPr>
        <w:t>Strategjia e OKB-së për rininë 2030</w:t>
      </w:r>
      <w:r w:rsidR="004F08CB" w:rsidRPr="00E83C5E">
        <w:rPr>
          <w:rFonts w:ascii="Garamond" w:hAnsi="Garamond" w:cs="Times New Roman"/>
          <w:sz w:val="24"/>
          <w:szCs w:val="24"/>
        </w:rPr>
        <w:t xml:space="preserve"> mbështetet në </w:t>
      </w:r>
      <w:r w:rsidR="004F08CB" w:rsidRPr="00E83C5E">
        <w:rPr>
          <w:rFonts w:ascii="Garamond" w:hAnsi="Garamond" w:cs="Times New Roman"/>
          <w:i/>
          <w:iCs/>
          <w:sz w:val="24"/>
          <w:szCs w:val="24"/>
        </w:rPr>
        <w:t>vizionin global të një bote ku të drejtat njerëzore të çdo të reje dhe të riu bëhen realitet; ku sigurohet se çdo e re apo i ri fuqizohet për të arritur potencialin e vet të plotë; dhe që e njeh kapacitetin, qëndrueshmërinë dhe kontributet po</w:t>
      </w:r>
      <w:r w:rsidR="000534C2" w:rsidRPr="00E83C5E">
        <w:rPr>
          <w:rFonts w:ascii="Garamond" w:hAnsi="Garamond" w:cs="Times New Roman"/>
          <w:i/>
          <w:iCs/>
          <w:sz w:val="24"/>
          <w:szCs w:val="24"/>
        </w:rPr>
        <w:t>z</w:t>
      </w:r>
      <w:r w:rsidR="004F08CB" w:rsidRPr="00E83C5E">
        <w:rPr>
          <w:rFonts w:ascii="Garamond" w:hAnsi="Garamond" w:cs="Times New Roman"/>
          <w:i/>
          <w:iCs/>
          <w:sz w:val="24"/>
          <w:szCs w:val="24"/>
        </w:rPr>
        <w:t>itive të të rinjve si agjentë të ndryshimit</w:t>
      </w:r>
      <w:r w:rsidR="004F08CB" w:rsidRPr="00E83C5E">
        <w:rPr>
          <w:rStyle w:val="FootnoteReference"/>
          <w:rFonts w:ascii="Garamond" w:hAnsi="Garamond" w:cs="Times New Roman"/>
          <w:i/>
          <w:iCs/>
          <w:sz w:val="24"/>
          <w:szCs w:val="24"/>
        </w:rPr>
        <w:footnoteReference w:id="4"/>
      </w:r>
      <w:r w:rsidR="004F08CB" w:rsidRPr="00E83C5E">
        <w:rPr>
          <w:rFonts w:ascii="Garamond" w:hAnsi="Garamond" w:cs="Times New Roman"/>
          <w:sz w:val="24"/>
          <w:szCs w:val="24"/>
        </w:rPr>
        <w:t>.</w:t>
      </w:r>
    </w:p>
    <w:p w14:paraId="574E29F3" w14:textId="435BD27C" w:rsidR="004F08CB" w:rsidRPr="00E83C5E" w:rsidRDefault="004C7786" w:rsidP="004F08CB">
      <w:pPr>
        <w:autoSpaceDE w:val="0"/>
        <w:autoSpaceDN w:val="0"/>
        <w:adjustRightInd w:val="0"/>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w:t>
      </w:r>
      <w:r w:rsidR="009F59C4" w:rsidRPr="00E83C5E">
        <w:rPr>
          <w:rFonts w:ascii="Garamond" w:hAnsi="Garamond" w:cs="Times New Roman"/>
          <w:sz w:val="24"/>
          <w:szCs w:val="24"/>
        </w:rPr>
        <w:t xml:space="preserve"> </w:t>
      </w:r>
      <w:r w:rsidR="004F08CB" w:rsidRPr="00E83C5E">
        <w:rPr>
          <w:rFonts w:ascii="Garamond" w:hAnsi="Garamond" w:cs="Times New Roman"/>
          <w:sz w:val="24"/>
          <w:szCs w:val="24"/>
        </w:rPr>
        <w:t>Të pajisur me aftësitë dhe mundësitë e nevojshme për të arritur potencialin e tyre, të rinjtë mund të jenë një forcë shtytëse për mbështetjen e zhvillimit dhe kontributin për paqen dhe sigurinë. Organizatat e udhëhequra nga të rinjtë në bazë të zhvillimeve në këtë strategji pritet të inkurajohen dhe të fuqizohen për të marrë pjesë në përkthimin e A</w:t>
      </w:r>
      <w:r w:rsidR="009F59C4" w:rsidRPr="00E83C5E">
        <w:rPr>
          <w:rFonts w:ascii="Garamond" w:hAnsi="Garamond" w:cs="Times New Roman"/>
          <w:sz w:val="24"/>
          <w:szCs w:val="24"/>
        </w:rPr>
        <w:t>gj</w:t>
      </w:r>
      <w:r w:rsidR="004F08CB" w:rsidRPr="00E83C5E">
        <w:rPr>
          <w:rFonts w:ascii="Garamond" w:hAnsi="Garamond" w:cs="Times New Roman"/>
          <w:sz w:val="24"/>
          <w:szCs w:val="24"/>
        </w:rPr>
        <w:t>endës së vitit 2030 në politika vendore, kombëtare dhe rajonale. Me angazhimin politik dhe burimet e duhura, të rinjtë kanë potencialin për të bërë transformimin më të efektshëm të botës në një vend më të mirë për të gjithë.</w:t>
      </w:r>
    </w:p>
    <w:p w14:paraId="574E29F4" w14:textId="34A6C51A" w:rsidR="004F08CB" w:rsidRPr="00E83C5E" w:rsidRDefault="004C7786" w:rsidP="004F08CB">
      <w:pPr>
        <w:autoSpaceDE w:val="0"/>
        <w:autoSpaceDN w:val="0"/>
        <w:adjustRightInd w:val="0"/>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lastRenderedPageBreak/>
        <w:t>-</w:t>
      </w:r>
      <w:r w:rsidR="009F59C4" w:rsidRPr="00E83C5E">
        <w:rPr>
          <w:rFonts w:ascii="Garamond" w:hAnsi="Garamond" w:cs="Times New Roman"/>
          <w:sz w:val="24"/>
          <w:szCs w:val="24"/>
        </w:rPr>
        <w:t xml:space="preserve"> </w:t>
      </w:r>
      <w:r w:rsidR="004F08CB" w:rsidRPr="00E83C5E">
        <w:rPr>
          <w:rFonts w:ascii="Garamond" w:hAnsi="Garamond" w:cs="Times New Roman"/>
          <w:sz w:val="24"/>
          <w:szCs w:val="24"/>
        </w:rPr>
        <w:t xml:space="preserve">Nga perspektiva e objektivave të zhvillimit të qëndrueshëm (OZHQ) është veçanërisht e rëndësishme të mos lihet asnjë i ri apo fëmijë mbrapa e pa zhvillim. OZHQ-të që lidhen </w:t>
      </w:r>
      <w:r w:rsidR="009F59C4" w:rsidRPr="00E83C5E">
        <w:rPr>
          <w:rFonts w:ascii="Garamond" w:hAnsi="Garamond" w:cs="Times New Roman"/>
          <w:sz w:val="24"/>
          <w:szCs w:val="24"/>
        </w:rPr>
        <w:t>drejtpërsëdrejti</w:t>
      </w:r>
      <w:r w:rsidR="004F08CB" w:rsidRPr="00E83C5E">
        <w:rPr>
          <w:rFonts w:ascii="Garamond" w:hAnsi="Garamond" w:cs="Times New Roman"/>
          <w:sz w:val="24"/>
          <w:szCs w:val="24"/>
        </w:rPr>
        <w:t xml:space="preserve"> me të rinjtë dhe të rejat dhe zhvillimin e tyre në këtë strategji janë: </w:t>
      </w:r>
    </w:p>
    <w:p w14:paraId="574E29F5" w14:textId="5D97D19B" w:rsidR="004F08CB" w:rsidRPr="00E83C5E" w:rsidRDefault="004C7786" w:rsidP="004C7786">
      <w:pPr>
        <w:pStyle w:val="TEKSTIII"/>
      </w:pPr>
      <w:r w:rsidRPr="00E83C5E">
        <w:t>-</w:t>
      </w:r>
      <w:r w:rsidR="009F59C4" w:rsidRPr="00E83C5E">
        <w:t xml:space="preserve"> </w:t>
      </w:r>
      <w:r w:rsidR="004F08CB" w:rsidRPr="00E83C5E">
        <w:t xml:space="preserve">OZHQ 3 – shëndet i mire dhe mirëqenie. Sigurimi i jetës së shëndetshme dhe nxitja e mirëqenies për moshat e reja, veçanërisht në kushtet e të jetuarit me një pandemi si COVID-19, mbetet një objektiv i rëndësishëm global për t’u arritur. </w:t>
      </w:r>
    </w:p>
    <w:p w14:paraId="574E29F6" w14:textId="3A674DA6" w:rsidR="004F08CB" w:rsidRPr="00E83C5E" w:rsidRDefault="004C7786" w:rsidP="004C7786">
      <w:pPr>
        <w:pStyle w:val="TEKSTIII"/>
      </w:pPr>
      <w:r w:rsidRPr="00E83C5E">
        <w:t>-</w:t>
      </w:r>
      <w:r w:rsidR="009F59C4" w:rsidRPr="00E83C5E">
        <w:t xml:space="preserve"> </w:t>
      </w:r>
      <w:r w:rsidR="004F08CB" w:rsidRPr="00E83C5E">
        <w:t xml:space="preserve">OZHQ 4 – arsim cilësor lidhet ngushtë me mundësitë më të mira për punësim dhe ngjitjen e shkallëve të larta në profesion duke lënë pas varfërinë. Edhe në këtë objektiv situata e pandemisë ka ndikuar </w:t>
      </w:r>
      <w:r w:rsidR="000534C2" w:rsidRPr="00E83C5E">
        <w:t>drejtpërsëdrejti</w:t>
      </w:r>
      <w:r w:rsidR="004F08CB" w:rsidRPr="00E83C5E">
        <w:t xml:space="preserve"> në uljen e numrit të fëmijëve që ndjekin shkollat duke vënë në rrezik arritjet e deri më tanishme në edukimin në mbarë botën.</w:t>
      </w:r>
    </w:p>
    <w:p w14:paraId="574E29F7" w14:textId="103D14FB" w:rsidR="004F08CB" w:rsidRPr="00E83C5E" w:rsidRDefault="004C7786" w:rsidP="004C7786">
      <w:pPr>
        <w:pStyle w:val="TEKSTIII"/>
      </w:pPr>
      <w:r w:rsidRPr="00E83C5E">
        <w:t>-</w:t>
      </w:r>
      <w:r w:rsidR="009F59C4" w:rsidRPr="00E83C5E">
        <w:t xml:space="preserve"> </w:t>
      </w:r>
      <w:r w:rsidR="004F08CB" w:rsidRPr="00E83C5E">
        <w:t xml:space="preserve">OZHQ 5 – barazia gjinore me zhvillimet që kanë ndodhur në Shqipëri tregon se ajo është një themel i nevojshëm për zhvillimin e qëndrueshëm dhe paqësor. Kjo strategji përpiqet ta shikojë këtë në çdo element të saj duke u përpjekur të nxisë masa për punësimin e të rejave dhe mbrojtjen e tyre nga dhuna me bazë familjare. Njëkohësisht strategjia trajton edhe </w:t>
      </w:r>
      <w:r w:rsidR="000534C2" w:rsidRPr="00E83C5E">
        <w:t>çështjet</w:t>
      </w:r>
      <w:r w:rsidR="004F08CB" w:rsidRPr="00E83C5E">
        <w:t xml:space="preserve"> e mbështetjes së shprehjes së të rinjve në bazë të identite</w:t>
      </w:r>
      <w:r w:rsidR="000534C2" w:rsidRPr="00E83C5E">
        <w:t>te</w:t>
      </w:r>
      <w:r w:rsidR="004F08CB" w:rsidRPr="00E83C5E">
        <w:t xml:space="preserve">ve të tyre gjinore dhe të drejtave për pakicat LGBTI. </w:t>
      </w:r>
    </w:p>
    <w:p w14:paraId="574E29F8" w14:textId="5B6117B6" w:rsidR="004F08CB" w:rsidRPr="00E83C5E" w:rsidRDefault="004C7786" w:rsidP="004C7786">
      <w:pPr>
        <w:pStyle w:val="TEKSTIII"/>
      </w:pPr>
      <w:r w:rsidRPr="00E83C5E">
        <w:t>-</w:t>
      </w:r>
      <w:r w:rsidR="009F59C4" w:rsidRPr="00E83C5E">
        <w:t xml:space="preserve"> </w:t>
      </w:r>
      <w:r w:rsidR="004F08CB" w:rsidRPr="00E83C5E">
        <w:t xml:space="preserve">OZHQ 8 – punë dinjitoze dhe rritje ekonomike – objektiv i cili sfidon çdo qeveri të globit me situatën e krizës pandemike dhe ndikimit që ajo ka në jetën ekonomike të të rinjve. Marrja e masave për të siguruar punësimin e vazhdueshëm të të rinjve brenda vendit duke rritur mobilitetin rinor dhe punësimin jashtë qendrave urbane shikohet si prioritet në bashkëpunimin e Ministrit të Shtetit për Rininë dhe Fëmijët me ministritë e linjës që sigurojnë punësimin. </w:t>
      </w:r>
    </w:p>
    <w:p w14:paraId="574E29F9" w14:textId="36D77A5C" w:rsidR="004F08CB" w:rsidRPr="00E83C5E" w:rsidRDefault="004C7786" w:rsidP="004C7786">
      <w:pPr>
        <w:pStyle w:val="TEKSTIII"/>
      </w:pPr>
      <w:r w:rsidRPr="00E83C5E">
        <w:t>-</w:t>
      </w:r>
      <w:r w:rsidR="009F59C4" w:rsidRPr="00E83C5E">
        <w:t xml:space="preserve"> </w:t>
      </w:r>
      <w:r w:rsidR="004F08CB" w:rsidRPr="00E83C5E">
        <w:t xml:space="preserve">OZHQ 10 – zvogëlimi i pabarazive mbetet prioritet themelor për këtë strategji në kuadër të filozofisë së zhvillimit që nuk lë asnjë të re apo të ri pas duke i bërë ata pjesë integrale në arritjen e objektivave të zhvillimit të qëndrueshëm me anë të përfshirjes së tyre në procese. </w:t>
      </w:r>
    </w:p>
    <w:p w14:paraId="574E29FA" w14:textId="037DDBB7" w:rsidR="004F08CB" w:rsidRPr="00E83C5E" w:rsidRDefault="004C7786" w:rsidP="004C7786">
      <w:pPr>
        <w:pStyle w:val="TEKSTIII"/>
      </w:pPr>
      <w:r w:rsidRPr="00E83C5E">
        <w:t>-</w:t>
      </w:r>
      <w:r w:rsidR="009F59C4" w:rsidRPr="00E83C5E">
        <w:t xml:space="preserve"> </w:t>
      </w:r>
      <w:r w:rsidR="004F08CB" w:rsidRPr="00E83C5E">
        <w:t xml:space="preserve">OZHQ 11 – qytete dhe komunitete të qëndrueshme mund të quhen atëherë kur të rejat dhe të rinjtë e ndërtojnë jetën aty dhe nuk shikojnë migrimin si brenda vendit apo jashtë si alternativë për zhvillim individual. Me rritjen e mundësive për punë, argëtim dhe angazhim social në nivel bashkiak dhe me hapësira të dedikuara për të rinjtë synohet të rritet qëndrueshmëria dhe zhvillimi urban dhe rural kudo nëpër vend. </w:t>
      </w:r>
    </w:p>
    <w:p w14:paraId="574E29FB" w14:textId="281ABB63" w:rsidR="004F08CB" w:rsidRPr="00E83C5E" w:rsidRDefault="004C7786" w:rsidP="004C7786">
      <w:pPr>
        <w:pStyle w:val="TEKSTIII"/>
      </w:pPr>
      <w:r w:rsidRPr="00E83C5E">
        <w:t>-</w:t>
      </w:r>
      <w:r w:rsidR="009F59C4" w:rsidRPr="00E83C5E">
        <w:t xml:space="preserve"> </w:t>
      </w:r>
      <w:r w:rsidR="004F08CB" w:rsidRPr="00E83C5E">
        <w:t xml:space="preserve">OZHQ 13 – veprimi për klimën në një situatë globale ku secili vit arrin rekorde më të larta të ngrohjes globale se tjetri dhe ku cilësia e ajrit dhe ujit është në ulje kërkon angazhimin e të rinjve dhe organizatave rinore për të sjellë ndryshim në qasjen globale kundrejt këtij fenomeni. Lufta në Ukrainë dhe situata pandemike e rrisin sfidën dhe vështirësinë për zhvillim në këtë fushë, por angazhimi në marrëveshje të gjelbra për punësim dhe zhvillim ekonomik shihen në këtë strategji si masa për të ndikuar edhe në këtë proces. Angazhimi i të rinjve në veprime për klimën mbetet përparësi. </w:t>
      </w:r>
    </w:p>
    <w:p w14:paraId="574E29FC" w14:textId="2B0507C6" w:rsidR="004F08CB" w:rsidRPr="00E83C5E" w:rsidRDefault="004C7786" w:rsidP="004C7786">
      <w:pPr>
        <w:pStyle w:val="TEKSTIII"/>
      </w:pPr>
      <w:r w:rsidRPr="00E83C5E">
        <w:t>-</w:t>
      </w:r>
      <w:r w:rsidR="009F59C4" w:rsidRPr="00E83C5E">
        <w:t xml:space="preserve"> </w:t>
      </w:r>
      <w:r w:rsidR="004F08CB" w:rsidRPr="00E83C5E">
        <w:t>OZHQ 16 – paqe, drejtësi, institucione të forta përbëjnë thelbin e zhvillimit për punën me rininë duke siguruar që institucionet përgjegjëse për to, jo vetëm që ofrojnë shërbime cilësore kundrejt të rinjve</w:t>
      </w:r>
      <w:r w:rsidR="003D4E43">
        <w:t>,</w:t>
      </w:r>
      <w:r w:rsidR="004F08CB" w:rsidRPr="00E83C5E">
        <w:t xml:space="preserve"> por njëkohësisht këto shërbime janë miqësore dhe të përshtatura për të rinjtë. Fuqizimi institucional i organizatave dhe vetë të rejave dhe të rinjve, duke rritur edhe rolin e tyre në zhvillimin e një sistemi drejtësie efektiv shihet me përparësi në masat e kësaj strategjie. </w:t>
      </w:r>
    </w:p>
    <w:p w14:paraId="574E29FD" w14:textId="7CE4390E" w:rsidR="004F08CB" w:rsidRPr="00E83C5E" w:rsidRDefault="004C7786" w:rsidP="004C7786">
      <w:pPr>
        <w:pStyle w:val="TEKSTIII"/>
      </w:pPr>
      <w:r w:rsidRPr="00E83C5E">
        <w:t>-</w:t>
      </w:r>
      <w:r w:rsidR="009F59C4" w:rsidRPr="00E83C5E">
        <w:t xml:space="preserve"> </w:t>
      </w:r>
      <w:r w:rsidR="004F08CB" w:rsidRPr="00E83C5E">
        <w:t>OZHQ 17 – partneritet për qëllimet siguron nivele të plota të bashkëpunimit si me OKB-në dhe rrjetin e organizatave të saj pre</w:t>
      </w:r>
      <w:r w:rsidR="009F59C4" w:rsidRPr="00E83C5E">
        <w:t>z</w:t>
      </w:r>
      <w:r w:rsidR="004F08CB" w:rsidRPr="00E83C5E">
        <w:t xml:space="preserve">ente në Shqipëri ashtu edhe partneritet në nivelin rajonal duke pasur për bazë bashkëpunimin rinor të bazuar në përvojën e fituar nga bashkëpunimi i ngritur në kuadër të RYCO. </w:t>
      </w:r>
    </w:p>
    <w:p w14:paraId="574E29FE" w14:textId="7B07F604" w:rsidR="004F08CB" w:rsidRPr="00E83C5E" w:rsidRDefault="004F08CB" w:rsidP="004F08CB">
      <w:pPr>
        <w:autoSpaceDE w:val="0"/>
        <w:autoSpaceDN w:val="0"/>
        <w:adjustRightInd w:val="0"/>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Të rejat dhe të rinjtë në të gjitha takimet konsultative me përfaqësues të qeverisë kanë cilësuar me forcë nevojën për rritjen e mundësive të tyre për më shumë punësim, këshillim për karrierë dhe zhvillimin e tyre profesional brenda vendit në përputhje me OZHQ 8. Ata janë të prirur dhe e shikojnë zhvillimin e tyre të lidhur me novacionin dhe edukimin cilësor dhe ruajtjen e zhvillimin e vendit dhe mjedisit duke i bërë këto kërkesa të lidhura me OZHQ 4 dhe 13. Të rejat dhe të rinjtë nuk ndalen vetëm në kërkesat e tyre për mirëqenie e shëndet të mirë si fizik dhe mendor</w:t>
      </w:r>
      <w:r w:rsidR="003D4E43">
        <w:rPr>
          <w:rFonts w:ascii="Garamond" w:hAnsi="Garamond" w:cs="Times New Roman"/>
          <w:sz w:val="24"/>
          <w:szCs w:val="24"/>
        </w:rPr>
        <w:t>,</w:t>
      </w:r>
      <w:r w:rsidRPr="00E83C5E">
        <w:rPr>
          <w:rFonts w:ascii="Garamond" w:hAnsi="Garamond" w:cs="Times New Roman"/>
          <w:sz w:val="24"/>
          <w:szCs w:val="24"/>
        </w:rPr>
        <w:t xml:space="preserve"> </w:t>
      </w:r>
      <w:r w:rsidRPr="00E83C5E">
        <w:rPr>
          <w:rFonts w:ascii="Garamond" w:hAnsi="Garamond" w:cs="Times New Roman"/>
          <w:sz w:val="24"/>
          <w:szCs w:val="24"/>
        </w:rPr>
        <w:lastRenderedPageBreak/>
        <w:t>por kërkojnë që të jenë të përfshirë në shoqëri e të mos përjashtohen nga zhvillimi. Kjo kërkes</w:t>
      </w:r>
      <w:r w:rsidR="003D4E43">
        <w:rPr>
          <w:rFonts w:ascii="Garamond" w:hAnsi="Garamond" w:cs="Times New Roman"/>
          <w:sz w:val="24"/>
          <w:szCs w:val="24"/>
        </w:rPr>
        <w:t>ë</w:t>
      </w:r>
      <w:r w:rsidRPr="00E83C5E">
        <w:rPr>
          <w:rFonts w:ascii="Garamond" w:hAnsi="Garamond" w:cs="Times New Roman"/>
          <w:sz w:val="24"/>
          <w:szCs w:val="24"/>
        </w:rPr>
        <w:t xml:space="preserve"> e tyre lidhet me OZHQ 3, 10, 11 dhe 16. Ndërsa kërkesat e tyre për bashkëpunim e lëvizshmëri rinore mbështeten në OZHQ 17. </w:t>
      </w:r>
    </w:p>
    <w:p w14:paraId="574E29FF" w14:textId="3F1DB62B" w:rsidR="004F08CB" w:rsidRPr="00E83C5E" w:rsidRDefault="004C7786" w:rsidP="004C7786">
      <w:pPr>
        <w:pStyle w:val="TEKSTIII"/>
        <w:rPr>
          <w:b/>
        </w:rPr>
      </w:pPr>
      <w:r w:rsidRPr="00E83C5E">
        <w:rPr>
          <w:b/>
        </w:rPr>
        <w:t xml:space="preserve">1.3 </w:t>
      </w:r>
      <w:r w:rsidR="004F08CB" w:rsidRPr="00E83C5E">
        <w:rPr>
          <w:b/>
        </w:rPr>
        <w:t>Lidhja e Strategjisë Kombëtare të Rinisë me Marrëveshjen e Stabilizim</w:t>
      </w:r>
      <w:r w:rsidR="009F59C4" w:rsidRPr="00E83C5E">
        <w:rPr>
          <w:b/>
        </w:rPr>
        <w:t>-</w:t>
      </w:r>
      <w:r w:rsidR="004F08CB" w:rsidRPr="00E83C5E">
        <w:rPr>
          <w:b/>
        </w:rPr>
        <w:t>Asociimit ndërmjet Republikës së Shqipërisë dhe Komuniteteve E</w:t>
      </w:r>
      <w:r w:rsidR="009F59C4" w:rsidRPr="00E83C5E">
        <w:rPr>
          <w:b/>
        </w:rPr>
        <w:t>v</w:t>
      </w:r>
      <w:r w:rsidR="004F08CB" w:rsidRPr="00E83C5E">
        <w:rPr>
          <w:b/>
        </w:rPr>
        <w:t>ropiane e Shteteve të Tyre Anëtare (MSA)</w:t>
      </w:r>
    </w:p>
    <w:p w14:paraId="574E2A00" w14:textId="71E26CE7" w:rsidR="004F08CB" w:rsidRPr="00E83C5E" w:rsidRDefault="004F08CB" w:rsidP="004F08CB">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Marrëveshja e Stabilizim</w:t>
      </w:r>
      <w:r w:rsidR="009F59C4" w:rsidRPr="00E83C5E">
        <w:rPr>
          <w:rFonts w:ascii="Garamond" w:hAnsi="Garamond" w:cs="Times New Roman"/>
          <w:sz w:val="24"/>
          <w:szCs w:val="24"/>
        </w:rPr>
        <w:t>-</w:t>
      </w:r>
      <w:r w:rsidRPr="00E83C5E">
        <w:rPr>
          <w:rFonts w:ascii="Garamond" w:hAnsi="Garamond" w:cs="Times New Roman"/>
          <w:sz w:val="24"/>
          <w:szCs w:val="24"/>
        </w:rPr>
        <w:t xml:space="preserve">Asociimit përbën një dokument udhëzues themelor për politikat që ndërmerr Shqipëria në përputhje me zhvillimin e procesit të integrimit evropian. Kapitulli V, që përmban dispozitave e përgjithshme me anë të nenit 77 që përcakton kushtet e punës dhe mundësitë e barabarta orienton në strategji aspektet e punësimit të të rejave dhe të rinjve dhe krijimin e kushteve që ata të gjejnë të ardhmen profesionale në Shqipëri. </w:t>
      </w:r>
    </w:p>
    <w:p w14:paraId="574E2A01" w14:textId="2E1879C6" w:rsidR="004F08CB" w:rsidRPr="00E83C5E" w:rsidRDefault="004F08CB" w:rsidP="004F08CB">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Titulli VII</w:t>
      </w:r>
      <w:r w:rsidR="00F06470" w:rsidRPr="00E83C5E">
        <w:rPr>
          <w:rFonts w:ascii="Garamond" w:hAnsi="Garamond" w:cs="Times New Roman"/>
          <w:sz w:val="24"/>
          <w:szCs w:val="24"/>
        </w:rPr>
        <w:t xml:space="preserve"> i MSA-së </w:t>
      </w:r>
      <w:r w:rsidRPr="00E83C5E">
        <w:rPr>
          <w:rFonts w:ascii="Garamond" w:hAnsi="Garamond" w:cs="Times New Roman"/>
          <w:sz w:val="24"/>
          <w:szCs w:val="24"/>
        </w:rPr>
        <w:t xml:space="preserve">që lidhet me </w:t>
      </w:r>
      <w:r w:rsidR="00F06470" w:rsidRPr="00E83C5E">
        <w:rPr>
          <w:rFonts w:ascii="Garamond" w:hAnsi="Garamond" w:cs="Times New Roman"/>
          <w:sz w:val="24"/>
          <w:szCs w:val="24"/>
        </w:rPr>
        <w:t xml:space="preserve">lirinë, drejtësinë dhe sigurinë ndërthuret me qëllimet </w:t>
      </w:r>
      <w:r w:rsidRPr="00E83C5E">
        <w:rPr>
          <w:rFonts w:ascii="Garamond" w:hAnsi="Garamond" w:cs="Times New Roman"/>
          <w:sz w:val="24"/>
          <w:szCs w:val="24"/>
        </w:rPr>
        <w:t>e kësaj strategjie në çdo aspekt</w:t>
      </w:r>
      <w:r w:rsidR="003D4E43">
        <w:rPr>
          <w:rFonts w:ascii="Garamond" w:hAnsi="Garamond" w:cs="Times New Roman"/>
          <w:sz w:val="24"/>
          <w:szCs w:val="24"/>
        </w:rPr>
        <w:t>,</w:t>
      </w:r>
      <w:r w:rsidRPr="00E83C5E">
        <w:rPr>
          <w:rFonts w:ascii="Garamond" w:hAnsi="Garamond" w:cs="Times New Roman"/>
          <w:sz w:val="24"/>
          <w:szCs w:val="24"/>
        </w:rPr>
        <w:t xml:space="preserve"> duke përfshirë:</w:t>
      </w:r>
    </w:p>
    <w:p w14:paraId="574E2A02" w14:textId="7697D3FC" w:rsidR="004F08CB" w:rsidRPr="00E83C5E" w:rsidRDefault="009F59C4" w:rsidP="003B4AFA">
      <w:pPr>
        <w:pStyle w:val="TEKSTIII"/>
      </w:pPr>
      <w:r w:rsidRPr="00E83C5E">
        <w:t xml:space="preserve">- </w:t>
      </w:r>
      <w:r w:rsidR="004F08CB" w:rsidRPr="00E83C5E">
        <w:t>Nenin 78 që ka të bëjë me fuqizimin e institucioneve dhe shtetin e së drejtës në kuadër të fuqizimit të organizimit rinor</w:t>
      </w:r>
      <w:r w:rsidR="00065B36" w:rsidRPr="00E83C5E">
        <w:t>,</w:t>
      </w:r>
      <w:r w:rsidR="004F08CB" w:rsidRPr="00E83C5E">
        <w:t xml:space="preserve"> si edhe në mbështetjen e të rinjve për organizim të pavarur, vullnetarizëm, pjesëmarrje aktive në jetën social politike të vendit dhe mbrojt</w:t>
      </w:r>
      <w:r w:rsidRPr="00E83C5E">
        <w:t>j</w:t>
      </w:r>
      <w:r w:rsidR="004F08CB" w:rsidRPr="00E83C5E">
        <w:t xml:space="preserve">en e tyre veçanërisht në situate rreziku apo kontakti me ligjin. </w:t>
      </w:r>
    </w:p>
    <w:p w14:paraId="574E2A03" w14:textId="22D85349" w:rsidR="004F08CB" w:rsidRPr="00E83C5E" w:rsidRDefault="004F08CB" w:rsidP="003B4AFA">
      <w:pPr>
        <w:pStyle w:val="TEKSTIII"/>
      </w:pPr>
      <w:r w:rsidRPr="00E83C5E">
        <w:t>Titulli VIII</w:t>
      </w:r>
      <w:r w:rsidR="00F06470" w:rsidRPr="00E83C5E">
        <w:t xml:space="preserve"> i MSA-së </w:t>
      </w:r>
      <w:r w:rsidRPr="00E83C5E">
        <w:t>që trajton politikat e bashkëpunimit ndërlidh strategjinë me disa prej sfidave më kryesore që kjo strategji përpiqet të përmbushë si në kuadër të zhvillimit të të rinjve</w:t>
      </w:r>
      <w:r w:rsidR="00BC3D2E">
        <w:t>,</w:t>
      </w:r>
      <w:r w:rsidRPr="00E83C5E">
        <w:t xml:space="preserve"> por në angazhimin e tyre në proceset e integrimit evropian:</w:t>
      </w:r>
    </w:p>
    <w:p w14:paraId="574E2A04" w14:textId="5FB0978B" w:rsidR="004F08CB" w:rsidRPr="00E83C5E" w:rsidRDefault="003B4AFA" w:rsidP="003B4AFA">
      <w:pPr>
        <w:pStyle w:val="TEKSTIII"/>
      </w:pPr>
      <w:r w:rsidRPr="00E83C5E">
        <w:t>-</w:t>
      </w:r>
      <w:r w:rsidR="007F39C9" w:rsidRPr="00E83C5E">
        <w:t xml:space="preserve"> </w:t>
      </w:r>
      <w:r w:rsidR="004F08CB" w:rsidRPr="00E83C5E">
        <w:t xml:space="preserve">Në kuadër të nenit 88 </w:t>
      </w:r>
      <w:r w:rsidR="007F39C9" w:rsidRPr="00E83C5E">
        <w:t>–</w:t>
      </w:r>
      <w:r w:rsidR="004F08CB" w:rsidRPr="00E83C5E">
        <w:t xml:space="preserve"> Bashkëpunimi</w:t>
      </w:r>
      <w:r w:rsidR="007F39C9" w:rsidRPr="00E83C5E">
        <w:t xml:space="preserve"> </w:t>
      </w:r>
      <w:r w:rsidR="004F08CB" w:rsidRPr="00E83C5E">
        <w:t xml:space="preserve">statistikor – është me rëndësi të zhvillohen statistika të zbërthyera për të rinjtë e të rejat në nivele qarku apo bashkie për të krijuar mundësinë për bërjen e politikave të mirinformuara rinore. Prodhimi i statistikave do të krijonte edhe mundësinë për zhvillimin e studimeve rinore në institucionet akademike dhe kërkimore. </w:t>
      </w:r>
    </w:p>
    <w:p w14:paraId="574E2A05" w14:textId="098D3E22" w:rsidR="004F08CB" w:rsidRPr="00E83C5E" w:rsidRDefault="003B4AFA" w:rsidP="003B4AFA">
      <w:pPr>
        <w:pStyle w:val="TEKSTIII"/>
      </w:pPr>
      <w:r w:rsidRPr="00E83C5E">
        <w:t>-</w:t>
      </w:r>
      <w:r w:rsidR="007F39C9" w:rsidRPr="00E83C5E">
        <w:t xml:space="preserve"> </w:t>
      </w:r>
      <w:r w:rsidR="004F08CB" w:rsidRPr="00E83C5E">
        <w:t xml:space="preserve">Në kuadër të nenit 99 </w:t>
      </w:r>
      <w:r w:rsidR="007F39C9" w:rsidRPr="00E83C5E">
        <w:t>–</w:t>
      </w:r>
      <w:r w:rsidR="004F08CB" w:rsidRPr="00E83C5E">
        <w:t xml:space="preserve"> Bashkëpunimi</w:t>
      </w:r>
      <w:r w:rsidR="007F39C9" w:rsidRPr="00E83C5E">
        <w:t xml:space="preserve"> </w:t>
      </w:r>
      <w:r w:rsidR="004F08CB" w:rsidRPr="00E83C5E">
        <w:t xml:space="preserve">social – shikohet me rëndësi rritja e bashkëpunimit të organizatave rinore dhe të rinjve për të sjellë qëndrueshmëri sociale në komunitet ku ata jetojnë duke rritur mundësitë për gjithë përfshirje dhe </w:t>
      </w:r>
      <w:r w:rsidR="007F39C9" w:rsidRPr="00E83C5E">
        <w:t>mos</w:t>
      </w:r>
      <w:r w:rsidR="004F08CB" w:rsidRPr="00E83C5E">
        <w:t xml:space="preserve">diskriminim. </w:t>
      </w:r>
    </w:p>
    <w:p w14:paraId="574E2A06" w14:textId="3A6B4DF7" w:rsidR="004F08CB" w:rsidRPr="00E83C5E" w:rsidRDefault="003B4AFA" w:rsidP="003B4AFA">
      <w:pPr>
        <w:pStyle w:val="TEKSTIII"/>
      </w:pPr>
      <w:r w:rsidRPr="00E83C5E">
        <w:t>-</w:t>
      </w:r>
      <w:r w:rsidR="007F39C9" w:rsidRPr="00E83C5E">
        <w:t xml:space="preserve"> </w:t>
      </w:r>
      <w:r w:rsidR="004F08CB" w:rsidRPr="00E83C5E">
        <w:t xml:space="preserve">Në kuadër të nenit 100 </w:t>
      </w:r>
      <w:r w:rsidR="007F39C9" w:rsidRPr="00E83C5E">
        <w:t>–</w:t>
      </w:r>
      <w:r w:rsidR="004F08CB" w:rsidRPr="00E83C5E">
        <w:t xml:space="preserve"> Arsimi</w:t>
      </w:r>
      <w:r w:rsidR="007F39C9" w:rsidRPr="00E83C5E">
        <w:t xml:space="preserve"> </w:t>
      </w:r>
      <w:r w:rsidR="004F08CB" w:rsidRPr="00E83C5E">
        <w:t xml:space="preserve">dhe trajnimi – dhe në përputhje edhe me zhvillimet e parashikuara në strategjinë kombëtare për arsimin dhe atë për punësimin dhe trajnimin, roli i të rinjve për të përmirësuar arsimin, përfitimet për punësim prej tij dhe proceseve të aftësimit dhe shërbimeve të karrierës mbetet themelor në këtë strategji. Ajo i shikon këto procese të </w:t>
      </w:r>
      <w:r w:rsidR="007F39C9" w:rsidRPr="00E83C5E">
        <w:t>ndërthurura</w:t>
      </w:r>
      <w:r w:rsidR="004F08CB" w:rsidRPr="00E83C5E">
        <w:t xml:space="preserve"> edhe me zhvillimet evropiane në mbështetje të rinisë siç është garancia rinore.</w:t>
      </w:r>
    </w:p>
    <w:p w14:paraId="574E2A07" w14:textId="2DF81F5F" w:rsidR="004F08CB" w:rsidRPr="00E83C5E" w:rsidRDefault="003B4AFA" w:rsidP="003B4AFA">
      <w:pPr>
        <w:pStyle w:val="TEKSTIII"/>
      </w:pPr>
      <w:r w:rsidRPr="00E83C5E">
        <w:t>-</w:t>
      </w:r>
      <w:r w:rsidR="007F39C9" w:rsidRPr="00E83C5E">
        <w:t xml:space="preserve"> </w:t>
      </w:r>
      <w:r w:rsidR="004F08CB" w:rsidRPr="00E83C5E">
        <w:t xml:space="preserve">Në kuadër të nenit 101 </w:t>
      </w:r>
      <w:r w:rsidR="007F39C9" w:rsidRPr="00E83C5E">
        <w:t>–</w:t>
      </w:r>
      <w:r w:rsidR="004F08CB" w:rsidRPr="00E83C5E">
        <w:t xml:space="preserve"> Bashkëpunimi</w:t>
      </w:r>
      <w:r w:rsidR="007F39C9" w:rsidRPr="00E83C5E">
        <w:t xml:space="preserve"> </w:t>
      </w:r>
      <w:r w:rsidR="004F08CB" w:rsidRPr="00E83C5E">
        <w:t>kulturor – strategjia ka parashikuar masa të atilla që jo vetëm rrisin bashkëpunimin kulturor me Evropën duke marrë si shembull edhe fitimin e titullit të Kryeqytetit Evropian të Rinisë për Tiranën</w:t>
      </w:r>
      <w:r w:rsidR="00BC3D2E">
        <w:t>,</w:t>
      </w:r>
      <w:r w:rsidR="004F08CB" w:rsidRPr="00E83C5E">
        <w:t xml:space="preserve"> por edhe duke nxitur rritjen e cilësisë së aktiviteteve </w:t>
      </w:r>
      <w:r w:rsidR="007F39C9" w:rsidRPr="00E83C5E">
        <w:t>pas</w:t>
      </w:r>
      <w:r w:rsidR="004F08CB" w:rsidRPr="00E83C5E">
        <w:t xml:space="preserve">shkollore duke zhvilluar angazhimin në arte dhe zeje dhe aktivitet sportive amator. </w:t>
      </w:r>
    </w:p>
    <w:p w14:paraId="574E2A08" w14:textId="687E2A7A" w:rsidR="004F08CB" w:rsidRPr="00E83C5E" w:rsidRDefault="003B4AFA" w:rsidP="003B4AFA">
      <w:pPr>
        <w:pStyle w:val="TEKSTIII"/>
      </w:pPr>
      <w:r w:rsidRPr="00E83C5E">
        <w:t>-</w:t>
      </w:r>
      <w:r w:rsidR="007F39C9" w:rsidRPr="00E83C5E">
        <w:t xml:space="preserve"> </w:t>
      </w:r>
      <w:r w:rsidR="004F08CB" w:rsidRPr="00E83C5E">
        <w:t xml:space="preserve">Në kuadër të nenit 103 </w:t>
      </w:r>
      <w:r w:rsidR="007F39C9" w:rsidRPr="00E83C5E">
        <w:t>–</w:t>
      </w:r>
      <w:r w:rsidR="004F08CB" w:rsidRPr="00E83C5E">
        <w:t xml:space="preserve"> Shoqëria</w:t>
      </w:r>
      <w:r w:rsidR="007F39C9" w:rsidRPr="00E83C5E">
        <w:t xml:space="preserve"> </w:t>
      </w:r>
      <w:r w:rsidR="004F08CB" w:rsidRPr="00E83C5E">
        <w:t xml:space="preserve">e informacionit – kjo strategji synon digjitalizimin e shërbimeve të informacionit për të rinjtë në të gjithë vendin duke realizuar një </w:t>
      </w:r>
      <w:r w:rsidR="007F39C9" w:rsidRPr="00E83C5E">
        <w:t>mini</w:t>
      </w:r>
      <w:r w:rsidR="004F08CB" w:rsidRPr="00E83C5E">
        <w:t>revolucion në mënyrën se si të rinjtë i marrin informacionet për punësim, arsimim dhe argëtim e duke krijuar hapësira të sigurta digjitale për ta. Pajisja e të rinjve me njohuri kundër lajmeve të rreme dhe për të luftuar bulizimin kibernetik pritet të realizohen me masa në këtë strategji në bashkëpunim me AKSHI</w:t>
      </w:r>
      <w:r w:rsidR="00A347F2">
        <w:t>-n</w:t>
      </w:r>
      <w:r w:rsidR="004F08CB" w:rsidRPr="00E83C5E">
        <w:t xml:space="preserve"> dhe organizma të tjer</w:t>
      </w:r>
      <w:r w:rsidR="00A347F2">
        <w:t>ë</w:t>
      </w:r>
      <w:r w:rsidR="004F08CB" w:rsidRPr="00E83C5E">
        <w:t xml:space="preserve">. </w:t>
      </w:r>
    </w:p>
    <w:p w14:paraId="574E2A09" w14:textId="48711D59" w:rsidR="004F08CB" w:rsidRPr="00E83C5E" w:rsidRDefault="003B4AFA" w:rsidP="003B4AFA">
      <w:pPr>
        <w:pStyle w:val="TEKSTIII"/>
      </w:pPr>
      <w:r w:rsidRPr="00E83C5E">
        <w:t>-</w:t>
      </w:r>
      <w:r w:rsidR="007F39C9" w:rsidRPr="00E83C5E">
        <w:t xml:space="preserve"> </w:t>
      </w:r>
      <w:r w:rsidR="004F08CB" w:rsidRPr="00E83C5E">
        <w:t>Në kuadër të nenit 109</w:t>
      </w:r>
      <w:r w:rsidR="007F39C9" w:rsidRPr="00E83C5E">
        <w:t xml:space="preserve"> –</w:t>
      </w:r>
      <w:r w:rsidR="004F08CB" w:rsidRPr="00E83C5E">
        <w:t xml:space="preserve"> Bashkëpunimi</w:t>
      </w:r>
      <w:r w:rsidR="007F39C9" w:rsidRPr="00E83C5E">
        <w:t xml:space="preserve"> </w:t>
      </w:r>
      <w:r w:rsidR="004F08CB" w:rsidRPr="00E83C5E">
        <w:t xml:space="preserve">në kërkimin shkencor dhe zhvillimin teknologjik – strategjia parashikon hapa për zhvillimin e punësimit të bazuar në zhvillim teknologjik duke krijuar mundësi për të rritur shkallën e njohurive të kodimit dhe teknologjive të informacionit në nivele masive e jo vetëm brenda shkollave. Si rezultat i bashkëpunimit shkencor pritet edhe zhvillimi i konceptit të </w:t>
      </w:r>
      <w:r w:rsidR="00D540B0" w:rsidRPr="00E83C5E">
        <w:t>“</w:t>
      </w:r>
      <w:r w:rsidR="004F08CB" w:rsidRPr="00E83C5E">
        <w:t>studimeve rinore</w:t>
      </w:r>
      <w:r w:rsidR="00D540B0" w:rsidRPr="00E83C5E">
        <w:t>”</w:t>
      </w:r>
      <w:r w:rsidR="004F08CB" w:rsidRPr="00E83C5E">
        <w:t xml:space="preserve"> si fushë e veçantë e kërkimit shkencor. </w:t>
      </w:r>
    </w:p>
    <w:p w14:paraId="574E2A0A" w14:textId="25D8C176" w:rsidR="004F08CB" w:rsidRPr="00E83C5E" w:rsidRDefault="003B4AFA" w:rsidP="003B4AFA">
      <w:pPr>
        <w:pStyle w:val="TEKSTIII"/>
      </w:pPr>
      <w:r w:rsidRPr="00E83C5E">
        <w:t>-</w:t>
      </w:r>
      <w:r w:rsidR="007F39C9" w:rsidRPr="00E83C5E">
        <w:t xml:space="preserve"> </w:t>
      </w:r>
      <w:r w:rsidR="004F08CB" w:rsidRPr="00E83C5E">
        <w:t xml:space="preserve">Në kuadër të nenit 110 </w:t>
      </w:r>
      <w:r w:rsidR="007F39C9" w:rsidRPr="00E83C5E">
        <w:t>–</w:t>
      </w:r>
      <w:r w:rsidR="004F08CB" w:rsidRPr="00E83C5E">
        <w:t xml:space="preserve"> Zhvillimi</w:t>
      </w:r>
      <w:r w:rsidR="007F39C9" w:rsidRPr="00E83C5E">
        <w:t xml:space="preserve"> </w:t>
      </w:r>
      <w:r w:rsidR="004F08CB" w:rsidRPr="00E83C5E">
        <w:t xml:space="preserve">rajonal dhe lokal – strategjia ndërton mbi zhvillimet që kanë ndodhur për bashkëpunimin rinor lokal si ai në kuadër të programit RYCO apo edhe me instalimin e nëpunësve të dedikuar për rininë në çdo bashki. Zhvillimi i </w:t>
      </w:r>
      <w:r w:rsidR="00065B36" w:rsidRPr="00E83C5E">
        <w:t>këshillave vendorë rinorë</w:t>
      </w:r>
      <w:r w:rsidR="004F08CB" w:rsidRPr="00E83C5E">
        <w:t xml:space="preserve"> </w:t>
      </w:r>
      <w:r w:rsidR="004F08CB" w:rsidRPr="00E83C5E">
        <w:lastRenderedPageBreak/>
        <w:t xml:space="preserve">po vazhdon në mbarë vendin dhe strategjia parashikon masa për të fuqizuar kapacitetet e këtyre këshillave për të rritur cilësinë e të rinjve në proceset politikëbërëse vendore. </w:t>
      </w:r>
    </w:p>
    <w:p w14:paraId="574E2A0B" w14:textId="4363774B" w:rsidR="004F08CB" w:rsidRPr="00E83C5E" w:rsidRDefault="003B4AFA" w:rsidP="003B4AFA">
      <w:pPr>
        <w:pStyle w:val="TEKSTIII"/>
      </w:pPr>
      <w:r w:rsidRPr="00E83C5E">
        <w:t>-</w:t>
      </w:r>
      <w:r w:rsidR="007F39C9" w:rsidRPr="00E83C5E">
        <w:t xml:space="preserve"> </w:t>
      </w:r>
      <w:r w:rsidR="004F08CB" w:rsidRPr="00E83C5E">
        <w:t xml:space="preserve">Në kuadër të nenit 111 </w:t>
      </w:r>
      <w:r w:rsidR="00123CA5" w:rsidRPr="00E83C5E">
        <w:t>–</w:t>
      </w:r>
      <w:r w:rsidR="004F08CB" w:rsidRPr="00E83C5E">
        <w:t xml:space="preserve"> Administrata</w:t>
      </w:r>
      <w:r w:rsidR="00123CA5" w:rsidRPr="00E83C5E">
        <w:t xml:space="preserve"> </w:t>
      </w:r>
      <w:r w:rsidR="004F08CB" w:rsidRPr="00E83C5E">
        <w:t>publike – strategjia ndërton mbi suksesin e programeve të stazheve për të rejat dhe të rinjtë me rezultate të shkëlqyera në studime dhe programin kombëtar të praktikave të punësimit duke synuar një administratë publike që rinohet vazhdimisht.</w:t>
      </w:r>
    </w:p>
    <w:p w14:paraId="574E2A0C" w14:textId="77777777" w:rsidR="004F08CB" w:rsidRPr="00E83C5E" w:rsidRDefault="003B4AFA" w:rsidP="003B4AFA">
      <w:pPr>
        <w:pStyle w:val="TEKSTIII"/>
        <w:rPr>
          <w:b/>
        </w:rPr>
      </w:pPr>
      <w:r w:rsidRPr="00E83C5E">
        <w:rPr>
          <w:b/>
        </w:rPr>
        <w:t xml:space="preserve">1.4 </w:t>
      </w:r>
      <w:r w:rsidR="004F08CB" w:rsidRPr="00E83C5E">
        <w:rPr>
          <w:b/>
        </w:rPr>
        <w:t>Lidhja e Strategjisë Kombëtare të Rinisë me Strategjinë e Rinisë të BE-së</w:t>
      </w:r>
    </w:p>
    <w:p w14:paraId="574E2A0D" w14:textId="0782A20A" w:rsidR="004F08CB" w:rsidRPr="00E83C5E" w:rsidRDefault="004F08CB" w:rsidP="004F08CB">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Strategjia Evropiane e Rinisë bazohet në 11 qëllime për të rinjtë në Evropë të cilat u realizuan përmes një cikli dialog</w:t>
      </w:r>
      <w:r w:rsidR="007F39C9" w:rsidRPr="00E83C5E">
        <w:rPr>
          <w:rFonts w:ascii="Garamond" w:hAnsi="Garamond" w:cs="Times New Roman"/>
          <w:sz w:val="24"/>
          <w:szCs w:val="24"/>
        </w:rPr>
        <w:t>ë</w:t>
      </w:r>
      <w:r w:rsidRPr="00E83C5E">
        <w:rPr>
          <w:rFonts w:ascii="Garamond" w:hAnsi="Garamond" w:cs="Times New Roman"/>
          <w:sz w:val="24"/>
          <w:szCs w:val="24"/>
        </w:rPr>
        <w:t>sh në vitet 2017-18. Bazuar në konceptin e dialogut me të rinjtë të kësaj strategjie u zhvilluan takimet konsultative mes të rejave dhe të rinjve dhe organizatave të tyre dhe përfaqësuesve të qeverisë. Si në takimet konsultative të BE-së ashtu edhe ato në Shqipëri, pikëpamjet e shprehura u bënë baza për të zhvilluar vizionin dhe bazën konceptuale të strategjisë. Strategjia e Rinisë së BE-së bazohet në këto 11 qëllime</w:t>
      </w:r>
      <w:r w:rsidR="00065B36" w:rsidRPr="00E83C5E">
        <w:rPr>
          <w:rFonts w:ascii="Garamond" w:hAnsi="Garamond" w:cs="Times New Roman"/>
          <w:sz w:val="24"/>
          <w:szCs w:val="24"/>
        </w:rPr>
        <w:t>,</w:t>
      </w:r>
      <w:r w:rsidRPr="00E83C5E">
        <w:rPr>
          <w:rFonts w:ascii="Garamond" w:hAnsi="Garamond" w:cs="Times New Roman"/>
          <w:sz w:val="24"/>
          <w:szCs w:val="24"/>
        </w:rPr>
        <w:t xml:space="preserve"> të cilat janë jetësuar edhe në strategjinë kombëtare të Shqipërisë:</w:t>
      </w:r>
    </w:p>
    <w:p w14:paraId="574E2A0E" w14:textId="398F08C3" w:rsidR="004F08CB" w:rsidRPr="00E83C5E" w:rsidRDefault="004F08CB" w:rsidP="003B4AFA">
      <w:pPr>
        <w:pStyle w:val="TEKSTIII"/>
      </w:pPr>
      <w:r w:rsidRPr="00E83C5E">
        <w:t>1.</w:t>
      </w:r>
      <w:r w:rsidR="003B4AFA" w:rsidRPr="00E83C5E">
        <w:t xml:space="preserve"> </w:t>
      </w:r>
      <w:r w:rsidRPr="00E83C5E">
        <w:t>Lidhja e BE-së me rininë</w:t>
      </w:r>
      <w:r w:rsidR="00065B36" w:rsidRPr="00E83C5E">
        <w:t>;</w:t>
      </w:r>
    </w:p>
    <w:p w14:paraId="574E2A0F" w14:textId="3F500458" w:rsidR="004F08CB" w:rsidRPr="00E83C5E" w:rsidRDefault="004F08CB" w:rsidP="003B4AFA">
      <w:pPr>
        <w:pStyle w:val="TEKSTIII"/>
      </w:pPr>
      <w:r w:rsidRPr="00E83C5E">
        <w:t>2.</w:t>
      </w:r>
      <w:r w:rsidR="003B4AFA" w:rsidRPr="00E83C5E">
        <w:t xml:space="preserve"> </w:t>
      </w:r>
      <w:r w:rsidRPr="00E83C5E">
        <w:t>Barazia mes të gjitha gjinive</w:t>
      </w:r>
      <w:r w:rsidR="00065B36" w:rsidRPr="00E83C5E">
        <w:t>;</w:t>
      </w:r>
    </w:p>
    <w:p w14:paraId="574E2A10" w14:textId="524E3F18" w:rsidR="004F08CB" w:rsidRPr="00E83C5E" w:rsidRDefault="004F08CB" w:rsidP="003B4AFA">
      <w:pPr>
        <w:pStyle w:val="TEKSTIII"/>
      </w:pPr>
      <w:r w:rsidRPr="00E83C5E">
        <w:t>3.</w:t>
      </w:r>
      <w:r w:rsidR="003B4AFA" w:rsidRPr="00E83C5E">
        <w:t xml:space="preserve"> </w:t>
      </w:r>
      <w:r w:rsidRPr="00E83C5E">
        <w:t>Shoqëria gjithëpërfshirëse</w:t>
      </w:r>
      <w:r w:rsidR="00065B36" w:rsidRPr="00E83C5E">
        <w:t>;</w:t>
      </w:r>
    </w:p>
    <w:p w14:paraId="574E2A11" w14:textId="1ED75AF4" w:rsidR="004F08CB" w:rsidRPr="00E83C5E" w:rsidRDefault="004F08CB" w:rsidP="003B4AFA">
      <w:pPr>
        <w:pStyle w:val="TEKSTIII"/>
      </w:pPr>
      <w:r w:rsidRPr="00E83C5E">
        <w:t>4.</w:t>
      </w:r>
      <w:r w:rsidR="003B4AFA" w:rsidRPr="00E83C5E">
        <w:t xml:space="preserve"> </w:t>
      </w:r>
      <w:r w:rsidRPr="00E83C5E">
        <w:t>Dialog konstruktiv dhe shpërndarje informacionesh</w:t>
      </w:r>
      <w:r w:rsidR="00065B36" w:rsidRPr="00E83C5E">
        <w:t>;</w:t>
      </w:r>
    </w:p>
    <w:p w14:paraId="574E2A12" w14:textId="101C0754" w:rsidR="004F08CB" w:rsidRPr="00E83C5E" w:rsidRDefault="004F08CB" w:rsidP="003B4AFA">
      <w:pPr>
        <w:pStyle w:val="TEKSTIII"/>
      </w:pPr>
      <w:r w:rsidRPr="00E83C5E">
        <w:t>5.</w:t>
      </w:r>
      <w:r w:rsidR="003B4AFA" w:rsidRPr="00E83C5E">
        <w:t xml:space="preserve"> </w:t>
      </w:r>
      <w:r w:rsidRPr="00E83C5E">
        <w:t xml:space="preserve">Shëndeti mendor </w:t>
      </w:r>
      <w:r w:rsidR="0084105F" w:rsidRPr="00E83C5E">
        <w:t>dhe</w:t>
      </w:r>
      <w:r w:rsidRPr="00E83C5E">
        <w:t xml:space="preserve"> mirëqenia</w:t>
      </w:r>
      <w:r w:rsidR="00065B36" w:rsidRPr="00E83C5E">
        <w:t>;</w:t>
      </w:r>
    </w:p>
    <w:p w14:paraId="574E2A13" w14:textId="2B901548" w:rsidR="004F08CB" w:rsidRPr="00E83C5E" w:rsidRDefault="004F08CB" w:rsidP="003B4AFA">
      <w:pPr>
        <w:pStyle w:val="TEKSTIII"/>
      </w:pPr>
      <w:r w:rsidRPr="00E83C5E">
        <w:t>6.</w:t>
      </w:r>
      <w:r w:rsidR="003B4AFA" w:rsidRPr="00E83C5E">
        <w:t xml:space="preserve"> </w:t>
      </w:r>
      <w:r w:rsidRPr="00E83C5E">
        <w:t>Nxitje dhe përparësi për rininë rurale</w:t>
      </w:r>
      <w:r w:rsidR="00065B36" w:rsidRPr="00E83C5E">
        <w:t>;</w:t>
      </w:r>
    </w:p>
    <w:p w14:paraId="574E2A14" w14:textId="518D2DFE" w:rsidR="004F08CB" w:rsidRPr="00E83C5E" w:rsidRDefault="004F08CB" w:rsidP="003B4AFA">
      <w:pPr>
        <w:pStyle w:val="TEKSTIII"/>
      </w:pPr>
      <w:r w:rsidRPr="00E83C5E">
        <w:t>7.</w:t>
      </w:r>
      <w:r w:rsidR="003B4AFA" w:rsidRPr="00E83C5E">
        <w:t xml:space="preserve"> </w:t>
      </w:r>
      <w:r w:rsidRPr="00E83C5E">
        <w:t>Punësim cilësor për të gjithë</w:t>
      </w:r>
      <w:r w:rsidR="00065B36" w:rsidRPr="00E83C5E">
        <w:t>;</w:t>
      </w:r>
    </w:p>
    <w:p w14:paraId="574E2A15" w14:textId="302A4403" w:rsidR="004F08CB" w:rsidRPr="00E83C5E" w:rsidRDefault="004F08CB" w:rsidP="003B4AFA">
      <w:pPr>
        <w:pStyle w:val="TEKSTIII"/>
      </w:pPr>
      <w:r w:rsidRPr="00E83C5E">
        <w:t>8.</w:t>
      </w:r>
      <w:r w:rsidR="003B4AFA" w:rsidRPr="00E83C5E">
        <w:t xml:space="preserve"> </w:t>
      </w:r>
      <w:r w:rsidRPr="00E83C5E">
        <w:t>Të mësuarit cilësor</w:t>
      </w:r>
      <w:r w:rsidR="00065B36" w:rsidRPr="00E83C5E">
        <w:t>;</w:t>
      </w:r>
    </w:p>
    <w:p w14:paraId="574E2A16" w14:textId="607FFFA7" w:rsidR="004F08CB" w:rsidRPr="00E83C5E" w:rsidRDefault="004F08CB" w:rsidP="003B4AFA">
      <w:pPr>
        <w:pStyle w:val="TEKSTIII"/>
      </w:pPr>
      <w:r w:rsidRPr="00E83C5E">
        <w:t>9.</w:t>
      </w:r>
      <w:r w:rsidR="003B4AFA" w:rsidRPr="00E83C5E">
        <w:t xml:space="preserve"> </w:t>
      </w:r>
      <w:r w:rsidRPr="00E83C5E">
        <w:t>Hapësirë dhe pjesëmarrje për të gjithë</w:t>
      </w:r>
      <w:r w:rsidR="00065B36" w:rsidRPr="00E83C5E">
        <w:t>;</w:t>
      </w:r>
    </w:p>
    <w:p w14:paraId="574E2A17" w14:textId="297F9E55" w:rsidR="004F08CB" w:rsidRPr="00E83C5E" w:rsidRDefault="004F08CB" w:rsidP="003B4AFA">
      <w:pPr>
        <w:pStyle w:val="TEKSTIII"/>
      </w:pPr>
      <w:r w:rsidRPr="00E83C5E">
        <w:t>10.</w:t>
      </w:r>
      <w:r w:rsidR="003B4AFA" w:rsidRPr="00E83C5E">
        <w:t xml:space="preserve"> </w:t>
      </w:r>
      <w:r w:rsidRPr="00E83C5E">
        <w:t>Evropa e gjelbër dhe e qëndrueshme</w:t>
      </w:r>
      <w:r w:rsidR="00065B36" w:rsidRPr="00E83C5E">
        <w:t>;</w:t>
      </w:r>
    </w:p>
    <w:p w14:paraId="574E2A18" w14:textId="1FE9F59A" w:rsidR="004F08CB" w:rsidRPr="00E83C5E" w:rsidRDefault="004F08CB" w:rsidP="003B4AFA">
      <w:pPr>
        <w:pStyle w:val="TEKSTIII"/>
      </w:pPr>
      <w:r w:rsidRPr="00E83C5E">
        <w:t>11.</w:t>
      </w:r>
      <w:r w:rsidR="003B4AFA" w:rsidRPr="00E83C5E">
        <w:t xml:space="preserve"> </w:t>
      </w:r>
      <w:r w:rsidRPr="00E83C5E">
        <w:t xml:space="preserve">Organizatat </w:t>
      </w:r>
      <w:r w:rsidR="00123CA5" w:rsidRPr="00E83C5E">
        <w:t>rinore dhe programet rinore evropiane</w:t>
      </w:r>
      <w:r w:rsidR="00065B36" w:rsidRPr="00E83C5E">
        <w:t>.</w:t>
      </w:r>
    </w:p>
    <w:p w14:paraId="574E2A19" w14:textId="59762EB6" w:rsidR="004F08CB" w:rsidRPr="00E83C5E" w:rsidRDefault="004F08CB" w:rsidP="004F08CB">
      <w:pPr>
        <w:spacing w:after="0" w:line="240" w:lineRule="auto"/>
        <w:ind w:firstLine="284"/>
        <w:jc w:val="both"/>
        <w:rPr>
          <w:rFonts w:ascii="Garamond" w:hAnsi="Garamond" w:cs="Times New Roman"/>
          <w:b/>
          <w:bCs/>
          <w:sz w:val="24"/>
          <w:szCs w:val="24"/>
        </w:rPr>
      </w:pPr>
      <w:r w:rsidRPr="00E83C5E">
        <w:rPr>
          <w:rFonts w:ascii="Garamond" w:hAnsi="Garamond" w:cs="Times New Roman"/>
          <w:sz w:val="24"/>
          <w:szCs w:val="24"/>
        </w:rPr>
        <w:t>Është rënë dakor</w:t>
      </w:r>
      <w:r w:rsidR="00053B5D" w:rsidRPr="00E83C5E">
        <w:rPr>
          <w:rFonts w:ascii="Garamond" w:hAnsi="Garamond" w:cs="Times New Roman"/>
          <w:sz w:val="24"/>
          <w:szCs w:val="24"/>
        </w:rPr>
        <w:t>d</w:t>
      </w:r>
      <w:r w:rsidRPr="00E83C5E">
        <w:rPr>
          <w:rFonts w:ascii="Garamond" w:hAnsi="Garamond" w:cs="Times New Roman"/>
          <w:sz w:val="24"/>
          <w:szCs w:val="24"/>
        </w:rPr>
        <w:t xml:space="preserve"> që Strategjia Evropiane e Rinisë duhet të kontribuojë në realizimin e këtij vizioni duke mobilizuar instrumente politikash në nivel evropian</w:t>
      </w:r>
      <w:r w:rsidR="00123CA5" w:rsidRPr="00E83C5E">
        <w:rPr>
          <w:rFonts w:ascii="Garamond" w:hAnsi="Garamond" w:cs="Times New Roman"/>
          <w:sz w:val="24"/>
          <w:szCs w:val="24"/>
        </w:rPr>
        <w:t>,</w:t>
      </w:r>
      <w:r w:rsidRPr="00E83C5E">
        <w:rPr>
          <w:rFonts w:ascii="Garamond" w:hAnsi="Garamond" w:cs="Times New Roman"/>
          <w:sz w:val="24"/>
          <w:szCs w:val="24"/>
        </w:rPr>
        <w:t xml:space="preserve"> si dhe veprimet në nivel kombëtar, rajonal dhe vendor. Në strategjinë evropiane të rinisë fushat kyçe të sektorit rinor shprehen me tri folje: </w:t>
      </w:r>
      <w:r w:rsidR="00123CA5" w:rsidRPr="00E83C5E">
        <w:rPr>
          <w:rFonts w:ascii="Garamond" w:hAnsi="Garamond" w:cs="Times New Roman"/>
          <w:b/>
          <w:bCs/>
          <w:sz w:val="24"/>
          <w:szCs w:val="24"/>
        </w:rPr>
        <w:t xml:space="preserve">angazhohu, lidhu dhe fuqizohu. </w:t>
      </w:r>
    </w:p>
    <w:p w14:paraId="574E2A1A" w14:textId="77777777" w:rsidR="004F08CB" w:rsidRPr="00E83C5E" w:rsidRDefault="003B4AFA" w:rsidP="003B4AFA">
      <w:pPr>
        <w:pStyle w:val="TEKSTIII"/>
        <w:rPr>
          <w:b/>
        </w:rPr>
      </w:pPr>
      <w:r w:rsidRPr="00E83C5E">
        <w:rPr>
          <w:b/>
        </w:rPr>
        <w:t xml:space="preserve">1.5 </w:t>
      </w:r>
      <w:r w:rsidR="004F08CB" w:rsidRPr="00E83C5E">
        <w:rPr>
          <w:b/>
        </w:rPr>
        <w:t>Lidhja e Strategjisë Kombëtare të Rinisë me Strategjinë e Rinisë së Këshillit të Evropës</w:t>
      </w:r>
    </w:p>
    <w:p w14:paraId="574E2A1B" w14:textId="0F065EFB" w:rsidR="004F08CB" w:rsidRPr="00E83C5E" w:rsidRDefault="004F08CB" w:rsidP="004F08CB">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Kjo strategji ka si qëllim të inkurajojë të rinjtë anembanë Evropës që aktivisht të mbështesin, mbrojnë, nxisin dhe përfitojnë nga vlerat thelbësore të Këshillit të Evropës të të drejtave të njeriut, demokracisë dhe shtetit të së drejtës. Objektivat strategjik</w:t>
      </w:r>
      <w:r w:rsidR="00123CA5" w:rsidRPr="00E83C5E">
        <w:rPr>
          <w:rFonts w:ascii="Garamond" w:hAnsi="Garamond" w:cs="Times New Roman"/>
          <w:sz w:val="24"/>
          <w:szCs w:val="24"/>
        </w:rPr>
        <w:t>ë</w:t>
      </w:r>
      <w:r w:rsidRPr="00E83C5E">
        <w:rPr>
          <w:rFonts w:ascii="Garamond" w:hAnsi="Garamond" w:cs="Times New Roman"/>
          <w:sz w:val="24"/>
          <w:szCs w:val="24"/>
        </w:rPr>
        <w:t xml:space="preserve"> të këtij dokumenti synojnë të rrisin angazhimin dhe </w:t>
      </w:r>
      <w:r w:rsidR="00053B5D" w:rsidRPr="00E83C5E">
        <w:rPr>
          <w:rFonts w:ascii="Garamond" w:hAnsi="Garamond" w:cs="Times New Roman"/>
          <w:sz w:val="24"/>
          <w:szCs w:val="24"/>
        </w:rPr>
        <w:t>pjesëmarrjen</w:t>
      </w:r>
      <w:r w:rsidRPr="00E83C5E">
        <w:rPr>
          <w:rFonts w:ascii="Garamond" w:hAnsi="Garamond" w:cs="Times New Roman"/>
          <w:sz w:val="24"/>
          <w:szCs w:val="24"/>
        </w:rPr>
        <w:t xml:space="preserve"> e të rejave dhe të rinjve në proceset demokratike, forcimin e të drejtave të njeriut dhe në </w:t>
      </w:r>
      <w:r w:rsidR="00053B5D" w:rsidRPr="00E83C5E">
        <w:rPr>
          <w:rFonts w:ascii="Garamond" w:hAnsi="Garamond" w:cs="Times New Roman"/>
          <w:sz w:val="24"/>
          <w:szCs w:val="24"/>
        </w:rPr>
        <w:t>vendim</w:t>
      </w:r>
      <w:r w:rsidRPr="00E83C5E">
        <w:rPr>
          <w:rFonts w:ascii="Garamond" w:hAnsi="Garamond" w:cs="Times New Roman"/>
          <w:sz w:val="24"/>
          <w:szCs w:val="24"/>
        </w:rPr>
        <w:t>marrje</w:t>
      </w:r>
      <w:r w:rsidRPr="00E83C5E">
        <w:rPr>
          <w:rStyle w:val="FootnoteReference"/>
          <w:rFonts w:ascii="Garamond" w:hAnsi="Garamond" w:cs="Times New Roman"/>
          <w:sz w:val="24"/>
          <w:szCs w:val="24"/>
        </w:rPr>
        <w:footnoteReference w:id="5"/>
      </w:r>
      <w:r w:rsidRPr="00E83C5E">
        <w:rPr>
          <w:rFonts w:ascii="Garamond" w:hAnsi="Garamond" w:cs="Times New Roman"/>
          <w:sz w:val="24"/>
          <w:szCs w:val="24"/>
        </w:rPr>
        <w:t>. Këto elemente përfshihen në strategjinë kombëtare me masa specifike që rrisin pjesëmarrjen e të rinjve në jetën e komunitetit dhe në jetën politike të vendit. Këshilli i Evropës në dokumentin e tij strategjik për rininë ka synuar këto prioritete tematike:</w:t>
      </w:r>
    </w:p>
    <w:p w14:paraId="574E2A1C" w14:textId="38460EF4" w:rsidR="004F08CB" w:rsidRPr="00E83C5E" w:rsidRDefault="003B4AFA" w:rsidP="003B4AFA">
      <w:pPr>
        <w:pStyle w:val="TEKSTIII"/>
      </w:pPr>
      <w:r w:rsidRPr="00E83C5E">
        <w:t>-</w:t>
      </w:r>
      <w:r w:rsidR="00053B5D" w:rsidRPr="00E83C5E">
        <w:t xml:space="preserve"> </w:t>
      </w:r>
      <w:r w:rsidR="00123CA5" w:rsidRPr="00E83C5E">
        <w:t>rigjallërimi i demokracisë pluraliste;</w:t>
      </w:r>
    </w:p>
    <w:p w14:paraId="574E2A1D" w14:textId="53B154C4" w:rsidR="004F08CB" w:rsidRPr="00E83C5E" w:rsidRDefault="00123CA5" w:rsidP="003B4AFA">
      <w:pPr>
        <w:pStyle w:val="TEKSTIII"/>
      </w:pPr>
      <w:r w:rsidRPr="00E83C5E">
        <w:t>- aksesi i të rinjve në të drejta;</w:t>
      </w:r>
    </w:p>
    <w:p w14:paraId="574E2A1E" w14:textId="46E2158B" w:rsidR="004F08CB" w:rsidRPr="00E83C5E" w:rsidRDefault="00123CA5" w:rsidP="003B4AFA">
      <w:pPr>
        <w:pStyle w:val="TEKSTIII"/>
      </w:pPr>
      <w:r w:rsidRPr="00E83C5E">
        <w:t>- jetesa e përbashkët në shoqëri gjithëpërfshirëse;</w:t>
      </w:r>
    </w:p>
    <w:p w14:paraId="574E2A1F" w14:textId="58520F9C" w:rsidR="004F08CB" w:rsidRPr="00E83C5E" w:rsidRDefault="00123CA5" w:rsidP="003B4AFA">
      <w:pPr>
        <w:pStyle w:val="TEKSTIII"/>
      </w:pPr>
      <w:r w:rsidRPr="00E83C5E">
        <w:t>- puna rinore.</w:t>
      </w:r>
    </w:p>
    <w:p w14:paraId="574E2A20" w14:textId="02766FD8" w:rsidR="004F08CB" w:rsidRPr="00E83C5E" w:rsidRDefault="003B4AFA" w:rsidP="003B4AFA">
      <w:pPr>
        <w:pStyle w:val="TEKSTIII"/>
        <w:rPr>
          <w:b/>
        </w:rPr>
      </w:pPr>
      <w:r w:rsidRPr="00E83C5E">
        <w:rPr>
          <w:b/>
        </w:rPr>
        <w:t xml:space="preserve">1.6 </w:t>
      </w:r>
      <w:r w:rsidR="004F08CB" w:rsidRPr="00E83C5E">
        <w:rPr>
          <w:b/>
        </w:rPr>
        <w:t xml:space="preserve">Lidhja e Strategjisë Kombëtare të Rinisë me Agjendën e Ballkanit Perëndimor për novacionin, kërkimin shkencor, arsimin, kulturën, rininë dhe sportet </w:t>
      </w:r>
    </w:p>
    <w:p w14:paraId="574E2A21" w14:textId="1DCD3B2B" w:rsidR="004F08CB" w:rsidRPr="00E83C5E" w:rsidRDefault="004F08CB" w:rsidP="000128FD">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lastRenderedPageBreak/>
        <w:t>Strategjia Kombëtare e Rinisë i bën jehonë edhe agjendës së Ballkanit Perëndimor</w:t>
      </w:r>
      <w:r w:rsidRPr="00E83C5E">
        <w:rPr>
          <w:rStyle w:val="FootnoteReference"/>
          <w:rFonts w:ascii="Garamond" w:hAnsi="Garamond" w:cs="Times New Roman"/>
          <w:sz w:val="24"/>
          <w:szCs w:val="24"/>
        </w:rPr>
        <w:footnoteReference w:id="6"/>
      </w:r>
      <w:r w:rsidR="000128FD">
        <w:rPr>
          <w:rFonts w:ascii="Garamond" w:hAnsi="Garamond" w:cs="Times New Roman"/>
          <w:sz w:val="24"/>
          <w:szCs w:val="24"/>
        </w:rPr>
        <w:t>,</w:t>
      </w:r>
      <w:r w:rsidRPr="00E83C5E">
        <w:rPr>
          <w:rFonts w:ascii="Garamond" w:hAnsi="Garamond" w:cs="Times New Roman"/>
          <w:sz w:val="24"/>
          <w:szCs w:val="24"/>
        </w:rPr>
        <w:t xml:space="preserve"> e cila paraqet një strategji dhe kornizë afatgjatë të bashkëpunimit ekonomik duke dhënë njëkohësisht një vizion po</w:t>
      </w:r>
      <w:r w:rsidR="00061D23" w:rsidRPr="00E83C5E">
        <w:rPr>
          <w:rFonts w:ascii="Garamond" w:hAnsi="Garamond" w:cs="Times New Roman"/>
          <w:sz w:val="24"/>
          <w:szCs w:val="24"/>
        </w:rPr>
        <w:t>z</w:t>
      </w:r>
      <w:r w:rsidRPr="00E83C5E">
        <w:rPr>
          <w:rFonts w:ascii="Garamond" w:hAnsi="Garamond" w:cs="Times New Roman"/>
          <w:sz w:val="24"/>
          <w:szCs w:val="24"/>
        </w:rPr>
        <w:t xml:space="preserve">itiv dhe largpamës në veçanti për rininë. </w:t>
      </w:r>
    </w:p>
    <w:p w14:paraId="574E2A22" w14:textId="33EC8A1D" w:rsidR="004F08CB" w:rsidRPr="00E83C5E" w:rsidRDefault="003B4AFA" w:rsidP="000128FD">
      <w:pPr>
        <w:pStyle w:val="TEKSTIII"/>
      </w:pPr>
      <w:r w:rsidRPr="00E83C5E">
        <w:t xml:space="preserve">1. </w:t>
      </w:r>
      <w:r w:rsidR="004F08CB" w:rsidRPr="00E83C5E">
        <w:t>Mbështetja e transformimit di</w:t>
      </w:r>
      <w:r w:rsidR="00061D23" w:rsidRPr="00E83C5E">
        <w:t>gj</w:t>
      </w:r>
      <w:r w:rsidR="004F08CB" w:rsidRPr="00E83C5E">
        <w:t xml:space="preserve">ital; </w:t>
      </w:r>
    </w:p>
    <w:p w14:paraId="574E2A23" w14:textId="71AE6788" w:rsidR="004F08CB" w:rsidRPr="00E83C5E" w:rsidRDefault="003B4AFA" w:rsidP="000128FD">
      <w:pPr>
        <w:pStyle w:val="TEKSTIII"/>
      </w:pPr>
      <w:r w:rsidRPr="00E83C5E">
        <w:t xml:space="preserve">2. </w:t>
      </w:r>
      <w:r w:rsidR="004F08CB" w:rsidRPr="00E83C5E">
        <w:t>Nxitja e zbatimit të A</w:t>
      </w:r>
      <w:r w:rsidR="00061D23" w:rsidRPr="00E83C5E">
        <w:t>gj</w:t>
      </w:r>
      <w:r w:rsidR="004F08CB" w:rsidRPr="00E83C5E">
        <w:t>endës së Gjelbër për Ballkanin Perëndimor dhe pesë shtyllat e saj;</w:t>
      </w:r>
    </w:p>
    <w:p w14:paraId="574E2A24" w14:textId="77777777" w:rsidR="004F08CB" w:rsidRPr="00E83C5E" w:rsidRDefault="003B4AFA" w:rsidP="000128FD">
      <w:pPr>
        <w:pStyle w:val="TEKSTIII"/>
      </w:pPr>
      <w:r w:rsidRPr="00E83C5E">
        <w:rPr>
          <w:rStyle w:val="markedcontent"/>
          <w:rFonts w:cs="Times New Roman"/>
        </w:rPr>
        <w:t xml:space="preserve">3. </w:t>
      </w:r>
      <w:r w:rsidR="004F08CB" w:rsidRPr="00E83C5E">
        <w:rPr>
          <w:rStyle w:val="markedcontent"/>
          <w:rFonts w:cs="Times New Roman"/>
        </w:rPr>
        <w:t xml:space="preserve">Nxitja dhe mbështetja e qarkullimit të trurit në veçanti me diasporën e Ballkanit Perëndimor; </w:t>
      </w:r>
    </w:p>
    <w:p w14:paraId="574E2A25" w14:textId="4AC6B48F" w:rsidR="004F08CB" w:rsidRPr="00E83C5E" w:rsidRDefault="003B4AFA" w:rsidP="000128FD">
      <w:pPr>
        <w:pStyle w:val="TEKSTIII"/>
      </w:pPr>
      <w:r w:rsidRPr="00E83C5E">
        <w:t xml:space="preserve">4. </w:t>
      </w:r>
      <w:r w:rsidR="004F08CB" w:rsidRPr="00E83C5E">
        <w:t>Ngritja e standardeve të larta të cilësisë së arsimit profesional evropian dhe trajnimit si referencë për zhvillimin e aftësive, duke përfshirë mikrokredencialet; të ushqejë shoqëritë e bazuara në njohuri.</w:t>
      </w:r>
    </w:p>
    <w:p w14:paraId="574E2A26" w14:textId="799D486E" w:rsidR="004F08CB" w:rsidRPr="00E83C5E" w:rsidRDefault="003B4AFA" w:rsidP="003B4AFA">
      <w:pPr>
        <w:pStyle w:val="TEKSTIII"/>
        <w:rPr>
          <w:b/>
        </w:rPr>
      </w:pPr>
      <w:r w:rsidRPr="00E83C5E">
        <w:rPr>
          <w:b/>
        </w:rPr>
        <w:t xml:space="preserve">1.7 </w:t>
      </w:r>
      <w:r w:rsidR="004F08CB" w:rsidRPr="00E83C5E">
        <w:rPr>
          <w:b/>
        </w:rPr>
        <w:t>Lidhja e Strategjisë Kombëtare të Rinisë me Strategjinë Kombëtare për Zhvillim dhe Integrim 2015</w:t>
      </w:r>
      <w:r w:rsidR="00D034D6" w:rsidRPr="00E83C5E">
        <w:rPr>
          <w:rFonts w:cs="Times New Roman"/>
        </w:rPr>
        <w:t>–</w:t>
      </w:r>
      <w:r w:rsidR="004F08CB" w:rsidRPr="00E83C5E">
        <w:rPr>
          <w:b/>
        </w:rPr>
        <w:t>2020 (SKZHI II)</w:t>
      </w:r>
      <w:r w:rsidR="004F08CB" w:rsidRPr="00E83C5E">
        <w:rPr>
          <w:rStyle w:val="jlqj4b"/>
          <w:rFonts w:cs="Times New Roman"/>
          <w:b/>
          <w:bCs/>
        </w:rPr>
        <w:t xml:space="preserve"> </w:t>
      </w:r>
    </w:p>
    <w:p w14:paraId="574E2A27" w14:textId="24F82466" w:rsidR="004F08CB" w:rsidRPr="00E83C5E" w:rsidRDefault="004F08CB" w:rsidP="004F08CB">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Strategjia Kombëtare për Zhvillim dhe Integrim 2015–2020 (SKZhI II) është dokumenti themelor strategjik që kombinon agjendën e integrimit në Bashkimin Evropian me zhvillimin e qëndrueshëm ekonomik e shoqëror të vendit, përfshirë edhe ndërlidhjen me </w:t>
      </w:r>
      <w:r w:rsidR="00246061" w:rsidRPr="00E83C5E">
        <w:rPr>
          <w:rFonts w:ascii="Garamond" w:hAnsi="Garamond" w:cs="Times New Roman"/>
          <w:sz w:val="24"/>
          <w:szCs w:val="24"/>
        </w:rPr>
        <w:t>objektivat e zhvillimit të qëndrueshëm</w:t>
      </w:r>
      <w:r w:rsidRPr="00E83C5E">
        <w:rPr>
          <w:rFonts w:ascii="Garamond" w:hAnsi="Garamond" w:cs="Times New Roman"/>
          <w:sz w:val="24"/>
          <w:szCs w:val="24"/>
        </w:rPr>
        <w:t xml:space="preserve">. Strategjia përcakton vizionin për Shqipërinë si </w:t>
      </w:r>
      <w:r w:rsidR="00D540B0" w:rsidRPr="00E83C5E">
        <w:rPr>
          <w:rFonts w:ascii="Garamond" w:hAnsi="Garamond" w:cs="Times New Roman"/>
          <w:sz w:val="24"/>
          <w:szCs w:val="24"/>
        </w:rPr>
        <w:t>“</w:t>
      </w:r>
      <w:r w:rsidRPr="00E83C5E">
        <w:rPr>
          <w:rFonts w:ascii="Garamond" w:hAnsi="Garamond" w:cs="Times New Roman"/>
          <w:sz w:val="24"/>
          <w:szCs w:val="24"/>
        </w:rPr>
        <w:t>...demokraci në forcim, në rrugën e saj drejt integrimit në Bashkimin Evropian, me një ekonomi konkurruese, të stabilizuar dhe të qëndrueshme dhe me garanci për të drejtat themelore dhe liritë e njeriut</w:t>
      </w:r>
      <w:r w:rsidR="00D540B0" w:rsidRPr="00E83C5E">
        <w:rPr>
          <w:rFonts w:ascii="Garamond" w:hAnsi="Garamond" w:cs="Times New Roman"/>
          <w:sz w:val="24"/>
          <w:szCs w:val="24"/>
        </w:rPr>
        <w:t>”</w:t>
      </w:r>
      <w:r w:rsidRPr="00E83C5E">
        <w:rPr>
          <w:rFonts w:ascii="Garamond" w:hAnsi="Garamond" w:cs="Times New Roman"/>
          <w:sz w:val="24"/>
          <w:szCs w:val="24"/>
        </w:rPr>
        <w:t xml:space="preserve">. </w:t>
      </w:r>
    </w:p>
    <w:p w14:paraId="574E2A28" w14:textId="0C4AF21E" w:rsidR="004F08CB" w:rsidRPr="00E83C5E" w:rsidRDefault="003B4AFA" w:rsidP="003B4AFA">
      <w:pPr>
        <w:pStyle w:val="TEKSTIII"/>
      </w:pPr>
      <w:r w:rsidRPr="00E83C5E">
        <w:t>-</w:t>
      </w:r>
      <w:r w:rsidR="00C011B4" w:rsidRPr="00E83C5E">
        <w:t xml:space="preserve"> </w:t>
      </w:r>
      <w:r w:rsidR="004F08CB" w:rsidRPr="00E83C5E">
        <w:t>Kjo strategji ka një pikë të veçantë, 11.9</w:t>
      </w:r>
      <w:r w:rsidR="00A46A94" w:rsidRPr="00E83C5E">
        <w:t>,</w:t>
      </w:r>
      <w:r w:rsidR="004F08CB" w:rsidRPr="00E83C5E">
        <w:t xml:space="preserve"> e cila lidhet me fuqizimin e rinisë përballë këtyre sfidave: </w:t>
      </w:r>
    </w:p>
    <w:p w14:paraId="574E2A29" w14:textId="0E2F9302" w:rsidR="004F08CB" w:rsidRPr="00E83C5E" w:rsidRDefault="003B4AFA" w:rsidP="003B4AFA">
      <w:pPr>
        <w:pStyle w:val="TEKSTIII"/>
      </w:pPr>
      <w:r w:rsidRPr="00E83C5E">
        <w:t>-</w:t>
      </w:r>
      <w:r w:rsidR="00C011B4" w:rsidRPr="00E83C5E">
        <w:t xml:space="preserve"> </w:t>
      </w:r>
      <w:r w:rsidR="004F08CB" w:rsidRPr="00E83C5E">
        <w:t xml:space="preserve">Nevojën për më shumë pushtet ekonomik rinor përmes programeve të nxitjes së punësimit, arsimit, shëndetësisë dhe mbrojtjes sociale; </w:t>
      </w:r>
    </w:p>
    <w:p w14:paraId="574E2A2A" w14:textId="52276687" w:rsidR="004F08CB" w:rsidRPr="00E83C5E" w:rsidRDefault="003B4AFA" w:rsidP="003B4AFA">
      <w:pPr>
        <w:pStyle w:val="TEKSTIII"/>
      </w:pPr>
      <w:r w:rsidRPr="00E83C5E">
        <w:t>-</w:t>
      </w:r>
      <w:r w:rsidR="00C011B4" w:rsidRPr="00E83C5E">
        <w:t xml:space="preserve"> </w:t>
      </w:r>
      <w:r w:rsidR="004F08CB" w:rsidRPr="00E83C5E">
        <w:t xml:space="preserve">Nevojën për krijimin e hapësirave publike për t’iu shërbyer të rinjve; </w:t>
      </w:r>
    </w:p>
    <w:p w14:paraId="574E2A2B" w14:textId="4C9528BA" w:rsidR="004F08CB" w:rsidRPr="00E83C5E" w:rsidRDefault="003B4AFA" w:rsidP="003B4AFA">
      <w:pPr>
        <w:pStyle w:val="TEKSTIII"/>
      </w:pPr>
      <w:r w:rsidRPr="00E83C5E">
        <w:t>-</w:t>
      </w:r>
      <w:r w:rsidR="00C011B4" w:rsidRPr="00E83C5E">
        <w:t xml:space="preserve"> </w:t>
      </w:r>
      <w:r w:rsidR="004F08CB" w:rsidRPr="00E83C5E">
        <w:t xml:space="preserve">Fuqizimin e kapaciteteve të organizatave rinore; </w:t>
      </w:r>
    </w:p>
    <w:p w14:paraId="574E2A2C" w14:textId="78399B48" w:rsidR="004F08CB" w:rsidRPr="00E83C5E" w:rsidRDefault="003B4AFA" w:rsidP="003B4AFA">
      <w:pPr>
        <w:pStyle w:val="TEKSTIII"/>
      </w:pPr>
      <w:r w:rsidRPr="00E83C5E">
        <w:t>-</w:t>
      </w:r>
      <w:r w:rsidR="00C011B4" w:rsidRPr="00E83C5E">
        <w:t xml:space="preserve"> </w:t>
      </w:r>
      <w:r w:rsidR="004F08CB" w:rsidRPr="00E83C5E">
        <w:t>Krij</w:t>
      </w:r>
      <w:r w:rsidR="00061D23" w:rsidRPr="00E83C5E">
        <w:t>i</w:t>
      </w:r>
      <w:r w:rsidR="004F08CB" w:rsidRPr="00E83C5E">
        <w:t xml:space="preserve">min e rrjeteve rinore, këshillave të qarqeve dhe komisioneve kombëtare të konsultimit për çështjet rinore; dhe </w:t>
      </w:r>
    </w:p>
    <w:p w14:paraId="574E2A2D" w14:textId="39BCB550" w:rsidR="004F08CB" w:rsidRPr="00E83C5E" w:rsidRDefault="003B4AFA" w:rsidP="003B4AFA">
      <w:pPr>
        <w:pStyle w:val="TEKSTIII"/>
      </w:pPr>
      <w:r w:rsidRPr="00E83C5E">
        <w:t>-</w:t>
      </w:r>
      <w:r w:rsidR="00C011B4" w:rsidRPr="00E83C5E">
        <w:t xml:space="preserve"> </w:t>
      </w:r>
      <w:r w:rsidR="004F08CB" w:rsidRPr="00E83C5E">
        <w:t xml:space="preserve">Nevojën për rritjen e pjesëmarrjes aktive të të rinjve në komunitet dhe programeve </w:t>
      </w:r>
      <w:r w:rsidR="008B63B6" w:rsidRPr="00E83C5E">
        <w:t>ndër</w:t>
      </w:r>
      <w:r w:rsidR="004F08CB" w:rsidRPr="00E83C5E">
        <w:t xml:space="preserve">rajonale. </w:t>
      </w:r>
    </w:p>
    <w:p w14:paraId="574E2A2E" w14:textId="3EF7CD09" w:rsidR="004F08CB" w:rsidRPr="00E83C5E" w:rsidRDefault="003B4AFA" w:rsidP="003B4AFA">
      <w:pPr>
        <w:pStyle w:val="TEKSTIII"/>
      </w:pPr>
      <w:r w:rsidRPr="00E83C5E">
        <w:t>-</w:t>
      </w:r>
      <w:r w:rsidR="00C011B4" w:rsidRPr="00E83C5E">
        <w:t xml:space="preserve"> </w:t>
      </w:r>
      <w:r w:rsidR="004F08CB" w:rsidRPr="00E83C5E">
        <w:t xml:space="preserve">Kjo strategji paraqet si vizion: </w:t>
      </w:r>
      <w:r w:rsidR="00D540B0" w:rsidRPr="00E83C5E">
        <w:t>“</w:t>
      </w:r>
      <w:r w:rsidR="004F08CB" w:rsidRPr="00E83C5E">
        <w:t>Një rini aktive dhe me barazi në të gjitha fushat e jetës shoqërore, e shëndetshme, e arsimuar dhe me një status të konsoliduar në shoqëri</w:t>
      </w:r>
      <w:r w:rsidR="00D540B0" w:rsidRPr="00E83C5E">
        <w:t>”</w:t>
      </w:r>
      <w:r w:rsidR="00A31960" w:rsidRPr="00E83C5E">
        <w:t>,</w:t>
      </w:r>
      <w:r w:rsidR="004F08CB" w:rsidRPr="00E83C5E">
        <w:t xml:space="preserve"> duke u bazuar te</w:t>
      </w:r>
      <w:r w:rsidR="002A22C5" w:rsidRPr="00E83C5E">
        <w:t>k</w:t>
      </w:r>
      <w:r w:rsidR="004F08CB" w:rsidRPr="00E83C5E">
        <w:t xml:space="preserve"> </w:t>
      </w:r>
      <w:r w:rsidR="00061D23" w:rsidRPr="00E83C5E">
        <w:rPr>
          <w:i/>
          <w:iCs/>
        </w:rPr>
        <w:t>aktivizimi</w:t>
      </w:r>
      <w:r w:rsidR="004F08CB" w:rsidRPr="00E83C5E">
        <w:rPr>
          <w:i/>
          <w:iCs/>
        </w:rPr>
        <w:t xml:space="preserve"> i saj dhe barazia në të gjitha fushat e jetës shoqërore. Rinia vizionohet si e shëndetshme, e arsimuar dhe me një status të konsoliduar në shoqëri.</w:t>
      </w:r>
    </w:p>
    <w:p w14:paraId="574E2A2F" w14:textId="489B452A" w:rsidR="004F08CB" w:rsidRPr="00E83C5E" w:rsidRDefault="003B4AFA" w:rsidP="003B4AFA">
      <w:pPr>
        <w:pStyle w:val="TEKSTIII"/>
      </w:pPr>
      <w:r w:rsidRPr="00E83C5E">
        <w:t>-</w:t>
      </w:r>
      <w:r w:rsidR="00C011B4" w:rsidRPr="00E83C5E">
        <w:t xml:space="preserve"> </w:t>
      </w:r>
      <w:r w:rsidR="004F08CB" w:rsidRPr="00E83C5E">
        <w:t>Në këtë dokument parashtrohen edhe kët</w:t>
      </w:r>
      <w:r w:rsidR="002A22C5" w:rsidRPr="00E83C5E">
        <w:t>a</w:t>
      </w:r>
      <w:r w:rsidR="004F08CB" w:rsidRPr="00E83C5E">
        <w:t xml:space="preserve"> objektiva strategjikë: </w:t>
      </w:r>
    </w:p>
    <w:p w14:paraId="574E2A30" w14:textId="6FCF9AEE" w:rsidR="004F08CB" w:rsidRPr="00E83C5E" w:rsidRDefault="003B4AFA" w:rsidP="003B4AFA">
      <w:pPr>
        <w:pStyle w:val="TEKSTIII"/>
      </w:pPr>
      <w:r w:rsidRPr="00E83C5E">
        <w:t>-</w:t>
      </w:r>
      <w:r w:rsidR="00C011B4" w:rsidRPr="00E83C5E">
        <w:t xml:space="preserve"> </w:t>
      </w:r>
      <w:r w:rsidR="004F08CB" w:rsidRPr="00E83C5E">
        <w:t>Mbështetja dhe integrimi i të rinjve në tregun e punës, si punëmarrës dhe sipërmarrës</w:t>
      </w:r>
      <w:r w:rsidR="004F08CB" w:rsidRPr="00E83C5E">
        <w:rPr>
          <w:rStyle w:val="FootnoteReference"/>
          <w:rFonts w:cs="Times New Roman"/>
        </w:rPr>
        <w:footnoteReference w:id="7"/>
      </w:r>
      <w:r w:rsidR="004F08CB" w:rsidRPr="00E83C5E">
        <w:t xml:space="preserve">; </w:t>
      </w:r>
    </w:p>
    <w:p w14:paraId="574E2A31" w14:textId="0A779C5E" w:rsidR="004F08CB" w:rsidRPr="00E83C5E" w:rsidRDefault="003B4AFA" w:rsidP="003B4AFA">
      <w:pPr>
        <w:pStyle w:val="TEKSTIII"/>
      </w:pPr>
      <w:r w:rsidRPr="00E83C5E">
        <w:t>-</w:t>
      </w:r>
      <w:r w:rsidR="00C011B4" w:rsidRPr="00E83C5E">
        <w:t xml:space="preserve"> </w:t>
      </w:r>
      <w:r w:rsidR="004F08CB" w:rsidRPr="00E83C5E">
        <w:t>Nxitja dhe thellimi i pjesëmarrjes së të rinjve në shoqëri, vendimmarrje dhe mirëqenie</w:t>
      </w:r>
      <w:r w:rsidR="004F08CB" w:rsidRPr="00E83C5E">
        <w:rPr>
          <w:rStyle w:val="FootnoteReference"/>
          <w:rFonts w:cs="Times New Roman"/>
        </w:rPr>
        <w:footnoteReference w:id="8"/>
      </w:r>
      <w:r w:rsidR="004F08CB" w:rsidRPr="00E83C5E">
        <w:t xml:space="preserve">, dhe </w:t>
      </w:r>
    </w:p>
    <w:p w14:paraId="574E2A32" w14:textId="29B67806" w:rsidR="004F08CB" w:rsidRPr="00E83C5E" w:rsidRDefault="003B4AFA" w:rsidP="003B4AFA">
      <w:pPr>
        <w:pStyle w:val="TEKSTIII"/>
      </w:pPr>
      <w:r w:rsidRPr="00E83C5E">
        <w:t>-</w:t>
      </w:r>
      <w:r w:rsidR="00C011B4" w:rsidRPr="00E83C5E">
        <w:t xml:space="preserve"> </w:t>
      </w:r>
      <w:r w:rsidR="004F08CB" w:rsidRPr="00E83C5E">
        <w:t>Forcimi i arsimit dhe formimit profesional për të rinjtë në të gjitha nivelet dhe shtimi i mundësive për të mësuar gjatë gjithë jetës</w:t>
      </w:r>
      <w:r w:rsidR="004F08CB" w:rsidRPr="00E83C5E">
        <w:rPr>
          <w:rStyle w:val="FootnoteReference"/>
          <w:rFonts w:cs="Times New Roman"/>
        </w:rPr>
        <w:footnoteReference w:id="9"/>
      </w:r>
      <w:r w:rsidR="004F08CB" w:rsidRPr="00E83C5E">
        <w:t xml:space="preserve">. </w:t>
      </w:r>
    </w:p>
    <w:p w14:paraId="574E2A33" w14:textId="582748A8" w:rsidR="004F08CB" w:rsidRPr="00E83C5E" w:rsidRDefault="003B4AFA" w:rsidP="003B4AFA">
      <w:pPr>
        <w:pStyle w:val="TEKSTIII"/>
      </w:pPr>
      <w:r w:rsidRPr="00E83C5E">
        <w:lastRenderedPageBreak/>
        <w:t>-</w:t>
      </w:r>
      <w:r w:rsidR="00C011B4" w:rsidRPr="00E83C5E">
        <w:t xml:space="preserve"> </w:t>
      </w:r>
      <w:r w:rsidR="004F08CB" w:rsidRPr="00E83C5E">
        <w:t xml:space="preserve">Të lidhura ngushtë me rininë janë edhe pjesë të tjera të kësaj strategjie shtyllat 2, 3 dhe 4 që kanë të bëjnë me rritjen ekonomike përmes konkurrueshmërisë dhe novacionit, investimin në kapital njerëzor dhe kohezionin social, si edhe përdorimin e qëndrueshëm të burimeve dhe zhvillimit të territorit. </w:t>
      </w:r>
    </w:p>
    <w:p w14:paraId="574E2A34" w14:textId="0B841FE6" w:rsidR="004F08CB" w:rsidRPr="00E83C5E" w:rsidRDefault="004F08CB" w:rsidP="004F08CB">
      <w:pPr>
        <w:spacing w:after="0" w:line="240" w:lineRule="auto"/>
        <w:ind w:firstLine="284"/>
        <w:jc w:val="both"/>
        <w:rPr>
          <w:rFonts w:ascii="Garamond" w:eastAsia="Times New Roman" w:hAnsi="Garamond" w:cs="Times New Roman"/>
          <w:strike/>
          <w:sz w:val="24"/>
          <w:szCs w:val="24"/>
          <w:lang w:eastAsia="en-GB"/>
        </w:rPr>
      </w:pPr>
      <w:r w:rsidRPr="00E83C5E">
        <w:rPr>
          <w:rFonts w:ascii="Garamond" w:hAnsi="Garamond" w:cs="Times New Roman"/>
          <w:sz w:val="24"/>
          <w:szCs w:val="24"/>
        </w:rPr>
        <w:t>Strategjia Kombëtare e Rinisë 2022</w:t>
      </w:r>
      <w:r w:rsidR="005B76AE" w:rsidRPr="00E83C5E">
        <w:rPr>
          <w:rFonts w:cs="Times New Roman"/>
          <w:iCs/>
        </w:rPr>
        <w:t>–</w:t>
      </w:r>
      <w:r w:rsidRPr="00E83C5E">
        <w:rPr>
          <w:rFonts w:ascii="Garamond" w:hAnsi="Garamond" w:cs="Times New Roman"/>
          <w:sz w:val="24"/>
          <w:szCs w:val="24"/>
        </w:rPr>
        <w:t>2029, së bashku me dokumentet strategjikë shoqërues harmonizohet dhe është në përputhje të plotë me qëllimet, objektivat dhe parashikimet e SKZHI-II sipas shtyllave</w:t>
      </w:r>
      <w:r w:rsidR="00F35B92" w:rsidRPr="00E83C5E">
        <w:rPr>
          <w:rFonts w:ascii="Garamond" w:hAnsi="Garamond" w:cs="Times New Roman"/>
          <w:sz w:val="24"/>
          <w:szCs w:val="24"/>
        </w:rPr>
        <w:t xml:space="preserve"> 2 (Rritja ekonomike përmes rri</w:t>
      </w:r>
      <w:r w:rsidRPr="00E83C5E">
        <w:rPr>
          <w:rFonts w:ascii="Garamond" w:hAnsi="Garamond" w:cs="Times New Roman"/>
          <w:sz w:val="24"/>
          <w:szCs w:val="24"/>
        </w:rPr>
        <w:t>t</w:t>
      </w:r>
      <w:r w:rsidR="005B76AE" w:rsidRPr="00E83C5E">
        <w:rPr>
          <w:rFonts w:ascii="Garamond" w:hAnsi="Garamond" w:cs="Times New Roman"/>
          <w:sz w:val="24"/>
          <w:szCs w:val="24"/>
        </w:rPr>
        <w:t>j</w:t>
      </w:r>
      <w:r w:rsidRPr="00E83C5E">
        <w:rPr>
          <w:rFonts w:ascii="Garamond" w:hAnsi="Garamond" w:cs="Times New Roman"/>
          <w:sz w:val="24"/>
          <w:szCs w:val="24"/>
        </w:rPr>
        <w:t xml:space="preserve">es së konkurrueshmërisë dhe novacionit) dhe shtyllës 3 (Investimi në kapital njerëzor dhe kohezion social). </w:t>
      </w:r>
    </w:p>
    <w:p w14:paraId="574E2A35" w14:textId="589B75CB" w:rsidR="003B4AFA" w:rsidRPr="00E83C5E" w:rsidRDefault="003B4AFA" w:rsidP="003B4AFA">
      <w:pPr>
        <w:pStyle w:val="TEKSTIII"/>
        <w:rPr>
          <w:b/>
        </w:rPr>
      </w:pPr>
      <w:r w:rsidRPr="00E83C5E">
        <w:rPr>
          <w:b/>
        </w:rPr>
        <w:t xml:space="preserve">1.8 </w:t>
      </w:r>
      <w:r w:rsidR="004F08CB" w:rsidRPr="00E83C5E">
        <w:rPr>
          <w:b/>
        </w:rPr>
        <w:t>Lidhja e Strategjisë Kombëtare të Rinisë me Planin Kombëtar për Integrimin Evropian</w:t>
      </w:r>
      <w:r w:rsidR="00233C37" w:rsidRPr="00E83C5E">
        <w:rPr>
          <w:b/>
        </w:rPr>
        <w:t xml:space="preserve"> </w:t>
      </w:r>
      <w:r w:rsidR="004F08CB" w:rsidRPr="00E83C5E">
        <w:rPr>
          <w:b/>
        </w:rPr>
        <w:t>(PKIE) 2022</w:t>
      </w:r>
      <w:r w:rsidR="00F35B92" w:rsidRPr="00E83C5E">
        <w:rPr>
          <w:rFonts w:cs="Times New Roman"/>
          <w:i/>
          <w:iCs/>
        </w:rPr>
        <w:t>–</w:t>
      </w:r>
      <w:r w:rsidR="004F08CB" w:rsidRPr="00E83C5E">
        <w:rPr>
          <w:b/>
        </w:rPr>
        <w:t>24</w:t>
      </w:r>
    </w:p>
    <w:p w14:paraId="574E2A36" w14:textId="6901CBE7" w:rsidR="004F08CB" w:rsidRPr="00E83C5E" w:rsidRDefault="003B4AFA" w:rsidP="003B4AFA">
      <w:pPr>
        <w:pStyle w:val="TEKSTIII"/>
        <w:rPr>
          <w:b/>
        </w:rPr>
      </w:pPr>
      <w:r w:rsidRPr="00E83C5E">
        <w:t>1.8.1</w:t>
      </w:r>
      <w:r w:rsidRPr="00E83C5E">
        <w:rPr>
          <w:b/>
        </w:rPr>
        <w:t xml:space="preserve"> </w:t>
      </w:r>
      <w:r w:rsidR="004F08CB" w:rsidRPr="00E83C5E">
        <w:rPr>
          <w:rFonts w:cs="Times New Roman"/>
        </w:rPr>
        <w:t>Plani Kombëtar për Integrimin Evropian 2022</w:t>
      </w:r>
      <w:r w:rsidR="00F35B92" w:rsidRPr="00E83C5E">
        <w:rPr>
          <w:rFonts w:cs="Times New Roman"/>
          <w:i/>
          <w:iCs/>
        </w:rPr>
        <w:t>–</w:t>
      </w:r>
      <w:r w:rsidR="004F08CB" w:rsidRPr="00E83C5E">
        <w:rPr>
          <w:rFonts w:cs="Times New Roman"/>
        </w:rPr>
        <w:t xml:space="preserve">24 thekson se: </w:t>
      </w:r>
      <w:r w:rsidR="00F35B92" w:rsidRPr="00E83C5E">
        <w:rPr>
          <w:rFonts w:cs="Times New Roman"/>
          <w:i/>
          <w:iCs/>
        </w:rPr>
        <w:t>i</w:t>
      </w:r>
      <w:r w:rsidR="004F08CB" w:rsidRPr="00E83C5E">
        <w:rPr>
          <w:rFonts w:cs="Times New Roman"/>
          <w:i/>
          <w:iCs/>
        </w:rPr>
        <w:t xml:space="preserve">deja e hartimit të Strategjisë Kombëtare për Rininë </w:t>
      </w:r>
      <w:r w:rsidR="009F59C4" w:rsidRPr="00E83C5E">
        <w:rPr>
          <w:rFonts w:cs="Times New Roman"/>
          <w:i/>
          <w:iCs/>
        </w:rPr>
        <w:t>2022–2029</w:t>
      </w:r>
      <w:r w:rsidR="004F08CB" w:rsidRPr="00E83C5E">
        <w:rPr>
          <w:rFonts w:cs="Times New Roman"/>
          <w:i/>
          <w:iCs/>
        </w:rPr>
        <w:t xml:space="preserve"> vjen si një domosdoshmëri jo vetëm me miratimin e </w:t>
      </w:r>
      <w:r w:rsidR="00F35B92" w:rsidRPr="00E83C5E">
        <w:rPr>
          <w:rFonts w:cs="Times New Roman"/>
          <w:i/>
          <w:iCs/>
        </w:rPr>
        <w:t>l</w:t>
      </w:r>
      <w:r w:rsidR="004F08CB" w:rsidRPr="00E83C5E">
        <w:rPr>
          <w:rFonts w:cs="Times New Roman"/>
          <w:i/>
          <w:iCs/>
        </w:rPr>
        <w:t xml:space="preserve">igjit nr. 75/2019 </w:t>
      </w:r>
      <w:r w:rsidR="00D540B0" w:rsidRPr="00E83C5E">
        <w:rPr>
          <w:rFonts w:cs="Times New Roman"/>
          <w:i/>
          <w:iCs/>
        </w:rPr>
        <w:t>“</w:t>
      </w:r>
      <w:r w:rsidR="004F08CB" w:rsidRPr="00E83C5E">
        <w:rPr>
          <w:rFonts w:cs="Times New Roman"/>
          <w:i/>
          <w:iCs/>
        </w:rPr>
        <w:t>Për Rininë</w:t>
      </w:r>
      <w:r w:rsidR="00D540B0" w:rsidRPr="00E83C5E">
        <w:rPr>
          <w:rFonts w:cs="Times New Roman"/>
          <w:i/>
          <w:iCs/>
        </w:rPr>
        <w:t>”</w:t>
      </w:r>
      <w:r w:rsidR="004F08CB" w:rsidRPr="00E83C5E">
        <w:rPr>
          <w:rFonts w:cs="Times New Roman"/>
          <w:i/>
          <w:iCs/>
        </w:rPr>
        <w:t xml:space="preserve">, por edhe për faktin se në dhjetor 2020 ka përfunduar </w:t>
      </w:r>
      <w:r w:rsidR="00D540B0" w:rsidRPr="00E83C5E">
        <w:rPr>
          <w:rFonts w:cs="Times New Roman"/>
          <w:i/>
          <w:iCs/>
        </w:rPr>
        <w:t>“</w:t>
      </w:r>
      <w:r w:rsidR="004F08CB" w:rsidRPr="00E83C5E">
        <w:rPr>
          <w:rFonts w:cs="Times New Roman"/>
          <w:i/>
          <w:iCs/>
        </w:rPr>
        <w:t>Plani Kombëtar i Veprimit për Rininë 2015 – 2020</w:t>
      </w:r>
      <w:r w:rsidR="00D540B0" w:rsidRPr="00E83C5E">
        <w:rPr>
          <w:rFonts w:cs="Times New Roman"/>
          <w:i/>
          <w:iCs/>
        </w:rPr>
        <w:t>”</w:t>
      </w:r>
      <w:r w:rsidR="004F08CB" w:rsidRPr="00E83C5E">
        <w:rPr>
          <w:rFonts w:cs="Times New Roman"/>
        </w:rPr>
        <w:t>. Në këtë mënyrë ky plan e vendos si prioritet të tij rininë si edhe miratimin e kësaj strategjie brenda tremujorit të tretë të këtij viti. Më gjerësisht çështjet me rininë si grup i caktuar shoqëror me interesa dhe nevoja të veçanta trajtohen në kapitullin 26 (f.</w:t>
      </w:r>
      <w:r w:rsidR="003B0E4C" w:rsidRPr="00E83C5E">
        <w:rPr>
          <w:rFonts w:cs="Times New Roman"/>
        </w:rPr>
        <w:t xml:space="preserve"> </w:t>
      </w:r>
      <w:r w:rsidR="004F08CB" w:rsidRPr="00E83C5E">
        <w:rPr>
          <w:rFonts w:cs="Times New Roman"/>
        </w:rPr>
        <w:t xml:space="preserve">400), kapitull i cili në tërësinë e vet përfshin çështje të rëndësishme për rininë siç janë arsimi dhe kultura. </w:t>
      </w:r>
    </w:p>
    <w:p w14:paraId="574E2A37" w14:textId="604E894A" w:rsidR="004F08CB" w:rsidRPr="00E83C5E" w:rsidRDefault="004F08CB" w:rsidP="004F08CB">
      <w:pPr>
        <w:autoSpaceDE w:val="0"/>
        <w:autoSpaceDN w:val="0"/>
        <w:adjustRightInd w:val="0"/>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Çështjet që kanë të bëjnë me rininë ky plan i shikon edhe në aspektin e bashkëpunimit dhe integrimit rajonal dhe tema si </w:t>
      </w:r>
      <w:r w:rsidR="00D540B0" w:rsidRPr="00E83C5E">
        <w:rPr>
          <w:rFonts w:ascii="Garamond" w:hAnsi="Garamond" w:cs="Times New Roman"/>
          <w:sz w:val="24"/>
          <w:szCs w:val="24"/>
        </w:rPr>
        <w:t>“</w:t>
      </w:r>
      <w:r w:rsidRPr="00E83C5E">
        <w:rPr>
          <w:rFonts w:ascii="Garamond" w:hAnsi="Garamond" w:cs="Times New Roman"/>
          <w:sz w:val="24"/>
          <w:szCs w:val="24"/>
        </w:rPr>
        <w:t xml:space="preserve">Investimi te </w:t>
      </w:r>
      <w:r w:rsidR="00B62513" w:rsidRPr="00E83C5E">
        <w:rPr>
          <w:rFonts w:ascii="Garamond" w:hAnsi="Garamond" w:cs="Times New Roman"/>
          <w:sz w:val="24"/>
          <w:szCs w:val="24"/>
        </w:rPr>
        <w:t>rinia në të ardhmen evropiane</w:t>
      </w:r>
      <w:r w:rsidR="00D540B0" w:rsidRPr="00E83C5E">
        <w:rPr>
          <w:rFonts w:ascii="Garamond" w:hAnsi="Garamond" w:cs="Times New Roman"/>
          <w:sz w:val="24"/>
          <w:szCs w:val="24"/>
        </w:rPr>
        <w:t>”</w:t>
      </w:r>
      <w:r w:rsidRPr="00E83C5E">
        <w:rPr>
          <w:rFonts w:ascii="Garamond" w:hAnsi="Garamond" w:cs="Times New Roman"/>
          <w:sz w:val="24"/>
          <w:szCs w:val="24"/>
        </w:rPr>
        <w:t xml:space="preserve"> kanë marrë prioritet në proceset e asociim</w:t>
      </w:r>
      <w:r w:rsidR="00061D23" w:rsidRPr="00E83C5E">
        <w:rPr>
          <w:rFonts w:ascii="Garamond" w:hAnsi="Garamond" w:cs="Times New Roman"/>
          <w:sz w:val="24"/>
          <w:szCs w:val="24"/>
        </w:rPr>
        <w:t>-</w:t>
      </w:r>
      <w:r w:rsidRPr="00E83C5E">
        <w:rPr>
          <w:rFonts w:ascii="Garamond" w:hAnsi="Garamond" w:cs="Times New Roman"/>
          <w:sz w:val="24"/>
          <w:szCs w:val="24"/>
        </w:rPr>
        <w:t xml:space="preserve">stabilizimit dhe integrimit me Bashkimin Evropian. Në bazë të </w:t>
      </w:r>
      <w:r w:rsidR="00B62513" w:rsidRPr="00E83C5E">
        <w:rPr>
          <w:rFonts w:ascii="Garamond" w:hAnsi="Garamond" w:cs="Times New Roman"/>
          <w:sz w:val="24"/>
          <w:szCs w:val="24"/>
        </w:rPr>
        <w:t>v</w:t>
      </w:r>
      <w:r w:rsidRPr="00E83C5E">
        <w:rPr>
          <w:rFonts w:ascii="Garamond" w:hAnsi="Garamond" w:cs="Times New Roman"/>
          <w:sz w:val="24"/>
          <w:szCs w:val="24"/>
        </w:rPr>
        <w:t xml:space="preserve">endimit të Këshillit të Ministrave nr. 524, datë 22.9.2021, </w:t>
      </w:r>
      <w:r w:rsidR="00D540B0" w:rsidRPr="00E83C5E">
        <w:rPr>
          <w:rFonts w:ascii="Garamond" w:hAnsi="Garamond" w:cs="Times New Roman"/>
          <w:sz w:val="24"/>
          <w:szCs w:val="24"/>
        </w:rPr>
        <w:t>“</w:t>
      </w:r>
      <w:r w:rsidRPr="00E83C5E">
        <w:rPr>
          <w:rFonts w:ascii="Garamond" w:hAnsi="Garamond" w:cs="Times New Roman"/>
          <w:sz w:val="24"/>
          <w:szCs w:val="24"/>
        </w:rPr>
        <w:t>Rinia</w:t>
      </w:r>
      <w:r w:rsidR="00D540B0" w:rsidRPr="00E83C5E">
        <w:rPr>
          <w:rFonts w:ascii="Garamond" w:hAnsi="Garamond" w:cs="Times New Roman"/>
          <w:sz w:val="24"/>
          <w:szCs w:val="24"/>
        </w:rPr>
        <w:t>”</w:t>
      </w:r>
      <w:r w:rsidRPr="00E83C5E">
        <w:rPr>
          <w:rFonts w:ascii="Garamond" w:hAnsi="Garamond" w:cs="Times New Roman"/>
          <w:sz w:val="24"/>
          <w:szCs w:val="24"/>
        </w:rPr>
        <w:t xml:space="preserve"> tashmë është fushë e përgjegjësisë së </w:t>
      </w:r>
      <w:r w:rsidR="00B62513" w:rsidRPr="00E83C5E">
        <w:rPr>
          <w:rFonts w:ascii="Garamond" w:hAnsi="Garamond" w:cs="Times New Roman"/>
          <w:sz w:val="24"/>
          <w:szCs w:val="24"/>
        </w:rPr>
        <w:t>m</w:t>
      </w:r>
      <w:r w:rsidRPr="00E83C5E">
        <w:rPr>
          <w:rFonts w:ascii="Garamond" w:hAnsi="Garamond" w:cs="Times New Roman"/>
          <w:sz w:val="24"/>
          <w:szCs w:val="24"/>
        </w:rPr>
        <w:t xml:space="preserve">inistrit të Shtetit për Rininë dhe Fëmijët, për pasojë dhe puna për hartimin e Strategjisë Kombëtare për Rininë ka kaluar në këtë ministri. </w:t>
      </w:r>
    </w:p>
    <w:p w14:paraId="574E2A38" w14:textId="77777777" w:rsidR="004F08CB" w:rsidRPr="00E83C5E" w:rsidRDefault="004F08CB" w:rsidP="004F08CB">
      <w:pPr>
        <w:autoSpaceDE w:val="0"/>
        <w:autoSpaceDN w:val="0"/>
        <w:adjustRightInd w:val="0"/>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Përveç trajtimit të çështjeve ikonike të rinisë që lidhen me përmirësimin e cilësisë në arsim, mundësitë praktike për të vënë në zbatim dijet e marra, këshillimin për karrierë dhe argëtimin larg veseve dhe praktikave jo të ligjshme, ky plan ka prerje me strategjinë edhe në këto fusha të tjera të veprimit të tij. </w:t>
      </w:r>
    </w:p>
    <w:p w14:paraId="574E2A39" w14:textId="761B43FF" w:rsidR="004F08CB" w:rsidRPr="00E83C5E" w:rsidRDefault="003B4AFA" w:rsidP="003B4AFA">
      <w:pPr>
        <w:pStyle w:val="TEKSTIII"/>
      </w:pPr>
      <w:r w:rsidRPr="00E83C5E">
        <w:t>-</w:t>
      </w:r>
      <w:r w:rsidR="00C011B4" w:rsidRPr="00E83C5E">
        <w:t xml:space="preserve"> </w:t>
      </w:r>
      <w:r w:rsidR="004F08CB" w:rsidRPr="00E83C5E">
        <w:t xml:space="preserve">Programi Kombëtar i Praktikave të Punës. </w:t>
      </w:r>
    </w:p>
    <w:p w14:paraId="574E2A3A" w14:textId="41CFBF81" w:rsidR="004F08CB" w:rsidRPr="00E83C5E" w:rsidRDefault="003B4AFA" w:rsidP="003B4AFA">
      <w:pPr>
        <w:pStyle w:val="TEKSTIII"/>
      </w:pPr>
      <w:r w:rsidRPr="00E83C5E">
        <w:t>-</w:t>
      </w:r>
      <w:r w:rsidR="00C011B4" w:rsidRPr="00E83C5E">
        <w:t xml:space="preserve"> </w:t>
      </w:r>
      <w:r w:rsidR="004F08CB" w:rsidRPr="00E83C5E">
        <w:t xml:space="preserve">Programin kombëtar </w:t>
      </w:r>
      <w:r w:rsidR="00D540B0" w:rsidRPr="00E83C5E">
        <w:t>“</w:t>
      </w:r>
      <w:r w:rsidR="004F08CB" w:rsidRPr="00E83C5E">
        <w:t>Edukimi për artet dhe zejet në institucionet arsimore parauniversitare</w:t>
      </w:r>
      <w:r w:rsidR="00D540B0" w:rsidRPr="00E83C5E">
        <w:t>”</w:t>
      </w:r>
      <w:r w:rsidR="004F08CB" w:rsidRPr="00E83C5E">
        <w:t>.</w:t>
      </w:r>
    </w:p>
    <w:p w14:paraId="574E2A3B" w14:textId="55009590" w:rsidR="004F08CB" w:rsidRPr="00E83C5E" w:rsidRDefault="003B4AFA" w:rsidP="003B4AFA">
      <w:pPr>
        <w:pStyle w:val="TEKSTIII"/>
      </w:pPr>
      <w:r w:rsidRPr="00E83C5E">
        <w:t xml:space="preserve">1.8.2 </w:t>
      </w:r>
      <w:r w:rsidR="004F08CB" w:rsidRPr="00E83C5E">
        <w:t xml:space="preserve">Në kuadër të zhvillimeve në </w:t>
      </w:r>
      <w:r w:rsidR="00061D23" w:rsidRPr="00E83C5E">
        <w:t>sektorin</w:t>
      </w:r>
      <w:r w:rsidR="004F08CB" w:rsidRPr="00E83C5E">
        <w:t xml:space="preserve"> e drejtësisë vlen të theksohet lidhja me zbatimin e dokumentit strategjik </w:t>
      </w:r>
      <w:r w:rsidR="00D540B0" w:rsidRPr="00E83C5E">
        <w:t>“</w:t>
      </w:r>
      <w:r w:rsidR="004F08CB" w:rsidRPr="00E83C5E">
        <w:t>Strategjia e Drejtësisë për të Mitur</w:t>
      </w:r>
      <w:r w:rsidR="00D540B0" w:rsidRPr="00E83C5E">
        <w:t>”</w:t>
      </w:r>
      <w:r w:rsidR="004F08CB" w:rsidRPr="00E83C5E">
        <w:t xml:space="preserve">, i shoqëruar me Planin e Veprimit për periudhën afatgjatë 2018–2021, miratuar me VKM </w:t>
      </w:r>
      <w:r w:rsidR="00F35B92" w:rsidRPr="00E83C5E">
        <w:t>n</w:t>
      </w:r>
      <w:r w:rsidR="004F08CB" w:rsidRPr="00E83C5E">
        <w:t xml:space="preserve">r. 541, datë 19.9.2018. Risi e reformës së drejtësisë penale për të mitur janë dhe institucionet e reja, si Qendra e Parandalimit të Krimeve të të Miturve dhe të Rinjve (QPKMR), si dhe Instituti Multidisiplinor i të Miturve. </w:t>
      </w:r>
    </w:p>
    <w:p w14:paraId="574E2A3C" w14:textId="0C33F0CD" w:rsidR="004F08CB" w:rsidRPr="00E83C5E" w:rsidRDefault="003B4AFA" w:rsidP="003B4AFA">
      <w:pPr>
        <w:pStyle w:val="TEKSTIII"/>
        <w:rPr>
          <w:color w:val="000000"/>
        </w:rPr>
      </w:pPr>
      <w:r w:rsidRPr="00E83C5E">
        <w:rPr>
          <w:color w:val="000000"/>
        </w:rPr>
        <w:t xml:space="preserve">1.8.3 </w:t>
      </w:r>
      <w:r w:rsidR="004F08CB" w:rsidRPr="00E83C5E">
        <w:rPr>
          <w:color w:val="000000"/>
        </w:rPr>
        <w:t xml:space="preserve">Në kuadër të zhvillimeve strategjike në lidhje me shëndetin mendor, SKR-ja lidhet me </w:t>
      </w:r>
      <w:r w:rsidR="004F08CB" w:rsidRPr="00E83C5E">
        <w:t>Planin e Veprimit për Zhvillimin e Shërbimeve të Shëndetit Mendor në Shqipëri 2013–2022.</w:t>
      </w:r>
    </w:p>
    <w:p w14:paraId="574E2A3D" w14:textId="1A54C514" w:rsidR="004F08CB" w:rsidRPr="00E83C5E" w:rsidRDefault="003B4AFA" w:rsidP="003B4AFA">
      <w:pPr>
        <w:pStyle w:val="TEKSTIII"/>
        <w:rPr>
          <w:color w:val="000000"/>
        </w:rPr>
      </w:pPr>
      <w:r w:rsidRPr="00E83C5E">
        <w:t xml:space="preserve">1.8.4 </w:t>
      </w:r>
      <w:r w:rsidR="004F08CB" w:rsidRPr="00E83C5E">
        <w:t xml:space="preserve">Në lidhje me çështjet e kujdesit shëndetësor parësor procesi i ofrimit të shërbimeve socio-shëndetësore pranë qendrave </w:t>
      </w:r>
      <w:r w:rsidR="005C6983" w:rsidRPr="00E83C5E">
        <w:t>shëndetësore</w:t>
      </w:r>
      <w:r w:rsidR="004F08CB" w:rsidRPr="00E83C5E">
        <w:t xml:space="preserve"> ofron mundësinë për shërbime miqësore shëndetësore kundrejt të rejave dhe të rinjve. Sipas dokumentit strategjik janë planifikuar që brenda vitit 2024 të vihen në funksionim 10 qendra model të mjekësisë familjare, me shërbime të integruara socio</w:t>
      </w:r>
      <w:r w:rsidR="00F35B92" w:rsidRPr="00E83C5E">
        <w:t>-</w:t>
      </w:r>
      <w:r w:rsidR="004F08CB" w:rsidRPr="00E83C5E">
        <w:t xml:space="preserve">shëndetësore, me fokus kryesor problemet e </w:t>
      </w:r>
      <w:r w:rsidR="004F08CB" w:rsidRPr="00E83C5E">
        <w:rPr>
          <w:color w:val="000000"/>
        </w:rPr>
        <w:t xml:space="preserve">shëndetit mendor, por edhe shërbimet për fëmijët dhe të rinjtë dhe kujdesin paliativ. </w:t>
      </w:r>
    </w:p>
    <w:p w14:paraId="574E2A3E" w14:textId="409B4BC9" w:rsidR="004F08CB" w:rsidRPr="00E83C5E" w:rsidRDefault="003B4AFA" w:rsidP="003B4AFA">
      <w:pPr>
        <w:pStyle w:val="TEKSTIII"/>
        <w:rPr>
          <w:color w:val="000000"/>
        </w:rPr>
      </w:pPr>
      <w:r w:rsidRPr="00E83C5E">
        <w:t xml:space="preserve">1.8.5 </w:t>
      </w:r>
      <w:r w:rsidR="004F08CB" w:rsidRPr="00E83C5E">
        <w:t xml:space="preserve">Strategjia Kombëtare e Rinisë do të ketë pikëprerje edhe me dokumentin e ri të Strategjisë Kombëtare Shëndetësore </w:t>
      </w:r>
      <w:r w:rsidR="00053B5D" w:rsidRPr="00E83C5E">
        <w:t>2022–2030</w:t>
      </w:r>
      <w:r w:rsidR="004F08CB" w:rsidRPr="00E83C5E">
        <w:t xml:space="preserve">. </w:t>
      </w:r>
    </w:p>
    <w:p w14:paraId="574E2A3F" w14:textId="260C6F9A" w:rsidR="004F08CB" w:rsidRPr="00E83C5E" w:rsidRDefault="003B4AFA" w:rsidP="003B4AFA">
      <w:pPr>
        <w:pStyle w:val="TEKSTIII"/>
      </w:pPr>
      <w:r w:rsidRPr="00E83C5E">
        <w:t xml:space="preserve">1.8.6 </w:t>
      </w:r>
      <w:r w:rsidR="004F08CB" w:rsidRPr="00E83C5E">
        <w:t xml:space="preserve">Në lidhje me </w:t>
      </w:r>
      <w:r w:rsidR="004F08CB" w:rsidRPr="00E83C5E">
        <w:rPr>
          <w:b/>
          <w:bCs/>
        </w:rPr>
        <w:t xml:space="preserve">politikat e punësimit rinor </w:t>
      </w:r>
      <w:r w:rsidR="004F08CB" w:rsidRPr="00E83C5E">
        <w:t xml:space="preserve">Strategjia Kombëtare e Rinisë lidhet me atë për Punësimi dhe Aftësi (NESS) 2019–2022 që ka si qëllim kryesor të identifikojë dhe hartojë </w:t>
      </w:r>
      <w:r w:rsidR="004F08CB" w:rsidRPr="00E83C5E">
        <w:lastRenderedPageBreak/>
        <w:t>politikat e duhura për punësimin dhe formimin profesional të fuqisë punëtore, në mënyrë që të krijojë vende pune dhe mundësi cilësore për punësim dhe aftësi përgjatë gjithë ciklit të jetës. Plani i veprimit përqendrohet në rritjen e mundësive për punë të denjë përmes politikave efikase të tregut të punës, sigurimit të arsimit dhe aftësimit cilësor të të rinjve dhe të rriturve, nxitjen e përfshirjes dhe kohezionit social, dhe forcimin e sistemit të qeverisjes së tregut të punës dhe kualifikimeve. 40 zyra punësimi janë organizuar dhe operojnë me modelin e ri të shërbimeve të punësimit në kuadër të Agjencisë Kombëtare për Punësim dhe Aftësim. Strategjia rishikoi indikatorët deri në vitin 2022, sipas një baze të dhënash, në bashkëpunim të ngushtë me INSTAT</w:t>
      </w:r>
      <w:r w:rsidR="003A012B" w:rsidRPr="00E83C5E">
        <w:t>-in</w:t>
      </w:r>
      <w:r w:rsidR="004F08CB" w:rsidRPr="00E83C5E">
        <w:t>. Ka edhe një sërë programesh të reja të miratuara për nxitjen e punësimit</w:t>
      </w:r>
      <w:r w:rsidR="00265758" w:rsidRPr="00E83C5E">
        <w:t>,</w:t>
      </w:r>
      <w:r w:rsidR="004F08CB" w:rsidRPr="00E83C5E">
        <w:t xml:space="preserve"> si: </w:t>
      </w:r>
    </w:p>
    <w:p w14:paraId="574E2A40" w14:textId="622890E6" w:rsidR="004F08CB" w:rsidRPr="00E83C5E" w:rsidRDefault="003B4AFA" w:rsidP="003B4AFA">
      <w:pPr>
        <w:pStyle w:val="TEKSTIII"/>
      </w:pPr>
      <w:r w:rsidRPr="00E83C5E">
        <w:t>-</w:t>
      </w:r>
      <w:r w:rsidR="00C011B4" w:rsidRPr="00E83C5E">
        <w:t xml:space="preserve"> </w:t>
      </w:r>
      <w:r w:rsidR="00265758" w:rsidRPr="00E83C5E">
        <w:t>p</w:t>
      </w:r>
      <w:r w:rsidR="004F08CB" w:rsidRPr="00E83C5E">
        <w:t>unësim i subvencionuar (ku janë përfshirë punëkërkues të papunë nga grupet e veçanta si të rinjtë, gratë me fëmijë në ngarkim, PAK, romet emigrante etj.</w:t>
      </w:r>
      <w:r w:rsidR="00265758" w:rsidRPr="00E83C5E">
        <w:t>;</w:t>
      </w:r>
      <w:r w:rsidR="004F08CB" w:rsidRPr="00E83C5E">
        <w:t xml:space="preserve"> </w:t>
      </w:r>
    </w:p>
    <w:p w14:paraId="574E2A41" w14:textId="6ED92F01" w:rsidR="004F08CB" w:rsidRPr="00E83C5E" w:rsidRDefault="003B4AFA" w:rsidP="003B4AFA">
      <w:pPr>
        <w:pStyle w:val="TEKSTIII"/>
      </w:pPr>
      <w:r w:rsidRPr="00E83C5E">
        <w:t>-</w:t>
      </w:r>
      <w:r w:rsidR="00C011B4" w:rsidRPr="00E83C5E">
        <w:t xml:space="preserve"> </w:t>
      </w:r>
      <w:r w:rsidR="004F08CB" w:rsidRPr="00E83C5E">
        <w:t>trajnimit nëpërmjet punës praktika profesionale</w:t>
      </w:r>
      <w:r w:rsidR="00DD732A" w:rsidRPr="00E83C5E">
        <w:t>;</w:t>
      </w:r>
      <w:r w:rsidR="004F08CB" w:rsidRPr="00E83C5E">
        <w:t xml:space="preserve"> </w:t>
      </w:r>
    </w:p>
    <w:p w14:paraId="574E2A42" w14:textId="1CED2C75" w:rsidR="004F08CB" w:rsidRPr="00E83C5E" w:rsidRDefault="003B4AFA" w:rsidP="003B4AFA">
      <w:pPr>
        <w:pStyle w:val="TEKSTIII"/>
      </w:pPr>
      <w:r w:rsidRPr="00E83C5E">
        <w:t>-</w:t>
      </w:r>
      <w:r w:rsidR="00C011B4" w:rsidRPr="00E83C5E">
        <w:t xml:space="preserve"> </w:t>
      </w:r>
      <w:r w:rsidR="004F08CB" w:rsidRPr="00E83C5E">
        <w:t>pune publike në komunitet</w:t>
      </w:r>
      <w:r w:rsidR="00DD732A" w:rsidRPr="00E83C5E">
        <w:t>;</w:t>
      </w:r>
      <w:r w:rsidR="004F08CB" w:rsidRPr="00E83C5E">
        <w:t xml:space="preserve"> </w:t>
      </w:r>
    </w:p>
    <w:p w14:paraId="574E2A43" w14:textId="51CF37FB" w:rsidR="004F08CB" w:rsidRPr="00E83C5E" w:rsidRDefault="003B4AFA" w:rsidP="003B4AFA">
      <w:pPr>
        <w:pStyle w:val="TEKSTIII"/>
      </w:pPr>
      <w:r w:rsidRPr="00E83C5E">
        <w:t>-</w:t>
      </w:r>
      <w:r w:rsidR="00C011B4" w:rsidRPr="00E83C5E">
        <w:t xml:space="preserve"> </w:t>
      </w:r>
      <w:r w:rsidR="004F08CB" w:rsidRPr="00E83C5E">
        <w:t>vetëpunësim</w:t>
      </w:r>
      <w:r w:rsidR="00DD732A" w:rsidRPr="00E83C5E">
        <w:t>;</w:t>
      </w:r>
      <w:r w:rsidR="004F08CB" w:rsidRPr="00E83C5E">
        <w:t xml:space="preserve"> </w:t>
      </w:r>
    </w:p>
    <w:p w14:paraId="574E2A44" w14:textId="530E838A" w:rsidR="004F08CB" w:rsidRPr="00E83C5E" w:rsidRDefault="003B4AFA" w:rsidP="003B4AFA">
      <w:pPr>
        <w:pStyle w:val="TEKSTIII"/>
      </w:pPr>
      <w:r w:rsidRPr="00E83C5E">
        <w:t>-</w:t>
      </w:r>
      <w:r w:rsidR="00C011B4" w:rsidRPr="00E83C5E">
        <w:t xml:space="preserve"> </w:t>
      </w:r>
      <w:r w:rsidR="004F08CB" w:rsidRPr="00E83C5E">
        <w:t>programet COVID-19</w:t>
      </w:r>
      <w:r w:rsidR="00DD732A" w:rsidRPr="00E83C5E">
        <w:t>.</w:t>
      </w:r>
      <w:r w:rsidR="004F08CB" w:rsidRPr="00E83C5E">
        <w:t xml:space="preserve"> </w:t>
      </w:r>
    </w:p>
    <w:p w14:paraId="574E2A45" w14:textId="1EF90A90" w:rsidR="004F08CB" w:rsidRPr="00E83C5E" w:rsidRDefault="004F08CB" w:rsidP="004F08CB">
      <w:pPr>
        <w:pStyle w:val="ListParagraph"/>
        <w:autoSpaceDE w:val="0"/>
        <w:autoSpaceDN w:val="0"/>
        <w:adjustRightInd w:val="0"/>
        <w:spacing w:line="240" w:lineRule="auto"/>
        <w:ind w:left="0" w:firstLine="284"/>
        <w:rPr>
          <w:rFonts w:ascii="Garamond" w:hAnsi="Garamond" w:cs="Times New Roman"/>
          <w:szCs w:val="24"/>
          <w:lang w:val="sq-AL"/>
        </w:rPr>
      </w:pPr>
      <w:r w:rsidRPr="00E83C5E">
        <w:rPr>
          <w:rFonts w:ascii="Garamond" w:hAnsi="Garamond" w:cs="Times New Roman"/>
          <w:szCs w:val="24"/>
          <w:lang w:val="sq-AL"/>
        </w:rPr>
        <w:t xml:space="preserve">Strategjia Kombëtare e Rinisë pritet të jetë një dokument i </w:t>
      </w:r>
      <w:r w:rsidR="00DD732A" w:rsidRPr="00E83C5E">
        <w:rPr>
          <w:rFonts w:ascii="Garamond" w:hAnsi="Garamond" w:cs="Times New Roman"/>
          <w:szCs w:val="24"/>
          <w:lang w:val="sq-AL"/>
        </w:rPr>
        <w:t>drejtpeshuar</w:t>
      </w:r>
      <w:r w:rsidRPr="00E83C5E">
        <w:rPr>
          <w:rFonts w:ascii="Garamond" w:hAnsi="Garamond" w:cs="Times New Roman"/>
          <w:szCs w:val="24"/>
          <w:lang w:val="sq-AL"/>
        </w:rPr>
        <w:t xml:space="preserve"> nga pikëpamja gjinore. Në raste kur pabarazia gjinore është e dukshme me masat që parashikon fuqizon rolin e vajzave dhe grave të reja. Në këtë aspekt, kjo strategji lidhet me pjesën e planit kombëtar që trajton </w:t>
      </w:r>
      <w:r w:rsidR="00DD732A" w:rsidRPr="00E83C5E">
        <w:rPr>
          <w:rFonts w:ascii="Garamond" w:hAnsi="Garamond" w:cs="Times New Roman"/>
          <w:szCs w:val="24"/>
          <w:lang w:val="sq-AL"/>
        </w:rPr>
        <w:t>çështjet</w:t>
      </w:r>
      <w:r w:rsidRPr="00E83C5E">
        <w:rPr>
          <w:rFonts w:ascii="Garamond" w:hAnsi="Garamond" w:cs="Times New Roman"/>
          <w:szCs w:val="24"/>
          <w:lang w:val="sq-AL"/>
        </w:rPr>
        <w:t xml:space="preserve"> gjinore sipas Strategjisë Kombëtare për Barazinë Gjinore (SKBGJ) 2021–2030, miratuar me VKM </w:t>
      </w:r>
      <w:r w:rsidR="00DD732A" w:rsidRPr="00E83C5E">
        <w:rPr>
          <w:rFonts w:ascii="Garamond" w:hAnsi="Garamond" w:cs="Times New Roman"/>
          <w:szCs w:val="24"/>
          <w:lang w:val="sq-AL"/>
        </w:rPr>
        <w:t>nr. 400, datë 30.</w:t>
      </w:r>
      <w:r w:rsidRPr="00E83C5E">
        <w:rPr>
          <w:rFonts w:ascii="Garamond" w:hAnsi="Garamond" w:cs="Times New Roman"/>
          <w:szCs w:val="24"/>
          <w:lang w:val="sq-AL"/>
        </w:rPr>
        <w:t xml:space="preserve">6.2021. Masat dhe veprimet e parashikuara në këtë Strategji ndërthuren me masat dhe veprimet e parashikuara në Strategjinë e Barazisë Gjinore 2020–2025 të Bashkimit Evropian dhe në lidhje me rininë synon: </w:t>
      </w:r>
    </w:p>
    <w:p w14:paraId="574E2A46" w14:textId="5316ECDC" w:rsidR="004F08CB" w:rsidRPr="00E83C5E" w:rsidRDefault="00125B03" w:rsidP="00125B03">
      <w:pPr>
        <w:pStyle w:val="TEKSTIII"/>
      </w:pPr>
      <w:r w:rsidRPr="00E83C5E">
        <w:t>-</w:t>
      </w:r>
      <w:r w:rsidR="004F08CB" w:rsidRPr="00E83C5E">
        <w:t xml:space="preserve">Përmbushja e të drejtave ekonomike dhe sociale për gratë, të rejat, vajzat dhe burrat, të rinjtë, djemtë në shoqëri dhe fuqizimi i grave, të rejave dhe vajzave nga të gjithë grupet (nga zonat rurale, minoritetet etnike, personat me aftësi ndryshe, LGBTI+, të moshuara, nëna të vetme, të mbijetuara të dhunës/trafikimit, vajza nëna, migrante dhe azilkërkuese etj.), duke synuar një rritje dhe qëndrueshmëri të ekonomisë mjedisore (së gjelbër), si dhe pjesëmarrjen e tyre të barabartë në digjitalizim. </w:t>
      </w:r>
    </w:p>
    <w:p w14:paraId="574E2A47" w14:textId="318996C1" w:rsidR="004F08CB" w:rsidRPr="00E83C5E" w:rsidRDefault="00125B03" w:rsidP="00125B03">
      <w:pPr>
        <w:pStyle w:val="TEKSTIII"/>
      </w:pPr>
      <w:r w:rsidRPr="00E83C5E">
        <w:t>-</w:t>
      </w:r>
      <w:r w:rsidR="00C011B4" w:rsidRPr="00E83C5E">
        <w:t xml:space="preserve"> </w:t>
      </w:r>
      <w:r w:rsidR="004F08CB" w:rsidRPr="00E83C5E">
        <w:t xml:space="preserve">Përmbushja e të drejtave të grave dhe burrave, të rejave dhe të rinjve, vajzave dhe djemve nga të gjitha grupet (zonat rurale, minoritetet etnike, personat me aftësi ndryshe, LGBTI+, të moshuara, nëna të vetme, gra dhe vajza të mbijetuara të dhunës/trafikimit, vajza nëna, migrante dhe azilkërkuese etj.) për pjesëmarrje, përfaqësim dhe udhëheqje të barabartë në vendimmarrjen politike e publike në nivel vendor. </w:t>
      </w:r>
    </w:p>
    <w:p w14:paraId="574E2A48" w14:textId="066933FF" w:rsidR="004F08CB" w:rsidRPr="00E83C5E" w:rsidRDefault="00125B03" w:rsidP="00125B03">
      <w:pPr>
        <w:pStyle w:val="TEKSTIII"/>
      </w:pPr>
      <w:r w:rsidRPr="00E83C5E">
        <w:t>-</w:t>
      </w:r>
      <w:r w:rsidR="00DD732A" w:rsidRPr="00E83C5E">
        <w:t xml:space="preserve"> </w:t>
      </w:r>
      <w:r w:rsidR="004F08CB" w:rsidRPr="00E83C5E">
        <w:t>Zvogëlimi i të gjitha formave të praktikave të dëmshme, dhunës me bazë gjinore dhe dhunës në familje.</w:t>
      </w:r>
    </w:p>
    <w:p w14:paraId="574E2A49" w14:textId="0CFC74DD" w:rsidR="004F08CB" w:rsidRPr="00E83C5E" w:rsidRDefault="00125B03" w:rsidP="00125B03">
      <w:pPr>
        <w:pStyle w:val="TEKSTIII"/>
      </w:pPr>
      <w:r w:rsidRPr="00E83C5E">
        <w:t>-</w:t>
      </w:r>
      <w:r w:rsidR="00DD732A" w:rsidRPr="00E83C5E">
        <w:t xml:space="preserve"> </w:t>
      </w:r>
      <w:r w:rsidR="004F08CB" w:rsidRPr="00E83C5E">
        <w:t xml:space="preserve">Aplikimi i integrimit gjinor si mjeti kryesor për arritjen e barazisë dhe drejtësisë gjinore në shoqëri. </w:t>
      </w:r>
    </w:p>
    <w:p w14:paraId="574E2A4A" w14:textId="77777777" w:rsidR="004F08CB" w:rsidRPr="00E83C5E" w:rsidRDefault="00125B03" w:rsidP="00B51C77">
      <w:pPr>
        <w:pStyle w:val="TEKSTIII"/>
        <w:rPr>
          <w:rFonts w:cs="Times New Roman"/>
          <w:b/>
          <w:bCs/>
        </w:rPr>
      </w:pPr>
      <w:r w:rsidRPr="00E83C5E">
        <w:rPr>
          <w:rFonts w:cs="Times New Roman"/>
          <w:b/>
          <w:bCs/>
        </w:rPr>
        <w:t xml:space="preserve">1.9 </w:t>
      </w:r>
      <w:r w:rsidR="004F08CB" w:rsidRPr="00E83C5E">
        <w:rPr>
          <w:rFonts w:cs="Times New Roman"/>
          <w:b/>
          <w:bCs/>
        </w:rPr>
        <w:t>Përzgjedhja e politikës për hartimin e Strategjisë Kombëtare të Rinisë</w:t>
      </w:r>
    </w:p>
    <w:p w14:paraId="574E2A4B" w14:textId="77777777" w:rsidR="004F08CB" w:rsidRPr="00E83C5E" w:rsidRDefault="004F08CB" w:rsidP="00B51C77">
      <w:pPr>
        <w:pStyle w:val="Heading3"/>
        <w:spacing w:before="0" w:line="240" w:lineRule="auto"/>
        <w:ind w:firstLine="284"/>
        <w:jc w:val="both"/>
        <w:rPr>
          <w:rFonts w:ascii="Garamond" w:hAnsi="Garamond" w:cs="Times New Roman"/>
          <w:b/>
          <w:bCs/>
          <w:color w:val="auto"/>
        </w:rPr>
      </w:pPr>
      <w:r w:rsidRPr="00E83C5E">
        <w:rPr>
          <w:rFonts w:ascii="Garamond" w:hAnsi="Garamond" w:cs="Times New Roman"/>
          <w:b/>
          <w:bCs/>
          <w:color w:val="auto"/>
        </w:rPr>
        <w:t>Metodologjia e përcaktimit të masave prioritare</w:t>
      </w:r>
    </w:p>
    <w:p w14:paraId="574E2A4C" w14:textId="77777777" w:rsidR="004F08CB" w:rsidRPr="00E83C5E" w:rsidRDefault="004F08CB" w:rsidP="00B51C77">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Për përcaktimin e masave prioritare në këtë strategji janë përdorur mekanizma që kanë lidhje me të rinjtë dhe nevojat e tyre prioritare. Në përcaktimin e masave janë marrë parasysh kategoritë e mëposhtme: </w:t>
      </w:r>
    </w:p>
    <w:p w14:paraId="574E2A4D" w14:textId="67872177" w:rsidR="004F08CB" w:rsidRPr="00E83C5E" w:rsidRDefault="004F08CB" w:rsidP="00B51C77">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Mosha e të rinjve. Nga pikëpamja moshore masat e formuluara janë parë në lidhje me dhe përputhshmërinë me tri grupe moshore</w:t>
      </w:r>
      <w:r w:rsidR="000D1E0F">
        <w:rPr>
          <w:rFonts w:ascii="Garamond" w:hAnsi="Garamond" w:cs="Times New Roman"/>
          <w:sz w:val="24"/>
          <w:szCs w:val="24"/>
        </w:rPr>
        <w:t>,</w:t>
      </w:r>
      <w:r w:rsidRPr="00E83C5E">
        <w:rPr>
          <w:rFonts w:ascii="Garamond" w:hAnsi="Garamond" w:cs="Times New Roman"/>
          <w:sz w:val="24"/>
          <w:szCs w:val="24"/>
        </w:rPr>
        <w:t xml:space="preserve"> të cilat përputhen edhe me ciklet e zhvillimit edukativo profesional si vijon:</w:t>
      </w:r>
    </w:p>
    <w:p w14:paraId="574E2A4E" w14:textId="1DB98344" w:rsidR="004F08CB" w:rsidRPr="00E83C5E" w:rsidRDefault="00125B03" w:rsidP="00B51C77">
      <w:pPr>
        <w:pStyle w:val="TEKSTIII"/>
      </w:pPr>
      <w:r w:rsidRPr="00E83C5E">
        <w:t>-</w:t>
      </w:r>
      <w:r w:rsidR="00C011B4" w:rsidRPr="00E83C5E">
        <w:t xml:space="preserve"> </w:t>
      </w:r>
      <w:r w:rsidR="004F08CB" w:rsidRPr="00E83C5E">
        <w:t>15–18 vjeç: arsimi i mesëm i lartë ose arsim profesional</w:t>
      </w:r>
      <w:r w:rsidR="00480179" w:rsidRPr="00E83C5E">
        <w:t>;</w:t>
      </w:r>
    </w:p>
    <w:p w14:paraId="574E2A4F" w14:textId="70ED8537" w:rsidR="004F08CB" w:rsidRPr="00E83C5E" w:rsidRDefault="00125B03" w:rsidP="00B51C77">
      <w:pPr>
        <w:pStyle w:val="TEKSTIII"/>
      </w:pPr>
      <w:r w:rsidRPr="00E83C5E">
        <w:t>-</w:t>
      </w:r>
      <w:r w:rsidR="00C011B4" w:rsidRPr="00E83C5E">
        <w:t xml:space="preserve"> </w:t>
      </w:r>
      <w:r w:rsidR="004F08CB" w:rsidRPr="00E83C5E">
        <w:t>19</w:t>
      </w:r>
      <w:r w:rsidR="00480179" w:rsidRPr="00E83C5E">
        <w:t>–</w:t>
      </w:r>
      <w:r w:rsidR="004F08CB" w:rsidRPr="00E83C5E">
        <w:t>24</w:t>
      </w:r>
      <w:r w:rsidR="00480179" w:rsidRPr="00E83C5E">
        <w:t xml:space="preserve"> </w:t>
      </w:r>
      <w:r w:rsidR="004F08CB" w:rsidRPr="00E83C5E">
        <w:t>vjeç: arsimi i lartë, zhvillim i mëtejshëm profesional ose punësim</w:t>
      </w:r>
      <w:r w:rsidR="00480179" w:rsidRPr="00E83C5E">
        <w:t>;</w:t>
      </w:r>
    </w:p>
    <w:p w14:paraId="574E2A50" w14:textId="631C940D" w:rsidR="004F08CB" w:rsidRPr="00E83C5E" w:rsidRDefault="00125B03" w:rsidP="00B51C77">
      <w:pPr>
        <w:pStyle w:val="TEKSTIII"/>
      </w:pPr>
      <w:r w:rsidRPr="00E83C5E">
        <w:t>-</w:t>
      </w:r>
      <w:r w:rsidR="00C011B4" w:rsidRPr="00E83C5E">
        <w:t xml:space="preserve"> </w:t>
      </w:r>
      <w:r w:rsidR="004F08CB" w:rsidRPr="00E83C5E">
        <w:t>25–29 vjeç: arsim pasuniversitar ose punësim pas përfundimit të ciklit të parë të studimeve</w:t>
      </w:r>
      <w:r w:rsidR="00480179" w:rsidRPr="00E83C5E">
        <w:t>.</w:t>
      </w:r>
    </w:p>
    <w:p w14:paraId="574E2A51" w14:textId="494BC030" w:rsidR="004F08CB" w:rsidRPr="00E83C5E" w:rsidRDefault="004F08CB" w:rsidP="00B51C77">
      <w:pPr>
        <w:pStyle w:val="TEKSTIII"/>
      </w:pPr>
      <w:r w:rsidRPr="00E83C5E">
        <w:t>Vajzat dhe gratë e reja. Nga pikëpamja e drejtësisë dhe barazisë gjinore masat janë formuluar duke marrë në konsideratë kushtet specifike për vajzat dhe gratë e reja për të përballuar më mirë sfidat e zhvillimit profesional dhe hyrjes në jetën familjare. Në të gjitha rastet</w:t>
      </w:r>
      <w:r w:rsidR="00265758" w:rsidRPr="00E83C5E">
        <w:t>,</w:t>
      </w:r>
      <w:r w:rsidRPr="00E83C5E">
        <w:t xml:space="preserve"> masat e </w:t>
      </w:r>
      <w:r w:rsidRPr="00E83C5E">
        <w:lastRenderedPageBreak/>
        <w:t xml:space="preserve">parashikuara ndërlidhen me politikat nxitëse gjinore dhe i shërbejnë fuqizimit të vajzave dhe grave të reja duke marrë në konsideratë edhe vajzat e bëra nëna apo martuar në moshë të hershme dhe ato që gjenden në situata vulnerabiliteti. Nga pikëpamja gjinore masat e parashikuara synojnë edhe rritjen e pjesëmarrjes së vajzave si në jetën sociale ashtu edhe në atë profesionale. </w:t>
      </w:r>
    </w:p>
    <w:p w14:paraId="574E2A52" w14:textId="159D3517" w:rsidR="004F08CB" w:rsidRPr="00E83C5E" w:rsidRDefault="004F08CB" w:rsidP="004F08CB">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Vulnerabiliteti. Në përputhje edhe me strategjitë ndërkombëtare për rininë, ata të rinj që janë në situata rreziku apo ndjehen të diskriminuar apo të përjashtuar për shkak të situatës ekonomike, gjinisë, orientimit seksual, përkatësisë etnike, prejardhjes etj. Në masat e parashikuara në këtë strategji janë marrë parasysh edhe të rinjtë në kontakt me ligjin për shkak të pjesëmarrjes në aktivitete të paligjshme apo situatave të trafikimit. </w:t>
      </w:r>
    </w:p>
    <w:p w14:paraId="574E2A53" w14:textId="77777777" w:rsidR="004F08CB" w:rsidRPr="00E83C5E" w:rsidRDefault="004F08CB" w:rsidP="004F08CB">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Numri i të rinjve. Me prioritet është shikuar edhe çështja e numrit të të rinjve që preken nga masat e parashikuara në strategji. Kështu masat që prekin shumicën e të rinjve janë me më shumë përparësi. </w:t>
      </w:r>
    </w:p>
    <w:p w14:paraId="574E2A54" w14:textId="77777777" w:rsidR="004F08CB" w:rsidRPr="00E83C5E" w:rsidRDefault="004F08CB" w:rsidP="004F08CB">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Talenti rinor. Përparësi i është kushtuar edhe rinisë së talentuar dhe nxitjes së talenteve në fushat që kanë të bëjnë me sportin, artin dhe kulturën. Masat prioritare përfshijnë rritjen e talentit dhe të aftësive së të rinjve përmes pjesëmarrjes në aktivitete të ndryshme. </w:t>
      </w:r>
    </w:p>
    <w:p w14:paraId="574E2A55" w14:textId="77777777" w:rsidR="004F08CB" w:rsidRPr="00E83C5E" w:rsidRDefault="004F08CB" w:rsidP="004F08CB">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Nxitja e pjesëmarrjes rinore. Element tjetër i rëndësishëm në përcaktimin e masave prioritare është pjesëmarrja dhe angazhimi i sa më shumë grupeve dhe organizatave rinore në to. E gjithë strategjia ka për synim rritjen e pjesëmarrjes së të rinjve të jetën social ekonomike të vendit. Kjo do të arrihej në mënyrë më efektive përmes rritjes së numrit të të rinjve aktivë nëpër organizatat rinore dhe vullnetarizëm.</w:t>
      </w:r>
    </w:p>
    <w:p w14:paraId="574E2A56" w14:textId="77777777" w:rsidR="004F08CB" w:rsidRPr="00E83C5E" w:rsidRDefault="004F08CB" w:rsidP="004F08CB">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Nxitja e punësimit rinor. Përparësi kanë marrë edhe masat që nxisin punësimin e të rinjve, zhvillimin e karrierës së tyre dhe zhvillimin e sipërmarrjes mes të rinjve duke qenë se papunësia mes të rinjve dhe të rejave vazhdon të mbetet e lartë ashtu si edhe numri i të rinjve që nuk janë të përfshirë në arsim, aftësimin apo punësim. </w:t>
      </w:r>
    </w:p>
    <w:p w14:paraId="574E2A57" w14:textId="77777777" w:rsidR="004F08CB" w:rsidRPr="00E83C5E" w:rsidRDefault="004F08CB" w:rsidP="004F08CB">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Parandalimi i rrjedhjes së trurit (</w:t>
      </w:r>
      <w:r w:rsidRPr="00E83C5E">
        <w:rPr>
          <w:rFonts w:ascii="Garamond" w:hAnsi="Garamond" w:cs="Times New Roman"/>
          <w:i/>
          <w:sz w:val="24"/>
          <w:szCs w:val="24"/>
        </w:rPr>
        <w:t>brain drain</w:t>
      </w:r>
      <w:r w:rsidRPr="00E83C5E">
        <w:rPr>
          <w:rFonts w:ascii="Garamond" w:hAnsi="Garamond" w:cs="Times New Roman"/>
          <w:sz w:val="24"/>
          <w:szCs w:val="24"/>
        </w:rPr>
        <w:t xml:space="preserve">). Masat janë renditur edhe në bazë të efektit që ato kanë mbi uljen e migrimit të parregullt dhe parandalimin e rrjedhjes së trurit. Masat që mbështesin të rinjtë që kthehen nga migrimi dhe duan të zhvillojnë idetë e tyre për sipërmarrje në Shqipëri kanë marrë më shumë përparësi. </w:t>
      </w:r>
    </w:p>
    <w:p w14:paraId="574E2A58" w14:textId="26B7D46E" w:rsidR="004F08CB" w:rsidRPr="00E83C5E" w:rsidRDefault="004F08CB" w:rsidP="004F08CB">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Nxitja e novacionit. E lidhur me dy faktorët e mësipërm është edhe dhënia e përparësisë për masat që nxisin inovacionin si përmes mbështetjes së ideve të reja dhe </w:t>
      </w:r>
      <w:r w:rsidR="00081887" w:rsidRPr="00E83C5E">
        <w:rPr>
          <w:rFonts w:ascii="Garamond" w:hAnsi="Garamond" w:cs="Times New Roman"/>
          <w:i/>
          <w:sz w:val="24"/>
          <w:szCs w:val="24"/>
        </w:rPr>
        <w:t>start-up</w:t>
      </w:r>
      <w:r w:rsidRPr="00E83C5E">
        <w:rPr>
          <w:rFonts w:ascii="Garamond" w:hAnsi="Garamond" w:cs="Times New Roman"/>
          <w:sz w:val="24"/>
          <w:szCs w:val="24"/>
        </w:rPr>
        <w:t xml:space="preserve"> ashtu edhe zhvillimeve digjitale. </w:t>
      </w:r>
    </w:p>
    <w:p w14:paraId="574E2A59" w14:textId="02C31FC2" w:rsidR="004F08CB" w:rsidRPr="00E83C5E" w:rsidRDefault="004F08CB" w:rsidP="004F08CB">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Roli udhëheqës i </w:t>
      </w:r>
      <w:r w:rsidR="008E112F" w:rsidRPr="00E83C5E">
        <w:rPr>
          <w:rFonts w:ascii="Garamond" w:hAnsi="Garamond" w:cs="Times New Roman"/>
          <w:sz w:val="24"/>
          <w:szCs w:val="24"/>
        </w:rPr>
        <w:t>m</w:t>
      </w:r>
      <w:r w:rsidRPr="00E83C5E">
        <w:rPr>
          <w:rFonts w:ascii="Garamond" w:hAnsi="Garamond" w:cs="Times New Roman"/>
          <w:sz w:val="24"/>
          <w:szCs w:val="24"/>
        </w:rPr>
        <w:t xml:space="preserve">inistrit të Shtetit për Rininë dhe Fëmijët. Masat të cilat drejtohen apo koordinohen drejtpërsëdrejti nga ministria përgjegjëse për rininë dhe Agjencia Kombëtare e Rinisë kanë marrë përparësi më të lartë në krahasim me masat e tjera. </w:t>
      </w:r>
    </w:p>
    <w:p w14:paraId="574E2A5A" w14:textId="044A81FC" w:rsidR="004F08CB" w:rsidRPr="00E83C5E" w:rsidRDefault="004F08CB" w:rsidP="004F08CB">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Bashkëpunimi me ministri dhe agjenci të linjës. Po ashtu masat janë përparuar duke parë edhe nivelin e bashkërendimit dhe bashkëpunimit me ministritë apo agjencitë e tjera sepse në shumicën e masave janë ministritë e tjera të linjës udhëheqëse të strategjive, por nevojitet bashkërendim me ministrinë përgjegjëse për rininë në lidhje me monitorimin dhe vlerësimin e elementeve rinore në masat e parashikuara. </w:t>
      </w:r>
    </w:p>
    <w:p w14:paraId="574E2A5B" w14:textId="138D0C7C" w:rsidR="004F08CB" w:rsidRPr="00E83C5E" w:rsidRDefault="004F08CB" w:rsidP="004F08CB">
      <w:pPr>
        <w:autoSpaceDE w:val="0"/>
        <w:autoSpaceDN w:val="0"/>
        <w:adjustRightInd w:val="0"/>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Si rezultat i analizës së lidhjes me këto dokumente të rëndësishme kombëtare, konsultimeve me të reja dhe të rinj dhe në përputhje me zhvillimet e pritshme në fushën e rinisë u vendos</w:t>
      </w:r>
      <w:r w:rsidR="005A4CB9" w:rsidRPr="00E83C5E">
        <w:rPr>
          <w:rFonts w:ascii="Garamond" w:hAnsi="Garamond" w:cs="Times New Roman"/>
          <w:sz w:val="24"/>
          <w:szCs w:val="24"/>
        </w:rPr>
        <w:t>,</w:t>
      </w:r>
      <w:r w:rsidRPr="00E83C5E">
        <w:rPr>
          <w:rFonts w:ascii="Garamond" w:hAnsi="Garamond" w:cs="Times New Roman"/>
          <w:sz w:val="24"/>
          <w:szCs w:val="24"/>
        </w:rPr>
        <w:t xml:space="preserve"> që:</w:t>
      </w:r>
    </w:p>
    <w:p w14:paraId="574E2A5C" w14:textId="54B0DA94" w:rsidR="004F08CB" w:rsidRPr="00E83C5E" w:rsidRDefault="00125B03" w:rsidP="00125B03">
      <w:pPr>
        <w:pStyle w:val="TEKSTIII"/>
        <w:rPr>
          <w:i/>
        </w:rPr>
      </w:pPr>
      <w:r w:rsidRPr="00E83C5E">
        <w:rPr>
          <w:i/>
        </w:rPr>
        <w:t>-</w:t>
      </w:r>
      <w:r w:rsidR="00C011B4" w:rsidRPr="00E83C5E">
        <w:rPr>
          <w:i/>
        </w:rPr>
        <w:t xml:space="preserve"> </w:t>
      </w:r>
      <w:r w:rsidR="004F08CB" w:rsidRPr="00E83C5E">
        <w:rPr>
          <w:i/>
        </w:rPr>
        <w:t>Strategjia është 7 vjeçare dhe mbulon periudhën 2022</w:t>
      </w:r>
      <w:r w:rsidR="008E112F" w:rsidRPr="00E83C5E">
        <w:rPr>
          <w:i/>
        </w:rPr>
        <w:t>–</w:t>
      </w:r>
      <w:r w:rsidR="004F08CB" w:rsidRPr="00E83C5E">
        <w:rPr>
          <w:i/>
        </w:rPr>
        <w:t>29</w:t>
      </w:r>
      <w:r w:rsidR="008E112F" w:rsidRPr="00E83C5E">
        <w:rPr>
          <w:i/>
        </w:rPr>
        <w:t xml:space="preserve"> </w:t>
      </w:r>
      <w:r w:rsidR="004F08CB" w:rsidRPr="00E83C5E">
        <w:rPr>
          <w:i/>
        </w:rPr>
        <w:t xml:space="preserve">për të dhënë mundësi për të shtrirë politikat rinore në të gjitha fushat e veprimit dhe për të bërë ndërhyrje kuptim-plote dhe strategjike me politikat për të rejat dhe të rinjtë. </w:t>
      </w:r>
    </w:p>
    <w:p w14:paraId="574E2A5D" w14:textId="0633D002" w:rsidR="004F08CB" w:rsidRPr="00E83C5E" w:rsidRDefault="00125B03" w:rsidP="00125B03">
      <w:pPr>
        <w:pStyle w:val="TEKSTIII"/>
        <w:rPr>
          <w:i/>
        </w:rPr>
      </w:pPr>
      <w:r w:rsidRPr="00E83C5E">
        <w:rPr>
          <w:i/>
        </w:rPr>
        <w:t>-</w:t>
      </w:r>
      <w:r w:rsidR="00C011B4" w:rsidRPr="00E83C5E">
        <w:rPr>
          <w:i/>
        </w:rPr>
        <w:t xml:space="preserve"> </w:t>
      </w:r>
      <w:r w:rsidR="004F08CB" w:rsidRPr="00E83C5E">
        <w:rPr>
          <w:i/>
        </w:rPr>
        <w:t xml:space="preserve">Investimet madhore në mjedise rinore, argëtuese dhe sportive duke marrë në konsideratë një skenar realist në kushtet e situatës së krijuar nga pandemia </w:t>
      </w:r>
      <w:r w:rsidR="008E112F" w:rsidRPr="00E83C5E">
        <w:rPr>
          <w:i/>
        </w:rPr>
        <w:t>COVID</w:t>
      </w:r>
      <w:r w:rsidR="004F08CB" w:rsidRPr="00E83C5E">
        <w:rPr>
          <w:i/>
        </w:rPr>
        <w:t>-19 shtrihen në të njëjtën periudhë me prirjen për të vazhduar edhe më tej.</w:t>
      </w:r>
    </w:p>
    <w:p w14:paraId="574E2A5E" w14:textId="554884A4" w:rsidR="004F08CB" w:rsidRPr="00E83C5E" w:rsidRDefault="00125B03" w:rsidP="00125B03">
      <w:pPr>
        <w:pStyle w:val="TEKSTIII"/>
        <w:rPr>
          <w:i/>
        </w:rPr>
      </w:pPr>
      <w:r w:rsidRPr="00E83C5E">
        <w:rPr>
          <w:i/>
        </w:rPr>
        <w:t>-</w:t>
      </w:r>
      <w:r w:rsidR="00C011B4" w:rsidRPr="00E83C5E">
        <w:rPr>
          <w:i/>
        </w:rPr>
        <w:t xml:space="preserve"> </w:t>
      </w:r>
      <w:r w:rsidR="004F08CB" w:rsidRPr="00E83C5E">
        <w:rPr>
          <w:i/>
        </w:rPr>
        <w:t xml:space="preserve">Strategjia ka një natyrë shumësektorëshe dhe </w:t>
      </w:r>
      <w:r w:rsidR="008B63B6" w:rsidRPr="003403C8">
        <w:rPr>
          <w:i/>
        </w:rPr>
        <w:t>ndër</w:t>
      </w:r>
      <w:r w:rsidR="004F08CB" w:rsidRPr="003403C8">
        <w:rPr>
          <w:i/>
        </w:rPr>
        <w:t>sektoriale</w:t>
      </w:r>
      <w:r w:rsidR="004F08CB" w:rsidRPr="00E83C5E">
        <w:rPr>
          <w:i/>
        </w:rPr>
        <w:t>:</w:t>
      </w:r>
    </w:p>
    <w:p w14:paraId="574E2A5F" w14:textId="17EBE5D0" w:rsidR="004F08CB" w:rsidRPr="00E83C5E" w:rsidRDefault="00125B03" w:rsidP="00125B03">
      <w:pPr>
        <w:pStyle w:val="TEKSTIII"/>
        <w:rPr>
          <w:i/>
        </w:rPr>
      </w:pPr>
      <w:r w:rsidRPr="00E83C5E">
        <w:rPr>
          <w:i/>
        </w:rPr>
        <w:t>-</w:t>
      </w:r>
      <w:r w:rsidR="00C011B4" w:rsidRPr="00E83C5E">
        <w:rPr>
          <w:i/>
        </w:rPr>
        <w:t xml:space="preserve"> </w:t>
      </w:r>
      <w:r w:rsidR="004F08CB" w:rsidRPr="00E83C5E">
        <w:rPr>
          <w:i/>
        </w:rPr>
        <w:t xml:space="preserve">Për të arritur në stadin që është ajo është ushqyer nga informacione të mbledhura përmes takimeve me të rinj dhe të reja me pjesëmarrjen e Kryeministrit dhe </w:t>
      </w:r>
      <w:r w:rsidR="003403C8">
        <w:rPr>
          <w:i/>
        </w:rPr>
        <w:t>m</w:t>
      </w:r>
      <w:r w:rsidR="004F08CB" w:rsidRPr="00E83C5E">
        <w:rPr>
          <w:i/>
        </w:rPr>
        <w:t>inistres së Shtetit për Rininë dhe Fëmijët</w:t>
      </w:r>
      <w:r w:rsidR="005E62A6" w:rsidRPr="00E83C5E">
        <w:rPr>
          <w:i/>
        </w:rPr>
        <w:t>;</w:t>
      </w:r>
    </w:p>
    <w:p w14:paraId="574E2A60" w14:textId="5359242A" w:rsidR="004F08CB" w:rsidRPr="00E83C5E" w:rsidRDefault="00125B03" w:rsidP="00125B03">
      <w:pPr>
        <w:pStyle w:val="TEKSTIII"/>
        <w:rPr>
          <w:i/>
        </w:rPr>
      </w:pPr>
      <w:r w:rsidRPr="00E83C5E">
        <w:rPr>
          <w:i/>
        </w:rPr>
        <w:lastRenderedPageBreak/>
        <w:t>-</w:t>
      </w:r>
      <w:r w:rsidR="00C011B4" w:rsidRPr="00E83C5E">
        <w:rPr>
          <w:i/>
        </w:rPr>
        <w:t xml:space="preserve"> </w:t>
      </w:r>
      <w:r w:rsidR="004F08CB" w:rsidRPr="00E83C5E">
        <w:rPr>
          <w:i/>
        </w:rPr>
        <w:t>Janë marrë parasysh programi i ri politik i qeverisë</w:t>
      </w:r>
      <w:r w:rsidR="005E62A6" w:rsidRPr="00E83C5E">
        <w:rPr>
          <w:i/>
        </w:rPr>
        <w:t>;</w:t>
      </w:r>
      <w:r w:rsidR="004F08CB" w:rsidRPr="00E83C5E">
        <w:rPr>
          <w:i/>
        </w:rPr>
        <w:t xml:space="preserve"> si edhe </w:t>
      </w:r>
    </w:p>
    <w:p w14:paraId="574E2A61" w14:textId="6692948D" w:rsidR="004F08CB" w:rsidRPr="00E83C5E" w:rsidRDefault="00125B03" w:rsidP="00125B03">
      <w:pPr>
        <w:pStyle w:val="TEKSTIII"/>
        <w:rPr>
          <w:i/>
        </w:rPr>
      </w:pPr>
      <w:r w:rsidRPr="00E83C5E">
        <w:rPr>
          <w:i/>
        </w:rPr>
        <w:t>-</w:t>
      </w:r>
      <w:r w:rsidR="005E62A6" w:rsidRPr="00E83C5E">
        <w:rPr>
          <w:i/>
        </w:rPr>
        <w:t xml:space="preserve"> Është</w:t>
      </w:r>
      <w:r w:rsidR="004F08CB" w:rsidRPr="00E83C5E">
        <w:rPr>
          <w:i/>
        </w:rPr>
        <w:t xml:space="preserve"> kryer një proces sinergjizimi me strategjitë që janë në përdorim dhe ato që janë në proces finalizimi e sipër. </w:t>
      </w:r>
    </w:p>
    <w:p w14:paraId="574E2A62" w14:textId="320B8C0F" w:rsidR="004F08CB" w:rsidRPr="00E83C5E" w:rsidRDefault="00125B03" w:rsidP="00125B03">
      <w:pPr>
        <w:pStyle w:val="TEKSTIII"/>
        <w:rPr>
          <w:i/>
        </w:rPr>
      </w:pPr>
      <w:r w:rsidRPr="00E83C5E">
        <w:rPr>
          <w:i/>
        </w:rPr>
        <w:t>-</w:t>
      </w:r>
      <w:r w:rsidR="00C011B4" w:rsidRPr="00E83C5E">
        <w:rPr>
          <w:i/>
        </w:rPr>
        <w:t xml:space="preserve"> </w:t>
      </w:r>
      <w:r w:rsidR="004F08CB" w:rsidRPr="00E83C5E">
        <w:rPr>
          <w:i/>
        </w:rPr>
        <w:t>Strategjia shpjegon qëllimet dhe objektivat e politikave për rininë</w:t>
      </w:r>
      <w:r w:rsidR="005E62A6" w:rsidRPr="00E83C5E">
        <w:rPr>
          <w:i/>
        </w:rPr>
        <w:t>;</w:t>
      </w:r>
    </w:p>
    <w:p w14:paraId="574E2A63" w14:textId="2E65725C" w:rsidR="004F08CB" w:rsidRPr="00E83C5E" w:rsidRDefault="00125B03" w:rsidP="00125B03">
      <w:pPr>
        <w:pStyle w:val="TEKSTIII"/>
        <w:rPr>
          <w:i/>
        </w:rPr>
      </w:pPr>
      <w:r w:rsidRPr="00E83C5E">
        <w:rPr>
          <w:i/>
        </w:rPr>
        <w:t>-</w:t>
      </w:r>
      <w:r w:rsidR="00C011B4" w:rsidRPr="00E83C5E">
        <w:rPr>
          <w:i/>
        </w:rPr>
        <w:t xml:space="preserve"> </w:t>
      </w:r>
      <w:r w:rsidR="004F08CB" w:rsidRPr="00E83C5E">
        <w:rPr>
          <w:i/>
        </w:rPr>
        <w:t xml:space="preserve">Strategjia lidhet në natyrë dhe qëllime me strategjitë evropiane dhe globale për zhvillimin rinor. </w:t>
      </w:r>
    </w:p>
    <w:p w14:paraId="574E2A64" w14:textId="5E9931CC" w:rsidR="004F08CB" w:rsidRPr="00E83C5E" w:rsidRDefault="004F08CB" w:rsidP="00125B03">
      <w:pPr>
        <w:pStyle w:val="TEKSTIII"/>
        <w:rPr>
          <w:i/>
        </w:rPr>
      </w:pPr>
      <w:r w:rsidRPr="00E83C5E">
        <w:rPr>
          <w:i/>
        </w:rPr>
        <w:t>Kostot e parashikuara në kuadër të kësaj strategjie arrijnë në shumën 5,570,086,793 lekë, ndërkohë që fondi për vitin 2022 për mbështetjen për rininë është 161,370,000 lekë ose 0.05% e buxhetit të 2022 dhe gjatë gjithë periudhës së vënies në zbatim (me financimin aktual dhe me rritje modeste) të strategjisë do të jetë 1,690,960,000 lekë. Kjo vlerë është 3.3 herë më e vogël se fondet që nevojiten për të realizuar me sukses të tre qëllimet e politikës dhe objektivat e tyre përkatës</w:t>
      </w:r>
      <w:r w:rsidR="00246061">
        <w:rPr>
          <w:i/>
        </w:rPr>
        <w:t>.</w:t>
      </w:r>
    </w:p>
    <w:p w14:paraId="574E2A65" w14:textId="0008DF30" w:rsidR="004F08CB" w:rsidRPr="00E83C5E" w:rsidRDefault="004F08CB" w:rsidP="004F08CB">
      <w:pPr>
        <w:pStyle w:val="NoSpacing2"/>
        <w:ind w:firstLine="284"/>
        <w:jc w:val="both"/>
        <w:rPr>
          <w:rFonts w:ascii="Garamond" w:hAnsi="Garamond"/>
          <w:sz w:val="24"/>
          <w:szCs w:val="24"/>
          <w:lang w:val="sq-AL" w:eastAsia="en-GB"/>
        </w:rPr>
      </w:pPr>
      <w:r w:rsidRPr="00E83C5E">
        <w:rPr>
          <w:rFonts w:ascii="Garamond" w:hAnsi="Garamond"/>
          <w:b/>
          <w:i/>
          <w:sz w:val="24"/>
          <w:szCs w:val="24"/>
          <w:lang w:val="sq-AL" w:eastAsia="en-GB"/>
        </w:rPr>
        <w:t>Në hartimin e kësaj strategjie nuk u morën parasysh opsione të tjera sepse opsioni i një strategjie 8 vjeçare për këtë kategori të rëndësishme të shoqërisë jo vetëm që është në përputhje me kërkesat për strategjitë ndërsektoriale</w:t>
      </w:r>
      <w:r w:rsidR="005E62A6" w:rsidRPr="00E83C5E">
        <w:rPr>
          <w:rFonts w:ascii="Garamond" w:hAnsi="Garamond"/>
          <w:b/>
          <w:i/>
          <w:sz w:val="24"/>
          <w:szCs w:val="24"/>
          <w:lang w:val="sq-AL" w:eastAsia="en-GB"/>
        </w:rPr>
        <w:t>,</w:t>
      </w:r>
      <w:r w:rsidRPr="00E83C5E">
        <w:rPr>
          <w:rFonts w:ascii="Garamond" w:hAnsi="Garamond"/>
          <w:b/>
          <w:i/>
          <w:sz w:val="24"/>
          <w:szCs w:val="24"/>
          <w:lang w:val="sq-AL" w:eastAsia="en-GB"/>
        </w:rPr>
        <w:t xml:space="preserve"> por</w:t>
      </w:r>
      <w:r w:rsidRPr="00E83C5E">
        <w:rPr>
          <w:rFonts w:ascii="Garamond" w:hAnsi="Garamond"/>
          <w:sz w:val="24"/>
          <w:szCs w:val="24"/>
          <w:lang w:val="sq-AL" w:eastAsia="en-GB"/>
        </w:rPr>
        <w:t xml:space="preserve"> konsiderohet si më i përshtatshmi, duke marrë në konsideratë nevojën për ndërhyrje afatmesme dhe të qëndrueshme në këtë sektor dhe në përputhje me planet buxhetore në mbështetje të nismave të kësaj strategjie. </w:t>
      </w:r>
    </w:p>
    <w:p w14:paraId="574E2A66" w14:textId="77777777" w:rsidR="004F08CB" w:rsidRPr="00E83C5E" w:rsidRDefault="004F08CB" w:rsidP="004F08CB">
      <w:pPr>
        <w:spacing w:after="0" w:line="240" w:lineRule="auto"/>
        <w:ind w:firstLine="284"/>
        <w:jc w:val="both"/>
        <w:rPr>
          <w:rFonts w:ascii="Garamond" w:hAnsi="Garamond" w:cs="Times New Roman"/>
          <w:color w:val="000000" w:themeColor="text1"/>
          <w:sz w:val="24"/>
          <w:szCs w:val="24"/>
        </w:rPr>
      </w:pPr>
      <w:r w:rsidRPr="00E83C5E">
        <w:rPr>
          <w:rFonts w:ascii="Garamond" w:hAnsi="Garamond" w:cs="Times New Roman"/>
          <w:color w:val="000000" w:themeColor="text1"/>
          <w:sz w:val="24"/>
          <w:szCs w:val="24"/>
        </w:rPr>
        <w:t xml:space="preserve">Në këtë dokument strategjik parashikohet në një formë gjithëpërfshirëse vizioni i strategjisë, qëllimet e politikave, objektivat specifikë për secilin qëllim, rezultatet e pritshme dhe masat e nevojshme për arritjen e secilit objektiv specifik. Dokumenti parashikon treguesit kryesorë të performancës, me qëllim matjen e arritjeve, metodave të koordinimit, monitorimit dhe raportimit, si edhe parashikon buxhetin e përgjithshëm të reformës. </w:t>
      </w:r>
    </w:p>
    <w:p w14:paraId="574E2A67" w14:textId="75CDC8B0" w:rsidR="004F08CB" w:rsidRPr="00E83C5E" w:rsidRDefault="004F08CB" w:rsidP="004F08CB">
      <w:pPr>
        <w:spacing w:after="0" w:line="240" w:lineRule="auto"/>
        <w:ind w:firstLine="284"/>
        <w:jc w:val="both"/>
        <w:rPr>
          <w:rFonts w:ascii="Garamond" w:hAnsi="Garamond" w:cs="Times New Roman"/>
          <w:color w:val="000000" w:themeColor="text1"/>
          <w:sz w:val="24"/>
          <w:szCs w:val="24"/>
        </w:rPr>
      </w:pPr>
      <w:r w:rsidRPr="00E83C5E">
        <w:rPr>
          <w:rFonts w:ascii="Garamond" w:hAnsi="Garamond" w:cs="Times New Roman"/>
          <w:color w:val="000000" w:themeColor="text1"/>
          <w:sz w:val="24"/>
          <w:szCs w:val="24"/>
        </w:rPr>
        <w:t xml:space="preserve">Duke marrë në konsideratë natyrën </w:t>
      </w:r>
      <w:r w:rsidR="008B63B6" w:rsidRPr="00E83C5E">
        <w:rPr>
          <w:rFonts w:ascii="Garamond" w:hAnsi="Garamond" w:cs="Times New Roman"/>
          <w:color w:val="000000" w:themeColor="text1"/>
          <w:sz w:val="24"/>
          <w:szCs w:val="24"/>
        </w:rPr>
        <w:t>ndër</w:t>
      </w:r>
      <w:r w:rsidRPr="00E83C5E">
        <w:rPr>
          <w:rFonts w:ascii="Garamond" w:hAnsi="Garamond" w:cs="Times New Roman"/>
          <w:color w:val="000000" w:themeColor="text1"/>
          <w:sz w:val="24"/>
          <w:szCs w:val="24"/>
        </w:rPr>
        <w:t>sektoriale të zhvillimit rinor dhe pjesëmarrjen e një numri të konsiderueshëm ministrish dhe institucionesh, ky dokument është konceptuar si një strategji ombrellë, e cila do të përmbajë kryesisht objektivat më të rëndësishëm dhe rezultatet e pritshme nga zbatimi i saj. Për të siguruar arritjen e objektivave specifikë, dokumenti strategjik plotësohet me planin e veprimit të hartuar me synimin për të zbërthyer në hollësi masat e detajuara që secili institucion do të ndërmarrë në përmbushje të secilit objektiv specifik të qëllimeve të politikës. Gjithashtu, Strategjia synon të fuqizojë koordinimin e politikave të komunikimit nëpërmjet rritjes së performancës dhe mekanizmave të m</w:t>
      </w:r>
      <w:r w:rsidR="007E38E4">
        <w:rPr>
          <w:rFonts w:ascii="Garamond" w:hAnsi="Garamond" w:cs="Times New Roman"/>
          <w:color w:val="000000" w:themeColor="text1"/>
          <w:sz w:val="24"/>
          <w:szCs w:val="24"/>
        </w:rPr>
        <w:t>e</w:t>
      </w:r>
      <w:r w:rsidRPr="00E83C5E">
        <w:rPr>
          <w:rFonts w:ascii="Garamond" w:hAnsi="Garamond" w:cs="Times New Roman"/>
          <w:color w:val="000000" w:themeColor="text1"/>
          <w:sz w:val="24"/>
          <w:szCs w:val="24"/>
        </w:rPr>
        <w:t xml:space="preserve">naxhimit të riskut. </w:t>
      </w:r>
    </w:p>
    <w:p w14:paraId="574E2A68" w14:textId="35AE6828" w:rsidR="004F08CB" w:rsidRPr="00E83C5E" w:rsidRDefault="004F08CB" w:rsidP="004F08CB">
      <w:pPr>
        <w:tabs>
          <w:tab w:val="left" w:pos="4680"/>
        </w:tabs>
        <w:spacing w:after="0" w:line="240" w:lineRule="auto"/>
        <w:ind w:firstLine="284"/>
        <w:jc w:val="both"/>
        <w:rPr>
          <w:rFonts w:ascii="Garamond" w:hAnsi="Garamond" w:cs="Times New Roman"/>
          <w:color w:val="000000" w:themeColor="text1"/>
          <w:sz w:val="24"/>
          <w:szCs w:val="24"/>
        </w:rPr>
      </w:pPr>
      <w:r w:rsidRPr="00E83C5E">
        <w:rPr>
          <w:rFonts w:ascii="Garamond" w:hAnsi="Garamond" w:cs="Times New Roman"/>
          <w:color w:val="000000" w:themeColor="text1"/>
          <w:sz w:val="24"/>
          <w:szCs w:val="24"/>
        </w:rPr>
        <w:t xml:space="preserve">Në zbatim të </w:t>
      </w:r>
      <w:r w:rsidR="00095F4D" w:rsidRPr="00E83C5E">
        <w:rPr>
          <w:rFonts w:ascii="Garamond" w:hAnsi="Garamond" w:cs="Times New Roman"/>
          <w:color w:val="000000" w:themeColor="text1"/>
          <w:sz w:val="24"/>
          <w:szCs w:val="24"/>
        </w:rPr>
        <w:t>vendimit nr.</w:t>
      </w:r>
      <w:r w:rsidRPr="00E83C5E">
        <w:rPr>
          <w:rFonts w:ascii="Garamond" w:hAnsi="Garamond" w:cs="Times New Roman"/>
          <w:color w:val="000000" w:themeColor="text1"/>
          <w:sz w:val="24"/>
          <w:szCs w:val="24"/>
        </w:rPr>
        <w:t xml:space="preserve"> 290, datë 11.4.2020</w:t>
      </w:r>
      <w:r w:rsidR="00095F4D" w:rsidRPr="00E83C5E">
        <w:rPr>
          <w:rFonts w:ascii="Garamond" w:hAnsi="Garamond" w:cs="Times New Roman"/>
          <w:color w:val="000000" w:themeColor="text1"/>
          <w:sz w:val="24"/>
          <w:szCs w:val="24"/>
        </w:rPr>
        <w:t>,</w:t>
      </w:r>
      <w:r w:rsidRPr="00E83C5E">
        <w:rPr>
          <w:rFonts w:ascii="Garamond" w:hAnsi="Garamond" w:cs="Times New Roman"/>
          <w:color w:val="000000" w:themeColor="text1"/>
          <w:sz w:val="24"/>
          <w:szCs w:val="24"/>
        </w:rPr>
        <w:t xml:space="preserve"> të Këshillit të Ministrave</w:t>
      </w:r>
      <w:r w:rsidR="00095F4D" w:rsidRPr="00E83C5E">
        <w:rPr>
          <w:rFonts w:ascii="Garamond" w:hAnsi="Garamond" w:cs="Times New Roman"/>
          <w:color w:val="000000" w:themeColor="text1"/>
          <w:sz w:val="24"/>
          <w:szCs w:val="24"/>
        </w:rPr>
        <w:t>,</w:t>
      </w:r>
      <w:r w:rsidRPr="00E83C5E">
        <w:rPr>
          <w:rFonts w:ascii="Garamond" w:hAnsi="Garamond" w:cs="Times New Roman"/>
          <w:color w:val="000000" w:themeColor="text1"/>
          <w:sz w:val="24"/>
          <w:szCs w:val="24"/>
        </w:rPr>
        <w:t xml:space="preserve"> </w:t>
      </w:r>
      <w:r w:rsidR="00D540B0" w:rsidRPr="00E83C5E">
        <w:rPr>
          <w:rFonts w:ascii="Garamond" w:hAnsi="Garamond" w:cs="Times New Roman"/>
          <w:color w:val="000000" w:themeColor="text1"/>
          <w:sz w:val="24"/>
          <w:szCs w:val="24"/>
        </w:rPr>
        <w:t>“</w:t>
      </w:r>
      <w:r w:rsidRPr="00E83C5E">
        <w:rPr>
          <w:rFonts w:ascii="Garamond" w:hAnsi="Garamond" w:cs="Times New Roman"/>
          <w:i/>
          <w:color w:val="000000" w:themeColor="text1"/>
          <w:sz w:val="24"/>
          <w:szCs w:val="24"/>
        </w:rPr>
        <w:t>Për krijimin e bazës të të dhënave shtetërore të Sistemit Informatik të Planifikimit të Integruar (SIPI/IPSIS</w:t>
      </w:r>
      <w:r w:rsidRPr="00E83C5E">
        <w:rPr>
          <w:rFonts w:ascii="Garamond" w:hAnsi="Garamond" w:cs="Times New Roman"/>
          <w:color w:val="000000" w:themeColor="text1"/>
          <w:sz w:val="24"/>
          <w:szCs w:val="24"/>
        </w:rPr>
        <w:t>)</w:t>
      </w:r>
      <w:r w:rsidR="00D540B0" w:rsidRPr="00E83C5E">
        <w:rPr>
          <w:rFonts w:ascii="Garamond" w:hAnsi="Garamond" w:cs="Times New Roman"/>
          <w:color w:val="000000" w:themeColor="text1"/>
          <w:sz w:val="24"/>
          <w:szCs w:val="24"/>
        </w:rPr>
        <w:t>”</w:t>
      </w:r>
      <w:r w:rsidRPr="00E83C5E">
        <w:rPr>
          <w:rFonts w:ascii="Garamond" w:hAnsi="Garamond" w:cs="Times New Roman"/>
          <w:color w:val="000000" w:themeColor="text1"/>
          <w:sz w:val="24"/>
          <w:szCs w:val="24"/>
        </w:rPr>
        <w:t>, procesi për Strategjinë Kombëtare të Rinisë nisi me hartimin e Koncept-Dokumentit të kësaj Strategjie, një dokument i konsultuar gjerësisht dhe i miratuar nga SASPAC në Kryeministri. Plani i Veprimit dhe buxhetet e detajuara janë punuar sipas sistemit IPSIS.</w:t>
      </w:r>
    </w:p>
    <w:p w14:paraId="574E2A69" w14:textId="77777777" w:rsidR="004F08CB" w:rsidRPr="00E83C5E" w:rsidRDefault="00125B03" w:rsidP="00125B03">
      <w:pPr>
        <w:pStyle w:val="TEKSTIII"/>
        <w:rPr>
          <w:b/>
          <w:color w:val="000000" w:themeColor="text1"/>
        </w:rPr>
      </w:pPr>
      <w:r w:rsidRPr="00E83C5E">
        <w:rPr>
          <w:rStyle w:val="Heading1Char"/>
          <w:rFonts w:ascii="Garamond" w:hAnsi="Garamond" w:cs="Times New Roman"/>
          <w:b/>
          <w:bCs/>
          <w:color w:val="000000" w:themeColor="text1"/>
          <w:sz w:val="24"/>
          <w:szCs w:val="24"/>
          <w:lang w:val="sq-AL"/>
        </w:rPr>
        <w:t xml:space="preserve">2. </w:t>
      </w:r>
      <w:r w:rsidR="004F08CB" w:rsidRPr="00E83C5E">
        <w:rPr>
          <w:rStyle w:val="Heading1Char"/>
          <w:rFonts w:ascii="Garamond" w:hAnsi="Garamond" w:cs="Times New Roman"/>
          <w:b/>
          <w:bCs/>
          <w:color w:val="000000" w:themeColor="text1"/>
          <w:sz w:val="24"/>
          <w:szCs w:val="24"/>
          <w:lang w:val="sq-AL"/>
        </w:rPr>
        <w:t>Korniza ligjore dhe institucionale</w:t>
      </w:r>
    </w:p>
    <w:p w14:paraId="574E2A6A" w14:textId="77777777" w:rsidR="004F08CB" w:rsidRPr="00E83C5E" w:rsidRDefault="00125B03" w:rsidP="00125B03">
      <w:pPr>
        <w:pStyle w:val="TEKSTIII"/>
        <w:rPr>
          <w:rFonts w:eastAsia="Times New Roman"/>
          <w:b/>
          <w:color w:val="000000" w:themeColor="text1"/>
        </w:rPr>
      </w:pPr>
      <w:r w:rsidRPr="00E83C5E">
        <w:rPr>
          <w:rFonts w:eastAsia="Times New Roman"/>
          <w:b/>
          <w:color w:val="000000" w:themeColor="text1"/>
        </w:rPr>
        <w:t xml:space="preserve">2.1 </w:t>
      </w:r>
      <w:r w:rsidR="004F08CB" w:rsidRPr="00E83C5E">
        <w:rPr>
          <w:rFonts w:eastAsia="Times New Roman"/>
          <w:b/>
          <w:color w:val="000000" w:themeColor="text1"/>
        </w:rPr>
        <w:t>Kushtetuta</w:t>
      </w:r>
    </w:p>
    <w:p w14:paraId="574E2A6B" w14:textId="4E62747F" w:rsidR="004F08CB" w:rsidRPr="00E83C5E" w:rsidRDefault="004F08CB" w:rsidP="004F08CB">
      <w:pPr>
        <w:spacing w:after="0" w:line="240" w:lineRule="auto"/>
        <w:ind w:firstLine="284"/>
        <w:jc w:val="both"/>
        <w:rPr>
          <w:rFonts w:ascii="Garamond" w:eastAsia="Times New Roman" w:hAnsi="Garamond" w:cs="Times New Roman"/>
          <w:sz w:val="24"/>
          <w:szCs w:val="24"/>
        </w:rPr>
      </w:pPr>
      <w:r w:rsidRPr="00E83C5E">
        <w:rPr>
          <w:rFonts w:ascii="Garamond" w:eastAsia="Times New Roman" w:hAnsi="Garamond" w:cs="Times New Roman"/>
          <w:color w:val="000000"/>
          <w:sz w:val="24"/>
          <w:szCs w:val="24"/>
        </w:rPr>
        <w:t xml:space="preserve">Neni 54 i Kushtetutës së Republikës së Shqipërisë parashikon mbrojtje të veçantë për të rinjtë: </w:t>
      </w:r>
      <w:r w:rsidR="00D540B0" w:rsidRPr="00E83C5E">
        <w:rPr>
          <w:rFonts w:ascii="Garamond" w:eastAsia="Times New Roman" w:hAnsi="Garamond" w:cs="Times New Roman"/>
          <w:color w:val="000000"/>
          <w:sz w:val="24"/>
          <w:szCs w:val="24"/>
        </w:rPr>
        <w:t>“</w:t>
      </w:r>
      <w:r w:rsidRPr="00E83C5E">
        <w:rPr>
          <w:rFonts w:ascii="Garamond" w:eastAsia="Times New Roman" w:hAnsi="Garamond" w:cs="Times New Roman"/>
          <w:color w:val="000000"/>
          <w:sz w:val="24"/>
          <w:szCs w:val="24"/>
        </w:rPr>
        <w:t>Fëmijët, të rinjtë, gratë shtatzëna dhe nënat e reja kanë të drejtën e mbrojtjes së veçantë nga shteti</w:t>
      </w:r>
      <w:r w:rsidR="00D540B0" w:rsidRPr="00E83C5E">
        <w:rPr>
          <w:rFonts w:ascii="Garamond" w:eastAsia="Times New Roman" w:hAnsi="Garamond" w:cs="Times New Roman"/>
          <w:color w:val="000000"/>
          <w:sz w:val="24"/>
          <w:szCs w:val="24"/>
        </w:rPr>
        <w:t>”</w:t>
      </w:r>
      <w:r w:rsidRPr="00E83C5E">
        <w:rPr>
          <w:rFonts w:ascii="Garamond" w:eastAsia="Times New Roman" w:hAnsi="Garamond" w:cs="Times New Roman"/>
          <w:color w:val="000000"/>
          <w:sz w:val="24"/>
          <w:szCs w:val="24"/>
        </w:rPr>
        <w:t>. Të drejtat e të rinjve garantohen në kuadrin e të drejtave dhe lirive të njeriut që parashikon ky dokument themeltar i shtetit shqiptar.</w:t>
      </w:r>
    </w:p>
    <w:p w14:paraId="574E2A6C" w14:textId="24C927F6" w:rsidR="004F08CB" w:rsidRPr="00E83C5E" w:rsidRDefault="00125B03" w:rsidP="00125B03">
      <w:pPr>
        <w:pStyle w:val="TEKSTIII"/>
        <w:rPr>
          <w:b/>
        </w:rPr>
      </w:pPr>
      <w:r w:rsidRPr="00E83C5E">
        <w:rPr>
          <w:b/>
        </w:rPr>
        <w:t xml:space="preserve">2.2 </w:t>
      </w:r>
      <w:r w:rsidR="004F08CB" w:rsidRPr="00E83C5E">
        <w:rPr>
          <w:b/>
        </w:rPr>
        <w:t xml:space="preserve">Ligji për </w:t>
      </w:r>
      <w:r w:rsidR="009336ED" w:rsidRPr="00E83C5E">
        <w:rPr>
          <w:b/>
        </w:rPr>
        <w:t>r</w:t>
      </w:r>
      <w:r w:rsidR="004F08CB" w:rsidRPr="00E83C5E">
        <w:rPr>
          <w:b/>
        </w:rPr>
        <w:t>ininë</w:t>
      </w:r>
    </w:p>
    <w:p w14:paraId="574E2A6D" w14:textId="7161BB46" w:rsidR="004F08CB" w:rsidRPr="00E83C5E" w:rsidRDefault="004F08CB" w:rsidP="004F08CB">
      <w:pPr>
        <w:spacing w:after="0" w:line="240" w:lineRule="auto"/>
        <w:ind w:firstLine="284"/>
        <w:jc w:val="both"/>
        <w:rPr>
          <w:rFonts w:ascii="Garamond" w:eastAsia="Times New Roman" w:hAnsi="Garamond" w:cs="Times New Roman"/>
          <w:color w:val="000000"/>
          <w:sz w:val="24"/>
          <w:szCs w:val="24"/>
        </w:rPr>
      </w:pPr>
      <w:r w:rsidRPr="00E83C5E">
        <w:rPr>
          <w:rFonts w:ascii="Garamond" w:eastAsia="Times New Roman" w:hAnsi="Garamond" w:cs="Times New Roman"/>
          <w:color w:val="000000"/>
          <w:sz w:val="24"/>
          <w:szCs w:val="24"/>
        </w:rPr>
        <w:t>Ligji me numër 75 u miratua në vitin 2019 nga Kuvendi i Shqipërisë. Ligji specifikon në nenin 3</w:t>
      </w:r>
      <w:r w:rsidR="007E38E4">
        <w:rPr>
          <w:rFonts w:ascii="Garamond" w:eastAsia="Times New Roman" w:hAnsi="Garamond" w:cs="Times New Roman"/>
          <w:color w:val="000000"/>
          <w:sz w:val="24"/>
          <w:szCs w:val="24"/>
        </w:rPr>
        <w:t>/</w:t>
      </w:r>
      <w:r w:rsidRPr="00E83C5E">
        <w:rPr>
          <w:rFonts w:ascii="Garamond" w:eastAsia="Times New Roman" w:hAnsi="Garamond" w:cs="Times New Roman"/>
          <w:color w:val="000000"/>
          <w:sz w:val="24"/>
          <w:szCs w:val="24"/>
        </w:rPr>
        <w:t>f se të rinjtë janë personat nga 15 deri në 29 vjeç.</w:t>
      </w:r>
      <w:r w:rsidR="00233C37" w:rsidRPr="00E83C5E">
        <w:rPr>
          <w:rFonts w:ascii="Garamond" w:eastAsia="Times New Roman" w:hAnsi="Garamond" w:cs="Times New Roman"/>
          <w:color w:val="000000"/>
          <w:sz w:val="24"/>
          <w:szCs w:val="24"/>
        </w:rPr>
        <w:t xml:space="preserve"> </w:t>
      </w:r>
      <w:r w:rsidRPr="00E83C5E">
        <w:rPr>
          <w:rFonts w:ascii="Garamond" w:eastAsia="Times New Roman" w:hAnsi="Garamond" w:cs="Times New Roman"/>
          <w:color w:val="000000"/>
          <w:sz w:val="24"/>
          <w:szCs w:val="24"/>
        </w:rPr>
        <w:t>Ligji përcakton aktivitetet, mekanizmat dhe autoritetet përgjegjëse për mbrojtjen dhe promovimin e të drejtave të të rinjve si në Shqipëri dhe diasporë dhe rrit pjesëmarrjen e të rinjve në proceset e politikëbërjes dhe vendimmarrjes si në nivel qendror ashtu edhe në atë lokal. Ligji u miratua për të mbrojtur të drejtat e të rinjve dhe për të krijuar kushte për aktivizimin, pjesëmarrjen dhe mbështetjen e tyre. Ky ligj prezanton disa koncepte të rëndësishme si:</w:t>
      </w:r>
    </w:p>
    <w:p w14:paraId="574E2A6E" w14:textId="04E0FF7A" w:rsidR="004F08CB" w:rsidRPr="00E83C5E" w:rsidRDefault="00125B03" w:rsidP="00125B03">
      <w:pPr>
        <w:pStyle w:val="TEKSTIII"/>
      </w:pPr>
      <w:r w:rsidRPr="00E83C5E">
        <w:t>-</w:t>
      </w:r>
      <w:r w:rsidR="00C011B4" w:rsidRPr="00E83C5E">
        <w:t xml:space="preserve"> </w:t>
      </w:r>
      <w:r w:rsidR="004F08CB" w:rsidRPr="00E83C5E">
        <w:t>Edukim joformal për të rinjtë që lidhet me veprimtaritë jashtë sistemit të arsimit dhe të bazuar në vullnetarizëm e pjesëmarrje aktive;</w:t>
      </w:r>
    </w:p>
    <w:p w14:paraId="574E2A6F" w14:textId="46B5ACCF" w:rsidR="004F08CB" w:rsidRPr="00E83C5E" w:rsidRDefault="00125B03" w:rsidP="00125B03">
      <w:pPr>
        <w:pStyle w:val="TEKSTIII"/>
      </w:pPr>
      <w:r w:rsidRPr="00E83C5E">
        <w:lastRenderedPageBreak/>
        <w:t>-</w:t>
      </w:r>
      <w:r w:rsidR="00C011B4" w:rsidRPr="00E83C5E">
        <w:t xml:space="preserve"> </w:t>
      </w:r>
      <w:r w:rsidR="004F08CB" w:rsidRPr="00E83C5E">
        <w:t>Dialog i strukturuar mes të rinjve, organizatave të tyre, organizatave që punojnë me ta dhe përfaqësuesve të institucioneve shtetërore nga ana tjetër duke theksuar bashkëpunimin e bazuar në ndërveprim aktiv, sistematik, transparent, të vazhdueshëm dhe afatgjatë.</w:t>
      </w:r>
    </w:p>
    <w:p w14:paraId="574E2A70" w14:textId="7B75F567" w:rsidR="004F08CB" w:rsidRPr="00E83C5E" w:rsidRDefault="00125B03" w:rsidP="00125B03">
      <w:pPr>
        <w:pStyle w:val="TEKSTIII"/>
      </w:pPr>
      <w:r w:rsidRPr="00E83C5E">
        <w:t>-</w:t>
      </w:r>
      <w:r w:rsidR="00C011B4" w:rsidRPr="00E83C5E">
        <w:t xml:space="preserve"> </w:t>
      </w:r>
      <w:r w:rsidR="004F08CB" w:rsidRPr="00E83C5E">
        <w:t>Hapësira e sigurta rinore, por vetëm si hapësira fizike të sigurta për të rinjtë, përfshirë të rinjtë me aftësi të kufizuara</w:t>
      </w:r>
      <w:r w:rsidR="003D4E43">
        <w:t>,</w:t>
      </w:r>
      <w:r w:rsidR="004F08CB" w:rsidRPr="00E83C5E">
        <w:t xml:space="preserve"> por pa kaluar në elementet digjitale apo të platformave sociale e qytetare të hapësirave të sigurta për të rinjtë. </w:t>
      </w:r>
    </w:p>
    <w:p w14:paraId="574E2A71" w14:textId="77547DA8" w:rsidR="004F08CB" w:rsidRPr="00E83C5E" w:rsidRDefault="004F08CB" w:rsidP="004F08CB">
      <w:pPr>
        <w:spacing w:after="0" w:line="240" w:lineRule="auto"/>
        <w:ind w:firstLine="284"/>
        <w:jc w:val="both"/>
        <w:rPr>
          <w:rFonts w:ascii="Garamond" w:eastAsia="Times New Roman" w:hAnsi="Garamond" w:cs="Times New Roman"/>
          <w:sz w:val="24"/>
          <w:szCs w:val="24"/>
        </w:rPr>
      </w:pPr>
      <w:r w:rsidRPr="00E83C5E">
        <w:rPr>
          <w:rFonts w:ascii="Garamond" w:eastAsia="Times New Roman" w:hAnsi="Garamond" w:cs="Times New Roman"/>
          <w:color w:val="000000"/>
          <w:sz w:val="24"/>
          <w:szCs w:val="24"/>
        </w:rPr>
        <w:t xml:space="preserve">Ligji e përkufizon </w:t>
      </w:r>
      <w:r w:rsidR="00D540B0" w:rsidRPr="00E83C5E">
        <w:rPr>
          <w:rFonts w:ascii="Garamond" w:eastAsia="Times New Roman" w:hAnsi="Garamond" w:cs="Times New Roman"/>
          <w:color w:val="000000"/>
          <w:sz w:val="24"/>
          <w:szCs w:val="24"/>
        </w:rPr>
        <w:t>“</w:t>
      </w:r>
      <w:r w:rsidRPr="00E83C5E">
        <w:rPr>
          <w:rFonts w:ascii="Garamond" w:eastAsia="Times New Roman" w:hAnsi="Garamond" w:cs="Times New Roman"/>
          <w:color w:val="000000"/>
          <w:sz w:val="24"/>
          <w:szCs w:val="24"/>
        </w:rPr>
        <w:t>punën rinore</w:t>
      </w:r>
      <w:r w:rsidR="00D540B0" w:rsidRPr="00E83C5E">
        <w:rPr>
          <w:rFonts w:ascii="Garamond" w:eastAsia="Times New Roman" w:hAnsi="Garamond" w:cs="Times New Roman"/>
          <w:color w:val="000000"/>
          <w:sz w:val="24"/>
          <w:szCs w:val="24"/>
        </w:rPr>
        <w:t>”</w:t>
      </w:r>
      <w:r w:rsidRPr="00E83C5E">
        <w:rPr>
          <w:rFonts w:ascii="Garamond" w:eastAsia="Times New Roman" w:hAnsi="Garamond" w:cs="Times New Roman"/>
          <w:color w:val="000000"/>
          <w:sz w:val="24"/>
          <w:szCs w:val="24"/>
        </w:rPr>
        <w:t xml:space="preserve"> si </w:t>
      </w:r>
      <w:r w:rsidR="00D540B0" w:rsidRPr="00E83C5E">
        <w:rPr>
          <w:rFonts w:ascii="Garamond" w:eastAsia="Times New Roman" w:hAnsi="Garamond" w:cs="Times New Roman"/>
          <w:color w:val="000000"/>
          <w:sz w:val="24"/>
          <w:szCs w:val="24"/>
        </w:rPr>
        <w:t>“</w:t>
      </w:r>
      <w:r w:rsidRPr="00E83C5E">
        <w:rPr>
          <w:rFonts w:ascii="Garamond" w:eastAsia="Times New Roman" w:hAnsi="Garamond" w:cs="Times New Roman"/>
          <w:color w:val="000000"/>
          <w:sz w:val="24"/>
          <w:szCs w:val="24"/>
        </w:rPr>
        <w:t>çdo veprimtari e natyrës sociale, kulturore, arsimore, mjedisore nga/me ose për të rinjtë, në grupe ose individualisht, që ka për qëllim të motivojë dhe të mbështesë të rinjtë, duke kontribuar në zhvillimin e tyre personal dhe social dhe në zhvillimin e shoqërisë në përgjithësi.</w:t>
      </w:r>
      <w:r w:rsidR="00D540B0" w:rsidRPr="00E83C5E">
        <w:rPr>
          <w:rFonts w:ascii="Garamond" w:eastAsia="Times New Roman" w:hAnsi="Garamond" w:cs="Times New Roman"/>
          <w:color w:val="000000"/>
          <w:sz w:val="24"/>
          <w:szCs w:val="24"/>
        </w:rPr>
        <w:t>”</w:t>
      </w:r>
      <w:r w:rsidR="003D4E43">
        <w:rPr>
          <w:rFonts w:ascii="Garamond" w:eastAsia="Times New Roman" w:hAnsi="Garamond" w:cs="Times New Roman"/>
          <w:color w:val="000000"/>
          <w:sz w:val="24"/>
          <w:szCs w:val="24"/>
        </w:rPr>
        <w:t>,</w:t>
      </w:r>
      <w:r w:rsidRPr="00E83C5E">
        <w:rPr>
          <w:rFonts w:ascii="Garamond" w:eastAsia="Times New Roman" w:hAnsi="Garamond" w:cs="Times New Roman"/>
          <w:color w:val="000000"/>
          <w:sz w:val="24"/>
          <w:szCs w:val="24"/>
        </w:rPr>
        <w:t xml:space="preserve"> por ai nuk përcakton kriteret për </w:t>
      </w:r>
      <w:r w:rsidR="00D540B0" w:rsidRPr="00E83C5E">
        <w:rPr>
          <w:rFonts w:ascii="Garamond" w:eastAsia="Times New Roman" w:hAnsi="Garamond" w:cs="Times New Roman"/>
          <w:color w:val="000000"/>
          <w:sz w:val="24"/>
          <w:szCs w:val="24"/>
        </w:rPr>
        <w:t>“</w:t>
      </w:r>
      <w:r w:rsidRPr="00E83C5E">
        <w:rPr>
          <w:rFonts w:ascii="Garamond" w:eastAsia="Times New Roman" w:hAnsi="Garamond" w:cs="Times New Roman"/>
          <w:color w:val="000000"/>
          <w:sz w:val="24"/>
          <w:szCs w:val="24"/>
        </w:rPr>
        <w:t>punonjësin rinor apo drejtuesin rinor</w:t>
      </w:r>
      <w:r w:rsidR="00D540B0" w:rsidRPr="00E83C5E">
        <w:rPr>
          <w:rFonts w:ascii="Garamond" w:eastAsia="Times New Roman" w:hAnsi="Garamond" w:cs="Times New Roman"/>
          <w:color w:val="000000"/>
          <w:sz w:val="24"/>
          <w:szCs w:val="24"/>
        </w:rPr>
        <w:t>”</w:t>
      </w:r>
      <w:r w:rsidRPr="00E83C5E">
        <w:rPr>
          <w:rFonts w:ascii="Garamond" w:eastAsia="Times New Roman" w:hAnsi="Garamond" w:cs="Times New Roman"/>
          <w:color w:val="000000"/>
          <w:sz w:val="24"/>
          <w:szCs w:val="24"/>
        </w:rPr>
        <w:t>.</w:t>
      </w:r>
    </w:p>
    <w:p w14:paraId="574E2A72" w14:textId="77777777" w:rsidR="004F08CB" w:rsidRPr="00E83C5E" w:rsidRDefault="004F08CB" w:rsidP="004F08CB">
      <w:pPr>
        <w:spacing w:after="0" w:line="240" w:lineRule="auto"/>
        <w:ind w:firstLine="284"/>
        <w:jc w:val="both"/>
        <w:rPr>
          <w:rFonts w:ascii="Garamond" w:eastAsia="Times New Roman" w:hAnsi="Garamond" w:cs="Times New Roman"/>
          <w:sz w:val="24"/>
          <w:szCs w:val="24"/>
        </w:rPr>
      </w:pPr>
      <w:r w:rsidRPr="00E83C5E">
        <w:rPr>
          <w:rFonts w:ascii="Garamond" w:eastAsia="Times New Roman" w:hAnsi="Garamond" w:cs="Times New Roman"/>
          <w:color w:val="000000"/>
          <w:sz w:val="24"/>
          <w:szCs w:val="24"/>
        </w:rPr>
        <w:t>Ligji parashtron krijimin e një baze ligjore për dy struktura konsultative rinore: Këshilli Kombëtar i Rinisë (KKR) dhe Këshilli Vendor i Rinisë (KVR) të cilat duhen fuqizuar dhe ngritur në ato bashki ku nuk ekzistojnë. </w:t>
      </w:r>
    </w:p>
    <w:p w14:paraId="574E2A73" w14:textId="77777777" w:rsidR="004F08CB" w:rsidRPr="00E83C5E" w:rsidRDefault="004F08CB" w:rsidP="004F08CB">
      <w:pPr>
        <w:spacing w:after="0" w:line="240" w:lineRule="auto"/>
        <w:ind w:firstLine="284"/>
        <w:jc w:val="both"/>
        <w:rPr>
          <w:rFonts w:ascii="Garamond" w:eastAsia="Times New Roman" w:hAnsi="Garamond" w:cs="Times New Roman"/>
          <w:sz w:val="24"/>
          <w:szCs w:val="24"/>
        </w:rPr>
      </w:pPr>
      <w:r w:rsidRPr="00E83C5E">
        <w:rPr>
          <w:rFonts w:ascii="Garamond" w:eastAsia="Times New Roman" w:hAnsi="Garamond" w:cs="Times New Roman"/>
          <w:color w:val="000000"/>
          <w:sz w:val="24"/>
          <w:szCs w:val="24"/>
        </w:rPr>
        <w:t>Ligji parashikon sigurimin e burimeve të financimit për politikat, programet dhe aktivitetet rinore, duke theksuar kontributin e buxheteve vendore në këtë drejtim, krahas buxhetit të shtetit. Në të njëjtën kohë, ai parashikon burime të tjera të ligjshme financimi, si të ardhurat e krijuara nga aktivitetet e organizatave rinore, donacionet, sponsorizimet, programet evropiane etj. Ligji parashikon ngritjen e këtyre strukturave organizative:</w:t>
      </w:r>
    </w:p>
    <w:p w14:paraId="574E2A74" w14:textId="2A945C56" w:rsidR="004F08CB" w:rsidRPr="00E83C5E" w:rsidRDefault="00125B03" w:rsidP="00125B03">
      <w:pPr>
        <w:pStyle w:val="TEKSTIII"/>
      </w:pPr>
      <w:r w:rsidRPr="00E83C5E">
        <w:t>-</w:t>
      </w:r>
      <w:r w:rsidR="00C011B4" w:rsidRPr="00E83C5E">
        <w:t xml:space="preserve"> </w:t>
      </w:r>
      <w:r w:rsidR="004F08CB" w:rsidRPr="00E83C5E">
        <w:t>Institucioni përgjegjës për rininë është Agjencia Kombëtare për Rininë (AKR) e kriju</w:t>
      </w:r>
      <w:r w:rsidR="009336ED" w:rsidRPr="00E83C5E">
        <w:t>ar me vendimin nr. 681, datë 2.</w:t>
      </w:r>
      <w:r w:rsidR="004F08CB" w:rsidRPr="00E83C5E">
        <w:t>9.2020</w:t>
      </w:r>
      <w:r w:rsidR="006643CC">
        <w:t>,</w:t>
      </w:r>
      <w:r w:rsidR="004F08CB" w:rsidRPr="00E83C5E">
        <w:t xml:space="preserve"> të Këshillit të Ministrave</w:t>
      </w:r>
      <w:r w:rsidR="00233C37" w:rsidRPr="00E83C5E">
        <w:t xml:space="preserve"> </w:t>
      </w:r>
      <w:r w:rsidR="004F08CB" w:rsidRPr="00E83C5E">
        <w:t xml:space="preserve">dhe zëvendëson Shërbimin Kombëtar Rinor (SHKR). </w:t>
      </w:r>
    </w:p>
    <w:p w14:paraId="574E2A75" w14:textId="092298BF" w:rsidR="004F08CB" w:rsidRPr="00E83C5E" w:rsidRDefault="00125B03" w:rsidP="00125B03">
      <w:pPr>
        <w:pStyle w:val="TEKSTIII"/>
      </w:pPr>
      <w:r w:rsidRPr="00E83C5E">
        <w:t>-</w:t>
      </w:r>
      <w:r w:rsidR="00C011B4" w:rsidRPr="00E83C5E">
        <w:t xml:space="preserve"> </w:t>
      </w:r>
      <w:r w:rsidR="004F08CB" w:rsidRPr="00E83C5E">
        <w:t xml:space="preserve">Këshilli Kombëtar i Rinisë, një organ këshillimor që funksionon në kuadër të </w:t>
      </w:r>
      <w:r w:rsidR="006643CC">
        <w:t>m</w:t>
      </w:r>
      <w:r w:rsidR="004F08CB" w:rsidRPr="00E83C5E">
        <w:t xml:space="preserve">inistrit të Shtetit për Rininë dhe Fëmijët dhe është përgjegjës për rininë. Vendimi </w:t>
      </w:r>
      <w:r w:rsidR="009336ED" w:rsidRPr="00E83C5E">
        <w:t>n</w:t>
      </w:r>
      <w:r w:rsidR="004F08CB" w:rsidRPr="00E83C5E">
        <w:t>r. 969, datë 2.12.2020</w:t>
      </w:r>
      <w:r w:rsidR="006643CC">
        <w:t>,</w:t>
      </w:r>
      <w:r w:rsidR="004F08CB" w:rsidRPr="00E83C5E">
        <w:t xml:space="preserve"> i Këshillit të Ministrave përcakton kriteret dhe procedurat për zgjedhjen e anëtarëve të Këshillit Kombëtar të Rinisë dhe organizimin dhe funksionimin e tij.</w:t>
      </w:r>
    </w:p>
    <w:p w14:paraId="574E2A76" w14:textId="247C5953" w:rsidR="004F08CB" w:rsidRPr="00E83C5E" w:rsidRDefault="00125B03" w:rsidP="00125B03">
      <w:pPr>
        <w:pStyle w:val="TEKSTIII"/>
      </w:pPr>
      <w:r w:rsidRPr="00E83C5E">
        <w:t>-</w:t>
      </w:r>
      <w:r w:rsidR="00C011B4" w:rsidRPr="00E83C5E">
        <w:t xml:space="preserve"> </w:t>
      </w:r>
      <w:r w:rsidR="004F08CB" w:rsidRPr="00E83C5E">
        <w:t>Këshilli Vendor i Rinisë është një organ këshillimor, i cili funksionon në varësi të kryetarit të bashkisë në çdo njësi të vetëqeverisjes vendore.</w:t>
      </w:r>
    </w:p>
    <w:p w14:paraId="574E2A77" w14:textId="21512F12" w:rsidR="004F08CB" w:rsidRPr="00E83C5E" w:rsidRDefault="00125B03" w:rsidP="00125B03">
      <w:pPr>
        <w:pStyle w:val="TEKSTIII"/>
      </w:pPr>
      <w:r w:rsidRPr="00E83C5E">
        <w:t>-</w:t>
      </w:r>
      <w:r w:rsidR="00C011B4" w:rsidRPr="00E83C5E">
        <w:t xml:space="preserve"> </w:t>
      </w:r>
      <w:r w:rsidR="004F08CB" w:rsidRPr="00E83C5E">
        <w:t>Organizata Kombëtare Përfaqësuese Rinore (OKPR), që krijohet si OJF për të përfaqësuar të rinjtë në përputhje me vendimin</w:t>
      </w:r>
      <w:r w:rsidR="00233C37" w:rsidRPr="00E83C5E">
        <w:t xml:space="preserve"> </w:t>
      </w:r>
      <w:r w:rsidR="004F08CB" w:rsidRPr="00E83C5E">
        <w:t>nr.</w:t>
      </w:r>
      <w:r w:rsidR="00936BF4" w:rsidRPr="00E83C5E">
        <w:t xml:space="preserve"> </w:t>
      </w:r>
      <w:r w:rsidR="004F08CB" w:rsidRPr="00E83C5E">
        <w:t>274</w:t>
      </w:r>
      <w:r w:rsidR="00936BF4" w:rsidRPr="00E83C5E">
        <w:t>, datë 12.</w:t>
      </w:r>
      <w:r w:rsidR="004F08CB" w:rsidRPr="00E83C5E">
        <w:t>5.2021</w:t>
      </w:r>
      <w:r w:rsidR="00936BF4" w:rsidRPr="00E83C5E">
        <w:t>,</w:t>
      </w:r>
      <w:r w:rsidR="004F08CB" w:rsidRPr="00E83C5E">
        <w:t xml:space="preserve"> të Këshillit të Ministrave. </w:t>
      </w:r>
    </w:p>
    <w:p w14:paraId="574E2A78" w14:textId="77777777" w:rsidR="004F08CB" w:rsidRPr="00E83C5E" w:rsidRDefault="00125B03" w:rsidP="00125B03">
      <w:pPr>
        <w:pStyle w:val="TEKSTIII"/>
        <w:rPr>
          <w:b/>
        </w:rPr>
      </w:pPr>
      <w:r w:rsidRPr="00E83C5E">
        <w:rPr>
          <w:b/>
        </w:rPr>
        <w:t xml:space="preserve">2.3 </w:t>
      </w:r>
      <w:r w:rsidR="004F08CB" w:rsidRPr="00E83C5E">
        <w:rPr>
          <w:b/>
        </w:rPr>
        <w:t>Plani Kombëtar i Veprimit për Rininë (PKVR)</w:t>
      </w:r>
    </w:p>
    <w:p w14:paraId="574E2A79" w14:textId="7D36E2D6" w:rsidR="004F08CB" w:rsidRPr="00E83C5E" w:rsidRDefault="004F08CB" w:rsidP="004F08CB">
      <w:pPr>
        <w:spacing w:after="0" w:line="240" w:lineRule="auto"/>
        <w:ind w:firstLine="284"/>
        <w:jc w:val="both"/>
        <w:rPr>
          <w:rFonts w:ascii="Garamond" w:eastAsia="Times New Roman" w:hAnsi="Garamond" w:cs="Times New Roman"/>
          <w:color w:val="000000"/>
          <w:sz w:val="24"/>
          <w:szCs w:val="24"/>
        </w:rPr>
      </w:pPr>
      <w:r w:rsidRPr="00E83C5E">
        <w:rPr>
          <w:rFonts w:ascii="Garamond" w:eastAsia="Times New Roman" w:hAnsi="Garamond" w:cs="Times New Roman"/>
          <w:color w:val="000000"/>
          <w:sz w:val="24"/>
          <w:szCs w:val="24"/>
        </w:rPr>
        <w:t>Në vitin 2015, qeveria miratoi PKVR 2015</w:t>
      </w:r>
      <w:r w:rsidR="00936BF4" w:rsidRPr="00E83C5E">
        <w:rPr>
          <w:rFonts w:ascii="Garamond" w:eastAsia="Times New Roman" w:hAnsi="Garamond" w:cs="Times New Roman"/>
          <w:color w:val="000000"/>
          <w:sz w:val="24"/>
          <w:szCs w:val="24"/>
        </w:rPr>
        <w:t>–</w:t>
      </w:r>
      <w:r w:rsidRPr="00E83C5E">
        <w:rPr>
          <w:rFonts w:ascii="Garamond" w:eastAsia="Times New Roman" w:hAnsi="Garamond" w:cs="Times New Roman"/>
          <w:color w:val="000000"/>
          <w:sz w:val="24"/>
          <w:szCs w:val="24"/>
        </w:rPr>
        <w:t>2020. Vizioni i PKVR</w:t>
      </w:r>
      <w:r w:rsidR="00936BF4" w:rsidRPr="00E83C5E">
        <w:rPr>
          <w:rFonts w:ascii="Garamond" w:eastAsia="Times New Roman" w:hAnsi="Garamond" w:cs="Times New Roman"/>
          <w:color w:val="000000"/>
          <w:sz w:val="24"/>
          <w:szCs w:val="24"/>
        </w:rPr>
        <w:t>-së</w:t>
      </w:r>
      <w:r w:rsidRPr="00E83C5E">
        <w:rPr>
          <w:rFonts w:ascii="Garamond" w:eastAsia="Times New Roman" w:hAnsi="Garamond" w:cs="Times New Roman"/>
          <w:color w:val="000000"/>
          <w:sz w:val="24"/>
          <w:szCs w:val="24"/>
        </w:rPr>
        <w:t xml:space="preserve"> ishte në përputhje me Strategjinë Kombëtare për Zhvillim dhe Integrim (SKZHI) 2015</w:t>
      </w:r>
      <w:r w:rsidR="00936BF4" w:rsidRPr="00E83C5E">
        <w:rPr>
          <w:rFonts w:ascii="Garamond" w:eastAsia="Times New Roman" w:hAnsi="Garamond" w:cs="Times New Roman"/>
          <w:color w:val="000000"/>
          <w:sz w:val="24"/>
          <w:szCs w:val="24"/>
        </w:rPr>
        <w:t>–</w:t>
      </w:r>
      <w:r w:rsidRPr="00E83C5E">
        <w:rPr>
          <w:rFonts w:ascii="Garamond" w:eastAsia="Times New Roman" w:hAnsi="Garamond" w:cs="Times New Roman"/>
          <w:color w:val="000000"/>
          <w:sz w:val="24"/>
          <w:szCs w:val="24"/>
        </w:rPr>
        <w:t>2020, Programin e Qeverisë për Rininë, Strategjin</w:t>
      </w:r>
      <w:r w:rsidR="009336ED" w:rsidRPr="00E83C5E">
        <w:rPr>
          <w:rFonts w:ascii="Garamond" w:eastAsia="Times New Roman" w:hAnsi="Garamond" w:cs="Times New Roman"/>
          <w:color w:val="000000"/>
          <w:sz w:val="24"/>
          <w:szCs w:val="24"/>
        </w:rPr>
        <w:t>ë Kombëtare të BE-së për Rininë</w:t>
      </w:r>
      <w:r w:rsidRPr="00E83C5E">
        <w:rPr>
          <w:rFonts w:ascii="Garamond" w:eastAsia="Times New Roman" w:hAnsi="Garamond" w:cs="Times New Roman"/>
          <w:color w:val="000000"/>
          <w:sz w:val="24"/>
          <w:szCs w:val="24"/>
        </w:rPr>
        <w:t xml:space="preserve"> etj. PKVR</w:t>
      </w:r>
      <w:r w:rsidR="00936BF4" w:rsidRPr="00E83C5E">
        <w:rPr>
          <w:rFonts w:ascii="Garamond" w:eastAsia="Times New Roman" w:hAnsi="Garamond" w:cs="Times New Roman"/>
          <w:color w:val="000000"/>
          <w:sz w:val="24"/>
          <w:szCs w:val="24"/>
        </w:rPr>
        <w:t>-ja</w:t>
      </w:r>
      <w:r w:rsidRPr="00E83C5E">
        <w:rPr>
          <w:rFonts w:ascii="Garamond" w:eastAsia="Times New Roman" w:hAnsi="Garamond" w:cs="Times New Roman"/>
          <w:color w:val="000000"/>
          <w:sz w:val="24"/>
          <w:szCs w:val="24"/>
        </w:rPr>
        <w:t xml:space="preserve"> kishte gjashtë objektiva strategjikë: i) Rritja dhe pjesëmarrja e të rinjve në proceset e vendimmarrjes demokratike</w:t>
      </w:r>
      <w:r w:rsidR="009336ED" w:rsidRPr="00E83C5E">
        <w:rPr>
          <w:rFonts w:ascii="Garamond" w:eastAsia="Times New Roman" w:hAnsi="Garamond" w:cs="Times New Roman"/>
          <w:color w:val="000000"/>
          <w:sz w:val="24"/>
          <w:szCs w:val="24"/>
        </w:rPr>
        <w:t>;</w:t>
      </w:r>
      <w:r w:rsidRPr="00E83C5E">
        <w:rPr>
          <w:rFonts w:ascii="Garamond" w:eastAsia="Times New Roman" w:hAnsi="Garamond" w:cs="Times New Roman"/>
          <w:color w:val="000000"/>
          <w:sz w:val="24"/>
          <w:szCs w:val="24"/>
        </w:rPr>
        <w:t xml:space="preserve"> ii) Rritja e punësimit të të rinjve përmes politikave efektive të tregut të punës</w:t>
      </w:r>
      <w:r w:rsidR="009336ED" w:rsidRPr="00E83C5E">
        <w:rPr>
          <w:rFonts w:ascii="Garamond" w:eastAsia="Times New Roman" w:hAnsi="Garamond" w:cs="Times New Roman"/>
          <w:color w:val="000000"/>
          <w:sz w:val="24"/>
          <w:szCs w:val="24"/>
        </w:rPr>
        <w:t>;</w:t>
      </w:r>
      <w:r w:rsidRPr="00E83C5E">
        <w:rPr>
          <w:rFonts w:ascii="Garamond" w:eastAsia="Times New Roman" w:hAnsi="Garamond" w:cs="Times New Roman"/>
          <w:color w:val="000000"/>
          <w:sz w:val="24"/>
          <w:szCs w:val="24"/>
        </w:rPr>
        <w:t xml:space="preserve"> iii) Shëndeti, sporti dhe mjedisi</w:t>
      </w:r>
      <w:r w:rsidR="009336ED" w:rsidRPr="00E83C5E">
        <w:rPr>
          <w:rFonts w:ascii="Garamond" w:eastAsia="Times New Roman" w:hAnsi="Garamond" w:cs="Times New Roman"/>
          <w:color w:val="000000"/>
          <w:sz w:val="24"/>
          <w:szCs w:val="24"/>
        </w:rPr>
        <w:t>;</w:t>
      </w:r>
      <w:r w:rsidRPr="00E83C5E">
        <w:rPr>
          <w:rFonts w:ascii="Garamond" w:eastAsia="Times New Roman" w:hAnsi="Garamond" w:cs="Times New Roman"/>
          <w:color w:val="000000"/>
          <w:sz w:val="24"/>
          <w:szCs w:val="24"/>
        </w:rPr>
        <w:t xml:space="preserve"> iv) Edukimi i të rinjve</w:t>
      </w:r>
      <w:r w:rsidR="009336ED" w:rsidRPr="00E83C5E">
        <w:rPr>
          <w:rFonts w:ascii="Garamond" w:eastAsia="Times New Roman" w:hAnsi="Garamond" w:cs="Times New Roman"/>
          <w:color w:val="000000"/>
          <w:sz w:val="24"/>
          <w:szCs w:val="24"/>
        </w:rPr>
        <w:t xml:space="preserve">; </w:t>
      </w:r>
      <w:r w:rsidRPr="00E83C5E">
        <w:rPr>
          <w:rFonts w:ascii="Garamond" w:eastAsia="Times New Roman" w:hAnsi="Garamond" w:cs="Times New Roman"/>
          <w:color w:val="000000"/>
          <w:sz w:val="24"/>
          <w:szCs w:val="24"/>
        </w:rPr>
        <w:t>v) Mbrojtja sociale</w:t>
      </w:r>
      <w:r w:rsidR="009336ED" w:rsidRPr="00E83C5E">
        <w:rPr>
          <w:rFonts w:ascii="Garamond" w:eastAsia="Times New Roman" w:hAnsi="Garamond" w:cs="Times New Roman"/>
          <w:color w:val="000000"/>
          <w:sz w:val="24"/>
          <w:szCs w:val="24"/>
        </w:rPr>
        <w:t>;</w:t>
      </w:r>
      <w:r w:rsidRPr="00E83C5E">
        <w:rPr>
          <w:rFonts w:ascii="Garamond" w:eastAsia="Times New Roman" w:hAnsi="Garamond" w:cs="Times New Roman"/>
          <w:color w:val="000000"/>
          <w:sz w:val="24"/>
          <w:szCs w:val="24"/>
        </w:rPr>
        <w:t xml:space="preserve"> dhe vi) Kultura dhe vullnetarizmi. Objektivat e </w:t>
      </w:r>
      <w:r w:rsidR="00246061" w:rsidRPr="00E83C5E">
        <w:rPr>
          <w:rFonts w:ascii="Garamond" w:eastAsia="Times New Roman" w:hAnsi="Garamond" w:cs="Times New Roman"/>
          <w:color w:val="000000"/>
          <w:sz w:val="24"/>
          <w:szCs w:val="24"/>
        </w:rPr>
        <w:t>përgjithshëm</w:t>
      </w:r>
      <w:r w:rsidRPr="00E83C5E">
        <w:rPr>
          <w:rFonts w:ascii="Garamond" w:eastAsia="Times New Roman" w:hAnsi="Garamond" w:cs="Times New Roman"/>
          <w:color w:val="000000"/>
          <w:sz w:val="24"/>
          <w:szCs w:val="24"/>
        </w:rPr>
        <w:t xml:space="preserve"> ndaheshin në njëzet e nëntë objektiva specifikë dhe të cilët kishin 161 indikatorë të matshëm. </w:t>
      </w:r>
    </w:p>
    <w:p w14:paraId="574E2A7A" w14:textId="7362CA79" w:rsidR="004F08CB" w:rsidRPr="00E83C5E" w:rsidRDefault="004F08CB" w:rsidP="004F08CB">
      <w:pPr>
        <w:spacing w:after="0" w:line="240" w:lineRule="auto"/>
        <w:ind w:firstLine="284"/>
        <w:jc w:val="both"/>
        <w:rPr>
          <w:rFonts w:ascii="Garamond" w:eastAsia="Times New Roman" w:hAnsi="Garamond" w:cs="Times New Roman"/>
          <w:color w:val="000000"/>
          <w:sz w:val="24"/>
          <w:szCs w:val="24"/>
        </w:rPr>
      </w:pPr>
      <w:r w:rsidRPr="00E83C5E">
        <w:rPr>
          <w:rFonts w:ascii="Garamond" w:eastAsia="Times New Roman" w:hAnsi="Garamond" w:cs="Times New Roman"/>
          <w:color w:val="000000"/>
          <w:sz w:val="24"/>
          <w:szCs w:val="24"/>
        </w:rPr>
        <w:t xml:space="preserve">Në përfundim të këtij plani veprimi dhe bazuar në </w:t>
      </w:r>
      <w:r w:rsidR="00D540B0" w:rsidRPr="00E83C5E">
        <w:rPr>
          <w:rFonts w:ascii="Garamond" w:eastAsia="Times New Roman" w:hAnsi="Garamond" w:cs="Times New Roman"/>
          <w:color w:val="000000"/>
          <w:sz w:val="24"/>
          <w:szCs w:val="24"/>
        </w:rPr>
        <w:t>“</w:t>
      </w:r>
      <w:r w:rsidRPr="00E83C5E">
        <w:rPr>
          <w:rFonts w:ascii="Garamond" w:eastAsia="Times New Roman" w:hAnsi="Garamond" w:cs="Times New Roman"/>
          <w:color w:val="000000"/>
          <w:sz w:val="24"/>
          <w:szCs w:val="24"/>
        </w:rPr>
        <w:t>Raportin final të vlerësimit të planit kombëtar të veprimit për rininë 2015</w:t>
      </w:r>
      <w:r w:rsidR="0047619D" w:rsidRPr="00E83C5E">
        <w:rPr>
          <w:rFonts w:ascii="Garamond" w:eastAsia="Times New Roman" w:hAnsi="Garamond" w:cs="Times New Roman"/>
          <w:color w:val="000000"/>
          <w:sz w:val="24"/>
          <w:szCs w:val="24"/>
        </w:rPr>
        <w:t>–</w:t>
      </w:r>
      <w:r w:rsidRPr="00E83C5E">
        <w:rPr>
          <w:rFonts w:ascii="Garamond" w:eastAsia="Times New Roman" w:hAnsi="Garamond" w:cs="Times New Roman"/>
          <w:color w:val="000000"/>
          <w:sz w:val="24"/>
          <w:szCs w:val="24"/>
        </w:rPr>
        <w:t>20</w:t>
      </w:r>
      <w:r w:rsidR="00D540B0" w:rsidRPr="00E83C5E">
        <w:rPr>
          <w:rFonts w:ascii="Garamond" w:eastAsia="Times New Roman" w:hAnsi="Garamond" w:cs="Times New Roman"/>
          <w:color w:val="000000"/>
          <w:sz w:val="24"/>
          <w:szCs w:val="24"/>
        </w:rPr>
        <w:t>”</w:t>
      </w:r>
      <w:r w:rsidRPr="00E83C5E">
        <w:rPr>
          <w:rFonts w:ascii="Garamond" w:eastAsia="Times New Roman" w:hAnsi="Garamond" w:cs="Times New Roman"/>
          <w:color w:val="000000"/>
          <w:sz w:val="24"/>
          <w:szCs w:val="24"/>
        </w:rPr>
        <w:t xml:space="preserve"> përgatitur nga MAS</w:t>
      </w:r>
      <w:r w:rsidR="007C20F4" w:rsidRPr="00E83C5E">
        <w:rPr>
          <w:rFonts w:ascii="Garamond" w:eastAsia="Times New Roman" w:hAnsi="Garamond" w:cs="Times New Roman"/>
          <w:color w:val="000000"/>
          <w:sz w:val="24"/>
          <w:szCs w:val="24"/>
        </w:rPr>
        <w:t>-i</w:t>
      </w:r>
      <w:r w:rsidRPr="00E83C5E">
        <w:rPr>
          <w:rFonts w:ascii="Garamond" w:eastAsia="Times New Roman" w:hAnsi="Garamond" w:cs="Times New Roman"/>
          <w:color w:val="000000"/>
          <w:sz w:val="24"/>
          <w:szCs w:val="24"/>
        </w:rPr>
        <w:t xml:space="preserve"> me mbështetjen e UNFPA</w:t>
      </w:r>
      <w:r w:rsidR="00272EC0" w:rsidRPr="00E83C5E">
        <w:rPr>
          <w:rFonts w:ascii="Garamond" w:eastAsia="Times New Roman" w:hAnsi="Garamond" w:cs="Times New Roman"/>
          <w:color w:val="000000"/>
          <w:sz w:val="24"/>
          <w:szCs w:val="24"/>
        </w:rPr>
        <w:t>-së</w:t>
      </w:r>
      <w:r w:rsidRPr="00E83C5E">
        <w:rPr>
          <w:rFonts w:ascii="Garamond" w:eastAsia="Times New Roman" w:hAnsi="Garamond" w:cs="Times New Roman"/>
          <w:color w:val="000000"/>
          <w:sz w:val="24"/>
          <w:szCs w:val="24"/>
        </w:rPr>
        <w:t xml:space="preserve"> rezulton se 40% e indikatorëve ishin realizuar plotësisht dhe 16% pjesërisht</w:t>
      </w:r>
      <w:r w:rsidRPr="00E83C5E">
        <w:rPr>
          <w:rStyle w:val="FootnoteReference"/>
          <w:rFonts w:ascii="Garamond" w:eastAsia="Times New Roman" w:hAnsi="Garamond" w:cs="Times New Roman"/>
          <w:color w:val="000000"/>
          <w:sz w:val="24"/>
          <w:szCs w:val="24"/>
        </w:rPr>
        <w:footnoteReference w:id="10"/>
      </w:r>
      <w:r w:rsidRPr="00E83C5E">
        <w:rPr>
          <w:rFonts w:ascii="Garamond" w:eastAsia="Times New Roman" w:hAnsi="Garamond" w:cs="Times New Roman"/>
          <w:color w:val="000000"/>
          <w:sz w:val="24"/>
          <w:szCs w:val="24"/>
        </w:rPr>
        <w:t>. Në lidhje me secilin nga të gjashtë objektivat specifikë vihet re:</w:t>
      </w:r>
    </w:p>
    <w:p w14:paraId="574E2A7B" w14:textId="2771F112" w:rsidR="004F08CB" w:rsidRPr="00E83C5E" w:rsidRDefault="00125B03" w:rsidP="00125B03">
      <w:pPr>
        <w:pStyle w:val="TEKSTIII"/>
      </w:pPr>
      <w:r w:rsidRPr="00E83C5E">
        <w:t>-</w:t>
      </w:r>
      <w:r w:rsidR="00C011B4" w:rsidRPr="00E83C5E">
        <w:t xml:space="preserve"> </w:t>
      </w:r>
      <w:r w:rsidR="004F08CB" w:rsidRPr="00E83C5E">
        <w:t xml:space="preserve">Për objektivin e parë </w:t>
      </w:r>
      <w:r w:rsidR="00D540B0" w:rsidRPr="00E83C5E">
        <w:t>“</w:t>
      </w:r>
      <w:r w:rsidR="004F08CB" w:rsidRPr="00E83C5E">
        <w:t>Rritja dhe pjesëmarrja e të rinjve në proceset e vendimmarrjes demokratike</w:t>
      </w:r>
      <w:r w:rsidR="00D540B0" w:rsidRPr="00E83C5E">
        <w:t>”</w:t>
      </w:r>
      <w:r w:rsidR="004F08CB" w:rsidRPr="00E83C5E">
        <w:t xml:space="preserve"> raporti i vlerësimit thekson se duhet të vazhdojë me tej forcimi i strukturave dhe kapaciteteve të organizatave rinore dhe e përfaqësimit të të rejave dhe të rinjve në proceset </w:t>
      </w:r>
      <w:r w:rsidR="00053B5D" w:rsidRPr="00E83C5E">
        <w:t>vendim</w:t>
      </w:r>
      <w:r w:rsidR="004F08CB" w:rsidRPr="00E83C5E">
        <w:t xml:space="preserve">marrëse. </w:t>
      </w:r>
    </w:p>
    <w:p w14:paraId="574E2A7C" w14:textId="2391BF29" w:rsidR="004F08CB" w:rsidRPr="00E83C5E" w:rsidRDefault="00125B03" w:rsidP="00125B03">
      <w:pPr>
        <w:pStyle w:val="TEKSTIII"/>
      </w:pPr>
      <w:r w:rsidRPr="00E83C5E">
        <w:lastRenderedPageBreak/>
        <w:t>-</w:t>
      </w:r>
      <w:r w:rsidR="00C011B4" w:rsidRPr="00E83C5E">
        <w:t xml:space="preserve"> </w:t>
      </w:r>
      <w:r w:rsidR="004F08CB" w:rsidRPr="00E83C5E">
        <w:t xml:space="preserve">Për objektivin e dytë </w:t>
      </w:r>
      <w:r w:rsidR="00D540B0" w:rsidRPr="00E83C5E">
        <w:t>“</w:t>
      </w:r>
      <w:r w:rsidR="004F08CB" w:rsidRPr="00E83C5E">
        <w:t>Rritja e punësimit të të rinjve përmes politikave efektive të tregut të punës</w:t>
      </w:r>
      <w:r w:rsidR="00D540B0" w:rsidRPr="00E83C5E">
        <w:t>”</w:t>
      </w:r>
      <w:r w:rsidR="004F08CB" w:rsidRPr="00E83C5E">
        <w:t xml:space="preserve"> vlerësimi thekson arritjet në lidhje me përmirësimin e kuadrit ligjor për praktikat e punësimit dhe rritjen e nivelit të kualifikimeve profesionale të të rinjve në përputhje me zhvillimin e sistemeve të akreditimit. Nga ana tjetër fuqizimi i burimeve të informacionit mbi punësimin duhet zhvilluar dhe përmirësuar më tej. </w:t>
      </w:r>
    </w:p>
    <w:p w14:paraId="574E2A7D" w14:textId="50DE91F7" w:rsidR="004F08CB" w:rsidRPr="00E83C5E" w:rsidRDefault="00125B03" w:rsidP="00125B03">
      <w:pPr>
        <w:pStyle w:val="TEKSTIII"/>
      </w:pPr>
      <w:r w:rsidRPr="00E83C5E">
        <w:t>-</w:t>
      </w:r>
      <w:r w:rsidR="00C011B4" w:rsidRPr="00E83C5E">
        <w:t xml:space="preserve"> </w:t>
      </w:r>
      <w:r w:rsidR="004F08CB" w:rsidRPr="00E83C5E">
        <w:t xml:space="preserve">Për objektivin e tretë </w:t>
      </w:r>
      <w:r w:rsidR="00D540B0" w:rsidRPr="00E83C5E">
        <w:t>“</w:t>
      </w:r>
      <w:r w:rsidR="004F08CB" w:rsidRPr="00E83C5E">
        <w:t>Shëndeti, sporti dhe mjedisi</w:t>
      </w:r>
      <w:r w:rsidR="00D540B0" w:rsidRPr="00E83C5E">
        <w:t>”</w:t>
      </w:r>
      <w:r w:rsidR="004F08CB" w:rsidRPr="00E83C5E">
        <w:t xml:space="preserve"> vlerësimi vë re se ka përmirësime si në kuadrin ligjor të politikave për mbrojtën e shëndetit dhe të shtrirjes së edukimit shëndetësor në institucionet dhe kurrikulat e arsimit parauniversitar. Zhvillime ka pasur edhe në fushën e ndërgjegjësimit për ruajtjen e mjedisit. Edhe në këtë objektiv, përhapja e informacionit dhe </w:t>
      </w:r>
      <w:r w:rsidR="00F228F8" w:rsidRPr="00E83C5E">
        <w:t>planifikimi</w:t>
      </w:r>
      <w:r w:rsidR="004F08CB" w:rsidRPr="00E83C5E">
        <w:t xml:space="preserve"> më i mirë dhe i shpërndarë gjatë gjithë vitit i aktiviteteve mbetet problematik. </w:t>
      </w:r>
    </w:p>
    <w:p w14:paraId="574E2A7E" w14:textId="4A32A42D" w:rsidR="004F08CB" w:rsidRPr="00E83C5E" w:rsidRDefault="00125B03" w:rsidP="00125B03">
      <w:pPr>
        <w:pStyle w:val="TEKSTIII"/>
      </w:pPr>
      <w:r w:rsidRPr="00E83C5E">
        <w:t>-</w:t>
      </w:r>
      <w:r w:rsidR="00C011B4" w:rsidRPr="00E83C5E">
        <w:t xml:space="preserve"> </w:t>
      </w:r>
      <w:r w:rsidR="004F08CB" w:rsidRPr="00E83C5E">
        <w:t xml:space="preserve">Për objektivin e katërt </w:t>
      </w:r>
      <w:r w:rsidR="00D540B0" w:rsidRPr="00E83C5E">
        <w:t>“</w:t>
      </w:r>
      <w:r w:rsidR="004F08CB" w:rsidRPr="00E83C5E">
        <w:t>Edukimi i të rinjve</w:t>
      </w:r>
      <w:r w:rsidR="00D540B0" w:rsidRPr="00E83C5E">
        <w:t>”</w:t>
      </w:r>
      <w:r w:rsidR="004F08CB" w:rsidRPr="00E83C5E">
        <w:t xml:space="preserve"> vlerësimi thekson përmirësimet e kuadrit ligjor që i ka hapur rrugë reformave, por nga ana tjetër mbetet shumë për të bërë për integrimin e fëmijëve nga minoritet. Digjitalizimi i proceseve mësimdhënëse e mësimnxënëse mbetet po ashtu problematik veçanërisht në lidhje me proceset e mësimit gjatë mbylljes pandemike. </w:t>
      </w:r>
    </w:p>
    <w:p w14:paraId="574E2A7F" w14:textId="5F9D3222" w:rsidR="004F08CB" w:rsidRPr="00E83C5E" w:rsidRDefault="00125B03" w:rsidP="00125B03">
      <w:pPr>
        <w:pStyle w:val="TEKSTIII"/>
      </w:pPr>
      <w:r w:rsidRPr="00E83C5E">
        <w:t>-</w:t>
      </w:r>
      <w:r w:rsidR="00C011B4" w:rsidRPr="00E83C5E">
        <w:t xml:space="preserve"> </w:t>
      </w:r>
      <w:r w:rsidR="004F08CB" w:rsidRPr="00E83C5E">
        <w:t xml:space="preserve">Për objektivin e pestë </w:t>
      </w:r>
      <w:r w:rsidR="00D540B0" w:rsidRPr="00E83C5E">
        <w:t>“</w:t>
      </w:r>
      <w:r w:rsidR="004F08CB" w:rsidRPr="00E83C5E">
        <w:t>Mbrojtja sociale</w:t>
      </w:r>
      <w:r w:rsidR="00D540B0" w:rsidRPr="00E83C5E">
        <w:t>”</w:t>
      </w:r>
      <w:r w:rsidR="004F08CB" w:rsidRPr="00E83C5E">
        <w:t xml:space="preserve"> mbetet për t’u bërë shumë për krijimin e standar</w:t>
      </w:r>
      <w:r w:rsidR="00F228F8" w:rsidRPr="00E83C5E">
        <w:t>d</w:t>
      </w:r>
      <w:r w:rsidR="004F08CB" w:rsidRPr="00E83C5E">
        <w:t>eve të kujdesit social për të gjitha llojet e subjekteve në lidhje me shërbimet për varësinë kundrejt drogave dhe të rinjve me HIV/</w:t>
      </w:r>
      <w:r w:rsidR="00F228F8" w:rsidRPr="00E83C5E">
        <w:t>AIDS</w:t>
      </w:r>
      <w:r w:rsidR="004F08CB" w:rsidRPr="00E83C5E">
        <w:t xml:space="preserve">. </w:t>
      </w:r>
      <w:r w:rsidR="00F228F8" w:rsidRPr="00E83C5E">
        <w:t>Aktivitet</w:t>
      </w:r>
      <w:r w:rsidR="004F08CB" w:rsidRPr="00E83C5E">
        <w:t xml:space="preserve"> e ndërmarra në këtë fushë kërkojnë edhe më shumë </w:t>
      </w:r>
    </w:p>
    <w:p w14:paraId="574E2A80" w14:textId="4DC297D6" w:rsidR="004F08CB" w:rsidRPr="00E83C5E" w:rsidRDefault="00125B03" w:rsidP="00125B03">
      <w:pPr>
        <w:pStyle w:val="TEKSTIII"/>
      </w:pPr>
      <w:r w:rsidRPr="00E83C5E">
        <w:t>-</w:t>
      </w:r>
      <w:r w:rsidR="00C011B4" w:rsidRPr="00E83C5E">
        <w:t xml:space="preserve"> </w:t>
      </w:r>
      <w:r w:rsidR="004F08CB" w:rsidRPr="00E83C5E">
        <w:t xml:space="preserve">Për objektivin e gjashtë </w:t>
      </w:r>
      <w:r w:rsidR="00D540B0" w:rsidRPr="00E83C5E">
        <w:t>“</w:t>
      </w:r>
      <w:r w:rsidR="004F08CB" w:rsidRPr="00E83C5E">
        <w:t>Kultura dhe vullnetarizmi</w:t>
      </w:r>
      <w:r w:rsidR="00D540B0" w:rsidRPr="00E83C5E">
        <w:t>”</w:t>
      </w:r>
      <w:r w:rsidR="004F08CB" w:rsidRPr="00E83C5E">
        <w:t xml:space="preserve"> duket se ka qenë problem mungesa e një ligji që rregullon </w:t>
      </w:r>
      <w:r w:rsidR="00F228F8" w:rsidRPr="00E83C5E">
        <w:t>marrëdhëniet</w:t>
      </w:r>
      <w:r w:rsidR="004F08CB" w:rsidRPr="00E83C5E">
        <w:t xml:space="preserve"> mes vullnetarëve dhe organizatave ofruese të vullnetarizmit. </w:t>
      </w:r>
    </w:p>
    <w:p w14:paraId="574E2A81" w14:textId="0F4A86D2" w:rsidR="004F08CB" w:rsidRPr="00E83C5E" w:rsidRDefault="00125B03" w:rsidP="00125B03">
      <w:pPr>
        <w:pStyle w:val="TEKSTIII"/>
      </w:pPr>
      <w:r w:rsidRPr="00E83C5E">
        <w:t>-</w:t>
      </w:r>
      <w:r w:rsidR="00C011B4" w:rsidRPr="00E83C5E">
        <w:t xml:space="preserve"> </w:t>
      </w:r>
      <w:r w:rsidR="004F08CB" w:rsidRPr="00E83C5E">
        <w:t>Të gjitha gjetjet e këtij vlerësimi</w:t>
      </w:r>
      <w:r w:rsidR="006643CC">
        <w:t>,</w:t>
      </w:r>
      <w:r w:rsidR="004F08CB" w:rsidRPr="00E83C5E">
        <w:t xml:space="preserve"> si edhe problemet që janë hasur në zbatimin e këtij plani janë marrë parasysh në hartimin e kësaj strategjie. Objektivat specifikë të përmendur dhe analizuar më poshtë së bashku me masat dhe aktivitetet e parashikuara marrin në konsideratë problematikën e zhvilluar gjatë zbatimit të këtij plani dhe strategjia synon zgjidhje afatgjata si për problemet ashtu edhe në lidhje me zhvillimin rinor në përgjithësi. </w:t>
      </w:r>
    </w:p>
    <w:p w14:paraId="574E2A82" w14:textId="3C1DE2AF" w:rsidR="004F08CB" w:rsidRPr="00E83C5E" w:rsidRDefault="00125B03" w:rsidP="00125B03">
      <w:pPr>
        <w:pStyle w:val="TEKSTIII"/>
        <w:rPr>
          <w:b/>
          <w:lang w:eastAsia="en-GB"/>
        </w:rPr>
      </w:pPr>
      <w:r w:rsidRPr="00E83C5E">
        <w:rPr>
          <w:b/>
          <w:lang w:eastAsia="en-GB"/>
        </w:rPr>
        <w:t xml:space="preserve">2.4 </w:t>
      </w:r>
      <w:r w:rsidR="004F08CB" w:rsidRPr="00E83C5E">
        <w:rPr>
          <w:b/>
          <w:lang w:eastAsia="en-GB"/>
        </w:rPr>
        <w:t>Lidhja e SKR me strategjitë sektoriale dhe ndërsektoriale</w:t>
      </w:r>
    </w:p>
    <w:p w14:paraId="574E2A83" w14:textId="471760FE" w:rsidR="004F08CB" w:rsidRPr="00E83C5E" w:rsidRDefault="004F08CB" w:rsidP="004F08CB">
      <w:pPr>
        <w:spacing w:after="0" w:line="240" w:lineRule="auto"/>
        <w:ind w:firstLine="284"/>
        <w:jc w:val="both"/>
        <w:rPr>
          <w:rFonts w:ascii="Garamond" w:hAnsi="Garamond" w:cs="Times New Roman"/>
          <w:bCs/>
          <w:sz w:val="24"/>
          <w:szCs w:val="24"/>
        </w:rPr>
      </w:pPr>
      <w:r w:rsidRPr="00E83C5E">
        <w:rPr>
          <w:rFonts w:ascii="Garamond" w:hAnsi="Garamond" w:cs="Times New Roman"/>
          <w:bCs/>
          <w:sz w:val="24"/>
          <w:szCs w:val="24"/>
        </w:rPr>
        <w:t>Ideja e hartimit të Strategjisë Kombëtare për Rininë 2022</w:t>
      </w:r>
      <w:r w:rsidR="00F228F8" w:rsidRPr="00E83C5E">
        <w:rPr>
          <w:rFonts w:ascii="Garamond" w:eastAsia="Times New Roman" w:hAnsi="Garamond" w:cs="Times New Roman"/>
          <w:color w:val="000000"/>
          <w:sz w:val="24"/>
          <w:szCs w:val="24"/>
        </w:rPr>
        <w:t>–</w:t>
      </w:r>
      <w:r w:rsidRPr="00E83C5E">
        <w:rPr>
          <w:rFonts w:ascii="Garamond" w:hAnsi="Garamond" w:cs="Times New Roman"/>
          <w:bCs/>
          <w:sz w:val="24"/>
          <w:szCs w:val="24"/>
        </w:rPr>
        <w:t>2029 vjen si një zhvillim jo vetëm nga miratimi</w:t>
      </w:r>
      <w:r w:rsidRPr="00E83C5E">
        <w:rPr>
          <w:rStyle w:val="FootnoteReference"/>
          <w:rFonts w:ascii="Garamond" w:hAnsi="Garamond" w:cs="Times New Roman"/>
          <w:bCs/>
          <w:sz w:val="24"/>
          <w:szCs w:val="24"/>
        </w:rPr>
        <w:footnoteReference w:id="11"/>
      </w:r>
      <w:r w:rsidRPr="00E83C5E">
        <w:rPr>
          <w:rFonts w:ascii="Garamond" w:hAnsi="Garamond" w:cs="Times New Roman"/>
          <w:bCs/>
          <w:sz w:val="24"/>
          <w:szCs w:val="24"/>
        </w:rPr>
        <w:t xml:space="preserve"> e </w:t>
      </w:r>
      <w:r w:rsidR="00F228F8" w:rsidRPr="00E83C5E">
        <w:rPr>
          <w:rFonts w:ascii="Garamond" w:hAnsi="Garamond" w:cs="Times New Roman"/>
          <w:bCs/>
          <w:sz w:val="24"/>
          <w:szCs w:val="24"/>
        </w:rPr>
        <w:t>l</w:t>
      </w:r>
      <w:r w:rsidRPr="00E83C5E">
        <w:rPr>
          <w:rFonts w:ascii="Garamond" w:hAnsi="Garamond" w:cs="Times New Roman"/>
          <w:bCs/>
          <w:sz w:val="24"/>
          <w:szCs w:val="24"/>
        </w:rPr>
        <w:t xml:space="preserve">igjit nr. 75/2019 </w:t>
      </w:r>
      <w:r w:rsidR="00D540B0" w:rsidRPr="00E83C5E">
        <w:rPr>
          <w:rFonts w:ascii="Garamond" w:hAnsi="Garamond" w:cs="Times New Roman"/>
          <w:bCs/>
          <w:sz w:val="24"/>
          <w:szCs w:val="24"/>
        </w:rPr>
        <w:t>“</w:t>
      </w:r>
      <w:r w:rsidRPr="00E83C5E">
        <w:rPr>
          <w:rFonts w:ascii="Garamond" w:hAnsi="Garamond" w:cs="Times New Roman"/>
          <w:bCs/>
          <w:sz w:val="24"/>
          <w:szCs w:val="24"/>
        </w:rPr>
        <w:t xml:space="preserve">Për </w:t>
      </w:r>
      <w:r w:rsidR="00F228F8" w:rsidRPr="00E83C5E">
        <w:rPr>
          <w:rFonts w:ascii="Garamond" w:hAnsi="Garamond" w:cs="Times New Roman"/>
          <w:bCs/>
          <w:sz w:val="24"/>
          <w:szCs w:val="24"/>
        </w:rPr>
        <w:t>r</w:t>
      </w:r>
      <w:r w:rsidRPr="00E83C5E">
        <w:rPr>
          <w:rFonts w:ascii="Garamond" w:hAnsi="Garamond" w:cs="Times New Roman"/>
          <w:bCs/>
          <w:sz w:val="24"/>
          <w:szCs w:val="24"/>
        </w:rPr>
        <w:t>ininë</w:t>
      </w:r>
      <w:r w:rsidR="00D540B0" w:rsidRPr="00E83C5E">
        <w:rPr>
          <w:rFonts w:ascii="Garamond" w:hAnsi="Garamond" w:cs="Times New Roman"/>
          <w:bCs/>
          <w:sz w:val="24"/>
          <w:szCs w:val="24"/>
        </w:rPr>
        <w:t>”</w:t>
      </w:r>
      <w:r w:rsidRPr="00E83C5E">
        <w:rPr>
          <w:rFonts w:ascii="Garamond" w:hAnsi="Garamond" w:cs="Times New Roman"/>
          <w:bCs/>
          <w:sz w:val="24"/>
          <w:szCs w:val="24"/>
        </w:rPr>
        <w:t xml:space="preserve">, por edhe për faktin se në dhjetor 2020 ka përfunduar </w:t>
      </w:r>
      <w:r w:rsidR="00D540B0" w:rsidRPr="00E83C5E">
        <w:rPr>
          <w:rFonts w:ascii="Garamond" w:hAnsi="Garamond" w:cs="Times New Roman"/>
          <w:bCs/>
          <w:sz w:val="24"/>
          <w:szCs w:val="24"/>
        </w:rPr>
        <w:t>“</w:t>
      </w:r>
      <w:r w:rsidRPr="00E83C5E">
        <w:rPr>
          <w:rFonts w:ascii="Garamond" w:hAnsi="Garamond" w:cs="Times New Roman"/>
          <w:bCs/>
          <w:sz w:val="24"/>
          <w:szCs w:val="24"/>
        </w:rPr>
        <w:t>Plani Kombëtar i Veprimit për Rininë 2015</w:t>
      </w:r>
      <w:r w:rsidR="00F228F8" w:rsidRPr="00E83C5E">
        <w:rPr>
          <w:rFonts w:ascii="Garamond" w:eastAsia="Times New Roman" w:hAnsi="Garamond" w:cs="Times New Roman"/>
          <w:color w:val="000000"/>
          <w:sz w:val="24"/>
          <w:szCs w:val="24"/>
        </w:rPr>
        <w:t>–</w:t>
      </w:r>
      <w:r w:rsidRPr="00E83C5E">
        <w:rPr>
          <w:rFonts w:ascii="Garamond" w:hAnsi="Garamond" w:cs="Times New Roman"/>
          <w:bCs/>
          <w:sz w:val="24"/>
          <w:szCs w:val="24"/>
        </w:rPr>
        <w:t>2020</w:t>
      </w:r>
      <w:r w:rsidR="00D540B0" w:rsidRPr="00E83C5E">
        <w:rPr>
          <w:rFonts w:ascii="Garamond" w:hAnsi="Garamond" w:cs="Times New Roman"/>
          <w:bCs/>
          <w:sz w:val="24"/>
          <w:szCs w:val="24"/>
        </w:rPr>
        <w:t>”</w:t>
      </w:r>
      <w:r w:rsidRPr="00E83C5E">
        <w:rPr>
          <w:rFonts w:ascii="Garamond" w:hAnsi="Garamond" w:cs="Times New Roman"/>
          <w:bCs/>
          <w:sz w:val="24"/>
          <w:szCs w:val="24"/>
        </w:rPr>
        <w:t>. Strategjia Kombëtare për Rininë 2022</w:t>
      </w:r>
      <w:r w:rsidR="00F228F8" w:rsidRPr="00E83C5E">
        <w:rPr>
          <w:rFonts w:ascii="Garamond" w:eastAsia="Times New Roman" w:hAnsi="Garamond" w:cs="Times New Roman"/>
          <w:color w:val="000000"/>
          <w:sz w:val="24"/>
          <w:szCs w:val="24"/>
        </w:rPr>
        <w:t>–</w:t>
      </w:r>
      <w:r w:rsidRPr="00E83C5E">
        <w:rPr>
          <w:rFonts w:ascii="Garamond" w:hAnsi="Garamond" w:cs="Times New Roman"/>
          <w:bCs/>
          <w:sz w:val="24"/>
          <w:szCs w:val="24"/>
        </w:rPr>
        <w:t>2029 do të jetë dokumenti ku do të bazohen politikat për aktivizimin, përfshirjen dhe mbështetjen e të rinjve. Ky dokument do të synojë hartimin e politikave rinore kombëtare integruese, për adresimin e problemeve të ndryshme me të cilat përballen sot të rinjtë e që lidhen me sfida si, përfshirja e tyre në proceset vendimmarrëse, punësimi, edukimi, teknologjia dhe inovacioni, rritja e aktiviteteve në lidhje me artet dhe zejet, shtim të aktiviteteve sportive, vullnetarizëm etj. Strategjia Kombëtare për Rininë 2022</w:t>
      </w:r>
      <w:r w:rsidR="00D62CC3" w:rsidRPr="00E83C5E">
        <w:rPr>
          <w:rFonts w:ascii="Garamond" w:eastAsia="Times New Roman" w:hAnsi="Garamond" w:cs="Times New Roman"/>
          <w:color w:val="000000"/>
          <w:sz w:val="24"/>
          <w:szCs w:val="24"/>
        </w:rPr>
        <w:t>–</w:t>
      </w:r>
      <w:r w:rsidRPr="00E83C5E">
        <w:rPr>
          <w:rFonts w:ascii="Garamond" w:hAnsi="Garamond" w:cs="Times New Roman"/>
          <w:bCs/>
          <w:sz w:val="24"/>
          <w:szCs w:val="24"/>
        </w:rPr>
        <w:t>2029 do të jetë në përputhje me Strategjinë Evropiane për Rininë 2019</w:t>
      </w:r>
      <w:r w:rsidR="00D62CC3" w:rsidRPr="00E83C5E">
        <w:rPr>
          <w:rFonts w:ascii="Garamond" w:eastAsia="Times New Roman" w:hAnsi="Garamond" w:cs="Times New Roman"/>
          <w:color w:val="000000"/>
          <w:sz w:val="24"/>
          <w:szCs w:val="24"/>
        </w:rPr>
        <w:t>–</w:t>
      </w:r>
      <w:r w:rsidRPr="00E83C5E">
        <w:rPr>
          <w:rFonts w:ascii="Garamond" w:hAnsi="Garamond" w:cs="Times New Roman"/>
          <w:bCs/>
          <w:sz w:val="24"/>
          <w:szCs w:val="24"/>
        </w:rPr>
        <w:t xml:space="preserve">2027. </w:t>
      </w:r>
    </w:p>
    <w:p w14:paraId="574E2A84" w14:textId="2BE58A0A" w:rsidR="004F08CB" w:rsidRPr="00E83C5E" w:rsidRDefault="004F08CB" w:rsidP="004F08CB">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Në bazë të </w:t>
      </w:r>
      <w:r w:rsidR="00F228F8" w:rsidRPr="00E83C5E">
        <w:rPr>
          <w:rFonts w:ascii="Garamond" w:hAnsi="Garamond" w:cs="Times New Roman"/>
          <w:sz w:val="24"/>
          <w:szCs w:val="24"/>
        </w:rPr>
        <w:t>v</w:t>
      </w:r>
      <w:r w:rsidRPr="00E83C5E">
        <w:rPr>
          <w:rFonts w:ascii="Garamond" w:hAnsi="Garamond" w:cs="Times New Roman"/>
          <w:sz w:val="24"/>
          <w:szCs w:val="24"/>
        </w:rPr>
        <w:t>endimit nr. 524, datë 22.9.2021</w:t>
      </w:r>
      <w:r w:rsidR="00F228F8" w:rsidRPr="00E83C5E">
        <w:rPr>
          <w:rFonts w:ascii="Garamond" w:hAnsi="Garamond" w:cs="Times New Roman"/>
          <w:sz w:val="24"/>
          <w:szCs w:val="24"/>
        </w:rPr>
        <w:t>,</w:t>
      </w:r>
      <w:r w:rsidRPr="00E83C5E">
        <w:rPr>
          <w:rFonts w:ascii="Garamond" w:hAnsi="Garamond" w:cs="Times New Roman"/>
          <w:sz w:val="24"/>
          <w:szCs w:val="24"/>
        </w:rPr>
        <w:t xml:space="preserve"> të Këshillit të Ministrave, </w:t>
      </w:r>
      <w:r w:rsidR="00D540B0" w:rsidRPr="00E83C5E">
        <w:rPr>
          <w:rFonts w:ascii="Garamond" w:hAnsi="Garamond" w:cs="Times New Roman"/>
          <w:sz w:val="24"/>
          <w:szCs w:val="24"/>
        </w:rPr>
        <w:t>“</w:t>
      </w:r>
      <w:r w:rsidRPr="00E83C5E">
        <w:rPr>
          <w:rFonts w:ascii="Garamond" w:hAnsi="Garamond" w:cs="Times New Roman"/>
          <w:sz w:val="24"/>
          <w:szCs w:val="24"/>
        </w:rPr>
        <w:t>Rinia</w:t>
      </w:r>
      <w:r w:rsidR="00D540B0" w:rsidRPr="00E83C5E">
        <w:rPr>
          <w:rFonts w:ascii="Garamond" w:hAnsi="Garamond" w:cs="Times New Roman"/>
          <w:sz w:val="24"/>
          <w:szCs w:val="24"/>
        </w:rPr>
        <w:t>”</w:t>
      </w:r>
      <w:r w:rsidRPr="00E83C5E">
        <w:rPr>
          <w:rFonts w:ascii="Garamond" w:hAnsi="Garamond" w:cs="Times New Roman"/>
          <w:sz w:val="24"/>
          <w:szCs w:val="24"/>
        </w:rPr>
        <w:t xml:space="preserve"> është fushë e përgjegjësisë së </w:t>
      </w:r>
      <w:r w:rsidR="00F228F8" w:rsidRPr="00E83C5E">
        <w:rPr>
          <w:rFonts w:ascii="Garamond" w:hAnsi="Garamond" w:cs="Times New Roman"/>
          <w:sz w:val="24"/>
          <w:szCs w:val="24"/>
        </w:rPr>
        <w:t>m</w:t>
      </w:r>
      <w:r w:rsidRPr="00E83C5E">
        <w:rPr>
          <w:rFonts w:ascii="Garamond" w:hAnsi="Garamond" w:cs="Times New Roman"/>
          <w:sz w:val="24"/>
          <w:szCs w:val="24"/>
        </w:rPr>
        <w:t>inistrit të Shtetit për Rininë dhe Fëmijët, për pasojë dhe puna për hartimin e Strategjisë Kombëtare për Rininë ka kaluar në këtë ministri. Duke marrë parasysh kalimin e kompetencave nga MAS</w:t>
      </w:r>
      <w:r w:rsidR="00F228F8" w:rsidRPr="00E83C5E">
        <w:rPr>
          <w:rFonts w:ascii="Garamond" w:hAnsi="Garamond" w:cs="Times New Roman"/>
          <w:sz w:val="24"/>
          <w:szCs w:val="24"/>
        </w:rPr>
        <w:t>-i</w:t>
      </w:r>
      <w:r w:rsidRPr="00E83C5E">
        <w:rPr>
          <w:rFonts w:ascii="Garamond" w:hAnsi="Garamond" w:cs="Times New Roman"/>
          <w:sz w:val="24"/>
          <w:szCs w:val="24"/>
        </w:rPr>
        <w:t xml:space="preserve"> te </w:t>
      </w:r>
      <w:r w:rsidR="00F228F8" w:rsidRPr="00E83C5E">
        <w:rPr>
          <w:rFonts w:ascii="Garamond" w:hAnsi="Garamond" w:cs="Times New Roman"/>
          <w:sz w:val="24"/>
          <w:szCs w:val="24"/>
        </w:rPr>
        <w:t>m</w:t>
      </w:r>
      <w:r w:rsidRPr="00E83C5E">
        <w:rPr>
          <w:rFonts w:ascii="Garamond" w:hAnsi="Garamond" w:cs="Times New Roman"/>
          <w:sz w:val="24"/>
          <w:szCs w:val="24"/>
        </w:rPr>
        <w:t>inistri i Shtetit për Rininë dhe Fëmijët, ka pasur disa ndryshime dhe vonesa në procesin e hartimit të strategjisë.</w:t>
      </w:r>
    </w:p>
    <w:p w14:paraId="574E2A85" w14:textId="23EDBC9C" w:rsidR="004F08CB" w:rsidRPr="00E83C5E" w:rsidRDefault="004F08CB" w:rsidP="004F08CB">
      <w:pPr>
        <w:spacing w:after="0" w:line="240" w:lineRule="auto"/>
        <w:ind w:firstLine="284"/>
        <w:jc w:val="both"/>
        <w:rPr>
          <w:rFonts w:ascii="Garamond" w:hAnsi="Garamond" w:cs="Times New Roman"/>
          <w:sz w:val="24"/>
          <w:szCs w:val="24"/>
        </w:rPr>
      </w:pPr>
      <w:r w:rsidRPr="00E83C5E">
        <w:rPr>
          <w:rFonts w:ascii="Garamond" w:hAnsi="Garamond" w:cs="Times New Roman"/>
          <w:bCs/>
          <w:sz w:val="24"/>
          <w:szCs w:val="24"/>
        </w:rPr>
        <w:t xml:space="preserve">Në kuadër të hartimit të Strategjisë, u theksua se </w:t>
      </w:r>
      <w:r w:rsidR="00B601C9" w:rsidRPr="00E83C5E">
        <w:rPr>
          <w:rFonts w:ascii="Garamond" w:hAnsi="Garamond" w:cs="Times New Roman"/>
          <w:bCs/>
          <w:sz w:val="24"/>
          <w:szCs w:val="24"/>
        </w:rPr>
        <w:t>m</w:t>
      </w:r>
      <w:r w:rsidRPr="00E83C5E">
        <w:rPr>
          <w:rFonts w:ascii="Garamond" w:hAnsi="Garamond" w:cs="Times New Roman"/>
          <w:bCs/>
          <w:sz w:val="24"/>
          <w:szCs w:val="24"/>
        </w:rPr>
        <w:t>inistri i Shtetit për Rininë dhe Fëmijët ka zhvilluar takime me nxënës përfaqësues të shkollave të arsimit të mesëm të lartë, të arsimit profesional, studentë nga institucione të ndryshme të arsimit të lartë, organizata për të rinj dhe përfaqësues nga institucione qendrore dhe vendore</w:t>
      </w:r>
      <w:r w:rsidRPr="00E83C5E">
        <w:rPr>
          <w:rStyle w:val="FootnoteReference"/>
          <w:rFonts w:ascii="Garamond" w:hAnsi="Garamond" w:cs="Times New Roman"/>
          <w:bCs/>
          <w:sz w:val="24"/>
          <w:szCs w:val="24"/>
        </w:rPr>
        <w:footnoteReference w:id="12"/>
      </w:r>
      <w:r w:rsidRPr="00E83C5E">
        <w:rPr>
          <w:rFonts w:ascii="Garamond" w:hAnsi="Garamond" w:cs="Times New Roman"/>
          <w:bCs/>
          <w:sz w:val="24"/>
          <w:szCs w:val="24"/>
        </w:rPr>
        <w:t xml:space="preserve">. Këto konsultime janë zhvilluar në të gjithë vendin </w:t>
      </w:r>
      <w:r w:rsidRPr="00E83C5E">
        <w:rPr>
          <w:rFonts w:ascii="Garamond" w:hAnsi="Garamond" w:cs="Times New Roman"/>
          <w:sz w:val="24"/>
          <w:szCs w:val="24"/>
        </w:rPr>
        <w:t xml:space="preserve">gjatë periudhës tetor-dhjetor 2021, për të përfshirë të rinjtë në hartimin e kësaj strategjie. </w:t>
      </w:r>
      <w:r w:rsidRPr="00E83C5E">
        <w:rPr>
          <w:rFonts w:ascii="Garamond" w:hAnsi="Garamond" w:cs="Times New Roman"/>
          <w:sz w:val="24"/>
          <w:szCs w:val="24"/>
        </w:rPr>
        <w:lastRenderedPageBreak/>
        <w:t>Në takimet e organizuara janë prekur tema shumë të rëndësishme dhe të ndjeshme për rininë që kishin të bënin me:</w:t>
      </w:r>
    </w:p>
    <w:p w14:paraId="574E2A86" w14:textId="70926A0D" w:rsidR="004F08CB" w:rsidRPr="00E83C5E" w:rsidRDefault="00125B03" w:rsidP="00125B03">
      <w:pPr>
        <w:pStyle w:val="TEKSTIII"/>
      </w:pPr>
      <w:r w:rsidRPr="00E83C5E">
        <w:t>-</w:t>
      </w:r>
      <w:r w:rsidR="00C011B4" w:rsidRPr="00E83C5E">
        <w:t xml:space="preserve"> </w:t>
      </w:r>
      <w:r w:rsidR="004F08CB" w:rsidRPr="00E83C5E">
        <w:t>Fuqizimin e jetës rinore në aktivitete dhe organizime të ndryshme;</w:t>
      </w:r>
    </w:p>
    <w:p w14:paraId="574E2A87" w14:textId="7BB885A5" w:rsidR="004F08CB" w:rsidRPr="00E83C5E" w:rsidRDefault="00125B03" w:rsidP="00125B03">
      <w:pPr>
        <w:pStyle w:val="TEKSTIII"/>
      </w:pPr>
      <w:r w:rsidRPr="00E83C5E">
        <w:t>-</w:t>
      </w:r>
      <w:r w:rsidR="00B229EC" w:rsidRPr="00E83C5E">
        <w:t xml:space="preserve"> </w:t>
      </w:r>
      <w:r w:rsidR="004F08CB" w:rsidRPr="00E83C5E">
        <w:t xml:space="preserve">Rritjen e cilësisë në arsim dhe zhvillimin novativ të tij duke e vënë theksin te zhvillimi </w:t>
      </w:r>
      <w:r w:rsidR="00B601C9" w:rsidRPr="00E83C5E">
        <w:t xml:space="preserve">i </w:t>
      </w:r>
      <w:r w:rsidR="004F08CB" w:rsidRPr="00E83C5E">
        <w:t>aftësive praktike e laboratorike, sipërmarrja, lidhja e arsimit universitar dhe atij profesional me tregun e punës, aftësive për jetën dhe të menduarin kritik;</w:t>
      </w:r>
    </w:p>
    <w:p w14:paraId="574E2A88" w14:textId="1C03D456" w:rsidR="004F08CB" w:rsidRPr="00E83C5E" w:rsidRDefault="00125B03" w:rsidP="00125B03">
      <w:pPr>
        <w:pStyle w:val="TEKSTIII"/>
      </w:pPr>
      <w:r w:rsidRPr="00E83C5E">
        <w:t>-</w:t>
      </w:r>
      <w:r w:rsidR="00B229EC" w:rsidRPr="00E83C5E">
        <w:t xml:space="preserve"> </w:t>
      </w:r>
      <w:r w:rsidR="004F08CB" w:rsidRPr="00E83C5E">
        <w:t>Fuqizimin e mekanizmave këshillues për punësim dhe karrierë dhe zhvillim profesional;</w:t>
      </w:r>
    </w:p>
    <w:p w14:paraId="574E2A89" w14:textId="307A1049" w:rsidR="004F08CB" w:rsidRPr="00E83C5E" w:rsidRDefault="00125B03" w:rsidP="00125B03">
      <w:pPr>
        <w:pStyle w:val="TEKSTIII"/>
      </w:pPr>
      <w:r w:rsidRPr="00E83C5E">
        <w:t>-</w:t>
      </w:r>
      <w:r w:rsidR="00B229EC" w:rsidRPr="00E83C5E">
        <w:t xml:space="preserve"> </w:t>
      </w:r>
      <w:r w:rsidR="004F08CB" w:rsidRPr="00E83C5E">
        <w:t>Mirëqenie fizike dhe mendore bazuar në rritjen e mundësive për t’u marrë me sporte dhe aktivitete të tjera</w:t>
      </w:r>
      <w:r w:rsidR="005F5A9E">
        <w:t>,</w:t>
      </w:r>
      <w:r w:rsidR="004F08CB" w:rsidRPr="00E83C5E">
        <w:t xml:space="preserve"> si edhe mundësitë për këshillim psikologjik profesional për të përballuar streset e shkaktuara nga situata pandemike;</w:t>
      </w:r>
    </w:p>
    <w:p w14:paraId="574E2A8A" w14:textId="41765166" w:rsidR="004F08CB" w:rsidRPr="00E83C5E" w:rsidRDefault="00125B03" w:rsidP="00125B03">
      <w:pPr>
        <w:pStyle w:val="TEKSTIII"/>
      </w:pPr>
      <w:r w:rsidRPr="00E83C5E">
        <w:t>-</w:t>
      </w:r>
      <w:r w:rsidR="00B229EC" w:rsidRPr="00E83C5E">
        <w:t xml:space="preserve"> </w:t>
      </w:r>
      <w:r w:rsidR="004F08CB" w:rsidRPr="00E83C5E">
        <w:t>Migrimi dhe roli i tij për rininë dhe zhvillimin e vendit;</w:t>
      </w:r>
    </w:p>
    <w:p w14:paraId="574E2A8B" w14:textId="731D95F6" w:rsidR="004F08CB" w:rsidRPr="00E83C5E" w:rsidRDefault="00125B03" w:rsidP="00125B03">
      <w:pPr>
        <w:pStyle w:val="TEKSTIII"/>
      </w:pPr>
      <w:r w:rsidRPr="00E83C5E">
        <w:t>-</w:t>
      </w:r>
      <w:r w:rsidR="00B229EC" w:rsidRPr="00E83C5E">
        <w:t xml:space="preserve"> </w:t>
      </w:r>
      <w:r w:rsidR="004F08CB" w:rsidRPr="00E83C5E">
        <w:t xml:space="preserve">Punësim të denjë dhe domethënës në përputhje me interesat e të rinjve. </w:t>
      </w:r>
    </w:p>
    <w:p w14:paraId="574E2A8C" w14:textId="1AB7BABD" w:rsidR="004F08CB" w:rsidRPr="00E83C5E" w:rsidRDefault="00125B03" w:rsidP="00125B03">
      <w:pPr>
        <w:pStyle w:val="TEKSTIII"/>
        <w:rPr>
          <w:rStyle w:val="jlqj4b"/>
          <w:rFonts w:eastAsiaTheme="majorEastAsia" w:cs="Times New Roman"/>
        </w:rPr>
      </w:pPr>
      <w:r w:rsidRPr="00E83C5E">
        <w:rPr>
          <w:rStyle w:val="jlqj4b"/>
          <w:rFonts w:eastAsiaTheme="majorEastAsia" w:cs="Times New Roman"/>
        </w:rPr>
        <w:t>-</w:t>
      </w:r>
      <w:r w:rsidR="00B229EC" w:rsidRPr="00E83C5E">
        <w:rPr>
          <w:rStyle w:val="jlqj4b"/>
          <w:rFonts w:eastAsiaTheme="majorEastAsia" w:cs="Times New Roman"/>
        </w:rPr>
        <w:t xml:space="preserve"> </w:t>
      </w:r>
      <w:r w:rsidR="004F08CB" w:rsidRPr="00E83C5E">
        <w:rPr>
          <w:rStyle w:val="jlqj4b"/>
          <w:rFonts w:eastAsiaTheme="majorEastAsia" w:cs="Times New Roman"/>
        </w:rPr>
        <w:t>Gjithashtu, SKR 2022</w:t>
      </w:r>
      <w:r w:rsidR="008E7640" w:rsidRPr="00E83C5E">
        <w:rPr>
          <w:rFonts w:eastAsia="Times New Roman" w:cs="Times New Roman"/>
          <w:color w:val="000000"/>
        </w:rPr>
        <w:t>–</w:t>
      </w:r>
      <w:r w:rsidR="004F08CB" w:rsidRPr="00E83C5E">
        <w:rPr>
          <w:rStyle w:val="jlqj4b"/>
          <w:rFonts w:eastAsiaTheme="majorEastAsia" w:cs="Times New Roman"/>
        </w:rPr>
        <w:t>2029 është harmonizuar</w:t>
      </w:r>
      <w:r w:rsidR="00233C37" w:rsidRPr="00E83C5E">
        <w:rPr>
          <w:rStyle w:val="jlqj4b"/>
          <w:rFonts w:eastAsiaTheme="majorEastAsia" w:cs="Times New Roman"/>
        </w:rPr>
        <w:t xml:space="preserve"> </w:t>
      </w:r>
      <w:r w:rsidR="004F08CB" w:rsidRPr="00E83C5E">
        <w:rPr>
          <w:rStyle w:val="jlqj4b"/>
          <w:rFonts w:eastAsiaTheme="majorEastAsia" w:cs="Times New Roman"/>
        </w:rPr>
        <w:t>dhe reflekton qëllimet e politikave, objektivat specifik</w:t>
      </w:r>
      <w:r w:rsidR="00246061">
        <w:rPr>
          <w:rStyle w:val="jlqj4b"/>
          <w:rFonts w:eastAsiaTheme="majorEastAsia" w:cs="Times New Roman"/>
        </w:rPr>
        <w:t>ë</w:t>
      </w:r>
      <w:r w:rsidR="004F08CB" w:rsidRPr="00E83C5E">
        <w:rPr>
          <w:rStyle w:val="jlqj4b"/>
          <w:rFonts w:eastAsiaTheme="majorEastAsia" w:cs="Times New Roman"/>
        </w:rPr>
        <w:t xml:space="preserve"> dhe masat e parashikuara në dokument</w:t>
      </w:r>
      <w:r w:rsidR="008E7640" w:rsidRPr="00E83C5E">
        <w:rPr>
          <w:rStyle w:val="jlqj4b"/>
          <w:rFonts w:eastAsiaTheme="majorEastAsia" w:cs="Times New Roman"/>
        </w:rPr>
        <w:t>e</w:t>
      </w:r>
      <w:r w:rsidR="004F08CB" w:rsidRPr="00E83C5E">
        <w:rPr>
          <w:rStyle w:val="jlqj4b"/>
          <w:rFonts w:eastAsiaTheme="majorEastAsia" w:cs="Times New Roman"/>
        </w:rPr>
        <w:t xml:space="preserve">t/planet strategjike të këtyre ministrive në lidhje me zërat specifikë në strategjitë e tyre që kanë të bëjnë me rininë. </w:t>
      </w:r>
    </w:p>
    <w:p w14:paraId="574E2A8D" w14:textId="729011AF" w:rsidR="004F08CB" w:rsidRPr="00E83C5E" w:rsidRDefault="00123E0B" w:rsidP="00123E0B">
      <w:pPr>
        <w:pStyle w:val="TEKSTIII"/>
      </w:pPr>
      <w:r w:rsidRPr="00E83C5E">
        <w:rPr>
          <w:b/>
          <w:bCs/>
        </w:rPr>
        <w:t>-</w:t>
      </w:r>
      <w:r w:rsidR="00B229EC" w:rsidRPr="00E83C5E">
        <w:rPr>
          <w:b/>
          <w:bCs/>
        </w:rPr>
        <w:t xml:space="preserve"> </w:t>
      </w:r>
      <w:r w:rsidR="004F08CB" w:rsidRPr="00E83C5E">
        <w:rPr>
          <w:b/>
          <w:bCs/>
        </w:rPr>
        <w:t>Agjenda Kombëtare për të Drejtat e Fëmijëve 2021</w:t>
      </w:r>
      <w:r w:rsidR="008E7640" w:rsidRPr="00E83C5E">
        <w:rPr>
          <w:rFonts w:eastAsia="Times New Roman" w:cs="Times New Roman"/>
          <w:color w:val="000000"/>
        </w:rPr>
        <w:t>–</w:t>
      </w:r>
      <w:r w:rsidR="004F08CB" w:rsidRPr="00E83C5E">
        <w:rPr>
          <w:b/>
          <w:bCs/>
        </w:rPr>
        <w:t>26</w:t>
      </w:r>
      <w:r w:rsidR="004F08CB" w:rsidRPr="00E83C5E">
        <w:t xml:space="preserve"> e</w:t>
      </w:r>
      <w:r w:rsidR="008E7640" w:rsidRPr="00E83C5E">
        <w:t xml:space="preserve"> miratuar me VKM nr. 659, datë </w:t>
      </w:r>
      <w:r w:rsidR="004F08CB" w:rsidRPr="00E83C5E">
        <w:t xml:space="preserve">3.11.2021 </w:t>
      </w:r>
      <w:r w:rsidR="00D540B0" w:rsidRPr="00E83C5E">
        <w:t>“</w:t>
      </w:r>
      <w:r w:rsidR="004F08CB" w:rsidRPr="00E83C5E">
        <w:t>Për miratimin e Agjendës Kombëtare për të Drejtat e Fëmijëve 2021</w:t>
      </w:r>
      <w:r w:rsidR="008E7640" w:rsidRPr="00E83C5E">
        <w:rPr>
          <w:rFonts w:eastAsia="Times New Roman" w:cs="Times New Roman"/>
          <w:color w:val="000000"/>
        </w:rPr>
        <w:t>–</w:t>
      </w:r>
      <w:r w:rsidR="004F08CB" w:rsidRPr="00E83C5E">
        <w:t>2026</w:t>
      </w:r>
      <w:r w:rsidR="008E7640" w:rsidRPr="00E83C5E">
        <w:t>.</w:t>
      </w:r>
    </w:p>
    <w:p w14:paraId="574E2A8E" w14:textId="0F13335F" w:rsidR="004F08CB" w:rsidRPr="00E83C5E" w:rsidRDefault="00123E0B" w:rsidP="00123E0B">
      <w:pPr>
        <w:pStyle w:val="TEKSTIII"/>
      </w:pPr>
      <w:r w:rsidRPr="00E83C5E">
        <w:rPr>
          <w:b/>
          <w:bCs/>
        </w:rPr>
        <w:t>-</w:t>
      </w:r>
      <w:r w:rsidR="00B229EC" w:rsidRPr="00E83C5E">
        <w:rPr>
          <w:b/>
          <w:bCs/>
        </w:rPr>
        <w:t xml:space="preserve"> </w:t>
      </w:r>
      <w:r w:rsidR="004F08CB" w:rsidRPr="00E83C5E">
        <w:rPr>
          <w:b/>
          <w:bCs/>
        </w:rPr>
        <w:t>Agjenda 2030 për Zhvillim të Qëndrueshëm</w:t>
      </w:r>
      <w:r w:rsidR="004F08CB" w:rsidRPr="00E83C5E">
        <w:t xml:space="preserve"> e cila ka 17 objektiva për zhvillim të qëndrueshëm të cilat ndërlidhen me politikat rinore dhe plane specifike në të paktën 20 elemente të këtyre objektivave. </w:t>
      </w:r>
    </w:p>
    <w:p w14:paraId="574E2A8F" w14:textId="7F657F01" w:rsidR="004F08CB" w:rsidRPr="00E83C5E" w:rsidRDefault="00123E0B" w:rsidP="00123E0B">
      <w:pPr>
        <w:pStyle w:val="TEKSTIII"/>
      </w:pPr>
      <w:r w:rsidRPr="00E83C5E">
        <w:rPr>
          <w:b/>
          <w:bCs/>
        </w:rPr>
        <w:t>-</w:t>
      </w:r>
      <w:r w:rsidR="00B229EC" w:rsidRPr="00E83C5E">
        <w:rPr>
          <w:b/>
          <w:bCs/>
        </w:rPr>
        <w:t xml:space="preserve"> </w:t>
      </w:r>
      <w:r w:rsidR="004F08CB" w:rsidRPr="00E83C5E">
        <w:rPr>
          <w:b/>
          <w:bCs/>
        </w:rPr>
        <w:t>Strategjia Kombëtare e Arsimit 2021–26</w:t>
      </w:r>
      <w:r w:rsidR="004F08CB" w:rsidRPr="00E83C5E">
        <w:t xml:space="preserve"> i kushton rëndësi të veçantë zhvillimit të plotë të të rinjve si brenda dhe jashtë shkollës duke krijuar mundësi për zhvillimin digjital në arsim dhe revolucionarizimin e orës së mësimit</w:t>
      </w:r>
      <w:r w:rsidR="003D4E43">
        <w:t>,</w:t>
      </w:r>
      <w:r w:rsidR="004F08CB" w:rsidRPr="00E83C5E">
        <w:t xml:space="preserve"> por edhe duke ndërtuar masa specifike për aktivitetet pas mësimit. Një zhvillim i rëndësishëm ishte edhe </w:t>
      </w:r>
      <w:r w:rsidR="00D540B0" w:rsidRPr="00E83C5E">
        <w:t>“</w:t>
      </w:r>
      <w:r w:rsidR="004F08CB" w:rsidRPr="00E83C5E">
        <w:t>Pakti për Universitetin</w:t>
      </w:r>
      <w:r w:rsidR="00D540B0" w:rsidRPr="00E83C5E">
        <w:t>”</w:t>
      </w:r>
      <w:r w:rsidR="0008439F" w:rsidRPr="00E83C5E">
        <w:t>,</w:t>
      </w:r>
      <w:r w:rsidR="004F08CB" w:rsidRPr="00E83C5E">
        <w:t xml:space="preserve"> i njoftuar nga Kryeministri në dhjetor 2018, pas protestave masive të studentëve. Kjo përfshiu miratimin e 11 VKM dhe 4 </w:t>
      </w:r>
      <w:r w:rsidR="00B729EF" w:rsidRPr="00E83C5E">
        <w:t xml:space="preserve">urdhëresa ministrore </w:t>
      </w:r>
      <w:r w:rsidR="004F08CB" w:rsidRPr="00E83C5E">
        <w:t xml:space="preserve">për të adresuar 8 kërkesa të formuluara dhe kërkuara nga studentët gjatë protestës. </w:t>
      </w:r>
    </w:p>
    <w:p w14:paraId="574E2A90" w14:textId="32B97CC6" w:rsidR="004F08CB" w:rsidRPr="00E83C5E" w:rsidRDefault="00123E0B" w:rsidP="00123E0B">
      <w:pPr>
        <w:pStyle w:val="TEKSTIII"/>
      </w:pPr>
      <w:r w:rsidRPr="00E83C5E">
        <w:t>-</w:t>
      </w:r>
      <w:r w:rsidR="00B229EC" w:rsidRPr="00E83C5E">
        <w:t xml:space="preserve"> </w:t>
      </w:r>
      <w:r w:rsidR="004F08CB" w:rsidRPr="00E83C5E">
        <w:t xml:space="preserve">Shqipëria ka edhe një </w:t>
      </w:r>
      <w:r w:rsidR="004F08CB" w:rsidRPr="00E83C5E">
        <w:rPr>
          <w:b/>
          <w:bCs/>
        </w:rPr>
        <w:t>Strategji Kombëtare për Shkencën, Teknologjinë dhe Inovacionin</w:t>
      </w:r>
      <w:r w:rsidR="004F08CB" w:rsidRPr="00E83C5E">
        <w:t xml:space="preserve"> që nga fundi i vitit 2017 me synime specifike për angazhimin e të rinjve në proceset kërkimore shkencore dhe skemat e kërkimit shkencor në Evrop</w:t>
      </w:r>
      <w:r w:rsidR="00F83B48" w:rsidRPr="00E83C5E">
        <w:t>ë</w:t>
      </w:r>
      <w:r w:rsidR="004F08CB" w:rsidRPr="00E83C5E">
        <w:t xml:space="preserve"> si Horizon 2020.</w:t>
      </w:r>
      <w:r w:rsidR="00233C37" w:rsidRPr="00E83C5E">
        <w:t xml:space="preserve"> </w:t>
      </w:r>
    </w:p>
    <w:p w14:paraId="574E2A91" w14:textId="24CAC97E" w:rsidR="004F08CB" w:rsidRPr="00E83C5E" w:rsidRDefault="00123E0B" w:rsidP="00123E0B">
      <w:pPr>
        <w:pStyle w:val="TEKSTIII"/>
      </w:pPr>
      <w:r w:rsidRPr="00E83C5E">
        <w:rPr>
          <w:b/>
          <w:bCs/>
        </w:rPr>
        <w:t>-</w:t>
      </w:r>
      <w:r w:rsidR="00B229EC" w:rsidRPr="00E83C5E">
        <w:rPr>
          <w:b/>
          <w:bCs/>
        </w:rPr>
        <w:t xml:space="preserve"> </w:t>
      </w:r>
      <w:r w:rsidR="004F08CB" w:rsidRPr="00E83C5E">
        <w:rPr>
          <w:b/>
          <w:bCs/>
        </w:rPr>
        <w:t>Strategjia Ndërsektoriale e Drejtësisë</w:t>
      </w:r>
      <w:r w:rsidR="004F08CB" w:rsidRPr="00E83C5E">
        <w:t xml:space="preserve"> me një objektiv të veçantë për përmirësimin e drejtësisë për të mitur, e cila garanton një drejtësi miqësore ndaj të miturve, me qëllimin për të mbrojtur interesin e tyre më të lartë. </w:t>
      </w:r>
    </w:p>
    <w:p w14:paraId="574E2A92" w14:textId="0D78730F" w:rsidR="004F08CB" w:rsidRPr="00E83C5E" w:rsidRDefault="00123E0B" w:rsidP="00123E0B">
      <w:pPr>
        <w:pStyle w:val="TEKSTIII"/>
      </w:pPr>
      <w:r w:rsidRPr="00E83C5E">
        <w:t>-</w:t>
      </w:r>
      <w:r w:rsidR="00B229EC" w:rsidRPr="00E83C5E">
        <w:t xml:space="preserve"> </w:t>
      </w:r>
      <w:r w:rsidR="004F08CB" w:rsidRPr="00E83C5E">
        <w:t xml:space="preserve">Me </w:t>
      </w:r>
      <w:r w:rsidR="004F08CB" w:rsidRPr="00E83C5E">
        <w:rPr>
          <w:b/>
          <w:bCs/>
        </w:rPr>
        <w:t>Strategjinë Antikorrupsion</w:t>
      </w:r>
      <w:r w:rsidR="004F08CB" w:rsidRPr="00E83C5E">
        <w:t xml:space="preserve"> synohet bashkëpunimi me organizatat rinore për monitorimin e masave antikorrupsion dhe ndërgjegjësimin kundër këtij fenomeni që në shkolla.</w:t>
      </w:r>
      <w:r w:rsidR="00233C37" w:rsidRPr="00E83C5E">
        <w:t xml:space="preserve"> </w:t>
      </w:r>
    </w:p>
    <w:p w14:paraId="574E2A93" w14:textId="5F6CB892" w:rsidR="004F08CB" w:rsidRPr="00E83C5E" w:rsidRDefault="00123E0B" w:rsidP="00123E0B">
      <w:pPr>
        <w:pStyle w:val="TEKSTIII"/>
      </w:pPr>
      <w:r w:rsidRPr="00E83C5E">
        <w:rPr>
          <w:b/>
          <w:bCs/>
        </w:rPr>
        <w:t>-</w:t>
      </w:r>
      <w:r w:rsidR="00B229EC" w:rsidRPr="00E83C5E">
        <w:rPr>
          <w:b/>
          <w:bCs/>
        </w:rPr>
        <w:t xml:space="preserve"> </w:t>
      </w:r>
      <w:r w:rsidR="004F08CB" w:rsidRPr="00E83C5E">
        <w:rPr>
          <w:b/>
          <w:bCs/>
        </w:rPr>
        <w:t>Agjenda Digjitale e Shqipërisë 2021</w:t>
      </w:r>
      <w:r w:rsidR="00B729EF" w:rsidRPr="00E83C5E">
        <w:rPr>
          <w:rFonts w:eastAsia="Times New Roman" w:cs="Times New Roman"/>
          <w:color w:val="000000"/>
        </w:rPr>
        <w:t>–</w:t>
      </w:r>
      <w:r w:rsidR="004F08CB" w:rsidRPr="00E83C5E">
        <w:rPr>
          <w:b/>
          <w:bCs/>
        </w:rPr>
        <w:t>26</w:t>
      </w:r>
      <w:r w:rsidR="004F08CB" w:rsidRPr="00E83C5E">
        <w:t xml:space="preserve"> ku theksohen zhvillimet në TIK dhe infrastrukturë digjitale për të mbështetur mësimin digjital dhe komunikimet elektronike dhe rritur cilësinë në arsim. </w:t>
      </w:r>
    </w:p>
    <w:p w14:paraId="574E2A94" w14:textId="4034FAB9" w:rsidR="004F08CB" w:rsidRPr="00E83C5E" w:rsidRDefault="00123E0B" w:rsidP="00123E0B">
      <w:pPr>
        <w:pStyle w:val="TEKSTIII"/>
      </w:pPr>
      <w:r w:rsidRPr="00E83C5E">
        <w:rPr>
          <w:b/>
          <w:bCs/>
        </w:rPr>
        <w:t>-</w:t>
      </w:r>
      <w:r w:rsidR="00B229EC" w:rsidRPr="00E83C5E">
        <w:rPr>
          <w:b/>
          <w:bCs/>
        </w:rPr>
        <w:t xml:space="preserve"> </w:t>
      </w:r>
      <w:r w:rsidR="004F08CB" w:rsidRPr="00E83C5E">
        <w:rPr>
          <w:b/>
          <w:bCs/>
        </w:rPr>
        <w:t>Strategjia Kombëtare për Punësim dhe Aftësi 2019–22</w:t>
      </w:r>
      <w:r w:rsidR="004F08CB" w:rsidRPr="00E83C5E">
        <w:t xml:space="preserve"> ku përveç rritjes së cilësisë dhe ofertës së arsimit e formimit profesional hapen një sërë programesh që mbështesin e nxisin punësimin e të rinjve. Strategjia Kombëtare e Punësimit dhe Aftësive ndërton mbi arritjet dhe mësimet e nxjerra në periudhën 2014</w:t>
      </w:r>
      <w:r w:rsidR="00B729EF" w:rsidRPr="00E83C5E">
        <w:rPr>
          <w:rFonts w:eastAsia="Times New Roman" w:cs="Times New Roman"/>
          <w:color w:val="000000"/>
        </w:rPr>
        <w:t>–</w:t>
      </w:r>
      <w:r w:rsidR="004F08CB" w:rsidRPr="00E83C5E">
        <w:t xml:space="preserve">2018 dhe përfshin një sërë masash të bazuara në katër prioritete strategjike, të cilat konsiderohen të mbeten relevante për periudhën e ardhshme. Ajo synon një ekonomi konkurruese dhe një shoqëri gjithëpërfshirëse që mbështetet tek </w:t>
      </w:r>
      <w:r w:rsidR="00D540B0" w:rsidRPr="00E83C5E">
        <w:t>“</w:t>
      </w:r>
      <w:r w:rsidR="004F08CB" w:rsidRPr="00E83C5E">
        <w:t>Aftësi më të larta dhe punë më të mirë për gjithë femrat dhe meshkujt</w:t>
      </w:r>
      <w:r w:rsidR="00D540B0" w:rsidRPr="00E83C5E">
        <w:t>”</w:t>
      </w:r>
      <w:r w:rsidR="004F08CB" w:rsidRPr="00E83C5E">
        <w:t>. Qëllimi i përgjithshëm i strategjisë është të nxisë vende pune cilësore dhe mundësi për aftësi për gjithë femrat dhe meshkujt shqiptarë gjatë të gjithë ciklit të jetës. Ky qëllim do të arrihet me veprimtari politike koherente dhe të bashkërenduara, të cilat njëkohësisht i përgjigjen kërkesës dhe ofertës për punë, si dhe sjellin mënjanimin e hendeqeve të përfshirjes sociale.</w:t>
      </w:r>
    </w:p>
    <w:p w14:paraId="574E2A95" w14:textId="6CD2E29A" w:rsidR="004F08CB" w:rsidRPr="00E83C5E" w:rsidRDefault="00123E0B" w:rsidP="00123E0B">
      <w:pPr>
        <w:pStyle w:val="TEKSTIII"/>
      </w:pPr>
      <w:r w:rsidRPr="00E83C5E">
        <w:rPr>
          <w:b/>
          <w:bCs/>
        </w:rPr>
        <w:t>-</w:t>
      </w:r>
      <w:r w:rsidR="00B229EC" w:rsidRPr="00E83C5E">
        <w:rPr>
          <w:b/>
          <w:bCs/>
        </w:rPr>
        <w:t xml:space="preserve"> </w:t>
      </w:r>
      <w:r w:rsidR="004F08CB" w:rsidRPr="00E83C5E">
        <w:rPr>
          <w:b/>
          <w:bCs/>
        </w:rPr>
        <w:t xml:space="preserve">Ligji për </w:t>
      </w:r>
      <w:r w:rsidR="00812AD8" w:rsidRPr="00E83C5E">
        <w:rPr>
          <w:b/>
          <w:bCs/>
        </w:rPr>
        <w:t>arsimin dhe formimin profesion</w:t>
      </w:r>
      <w:r w:rsidR="004F08CB" w:rsidRPr="00E83C5E">
        <w:rPr>
          <w:b/>
          <w:bCs/>
        </w:rPr>
        <w:t>al</w:t>
      </w:r>
      <w:r w:rsidR="004F08CB" w:rsidRPr="00E83C5E">
        <w:t xml:space="preserve"> në Republikën e Shqipërisë po plotësohet me aktet nënligjore, shumica e akteve është miratuar dhe po përfundon miratimi dhe hartimi i akteve </w:t>
      </w:r>
      <w:r w:rsidR="004F08CB" w:rsidRPr="00E83C5E">
        <w:lastRenderedPageBreak/>
        <w:t>të mbetura. Qeveria së fundmi ka racionalizuar institucionet e AFP-së, duke krijuar Agjencinë Kombëtare të Punësimit dhe Aftësive dhe duke ristrukturuar më tej Agjencinë Kombëtare të AFP-së dhe Kualifikimeve. Në sistemin e AFP-së, tashmë është zhvilluar një cikël koherent politikash të proceseve të brendshme për zhvillimin dhe mirëmbajtjen e kualifikimeve profesionale, i cili mbështet përshtatshmërinë e kualifikimeve në tregun e punës.</w:t>
      </w:r>
    </w:p>
    <w:p w14:paraId="574E2A96" w14:textId="4F787C19" w:rsidR="004F08CB" w:rsidRPr="00E83C5E" w:rsidRDefault="00123E0B" w:rsidP="00123E0B">
      <w:pPr>
        <w:pStyle w:val="TEKSTIII"/>
      </w:pPr>
      <w:r w:rsidRPr="00E83C5E">
        <w:t>-</w:t>
      </w:r>
      <w:r w:rsidR="007B44CB" w:rsidRPr="00E83C5E">
        <w:t xml:space="preserve"> </w:t>
      </w:r>
      <w:r w:rsidR="004F08CB" w:rsidRPr="00E83C5E">
        <w:t xml:space="preserve">Nga Ministria e Kulturës është hartuar </w:t>
      </w:r>
      <w:r w:rsidR="00D540B0" w:rsidRPr="00E83C5E">
        <w:t>“</w:t>
      </w:r>
      <w:r w:rsidR="004F08CB" w:rsidRPr="00E83C5E">
        <w:rPr>
          <w:b/>
          <w:bCs/>
        </w:rPr>
        <w:t>Strategjia Kombëtare për Kulturën 2019–2025</w:t>
      </w:r>
      <w:r w:rsidR="00D540B0" w:rsidRPr="00E83C5E">
        <w:t>”</w:t>
      </w:r>
      <w:r w:rsidR="004F08CB" w:rsidRPr="00E83C5E">
        <w:t xml:space="preserve"> dhe miratuar me vendimin </w:t>
      </w:r>
      <w:r w:rsidR="00C4576C" w:rsidRPr="00E83C5E">
        <w:t>n</w:t>
      </w:r>
      <w:r w:rsidR="004F08CB" w:rsidRPr="00E83C5E">
        <w:t xml:space="preserve">r. 903, </w:t>
      </w:r>
      <w:r w:rsidR="00C4576C" w:rsidRPr="00E83C5E">
        <w:t>d</w:t>
      </w:r>
      <w:r w:rsidR="004F08CB" w:rsidRPr="00E83C5E">
        <w:t xml:space="preserve">atë 24.12.2019 të Këshillit të Ministrave </w:t>
      </w:r>
      <w:r w:rsidR="00D540B0" w:rsidRPr="00E83C5E">
        <w:t>“</w:t>
      </w:r>
      <w:r w:rsidR="004F08CB" w:rsidRPr="00E83C5E">
        <w:t>Për Miratimin e Strategjisë Kombëtare për Kulturën, 2019–2025</w:t>
      </w:r>
      <w:r w:rsidR="00D540B0" w:rsidRPr="00E83C5E">
        <w:t>”</w:t>
      </w:r>
      <w:r w:rsidR="004F08CB" w:rsidRPr="00E83C5E">
        <w:t>, dhe Plani i saj i Veprimit. Ky është dokumenti i parë i këtij lloji, me anë të cilit synohet konceptimi i një udhërrëfyesi për zhvillimin e sektorit të kulturës dhe trashëgimisë kulturore me qëllim të krijimit të kushteve të favorshme për zhvillim individual, social dhe shtetëror.</w:t>
      </w:r>
    </w:p>
    <w:p w14:paraId="574E2A97" w14:textId="44851C8D" w:rsidR="004F08CB" w:rsidRPr="00E83C5E" w:rsidRDefault="00123E0B" w:rsidP="00123E0B">
      <w:pPr>
        <w:pStyle w:val="TEKSTIII"/>
      </w:pPr>
      <w:r w:rsidRPr="00E83C5E">
        <w:rPr>
          <w:b/>
          <w:bCs/>
        </w:rPr>
        <w:t>-</w:t>
      </w:r>
      <w:r w:rsidR="00B229EC" w:rsidRPr="00E83C5E">
        <w:rPr>
          <w:b/>
          <w:bCs/>
        </w:rPr>
        <w:t xml:space="preserve"> </w:t>
      </w:r>
      <w:r w:rsidR="004F08CB" w:rsidRPr="00E83C5E">
        <w:rPr>
          <w:b/>
          <w:bCs/>
        </w:rPr>
        <w:t>Strategjia Kombëtare e Mbrojtjes Sociale 2020–2023</w:t>
      </w:r>
      <w:r w:rsidR="004F08CB" w:rsidRPr="00E83C5E">
        <w:t xml:space="preserve"> synon që të luftojë pabarazitë socio-ekonomike, parashikimin e një sistemi që ka politikat dhe mekanizmat për të mbrojtur të gjithë individët në nevojë ose të përjashtuar nëpërmjet programeve parandaluese dhe riintegrimit social alternuar me skemat e punësimit</w:t>
      </w:r>
      <w:r w:rsidR="00D540B0" w:rsidRPr="00E83C5E">
        <w:t>”</w:t>
      </w:r>
      <w:r w:rsidR="004F08CB" w:rsidRPr="00E83C5E">
        <w:t xml:space="preserve">. </w:t>
      </w:r>
    </w:p>
    <w:p w14:paraId="574E2A98" w14:textId="4700A90C" w:rsidR="004F08CB" w:rsidRPr="00E83C5E" w:rsidRDefault="00123E0B" w:rsidP="00123E0B">
      <w:pPr>
        <w:pStyle w:val="TEKSTIII"/>
      </w:pPr>
      <w:r w:rsidRPr="00E83C5E">
        <w:rPr>
          <w:b/>
          <w:bCs/>
        </w:rPr>
        <w:t>-</w:t>
      </w:r>
      <w:r w:rsidR="00B229EC" w:rsidRPr="00E83C5E">
        <w:rPr>
          <w:b/>
          <w:bCs/>
        </w:rPr>
        <w:t xml:space="preserve"> </w:t>
      </w:r>
      <w:r w:rsidR="004F08CB" w:rsidRPr="00E83C5E">
        <w:rPr>
          <w:b/>
          <w:bCs/>
        </w:rPr>
        <w:t>Plani Kombëtar për Personat me Aftësi të Kufizuara 2021–2025</w:t>
      </w:r>
      <w:r w:rsidR="004F08CB" w:rsidRPr="00E83C5E">
        <w:t xml:space="preserve"> ka për qëllim të nxisë përfshirjen e personave me aftësi të kufizuara në shoqërinë shqiptare, të parandalojë diskriminimin dhe të eliminojë pengesat për të pasur akses në shërbimet publike dhe realizimin e të drejtave të tyre, sipas parimeve të Konventës për të Drejtat e Personave me Aftësi të Kufizuara dhe Strategjisë Evropiane për të Drejtat e Personave me Aftësi të Kufizuara. Plani përmban qëllimin strategjik për sigurimin dhe ofrimin e arsimit gjithëpërfshirës dhe cilësor për të gjithë fëmijët me aftësi të kufizuara.</w:t>
      </w:r>
    </w:p>
    <w:p w14:paraId="574E2A99" w14:textId="5ADC0D8C" w:rsidR="004F08CB" w:rsidRPr="00E83C5E" w:rsidRDefault="00123E0B" w:rsidP="00123E0B">
      <w:pPr>
        <w:pStyle w:val="TEKSTIII"/>
      </w:pPr>
      <w:r w:rsidRPr="00E83C5E">
        <w:rPr>
          <w:b/>
          <w:bCs/>
        </w:rPr>
        <w:t>-</w:t>
      </w:r>
      <w:r w:rsidR="00B229EC" w:rsidRPr="00E83C5E">
        <w:rPr>
          <w:b/>
          <w:bCs/>
        </w:rPr>
        <w:t xml:space="preserve"> </w:t>
      </w:r>
      <w:r w:rsidR="004F08CB" w:rsidRPr="00E83C5E">
        <w:rPr>
          <w:b/>
          <w:bCs/>
        </w:rPr>
        <w:t>Plani Kombëtar i Veprimit për Integrimin e Romëve dhe Egjiptianëve 2021–2025</w:t>
      </w:r>
      <w:r w:rsidR="004F08CB" w:rsidRPr="00E83C5E">
        <w:t>, ka për synim heqjen e pengesave me të cilat përballen romët dhe egjiptianët sa i përket aksesit në shërbime dhe përmirësimin e kushteve të tyre të jetesës, nëpërmjet integrimit dhe nxitjes së dialogut ndërkulturor.</w:t>
      </w:r>
    </w:p>
    <w:p w14:paraId="574E2A9A" w14:textId="64AAAE81" w:rsidR="004F08CB" w:rsidRPr="00E83C5E" w:rsidRDefault="00123E0B" w:rsidP="00123E0B">
      <w:pPr>
        <w:pStyle w:val="TEKSTIII"/>
      </w:pPr>
      <w:r w:rsidRPr="00E83C5E">
        <w:rPr>
          <w:b/>
          <w:bCs/>
        </w:rPr>
        <w:t>-</w:t>
      </w:r>
      <w:r w:rsidR="00B229EC" w:rsidRPr="00E83C5E">
        <w:rPr>
          <w:b/>
          <w:bCs/>
        </w:rPr>
        <w:t xml:space="preserve"> </w:t>
      </w:r>
      <w:r w:rsidR="004F08CB" w:rsidRPr="00E83C5E">
        <w:rPr>
          <w:b/>
          <w:bCs/>
        </w:rPr>
        <w:t xml:space="preserve">Strategjia Kombëtare për Barazinë Gjinore </w:t>
      </w:r>
      <w:r w:rsidR="004F08CB" w:rsidRPr="00E83C5E">
        <w:t>(SKBGJ) 2021–2030 [15] është konceptuar si një udhërrëfyes drejt një shoqërie të mundësive të barabarta e pa dhunë, në të cilën: nevojat e grave dhe burrave merren në konsideratë dhe trajtohen në mënyrë të barabartë; gratë respektohen, mbrohen, nxiten e mbështeten për të ecur përpara njëlloj</w:t>
      </w:r>
      <w:r w:rsidR="00BE7B59">
        <w:t>,</w:t>
      </w:r>
      <w:r w:rsidR="004F08CB" w:rsidRPr="00E83C5E">
        <w:t xml:space="preserve"> si dhe burrat; vajzat e djemtë, rriten të lumtur e të gëzuar mes parimeve të barazisë e </w:t>
      </w:r>
      <w:r w:rsidR="007F39C9" w:rsidRPr="00E83C5E">
        <w:t>mos</w:t>
      </w:r>
      <w:r w:rsidR="004F08CB" w:rsidRPr="00E83C5E">
        <w:t xml:space="preserve">diskriminimit </w:t>
      </w:r>
      <w:r w:rsidR="00BE7B59">
        <w:t>–</w:t>
      </w:r>
      <w:r w:rsidR="004F08CB" w:rsidRPr="00E83C5E">
        <w:t xml:space="preserve"> pra</w:t>
      </w:r>
      <w:r w:rsidR="00BE7B59">
        <w:t xml:space="preserve"> </w:t>
      </w:r>
      <w:r w:rsidR="004F08CB" w:rsidRPr="00E83C5E">
        <w:t>një shoqëri, që ka në bazë një familje të shëndoshë, komunitet mbështetës dhe institucione të konsoliduara që zbatojnë legjislacionin dhe detyrimet e tyre me përgjegjshmëri.</w:t>
      </w:r>
    </w:p>
    <w:p w14:paraId="574E2A9B" w14:textId="15A1C94F" w:rsidR="004F08CB" w:rsidRPr="00E83C5E" w:rsidRDefault="00123E0B" w:rsidP="00123E0B">
      <w:pPr>
        <w:pStyle w:val="TEKSTIII"/>
      </w:pPr>
      <w:r w:rsidRPr="00E83C5E">
        <w:rPr>
          <w:b/>
          <w:bCs/>
        </w:rPr>
        <w:t>-</w:t>
      </w:r>
      <w:r w:rsidR="00B229EC" w:rsidRPr="00E83C5E">
        <w:rPr>
          <w:b/>
          <w:bCs/>
        </w:rPr>
        <w:t xml:space="preserve"> </w:t>
      </w:r>
      <w:r w:rsidR="004F08CB" w:rsidRPr="00E83C5E">
        <w:rPr>
          <w:b/>
          <w:bCs/>
        </w:rPr>
        <w:t xml:space="preserve">Ligji për </w:t>
      </w:r>
      <w:r w:rsidR="00081887" w:rsidRPr="00E83C5E">
        <w:rPr>
          <w:b/>
          <w:bCs/>
          <w:i/>
        </w:rPr>
        <w:t>start-up</w:t>
      </w:r>
      <w:r w:rsidR="004F08CB" w:rsidRPr="00E83C5E">
        <w:t>, i miratuar në 2022, krijon mundësi për të rinjtë dhe gratë e reja si në trajnime ashtu edhe në mbështetjen e ideve të tyre për biznes.</w:t>
      </w:r>
    </w:p>
    <w:p w14:paraId="574E2A9C" w14:textId="5A0DE6AF" w:rsidR="004F08CB" w:rsidRPr="00E83C5E" w:rsidRDefault="00123E0B" w:rsidP="00123E0B">
      <w:pPr>
        <w:pStyle w:val="TEKSTIII"/>
      </w:pPr>
      <w:r w:rsidRPr="00E83C5E">
        <w:rPr>
          <w:b/>
          <w:bCs/>
        </w:rPr>
        <w:t>-</w:t>
      </w:r>
      <w:r w:rsidR="00B229EC" w:rsidRPr="00E83C5E">
        <w:rPr>
          <w:b/>
          <w:bCs/>
        </w:rPr>
        <w:t xml:space="preserve"> </w:t>
      </w:r>
      <w:r w:rsidR="004F08CB" w:rsidRPr="00E83C5E">
        <w:rPr>
          <w:b/>
          <w:bCs/>
        </w:rPr>
        <w:t>Strategjia Kombëtare e Diasporës 2021</w:t>
      </w:r>
      <w:r w:rsidR="00D43788" w:rsidRPr="00E83C5E">
        <w:rPr>
          <w:rFonts w:eastAsia="Times New Roman" w:cs="Times New Roman"/>
          <w:color w:val="000000"/>
        </w:rPr>
        <w:t>–</w:t>
      </w:r>
      <w:r w:rsidR="004F08CB" w:rsidRPr="00E83C5E">
        <w:rPr>
          <w:b/>
          <w:bCs/>
        </w:rPr>
        <w:t>25</w:t>
      </w:r>
      <w:r w:rsidR="004F08CB" w:rsidRPr="00E83C5E">
        <w:t xml:space="preserve"> e ka në themel të saj bashkëpunimin me ministrinë përgjegjëse për rininë në çdo masë dhe aspekt të kësaj strategjie. </w:t>
      </w:r>
    </w:p>
    <w:p w14:paraId="574E2A9D" w14:textId="77777777" w:rsidR="004F08CB" w:rsidRPr="00E83C5E" w:rsidRDefault="00123E0B" w:rsidP="00123E0B">
      <w:pPr>
        <w:pStyle w:val="TEKSTIII"/>
      </w:pPr>
      <w:r w:rsidRPr="00E83C5E">
        <w:t>-</w:t>
      </w:r>
      <w:r w:rsidR="004F08CB" w:rsidRPr="00E83C5E">
        <w:t xml:space="preserve">Strategjitë që kanë një ndikim të rëndësishëm mbi rininë janë edhe dokumenti i Politikës së Përfshirjes Sociale, Planet Kombëtare të Veprimit për Romët dhe Egjiptianët, Plani i Veprimit për Personat me Aftësi të Kufizuara, si edhe plani veprimit për LGBTI që e sheh të integruar rininë në masat e parashikuara. Strategjia e shëndetit publik dhe atij mendor po ashtu kanë masa specifike të parapara për rininë. </w:t>
      </w:r>
    </w:p>
    <w:p w14:paraId="574E2A9E" w14:textId="7152DAB4" w:rsidR="004F08CB" w:rsidRPr="00E83C5E" w:rsidRDefault="00123E0B" w:rsidP="00123E0B">
      <w:pPr>
        <w:pStyle w:val="TEKSTIII"/>
        <w:rPr>
          <w:rStyle w:val="jlqj4b"/>
          <w:rFonts w:eastAsiaTheme="majorEastAsia" w:cs="Times New Roman"/>
        </w:rPr>
      </w:pPr>
      <w:r w:rsidRPr="00E83C5E">
        <w:rPr>
          <w:rStyle w:val="jlqj4b"/>
          <w:rFonts w:eastAsiaTheme="majorEastAsia" w:cs="Times New Roman"/>
        </w:rPr>
        <w:t>-</w:t>
      </w:r>
      <w:r w:rsidR="004F08CB" w:rsidRPr="00E83C5E">
        <w:rPr>
          <w:rStyle w:val="jlqj4b"/>
          <w:rFonts w:eastAsiaTheme="majorEastAsia" w:cs="Times New Roman"/>
        </w:rPr>
        <w:t>Me qëllim rritjen e shërbimeve të dedikuara dhe miqësore për rininë në Shqipëri në për</w:t>
      </w:r>
      <w:r w:rsidR="00C72847" w:rsidRPr="00E83C5E">
        <w:rPr>
          <w:rStyle w:val="jlqj4b"/>
          <w:rFonts w:eastAsiaTheme="majorEastAsia" w:cs="Times New Roman"/>
        </w:rPr>
        <w:t>p</w:t>
      </w:r>
      <w:r w:rsidR="004F08CB" w:rsidRPr="00E83C5E">
        <w:rPr>
          <w:rStyle w:val="jlqj4b"/>
          <w:rFonts w:eastAsiaTheme="majorEastAsia" w:cs="Times New Roman"/>
        </w:rPr>
        <w:t xml:space="preserve">uthje me standardet më të mira evropiane, </w:t>
      </w:r>
      <w:r w:rsidR="00C72847" w:rsidRPr="00E83C5E">
        <w:rPr>
          <w:rStyle w:val="jlqj4b"/>
          <w:rFonts w:eastAsiaTheme="majorEastAsia" w:cs="Times New Roman"/>
        </w:rPr>
        <w:t>m</w:t>
      </w:r>
      <w:r w:rsidR="004F08CB" w:rsidRPr="00E83C5E">
        <w:rPr>
          <w:rStyle w:val="jlqj4b"/>
          <w:rFonts w:eastAsiaTheme="majorEastAsia" w:cs="Times New Roman"/>
        </w:rPr>
        <w:t xml:space="preserve">inistri i Shtetit për Rininë dhe Fëmijët ka rakorduar në vijimësi punën për hartimin e kësaj Strategjie me kuadrin strategjik të të gjithë institucioneve të tjera. </w:t>
      </w:r>
      <w:bookmarkStart w:id="2" w:name="_Toc59438089"/>
    </w:p>
    <w:bookmarkEnd w:id="2"/>
    <w:p w14:paraId="574E2A9F" w14:textId="77777777" w:rsidR="004F08CB" w:rsidRPr="00E83C5E" w:rsidRDefault="00123E0B" w:rsidP="00123E0B">
      <w:pPr>
        <w:pStyle w:val="TEKSTIII"/>
        <w:rPr>
          <w:b/>
        </w:rPr>
      </w:pPr>
      <w:r w:rsidRPr="00E83C5E">
        <w:rPr>
          <w:b/>
        </w:rPr>
        <w:t xml:space="preserve">2.5 </w:t>
      </w:r>
      <w:r w:rsidR="004F08CB" w:rsidRPr="00E83C5E">
        <w:rPr>
          <w:b/>
        </w:rPr>
        <w:t>Institucionet që merren me politika rinore të cilat janë ndërsektoriale dhe përfshijnë shumë aktorë në procesin e zbatimit të tyre:</w:t>
      </w:r>
    </w:p>
    <w:p w14:paraId="574E2AA0" w14:textId="45EDBE0F" w:rsidR="004F08CB" w:rsidRPr="00E83C5E" w:rsidRDefault="00123E0B" w:rsidP="00123E0B">
      <w:pPr>
        <w:pStyle w:val="TEKSTIII"/>
      </w:pPr>
      <w:r w:rsidRPr="00E83C5E">
        <w:t>-</w:t>
      </w:r>
      <w:r w:rsidR="00B229EC" w:rsidRPr="00E83C5E">
        <w:t xml:space="preserve"> </w:t>
      </w:r>
      <w:r w:rsidR="004F08CB" w:rsidRPr="00E83C5E">
        <w:t>Qeveria qendrore</w:t>
      </w:r>
    </w:p>
    <w:p w14:paraId="574E2AA1" w14:textId="4CA1159F" w:rsidR="004F08CB" w:rsidRPr="00E83C5E" w:rsidRDefault="00123E0B" w:rsidP="00123E0B">
      <w:pPr>
        <w:pStyle w:val="TEKSTIII"/>
      </w:pPr>
      <w:r w:rsidRPr="00E83C5E">
        <w:t>-</w:t>
      </w:r>
      <w:r w:rsidR="00B229EC" w:rsidRPr="00E83C5E">
        <w:t xml:space="preserve"> </w:t>
      </w:r>
      <w:r w:rsidR="004F08CB" w:rsidRPr="00E83C5E">
        <w:t xml:space="preserve">Ministri i Shtetit për Rininë dhe Fëmijët – është një institucion i krijuar me qeverinë e re të vitit 2021 dhe që ka peshën kryesore e themelore në organizmin dhe mbështetjen e rinisë. Ai </w:t>
      </w:r>
      <w:r w:rsidR="004F08CB" w:rsidRPr="00E83C5E">
        <w:lastRenderedPageBreak/>
        <w:t>është përgjegjës për politikën e përgjithshme rinore dhe kuadrin ligjor, monitorimin e zbatimit të politikave rinore dhe përfaqësimin e Qeverisë së Shqipërisë në nivel ndërkombëtar në lidhje me çështjet që lidhen me rininë.</w:t>
      </w:r>
    </w:p>
    <w:p w14:paraId="574E2AA2" w14:textId="31E08081" w:rsidR="004F08CB" w:rsidRPr="00E83C5E" w:rsidRDefault="00123E0B" w:rsidP="00123E0B">
      <w:pPr>
        <w:pStyle w:val="TEKSTIII"/>
      </w:pPr>
      <w:r w:rsidRPr="00E83C5E">
        <w:t>-</w:t>
      </w:r>
      <w:r w:rsidR="00B229EC" w:rsidRPr="00E83C5E">
        <w:t xml:space="preserve"> </w:t>
      </w:r>
      <w:r w:rsidR="004F08CB" w:rsidRPr="00E83C5E">
        <w:t xml:space="preserve">Ministria e Arsimit dhe Sportit deri në vitin 2021 ka pasur edhe portofolin e rinisë dhe ishte përgjegjëse e plotë për politikat rinore. Një zëvendësministër i përkushtuar për Rininë ishte pjesë jetike e kuadrit të përgjithshëm të politikave për të rinjtë ndërsa Drejtoria për Rininë në kuadër të kësaj ministrie ishte përgjegjëse për çështjet që lidhen me politikat rinore. Kjo ministri vazhdon të ketë një rol të rëndësishëm në politika rinore sepse mban përgjegjësi për dy fusha të rëndësishme në jetën e të rinjve 15–29 vjeç, siç janë arsimi dhe sporti. </w:t>
      </w:r>
    </w:p>
    <w:p w14:paraId="574E2AA3" w14:textId="2D2A6415" w:rsidR="004F08CB" w:rsidRPr="00E83C5E" w:rsidRDefault="00123E0B" w:rsidP="00123E0B">
      <w:pPr>
        <w:pStyle w:val="TEKSTIII"/>
      </w:pPr>
      <w:r w:rsidRPr="00E83C5E">
        <w:t>-</w:t>
      </w:r>
      <w:r w:rsidR="00B229EC" w:rsidRPr="00E83C5E">
        <w:t xml:space="preserve"> </w:t>
      </w:r>
      <w:r w:rsidR="004F08CB" w:rsidRPr="00E83C5E">
        <w:t xml:space="preserve">Ministria e Financave dhe Ekonomisë është përgjegjëse për mbështetjen e sipërmarrjes, AFP-në dhe inovacionin. </w:t>
      </w:r>
    </w:p>
    <w:p w14:paraId="574E2AA4" w14:textId="4E4E3DE3" w:rsidR="004F08CB" w:rsidRPr="00E83C5E" w:rsidRDefault="00123E0B" w:rsidP="00123E0B">
      <w:pPr>
        <w:pStyle w:val="TEKSTIII"/>
      </w:pPr>
      <w:r w:rsidRPr="00E83C5E">
        <w:t>-</w:t>
      </w:r>
      <w:r w:rsidR="00B229EC" w:rsidRPr="00E83C5E">
        <w:t xml:space="preserve"> </w:t>
      </w:r>
      <w:r w:rsidR="004F08CB" w:rsidRPr="00E83C5E">
        <w:t>Ministria e Drejtësisë është përgjegjëse për raportet e të miturve në konflikt me ligjin</w:t>
      </w:r>
      <w:r w:rsidR="004F08CB" w:rsidRPr="00E83C5E">
        <w:rPr>
          <w:rStyle w:val="FootnoteReference"/>
          <w:rFonts w:eastAsia="Times New Roman" w:cs="Times New Roman"/>
          <w:color w:val="000000"/>
        </w:rPr>
        <w:footnoteReference w:id="13"/>
      </w:r>
      <w:r w:rsidR="004F08CB" w:rsidRPr="00E83C5E">
        <w:t xml:space="preserve">. </w:t>
      </w:r>
    </w:p>
    <w:p w14:paraId="574E2AA5" w14:textId="2AA91983" w:rsidR="004F08CB" w:rsidRPr="00E83C5E" w:rsidRDefault="00123E0B" w:rsidP="00123E0B">
      <w:pPr>
        <w:pStyle w:val="TEKSTIII"/>
      </w:pPr>
      <w:r w:rsidRPr="00E83C5E">
        <w:t>-</w:t>
      </w:r>
      <w:r w:rsidR="00B229EC" w:rsidRPr="00E83C5E">
        <w:t xml:space="preserve"> </w:t>
      </w:r>
      <w:r w:rsidR="004F08CB" w:rsidRPr="00E83C5E">
        <w:t xml:space="preserve">Ministria e Shëndetësisë dhe Mbrojtjes Sociale (MHSP) është përgjegjëse për shëndetin e të rinjve dhe përfshirjen sociale. </w:t>
      </w:r>
    </w:p>
    <w:p w14:paraId="574E2AA6" w14:textId="34448D95" w:rsidR="004F08CB" w:rsidRPr="00E83C5E" w:rsidRDefault="00123E0B" w:rsidP="00123E0B">
      <w:pPr>
        <w:pStyle w:val="TEKSTIII"/>
      </w:pPr>
      <w:r w:rsidRPr="00E83C5E">
        <w:t>-</w:t>
      </w:r>
      <w:r w:rsidR="00B229EC" w:rsidRPr="00E83C5E">
        <w:t xml:space="preserve"> </w:t>
      </w:r>
      <w:r w:rsidR="004F08CB" w:rsidRPr="00E83C5E">
        <w:t xml:space="preserve">Ministria e Kulturës është përgjegjëse për artin dhe politikat kulturore që synojnë edhe rininë. </w:t>
      </w:r>
    </w:p>
    <w:p w14:paraId="574E2AA7" w14:textId="44F8628C" w:rsidR="004F08CB" w:rsidRPr="00E83C5E" w:rsidRDefault="00123E0B" w:rsidP="00123E0B">
      <w:pPr>
        <w:pStyle w:val="TEKSTIII"/>
      </w:pPr>
      <w:r w:rsidRPr="00E83C5E">
        <w:t>-</w:t>
      </w:r>
      <w:r w:rsidR="00B229EC" w:rsidRPr="00E83C5E">
        <w:t xml:space="preserve"> </w:t>
      </w:r>
      <w:r w:rsidR="004F08CB" w:rsidRPr="00E83C5E">
        <w:t xml:space="preserve">Organet e administratës shtetërore; </w:t>
      </w:r>
    </w:p>
    <w:p w14:paraId="574E2AA8" w14:textId="07E97166" w:rsidR="004F08CB" w:rsidRPr="00E83C5E" w:rsidRDefault="00123E0B" w:rsidP="00123E0B">
      <w:pPr>
        <w:pStyle w:val="TEKSTIII"/>
      </w:pPr>
      <w:r w:rsidRPr="00E83C5E">
        <w:t>-</w:t>
      </w:r>
      <w:r w:rsidR="00B229EC" w:rsidRPr="00E83C5E">
        <w:t xml:space="preserve"> </w:t>
      </w:r>
      <w:r w:rsidR="004F08CB" w:rsidRPr="00E83C5E">
        <w:t xml:space="preserve">Organet e vetëqeverisjes lokale; </w:t>
      </w:r>
    </w:p>
    <w:p w14:paraId="574E2AA9" w14:textId="21B0160C" w:rsidR="004F08CB" w:rsidRPr="00E83C5E" w:rsidRDefault="00123E0B" w:rsidP="00123E0B">
      <w:pPr>
        <w:pStyle w:val="TEKSTIII"/>
      </w:pPr>
      <w:r w:rsidRPr="00E83C5E">
        <w:t>-</w:t>
      </w:r>
      <w:r w:rsidR="00B229EC" w:rsidRPr="00E83C5E">
        <w:t xml:space="preserve"> </w:t>
      </w:r>
      <w:r w:rsidR="004F08CB" w:rsidRPr="00E83C5E">
        <w:t xml:space="preserve">OJF-të; </w:t>
      </w:r>
    </w:p>
    <w:p w14:paraId="574E2AAA" w14:textId="7B4A827A" w:rsidR="004F08CB" w:rsidRPr="00E83C5E" w:rsidRDefault="00123E0B" w:rsidP="00123E0B">
      <w:pPr>
        <w:pStyle w:val="TEKSTIII"/>
      </w:pPr>
      <w:r w:rsidRPr="00E83C5E">
        <w:t>-</w:t>
      </w:r>
      <w:r w:rsidR="00B229EC" w:rsidRPr="00E83C5E">
        <w:t xml:space="preserve"> </w:t>
      </w:r>
      <w:r w:rsidR="004F08CB" w:rsidRPr="00E83C5E">
        <w:t>Parlamentet e studentëve/nxënësve dhe subjekteve të tjera juridike me qëllim të përmirësimit të statusit të të rinjve, zhvillimit të tyre personal dhe social, si dhe përfshirjes së tyre në çështjet sociale.</w:t>
      </w:r>
    </w:p>
    <w:p w14:paraId="574E2AAC" w14:textId="77777777" w:rsidR="004F08CB" w:rsidRPr="00E83C5E" w:rsidRDefault="005C113D" w:rsidP="005C113D">
      <w:pPr>
        <w:pStyle w:val="TEKSTIII"/>
      </w:pPr>
      <w:r w:rsidRPr="00E83C5E">
        <w:t xml:space="preserve">2.5.1 </w:t>
      </w:r>
      <w:r w:rsidR="004F08CB" w:rsidRPr="00E83C5E">
        <w:t>Njësitë e vetëqeverisjes vendore</w:t>
      </w:r>
    </w:p>
    <w:p w14:paraId="574E2AAD" w14:textId="77777777" w:rsidR="004F08CB" w:rsidRPr="00E83C5E" w:rsidRDefault="004F08CB" w:rsidP="004F08CB">
      <w:pPr>
        <w:spacing w:after="0" w:line="240" w:lineRule="auto"/>
        <w:ind w:firstLine="284"/>
        <w:jc w:val="both"/>
        <w:rPr>
          <w:rFonts w:ascii="Garamond" w:eastAsia="Times New Roman" w:hAnsi="Garamond" w:cs="Times New Roman"/>
          <w:sz w:val="24"/>
          <w:szCs w:val="24"/>
        </w:rPr>
      </w:pPr>
      <w:r w:rsidRPr="00E83C5E">
        <w:rPr>
          <w:rFonts w:ascii="Garamond" w:eastAsia="Times New Roman" w:hAnsi="Garamond" w:cs="Times New Roman"/>
          <w:color w:val="000000"/>
          <w:sz w:val="24"/>
          <w:szCs w:val="24"/>
        </w:rPr>
        <w:t>Bashkitë, sipas ligjit për rininë, kanë tashmë një punonjës të specializuar për çështjet rinore. Ato po ashtu, në varësi të madhësisë së tyre, zakonisht kanë një Drejtori ose Njësi për Shërbimet Sociale, ku përfshihen përgjegjësitë për çështjet që lidhen me rininë. Në nivel lokal, qendrat rinore janë një platformë thelbësore për fuqizimin e të rinjve. Qendrat rajonale rinore ekzistojnë në Korçë, Shkodër dhe Vlorë. Qendrat rinore deri më sot funksionojnë kryesisht si mjedise për organizimin e eventeve të projekteve nga OJF-të, e jo si platforma për pjesëmarrje aktive të të rinjve.</w:t>
      </w:r>
    </w:p>
    <w:p w14:paraId="574E2AAE" w14:textId="1253D72F" w:rsidR="004F08CB" w:rsidRPr="00E83C5E" w:rsidRDefault="005C113D" w:rsidP="005C113D">
      <w:pPr>
        <w:pStyle w:val="TEKSTIII"/>
      </w:pPr>
      <w:r w:rsidRPr="00E83C5E">
        <w:t xml:space="preserve">2.5.2 </w:t>
      </w:r>
      <w:r w:rsidR="004F08CB" w:rsidRPr="00E83C5E">
        <w:t xml:space="preserve">Organizatat jofitimprurëse rinore dhe OJF-të </w:t>
      </w:r>
      <w:r w:rsidR="004F08CB" w:rsidRPr="00E83C5E">
        <w:rPr>
          <w:rFonts w:eastAsia="Times New Roman" w:cs="Times New Roman"/>
          <w:color w:val="000000"/>
        </w:rPr>
        <w:t xml:space="preserve">e tjera që punojnë me të rinjtë janë aktorë thelbësorë në terren dhe ato shpesh shërbejnë për të mbushur boshllëkun në çështjet e të rinjve që nuk mbulohen nga institucionet publike. Ligji për </w:t>
      </w:r>
      <w:r w:rsidR="00C72847" w:rsidRPr="00E83C5E">
        <w:rPr>
          <w:rFonts w:eastAsia="Times New Roman" w:cs="Times New Roman"/>
          <w:color w:val="000000"/>
        </w:rPr>
        <w:t xml:space="preserve">rininë </w:t>
      </w:r>
      <w:r w:rsidR="004F08CB" w:rsidRPr="00E83C5E">
        <w:rPr>
          <w:rFonts w:eastAsia="Times New Roman" w:cs="Times New Roman"/>
          <w:color w:val="000000"/>
        </w:rPr>
        <w:t xml:space="preserve">bën dallimin ndërmjet </w:t>
      </w:r>
      <w:r w:rsidR="00D540B0" w:rsidRPr="00E83C5E">
        <w:rPr>
          <w:rFonts w:eastAsia="Times New Roman" w:cs="Times New Roman"/>
          <w:color w:val="000000"/>
        </w:rPr>
        <w:t>“</w:t>
      </w:r>
      <w:r w:rsidR="004F08CB" w:rsidRPr="00E83C5E">
        <w:rPr>
          <w:rFonts w:eastAsia="Times New Roman" w:cs="Times New Roman"/>
          <w:color w:val="000000"/>
        </w:rPr>
        <w:t>organizatave rinore</w:t>
      </w:r>
      <w:r w:rsidR="00D540B0" w:rsidRPr="00E83C5E">
        <w:rPr>
          <w:rFonts w:eastAsia="Times New Roman" w:cs="Times New Roman"/>
          <w:color w:val="000000"/>
        </w:rPr>
        <w:t>”</w:t>
      </w:r>
      <w:r w:rsidR="004F08CB" w:rsidRPr="00E83C5E">
        <w:rPr>
          <w:rFonts w:eastAsia="Times New Roman" w:cs="Times New Roman"/>
          <w:color w:val="000000"/>
        </w:rPr>
        <w:t xml:space="preserve"> dhe </w:t>
      </w:r>
      <w:r w:rsidR="00D540B0" w:rsidRPr="00E83C5E">
        <w:rPr>
          <w:rFonts w:eastAsia="Times New Roman" w:cs="Times New Roman"/>
          <w:color w:val="000000"/>
        </w:rPr>
        <w:t>“</w:t>
      </w:r>
      <w:r w:rsidR="004F08CB" w:rsidRPr="00E83C5E">
        <w:rPr>
          <w:rFonts w:eastAsia="Times New Roman" w:cs="Times New Roman"/>
          <w:color w:val="000000"/>
        </w:rPr>
        <w:t>organizatave për të rinjtë</w:t>
      </w:r>
      <w:r w:rsidR="00D540B0" w:rsidRPr="00E83C5E">
        <w:rPr>
          <w:rFonts w:eastAsia="Times New Roman" w:cs="Times New Roman"/>
          <w:color w:val="000000"/>
        </w:rPr>
        <w:t>”</w:t>
      </w:r>
      <w:r w:rsidR="004F08CB" w:rsidRPr="00E83C5E">
        <w:rPr>
          <w:rFonts w:eastAsia="Times New Roman" w:cs="Times New Roman"/>
          <w:color w:val="000000"/>
        </w:rPr>
        <w:t xml:space="preserve">. Ligji për </w:t>
      </w:r>
      <w:r w:rsidR="00C72847" w:rsidRPr="00E83C5E">
        <w:rPr>
          <w:rFonts w:eastAsia="Times New Roman" w:cs="Times New Roman"/>
          <w:color w:val="000000"/>
        </w:rPr>
        <w:t>r</w:t>
      </w:r>
      <w:r w:rsidR="004F08CB" w:rsidRPr="00E83C5E">
        <w:rPr>
          <w:rFonts w:eastAsia="Times New Roman" w:cs="Times New Roman"/>
          <w:color w:val="000000"/>
        </w:rPr>
        <w:t xml:space="preserve">ininë i përkufizon organizatat rinore si </w:t>
      </w:r>
      <w:r w:rsidR="00D540B0" w:rsidRPr="00E83C5E">
        <w:rPr>
          <w:rFonts w:eastAsia="Times New Roman" w:cs="Times New Roman"/>
          <w:color w:val="000000"/>
        </w:rPr>
        <w:t>“</w:t>
      </w:r>
      <w:r w:rsidR="004F08CB" w:rsidRPr="00E83C5E">
        <w:rPr>
          <w:rFonts w:eastAsia="Times New Roman" w:cs="Times New Roman"/>
          <w:color w:val="000000"/>
        </w:rPr>
        <w:t>persona juridikë jofitimprurës, të krijuar dhe të regjistruar në përputhje me legjislacionin në fuqi për OJF-të, objekt aktiviteti i të cilave është përfaqësimi, mbrojtja dhe zhvillimi i interesave të të rinjve në mënyrë gjithëpërfshirëse</w:t>
      </w:r>
      <w:r w:rsidR="00D540B0" w:rsidRPr="00E83C5E">
        <w:rPr>
          <w:rFonts w:eastAsia="Times New Roman" w:cs="Times New Roman"/>
          <w:color w:val="000000"/>
        </w:rPr>
        <w:t>”</w:t>
      </w:r>
      <w:r w:rsidR="004F08CB" w:rsidRPr="00E83C5E">
        <w:rPr>
          <w:rFonts w:eastAsia="Times New Roman" w:cs="Times New Roman"/>
          <w:color w:val="000000"/>
        </w:rPr>
        <w:t xml:space="preserve">. Ndërsa organizatat për të rinjtë janë </w:t>
      </w:r>
      <w:r w:rsidR="00D540B0" w:rsidRPr="00E83C5E">
        <w:rPr>
          <w:rFonts w:eastAsia="Times New Roman" w:cs="Times New Roman"/>
          <w:color w:val="000000"/>
        </w:rPr>
        <w:t>“</w:t>
      </w:r>
      <w:r w:rsidR="004F08CB" w:rsidRPr="00E83C5E">
        <w:rPr>
          <w:rFonts w:eastAsia="Times New Roman" w:cs="Times New Roman"/>
          <w:color w:val="000000"/>
        </w:rPr>
        <w:t>persona juridikë jofitimprurës, të krijuar dhe të regjistruar në përputhje me legjislacionin në fuqi për OJF-të, të cilat në fushën e tyre të veprimtarisë synojnë gjithashtu mbrojtjen dhe zhvillimin e interesave të të rinjve dhe që kanë përvojë në zbatimin e programeve me ndikim tek të rinjtë.</w:t>
      </w:r>
      <w:r w:rsidR="00D540B0" w:rsidRPr="00E83C5E">
        <w:rPr>
          <w:rFonts w:eastAsia="Times New Roman" w:cs="Times New Roman"/>
          <w:color w:val="000000"/>
        </w:rPr>
        <w:t>”</w:t>
      </w:r>
      <w:r w:rsidR="004F08CB" w:rsidRPr="00E83C5E">
        <w:rPr>
          <w:rFonts w:eastAsia="Times New Roman" w:cs="Times New Roman"/>
          <w:color w:val="000000"/>
        </w:rPr>
        <w:t xml:space="preserve"> </w:t>
      </w:r>
    </w:p>
    <w:p w14:paraId="574E2AAF" w14:textId="4B4DBBA6" w:rsidR="004F08CB" w:rsidRPr="00E83C5E" w:rsidRDefault="00C948E7" w:rsidP="00C948E7">
      <w:pPr>
        <w:pStyle w:val="TEKSTIII"/>
        <w:rPr>
          <w:b/>
        </w:rPr>
      </w:pPr>
      <w:r w:rsidRPr="00E83C5E">
        <w:rPr>
          <w:b/>
        </w:rPr>
        <w:t xml:space="preserve">2.6 </w:t>
      </w:r>
      <w:r w:rsidR="004F08CB" w:rsidRPr="00E83C5E">
        <w:rPr>
          <w:b/>
        </w:rPr>
        <w:t xml:space="preserve">Zhvillimi i një strategjie kombëtare për rininë në lidhje me </w:t>
      </w:r>
      <w:r w:rsidR="00CE4EC8" w:rsidRPr="00E83C5E">
        <w:rPr>
          <w:b/>
        </w:rPr>
        <w:t xml:space="preserve">garancinë rinore </w:t>
      </w:r>
      <w:r w:rsidR="004F08CB" w:rsidRPr="00E83C5E">
        <w:rPr>
          <w:b/>
        </w:rPr>
        <w:t>të BE-së</w:t>
      </w:r>
    </w:p>
    <w:p w14:paraId="574E2AB0" w14:textId="14E39551" w:rsidR="004F08CB" w:rsidRPr="00E83C5E" w:rsidRDefault="004F08CB" w:rsidP="004F08CB">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Në kuadër të </w:t>
      </w:r>
      <w:r w:rsidRPr="00E83C5E">
        <w:rPr>
          <w:rFonts w:ascii="Garamond" w:hAnsi="Garamond" w:cs="Times New Roman"/>
          <w:b/>
          <w:bCs/>
          <w:sz w:val="24"/>
          <w:szCs w:val="24"/>
        </w:rPr>
        <w:t>kapitullit 19</w:t>
      </w:r>
      <w:r w:rsidR="00C948E7" w:rsidRPr="00E83C5E">
        <w:rPr>
          <w:rFonts w:ascii="Garamond" w:hAnsi="Garamond" w:cs="Times New Roman"/>
          <w:sz w:val="24"/>
          <w:szCs w:val="24"/>
        </w:rPr>
        <w:t xml:space="preserve">, </w:t>
      </w:r>
      <w:r w:rsidRPr="00E83C5E">
        <w:rPr>
          <w:rFonts w:ascii="Garamond" w:hAnsi="Garamond" w:cs="Times New Roman"/>
          <w:sz w:val="24"/>
          <w:szCs w:val="24"/>
        </w:rPr>
        <w:t xml:space="preserve">Ministria e Financave dhe Ekonomisë në bashkëpunim me </w:t>
      </w:r>
      <w:r w:rsidR="005F5A9E">
        <w:rPr>
          <w:rFonts w:ascii="Garamond" w:hAnsi="Garamond" w:cs="Times New Roman"/>
          <w:sz w:val="24"/>
          <w:szCs w:val="24"/>
        </w:rPr>
        <w:t>m</w:t>
      </w:r>
      <w:r w:rsidRPr="00E83C5E">
        <w:rPr>
          <w:rFonts w:ascii="Garamond" w:hAnsi="Garamond" w:cs="Times New Roman"/>
          <w:sz w:val="24"/>
          <w:szCs w:val="24"/>
        </w:rPr>
        <w:t>inistrin e Shtetit për Rininë dhe Fëmijët është në procesin e hartimit të një skeme për Garancinë Rinore (</w:t>
      </w:r>
      <w:r w:rsidRPr="00E83C5E">
        <w:rPr>
          <w:rFonts w:ascii="Garamond" w:hAnsi="Garamond" w:cs="Times New Roman"/>
          <w:i/>
          <w:sz w:val="24"/>
          <w:szCs w:val="24"/>
        </w:rPr>
        <w:t>Youth Guarantee</w:t>
      </w:r>
      <w:r w:rsidRPr="00E83C5E">
        <w:rPr>
          <w:rFonts w:ascii="Garamond" w:hAnsi="Garamond" w:cs="Times New Roman"/>
          <w:sz w:val="24"/>
          <w:szCs w:val="24"/>
        </w:rPr>
        <w:t xml:space="preserve">) në Shqipëri. Garancia </w:t>
      </w:r>
      <w:r w:rsidR="00A21382" w:rsidRPr="00E83C5E">
        <w:rPr>
          <w:rFonts w:ascii="Garamond" w:hAnsi="Garamond" w:cs="Times New Roman"/>
          <w:sz w:val="24"/>
          <w:szCs w:val="24"/>
        </w:rPr>
        <w:t>r</w:t>
      </w:r>
      <w:r w:rsidRPr="00E83C5E">
        <w:rPr>
          <w:rFonts w:ascii="Garamond" w:hAnsi="Garamond" w:cs="Times New Roman"/>
          <w:sz w:val="24"/>
          <w:szCs w:val="24"/>
        </w:rPr>
        <w:t xml:space="preserve">inore është një angazhim nga të gjitha Shtetet Anëtare të BE, për të siguruar që të gjithë të rinjtë nën moshën 29 vjeç marrin një ofertë cilësore </w:t>
      </w:r>
      <w:r w:rsidRPr="00E83C5E">
        <w:rPr>
          <w:rFonts w:ascii="Garamond" w:hAnsi="Garamond" w:cs="Times New Roman"/>
          <w:sz w:val="24"/>
          <w:szCs w:val="24"/>
        </w:rPr>
        <w:lastRenderedPageBreak/>
        <w:t>brenda një periudhe katër mujore të regjistrimit si punëkërkues të papunë ose të braktisjes së arsimit formal, për programet e mëposhtme:</w:t>
      </w:r>
    </w:p>
    <w:p w14:paraId="574E2AB1" w14:textId="104E6EC5" w:rsidR="004F08CB" w:rsidRPr="00E83C5E" w:rsidRDefault="00C948E7" w:rsidP="00C948E7">
      <w:pPr>
        <w:pStyle w:val="TEKSTIII"/>
      </w:pPr>
      <w:r w:rsidRPr="00E83C5E">
        <w:t>-</w:t>
      </w:r>
      <w:r w:rsidR="00B229EC" w:rsidRPr="00E83C5E">
        <w:t xml:space="preserve"> </w:t>
      </w:r>
      <w:r w:rsidR="00A21382" w:rsidRPr="00E83C5E">
        <w:t>punësim</w:t>
      </w:r>
      <w:r w:rsidR="004F08CB" w:rsidRPr="00E83C5E">
        <w:t>;</w:t>
      </w:r>
    </w:p>
    <w:p w14:paraId="574E2AB2" w14:textId="609D5592" w:rsidR="004F08CB" w:rsidRPr="00E83C5E" w:rsidRDefault="00C948E7" w:rsidP="00C948E7">
      <w:pPr>
        <w:pStyle w:val="TEKSTIII"/>
      </w:pPr>
      <w:r w:rsidRPr="00E83C5E">
        <w:t>-</w:t>
      </w:r>
      <w:r w:rsidR="00B229EC" w:rsidRPr="00E83C5E">
        <w:t xml:space="preserve"> </w:t>
      </w:r>
      <w:r w:rsidR="00A21382" w:rsidRPr="00E83C5E">
        <w:t xml:space="preserve">edukim </w:t>
      </w:r>
      <w:r w:rsidR="004F08CB" w:rsidRPr="00E83C5E">
        <w:t>të vazhdueshëm (</w:t>
      </w:r>
      <w:r w:rsidR="004F08CB" w:rsidRPr="00E83C5E">
        <w:rPr>
          <w:i/>
        </w:rPr>
        <w:t>continued education</w:t>
      </w:r>
      <w:r w:rsidR="004F08CB" w:rsidRPr="00E83C5E">
        <w:t>);</w:t>
      </w:r>
    </w:p>
    <w:p w14:paraId="574E2AB3" w14:textId="637D8970" w:rsidR="004F08CB" w:rsidRPr="00E83C5E" w:rsidRDefault="00C948E7" w:rsidP="00C948E7">
      <w:pPr>
        <w:pStyle w:val="TEKSTIII"/>
      </w:pPr>
      <w:r w:rsidRPr="00E83C5E">
        <w:t>-</w:t>
      </w:r>
      <w:r w:rsidR="00B229EC" w:rsidRPr="00E83C5E">
        <w:t xml:space="preserve"> </w:t>
      </w:r>
      <w:r w:rsidR="00A21382" w:rsidRPr="00E83C5E">
        <w:t xml:space="preserve">mësim </w:t>
      </w:r>
      <w:r w:rsidR="004F08CB" w:rsidRPr="00E83C5E">
        <w:t>profesioni (</w:t>
      </w:r>
      <w:r w:rsidR="004F08CB" w:rsidRPr="00E83C5E">
        <w:rPr>
          <w:i/>
        </w:rPr>
        <w:t>apprenticeship</w:t>
      </w:r>
      <w:r w:rsidR="004F08CB" w:rsidRPr="00E83C5E">
        <w:t>);</w:t>
      </w:r>
    </w:p>
    <w:p w14:paraId="574E2AB4" w14:textId="3F44A895" w:rsidR="004F08CB" w:rsidRPr="00E83C5E" w:rsidRDefault="00C948E7" w:rsidP="00C948E7">
      <w:pPr>
        <w:pStyle w:val="TEKSTIII"/>
      </w:pPr>
      <w:r w:rsidRPr="00E83C5E">
        <w:rPr>
          <w:lang w:eastAsia="en-GB"/>
        </w:rPr>
        <w:t>-</w:t>
      </w:r>
      <w:r w:rsidR="00B229EC" w:rsidRPr="00E83C5E">
        <w:rPr>
          <w:lang w:eastAsia="en-GB"/>
        </w:rPr>
        <w:t xml:space="preserve"> </w:t>
      </w:r>
      <w:r w:rsidR="00A21382" w:rsidRPr="00E83C5E">
        <w:rPr>
          <w:lang w:eastAsia="en-GB"/>
        </w:rPr>
        <w:t xml:space="preserve">trajnim </w:t>
      </w:r>
      <w:r w:rsidR="004F08CB" w:rsidRPr="00E83C5E">
        <w:rPr>
          <w:lang w:eastAsia="en-GB"/>
        </w:rPr>
        <w:t>profesional.</w:t>
      </w:r>
    </w:p>
    <w:p w14:paraId="574E2AB5" w14:textId="744B930B" w:rsidR="004F08CB" w:rsidRPr="00E83C5E" w:rsidRDefault="004F08CB" w:rsidP="004F08CB">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Të gjitha vendet e BE-së, janë angazhuar për zbatimin e </w:t>
      </w:r>
      <w:r w:rsidR="005626EC" w:rsidRPr="00E83C5E">
        <w:rPr>
          <w:rFonts w:ascii="Garamond" w:hAnsi="Garamond" w:cs="Times New Roman"/>
          <w:sz w:val="24"/>
          <w:szCs w:val="24"/>
        </w:rPr>
        <w:t xml:space="preserve">garancisë rinore </w:t>
      </w:r>
      <w:r w:rsidRPr="00E83C5E">
        <w:rPr>
          <w:rFonts w:ascii="Garamond" w:hAnsi="Garamond" w:cs="Times New Roman"/>
          <w:sz w:val="24"/>
          <w:szCs w:val="24"/>
        </w:rPr>
        <w:t>në zbatim të Rekomandimin e Këshillit (</w:t>
      </w:r>
      <w:r w:rsidR="00A21382" w:rsidRPr="00E83C5E">
        <w:rPr>
          <w:rFonts w:ascii="Garamond" w:hAnsi="Garamond" w:cs="Times New Roman"/>
          <w:sz w:val="24"/>
          <w:szCs w:val="24"/>
        </w:rPr>
        <w:t>p</w:t>
      </w:r>
      <w:r w:rsidRPr="00E83C5E">
        <w:rPr>
          <w:rFonts w:ascii="Garamond" w:hAnsi="Garamond" w:cs="Times New Roman"/>
          <w:sz w:val="24"/>
          <w:szCs w:val="24"/>
        </w:rPr>
        <w:t>rill 2013). Nevoja për një program të tillë në BE erdhi për arsye të rritjes së papunësisë rinore dhe sidomos të atyre që u përkasin grupit të rinj as në punësim, arsim apo aftësim APAA</w:t>
      </w:r>
      <w:r w:rsidRPr="00E83C5E">
        <w:rPr>
          <w:rStyle w:val="FootnoteReference"/>
          <w:rFonts w:ascii="Garamond" w:hAnsi="Garamond" w:cs="Times New Roman"/>
          <w:sz w:val="24"/>
          <w:szCs w:val="24"/>
        </w:rPr>
        <w:footnoteReference w:id="14"/>
      </w:r>
      <w:r w:rsidRPr="00E83C5E">
        <w:rPr>
          <w:rFonts w:ascii="Garamond" w:hAnsi="Garamond" w:cs="Times New Roman"/>
          <w:sz w:val="24"/>
          <w:szCs w:val="24"/>
        </w:rPr>
        <w:t xml:space="preserve"> (</w:t>
      </w:r>
      <w:r w:rsidRPr="00061638">
        <w:rPr>
          <w:rFonts w:ascii="Garamond" w:hAnsi="Garamond" w:cs="Times New Roman"/>
          <w:i/>
          <w:sz w:val="24"/>
          <w:szCs w:val="24"/>
        </w:rPr>
        <w:t>NEET not in employment, education or training</w:t>
      </w:r>
      <w:r w:rsidRPr="00E83C5E">
        <w:rPr>
          <w:rFonts w:ascii="Garamond" w:hAnsi="Garamond" w:cs="Times New Roman"/>
          <w:sz w:val="24"/>
          <w:szCs w:val="24"/>
        </w:rPr>
        <w:t>). Kjo iniciativë e BE-së, po shtrihet në të gjithë vendet e Ballkanit Perëndimor, ku bën pjesë dhe Shqipëria. Si në të gjitha vendet e</w:t>
      </w:r>
      <w:r w:rsidR="00233C37" w:rsidRPr="00E83C5E">
        <w:rPr>
          <w:rFonts w:ascii="Garamond" w:hAnsi="Garamond" w:cs="Times New Roman"/>
          <w:sz w:val="24"/>
          <w:szCs w:val="24"/>
        </w:rPr>
        <w:t xml:space="preserve"> </w:t>
      </w:r>
      <w:r w:rsidRPr="00E83C5E">
        <w:rPr>
          <w:rFonts w:ascii="Garamond" w:hAnsi="Garamond" w:cs="Times New Roman"/>
          <w:sz w:val="24"/>
          <w:szCs w:val="24"/>
        </w:rPr>
        <w:t xml:space="preserve">BE-së dhe Ballkanit Perëndimor edhe në Shqipëri arsyeja e prezantimit të këtij programi është, mbështetja e APAA, pasi shkalla e APAA për Shqipërinë </w:t>
      </w:r>
      <w:r w:rsidR="005626EC" w:rsidRPr="00E83C5E">
        <w:rPr>
          <w:rFonts w:ascii="Garamond" w:hAnsi="Garamond" w:cs="Times New Roman"/>
          <w:sz w:val="24"/>
          <w:szCs w:val="24"/>
        </w:rPr>
        <w:t>m</w:t>
      </w:r>
      <w:r w:rsidRPr="00E83C5E">
        <w:rPr>
          <w:rFonts w:ascii="Garamond" w:hAnsi="Garamond" w:cs="Times New Roman"/>
          <w:sz w:val="24"/>
          <w:szCs w:val="24"/>
        </w:rPr>
        <w:t xml:space="preserve">ë 2020 ishte 27.9, nga 26.6 në 2019 (INSTAT), më shumë se dyfishi i mesatares së BE-27 (12.6%). Në këtë grup, 36.5% janë klasifikuar si të papunë (INSTAT 2020). Vetëm rreth 18,000 të rinj APAA </w:t>
      </w:r>
      <w:r w:rsidR="005626EC" w:rsidRPr="00E83C5E">
        <w:rPr>
          <w:rFonts w:ascii="Garamond" w:hAnsi="Garamond" w:cs="Times New Roman"/>
          <w:sz w:val="24"/>
          <w:szCs w:val="24"/>
        </w:rPr>
        <w:t>–</w:t>
      </w:r>
      <w:r w:rsidRPr="00E83C5E">
        <w:rPr>
          <w:rFonts w:ascii="Garamond" w:hAnsi="Garamond" w:cs="Times New Roman"/>
          <w:sz w:val="24"/>
          <w:szCs w:val="24"/>
        </w:rPr>
        <w:t xml:space="preserve"> nga</w:t>
      </w:r>
      <w:r w:rsidR="005626EC" w:rsidRPr="00E83C5E">
        <w:rPr>
          <w:rFonts w:ascii="Garamond" w:hAnsi="Garamond" w:cs="Times New Roman"/>
          <w:sz w:val="24"/>
          <w:szCs w:val="24"/>
        </w:rPr>
        <w:t xml:space="preserve"> </w:t>
      </w:r>
      <w:r w:rsidRPr="00E83C5E">
        <w:rPr>
          <w:rFonts w:ascii="Garamond" w:hAnsi="Garamond" w:cs="Times New Roman"/>
          <w:sz w:val="24"/>
          <w:szCs w:val="24"/>
        </w:rPr>
        <w:t xml:space="preserve">gjithsej mbi 190,000 </w:t>
      </w:r>
      <w:r w:rsidR="005626EC" w:rsidRPr="00E83C5E">
        <w:rPr>
          <w:rFonts w:ascii="Garamond" w:hAnsi="Garamond" w:cs="Times New Roman"/>
          <w:sz w:val="24"/>
          <w:szCs w:val="24"/>
        </w:rPr>
        <w:t>–</w:t>
      </w:r>
      <w:r w:rsidRPr="00E83C5E">
        <w:rPr>
          <w:rFonts w:ascii="Garamond" w:hAnsi="Garamond" w:cs="Times New Roman"/>
          <w:sz w:val="24"/>
          <w:szCs w:val="24"/>
        </w:rPr>
        <w:t xml:space="preserve"> janë</w:t>
      </w:r>
      <w:r w:rsidR="005626EC" w:rsidRPr="00E83C5E">
        <w:rPr>
          <w:rFonts w:ascii="Garamond" w:hAnsi="Garamond" w:cs="Times New Roman"/>
          <w:sz w:val="24"/>
          <w:szCs w:val="24"/>
        </w:rPr>
        <w:t xml:space="preserve"> </w:t>
      </w:r>
      <w:r w:rsidRPr="00E83C5E">
        <w:rPr>
          <w:rFonts w:ascii="Garamond" w:hAnsi="Garamond" w:cs="Times New Roman"/>
          <w:sz w:val="24"/>
          <w:szCs w:val="24"/>
        </w:rPr>
        <w:t xml:space="preserve">regjistruar në zyrat e punësimit dhe mbulimi i nevojave duhet të shtrihet përtej këtij grupi, që përfaqëson më pak se 10% të të rinjve APAA. </w:t>
      </w:r>
    </w:p>
    <w:p w14:paraId="574E2AB6" w14:textId="67C7CE82" w:rsidR="004F08CB" w:rsidRPr="00E83C5E" w:rsidRDefault="004F08CB" w:rsidP="004F08CB">
      <w:pPr>
        <w:spacing w:after="0" w:line="240" w:lineRule="auto"/>
        <w:ind w:firstLine="284"/>
        <w:contextualSpacing/>
        <w:jc w:val="both"/>
        <w:rPr>
          <w:rFonts w:ascii="Garamond" w:hAnsi="Garamond" w:cs="Times New Roman"/>
          <w:sz w:val="24"/>
          <w:szCs w:val="24"/>
        </w:rPr>
      </w:pPr>
      <w:r w:rsidRPr="00E83C5E">
        <w:rPr>
          <w:rFonts w:ascii="Garamond" w:hAnsi="Garamond" w:cs="Times New Roman"/>
          <w:sz w:val="24"/>
          <w:szCs w:val="24"/>
        </w:rPr>
        <w:t xml:space="preserve">Garancia </w:t>
      </w:r>
      <w:r w:rsidR="0054549D" w:rsidRPr="00E83C5E">
        <w:rPr>
          <w:rFonts w:ascii="Garamond" w:hAnsi="Garamond" w:cs="Times New Roman"/>
          <w:sz w:val="24"/>
          <w:szCs w:val="24"/>
        </w:rPr>
        <w:t>r</w:t>
      </w:r>
      <w:r w:rsidRPr="00E83C5E">
        <w:rPr>
          <w:rFonts w:ascii="Garamond" w:hAnsi="Garamond" w:cs="Times New Roman"/>
          <w:sz w:val="24"/>
          <w:szCs w:val="24"/>
        </w:rPr>
        <w:t xml:space="preserve">inore në Shqipëri do të bazohet në një grup pune ndërinstitucional dhe të një grupi teknik </w:t>
      </w:r>
      <w:r w:rsidRPr="00E83C5E">
        <w:rPr>
          <w:rStyle w:val="jlqj4b"/>
          <w:rFonts w:ascii="Garamond" w:hAnsi="Garamond" w:cs="Times New Roman"/>
          <w:sz w:val="24"/>
          <w:szCs w:val="24"/>
        </w:rPr>
        <w:t>për hartimin e planit komb</w:t>
      </w:r>
      <w:r w:rsidRPr="00E83C5E">
        <w:rPr>
          <w:rFonts w:ascii="Garamond" w:hAnsi="Garamond" w:cs="Times New Roman"/>
          <w:sz w:val="24"/>
          <w:szCs w:val="24"/>
        </w:rPr>
        <w:t>ë</w:t>
      </w:r>
      <w:r w:rsidRPr="00E83C5E">
        <w:rPr>
          <w:rStyle w:val="jlqj4b"/>
          <w:rFonts w:ascii="Garamond" w:hAnsi="Garamond" w:cs="Times New Roman"/>
          <w:sz w:val="24"/>
          <w:szCs w:val="24"/>
        </w:rPr>
        <w:t>tar t</w:t>
      </w:r>
      <w:r w:rsidRPr="00E83C5E">
        <w:rPr>
          <w:rFonts w:ascii="Garamond" w:hAnsi="Garamond" w:cs="Times New Roman"/>
          <w:sz w:val="24"/>
          <w:szCs w:val="24"/>
        </w:rPr>
        <w:t>ë</w:t>
      </w:r>
      <w:r w:rsidRPr="00E83C5E">
        <w:rPr>
          <w:rStyle w:val="jlqj4b"/>
          <w:rFonts w:ascii="Garamond" w:hAnsi="Garamond" w:cs="Times New Roman"/>
          <w:sz w:val="24"/>
          <w:szCs w:val="24"/>
        </w:rPr>
        <w:t xml:space="preserve"> garancisë rinore, si dhe përcaktimin e koordinatorit komb</w:t>
      </w:r>
      <w:r w:rsidRPr="00E83C5E">
        <w:rPr>
          <w:rFonts w:ascii="Garamond" w:hAnsi="Garamond" w:cs="Times New Roman"/>
          <w:sz w:val="24"/>
          <w:szCs w:val="24"/>
        </w:rPr>
        <w:t>ë</w:t>
      </w:r>
      <w:r w:rsidRPr="00E83C5E">
        <w:rPr>
          <w:rStyle w:val="jlqj4b"/>
          <w:rFonts w:ascii="Garamond" w:hAnsi="Garamond" w:cs="Times New Roman"/>
          <w:sz w:val="24"/>
          <w:szCs w:val="24"/>
        </w:rPr>
        <w:t>tar.</w:t>
      </w:r>
      <w:r w:rsidRPr="00E83C5E">
        <w:rPr>
          <w:rFonts w:ascii="Garamond" w:hAnsi="Garamond" w:cs="Times New Roman"/>
          <w:sz w:val="24"/>
          <w:szCs w:val="24"/>
        </w:rPr>
        <w:t xml:space="preserve"> Këto grupe pune do të veprojnë sipas </w:t>
      </w:r>
      <w:r w:rsidR="00061638" w:rsidRPr="00E83C5E">
        <w:rPr>
          <w:rFonts w:ascii="Garamond" w:hAnsi="Garamond" w:cs="Times New Roman"/>
          <w:sz w:val="24"/>
          <w:szCs w:val="24"/>
        </w:rPr>
        <w:t>u</w:t>
      </w:r>
      <w:r w:rsidRPr="00E83C5E">
        <w:rPr>
          <w:rFonts w:ascii="Garamond" w:hAnsi="Garamond" w:cs="Times New Roman"/>
          <w:sz w:val="24"/>
          <w:szCs w:val="24"/>
        </w:rPr>
        <w:t xml:space="preserve">dhëzuesit të Bashkimit Evropian për </w:t>
      </w:r>
      <w:r w:rsidR="00D540B0" w:rsidRPr="00E83C5E">
        <w:rPr>
          <w:rFonts w:ascii="Garamond" w:hAnsi="Garamond" w:cs="Times New Roman"/>
          <w:sz w:val="24"/>
          <w:szCs w:val="24"/>
        </w:rPr>
        <w:t>“</w:t>
      </w:r>
      <w:r w:rsidRPr="00E83C5E">
        <w:rPr>
          <w:rFonts w:ascii="Garamond" w:hAnsi="Garamond" w:cs="Times New Roman"/>
          <w:sz w:val="24"/>
          <w:szCs w:val="24"/>
        </w:rPr>
        <w:t xml:space="preserve">Planin Ekonomik dhe të Investimeve për Ballkanin Perëndimor – </w:t>
      </w:r>
      <w:r w:rsidR="00A14B26">
        <w:rPr>
          <w:rFonts w:ascii="Garamond" w:hAnsi="Garamond" w:cs="Times New Roman"/>
          <w:sz w:val="24"/>
          <w:szCs w:val="24"/>
        </w:rPr>
        <w:t>u</w:t>
      </w:r>
      <w:r w:rsidRPr="00E83C5E">
        <w:rPr>
          <w:rFonts w:ascii="Garamond" w:hAnsi="Garamond" w:cs="Times New Roman"/>
          <w:sz w:val="24"/>
          <w:szCs w:val="24"/>
        </w:rPr>
        <w:t xml:space="preserve">dhëzime </w:t>
      </w:r>
      <w:r w:rsidR="008C612B" w:rsidRPr="00E83C5E">
        <w:rPr>
          <w:rFonts w:ascii="Garamond" w:hAnsi="Garamond" w:cs="Times New Roman"/>
          <w:sz w:val="24"/>
          <w:szCs w:val="24"/>
        </w:rPr>
        <w:t>për garancitë rinore</w:t>
      </w:r>
      <w:r w:rsidR="00D540B0" w:rsidRPr="00E83C5E">
        <w:rPr>
          <w:rFonts w:ascii="Garamond" w:hAnsi="Garamond" w:cs="Times New Roman"/>
          <w:sz w:val="24"/>
          <w:szCs w:val="24"/>
        </w:rPr>
        <w:t>”</w:t>
      </w:r>
      <w:r w:rsidRPr="00E83C5E">
        <w:rPr>
          <w:rFonts w:ascii="Garamond" w:hAnsi="Garamond" w:cs="Times New Roman"/>
          <w:sz w:val="24"/>
          <w:szCs w:val="24"/>
        </w:rPr>
        <w:t xml:space="preserve"> dhe do të jenë </w:t>
      </w:r>
      <w:r w:rsidRPr="00E83C5E">
        <w:rPr>
          <w:rStyle w:val="jlqj4b"/>
          <w:rFonts w:ascii="Garamond" w:hAnsi="Garamond" w:cs="Times New Roman"/>
          <w:sz w:val="24"/>
          <w:szCs w:val="24"/>
        </w:rPr>
        <w:t xml:space="preserve">përgjegjës </w:t>
      </w:r>
      <w:r w:rsidRPr="00E83C5E">
        <w:rPr>
          <w:rFonts w:ascii="Garamond" w:hAnsi="Garamond" w:cs="Times New Roman"/>
          <w:sz w:val="24"/>
          <w:szCs w:val="24"/>
        </w:rPr>
        <w:t xml:space="preserve">për hartimin, zbatimin dhe monitorimin e Planit Kombëtar të Garancisë Rinore. </w:t>
      </w:r>
    </w:p>
    <w:p w14:paraId="574E2AB8" w14:textId="0C4B9F60" w:rsidR="004F08CB" w:rsidRPr="00E83C5E" w:rsidRDefault="004F08CB" w:rsidP="004F08CB">
      <w:pPr>
        <w:shd w:val="clear" w:color="auto" w:fill="FFFFFF"/>
        <w:spacing w:after="0" w:line="240" w:lineRule="auto"/>
        <w:ind w:firstLine="284"/>
        <w:jc w:val="both"/>
        <w:rPr>
          <w:rFonts w:ascii="Garamond" w:hAnsi="Garamond" w:cs="Times New Roman"/>
          <w:color w:val="000000"/>
          <w:sz w:val="24"/>
          <w:szCs w:val="24"/>
        </w:rPr>
      </w:pPr>
      <w:r w:rsidRPr="00E83C5E">
        <w:rPr>
          <w:rFonts w:ascii="Garamond" w:hAnsi="Garamond" w:cs="Times New Roman"/>
          <w:color w:val="000000"/>
          <w:sz w:val="24"/>
          <w:szCs w:val="24"/>
        </w:rPr>
        <w:t xml:space="preserve">Hartimi i skemës së </w:t>
      </w:r>
      <w:r w:rsidR="008C612B" w:rsidRPr="00E83C5E">
        <w:rPr>
          <w:rFonts w:ascii="Garamond" w:hAnsi="Garamond" w:cs="Times New Roman"/>
          <w:color w:val="000000"/>
          <w:sz w:val="24"/>
          <w:szCs w:val="24"/>
        </w:rPr>
        <w:t xml:space="preserve">garancisë rinore </w:t>
      </w:r>
      <w:r w:rsidRPr="00E83C5E">
        <w:rPr>
          <w:rFonts w:ascii="Garamond" w:hAnsi="Garamond" w:cs="Times New Roman"/>
          <w:color w:val="000000"/>
          <w:sz w:val="24"/>
          <w:szCs w:val="24"/>
        </w:rPr>
        <w:t>është parashikuar në planin e veprimit të Strategjisë Kombëtare për Punësim dhe Aftësi 2019</w:t>
      </w:r>
      <w:r w:rsidR="005626EC" w:rsidRPr="00E83C5E">
        <w:rPr>
          <w:rFonts w:ascii="Garamond" w:hAnsi="Garamond" w:cs="Times New Roman"/>
          <w:color w:val="000000"/>
          <w:sz w:val="24"/>
          <w:szCs w:val="24"/>
        </w:rPr>
        <w:t>–</w:t>
      </w:r>
      <w:r w:rsidRPr="00E83C5E">
        <w:rPr>
          <w:rFonts w:ascii="Garamond" w:hAnsi="Garamond" w:cs="Times New Roman"/>
          <w:color w:val="000000"/>
          <w:sz w:val="24"/>
          <w:szCs w:val="24"/>
        </w:rPr>
        <w:t>2022. Ky proces është duke u mbështetur dhe nga BE</w:t>
      </w:r>
      <w:r w:rsidR="00C53C75" w:rsidRPr="00E83C5E">
        <w:rPr>
          <w:rFonts w:ascii="Garamond" w:hAnsi="Garamond" w:cs="Times New Roman"/>
          <w:color w:val="000000"/>
          <w:sz w:val="24"/>
          <w:szCs w:val="24"/>
        </w:rPr>
        <w:t>-ja</w:t>
      </w:r>
      <w:r w:rsidRPr="00E83C5E">
        <w:rPr>
          <w:rFonts w:ascii="Garamond" w:hAnsi="Garamond" w:cs="Times New Roman"/>
          <w:color w:val="000000"/>
          <w:sz w:val="24"/>
          <w:szCs w:val="24"/>
        </w:rPr>
        <w:t xml:space="preserve">, ILO dhe do të përfshijë pra, dy grupe pune në nivel politik dhe teknik, të përbërë nga institucione shqiptare siç janë Ministria e Financës dhe Ekonomisë, Ministria e Arsimit dhe Sportit, Ministria e Shëndetësisë dhe Mbrojtjes Sociale, </w:t>
      </w:r>
      <w:r w:rsidR="00E93511" w:rsidRPr="00E83C5E">
        <w:rPr>
          <w:rFonts w:ascii="Garamond" w:hAnsi="Garamond" w:cs="Times New Roman"/>
          <w:color w:val="000000"/>
          <w:sz w:val="24"/>
          <w:szCs w:val="24"/>
        </w:rPr>
        <w:t>m</w:t>
      </w:r>
      <w:r w:rsidRPr="00E83C5E">
        <w:rPr>
          <w:rFonts w:ascii="Garamond" w:hAnsi="Garamond" w:cs="Times New Roman"/>
          <w:color w:val="000000"/>
          <w:sz w:val="24"/>
          <w:szCs w:val="24"/>
        </w:rPr>
        <w:t>inistri i Shtetit për Rininë dhe Fëmijët, por dhe institucione të tjera</w:t>
      </w:r>
      <w:r w:rsidR="00E93511" w:rsidRPr="00E83C5E">
        <w:rPr>
          <w:rFonts w:ascii="Garamond" w:hAnsi="Garamond" w:cs="Times New Roman"/>
          <w:color w:val="000000"/>
          <w:sz w:val="24"/>
          <w:szCs w:val="24"/>
        </w:rPr>
        <w:t>,</w:t>
      </w:r>
      <w:r w:rsidRPr="00E83C5E">
        <w:rPr>
          <w:rFonts w:ascii="Garamond" w:hAnsi="Garamond" w:cs="Times New Roman"/>
          <w:color w:val="000000"/>
          <w:sz w:val="24"/>
          <w:szCs w:val="24"/>
        </w:rPr>
        <w:t xml:space="preserve"> siç janë</w:t>
      </w:r>
      <w:r w:rsidR="00E93511" w:rsidRPr="00E83C5E">
        <w:rPr>
          <w:rFonts w:ascii="Garamond" w:hAnsi="Garamond" w:cs="Times New Roman"/>
          <w:color w:val="000000"/>
          <w:sz w:val="24"/>
          <w:szCs w:val="24"/>
        </w:rPr>
        <w:t>:</w:t>
      </w:r>
      <w:r w:rsidRPr="00E83C5E">
        <w:rPr>
          <w:rFonts w:ascii="Garamond" w:hAnsi="Garamond" w:cs="Times New Roman"/>
          <w:color w:val="000000"/>
          <w:sz w:val="24"/>
          <w:szCs w:val="24"/>
        </w:rPr>
        <w:t xml:space="preserve"> Agjencia Kombëtare e Punësimit dhe Aftësive Agjencia Kombëtare e Arsimit dhe Formimit Profesional dhe Kualifikimeve, Agjencia Kombëtare e Rinisë etj. Në këto dy grupe pune do të ketë përfaqësues të partnereve sociale, përfaqësues të organizatave të të rinjve, pushtetit vendor etj.</w:t>
      </w:r>
    </w:p>
    <w:p w14:paraId="574E2AB9" w14:textId="631EF853" w:rsidR="004F08CB" w:rsidRPr="00E83C5E" w:rsidRDefault="004F08CB" w:rsidP="004F08CB">
      <w:pPr>
        <w:pStyle w:val="BodyText"/>
        <w:shd w:val="clear" w:color="auto" w:fill="auto"/>
        <w:tabs>
          <w:tab w:val="left" w:pos="562"/>
        </w:tabs>
        <w:ind w:firstLine="284"/>
        <w:contextualSpacing/>
        <w:jc w:val="both"/>
        <w:rPr>
          <w:rFonts w:cs="Times New Roman"/>
          <w:sz w:val="24"/>
          <w:lang w:val="sq-AL"/>
        </w:rPr>
      </w:pPr>
      <w:r w:rsidRPr="00E83C5E">
        <w:rPr>
          <w:rFonts w:cs="Times New Roman"/>
          <w:sz w:val="24"/>
          <w:lang w:val="sq-AL"/>
        </w:rPr>
        <w:t xml:space="preserve">Grupi ndërinstitucional i punës kryesohet nga </w:t>
      </w:r>
      <w:r w:rsidR="00E93511" w:rsidRPr="00E83C5E">
        <w:rPr>
          <w:rFonts w:cs="Times New Roman"/>
          <w:sz w:val="24"/>
          <w:lang w:val="sq-AL"/>
        </w:rPr>
        <w:t>m</w:t>
      </w:r>
      <w:r w:rsidRPr="00E83C5E">
        <w:rPr>
          <w:rFonts w:cs="Times New Roman"/>
          <w:sz w:val="24"/>
          <w:lang w:val="sq-AL"/>
        </w:rPr>
        <w:t>inistri i Financave dhe Ekonomisë dhe në përbërje të tij ka përfaqësues nga Kryeministra, ministritë e linjës, nga institucionet e varësisë, shoqëria civile dhe përfaqësues të organizatave ombrellë rinore t</w:t>
      </w:r>
      <w:r w:rsidRPr="00E83C5E">
        <w:rPr>
          <w:rFonts w:eastAsia="Calibri" w:cs="Times New Roman"/>
          <w:sz w:val="24"/>
          <w:lang w:val="sq-AL"/>
        </w:rPr>
        <w:t xml:space="preserve">ë përmendura </w:t>
      </w:r>
      <w:r w:rsidRPr="00E83C5E">
        <w:rPr>
          <w:rFonts w:cs="Times New Roman"/>
          <w:sz w:val="24"/>
          <w:lang w:val="sq-AL"/>
        </w:rPr>
        <w:t xml:space="preserve">më sipër. Grupi ndërinstitucional i punës është përgjegjës për dhënien e udhëzimeve dhe mbikëqyrjes së procesit të hartimit të skemës së </w:t>
      </w:r>
      <w:r w:rsidR="0054549D" w:rsidRPr="00E83C5E">
        <w:rPr>
          <w:rFonts w:cs="Times New Roman"/>
          <w:sz w:val="24"/>
          <w:lang w:val="sq-AL"/>
        </w:rPr>
        <w:t xml:space="preserve">garancisë rinore </w:t>
      </w:r>
      <w:r w:rsidRPr="00E83C5E">
        <w:rPr>
          <w:rFonts w:cs="Times New Roman"/>
          <w:sz w:val="24"/>
          <w:lang w:val="sq-AL"/>
        </w:rPr>
        <w:t>në Shqipëri, shqyrton Planin Kombëtar të Garancisë Rinore dhe e monitor</w:t>
      </w:r>
      <w:r w:rsidR="0054549D" w:rsidRPr="00E83C5E">
        <w:rPr>
          <w:rFonts w:cs="Times New Roman"/>
          <w:sz w:val="24"/>
          <w:lang w:val="sq-AL"/>
        </w:rPr>
        <w:t>o</w:t>
      </w:r>
      <w:r w:rsidRPr="00E83C5E">
        <w:rPr>
          <w:rFonts w:cs="Times New Roman"/>
          <w:sz w:val="24"/>
          <w:lang w:val="sq-AL"/>
        </w:rPr>
        <w:t>n atë.</w:t>
      </w:r>
      <w:r w:rsidR="00233C37" w:rsidRPr="00E83C5E">
        <w:rPr>
          <w:rFonts w:cs="Times New Roman"/>
          <w:sz w:val="24"/>
          <w:lang w:val="sq-AL"/>
        </w:rPr>
        <w:t xml:space="preserve"> </w:t>
      </w:r>
    </w:p>
    <w:p w14:paraId="574E2ABA" w14:textId="2475BF45" w:rsidR="004F08CB" w:rsidRPr="00E83C5E" w:rsidRDefault="00360B01" w:rsidP="00360B01">
      <w:pPr>
        <w:pStyle w:val="TEKSTIII"/>
        <w:rPr>
          <w:b/>
        </w:rPr>
      </w:pPr>
      <w:bookmarkStart w:id="3" w:name="_Toc62844178"/>
      <w:r w:rsidRPr="00E83C5E">
        <w:rPr>
          <w:b/>
        </w:rPr>
        <w:t xml:space="preserve">3. </w:t>
      </w:r>
      <w:r w:rsidR="004F08CB" w:rsidRPr="00E83C5E">
        <w:rPr>
          <w:b/>
        </w:rPr>
        <w:t xml:space="preserve">Deklarata e </w:t>
      </w:r>
      <w:r w:rsidR="007020A1" w:rsidRPr="00E83C5E">
        <w:rPr>
          <w:b/>
        </w:rPr>
        <w:t>v</w:t>
      </w:r>
      <w:r w:rsidR="004F08CB" w:rsidRPr="00E83C5E">
        <w:rPr>
          <w:b/>
        </w:rPr>
        <w:t>izioni</w:t>
      </w:r>
      <w:bookmarkEnd w:id="3"/>
      <w:r w:rsidR="004F08CB" w:rsidRPr="00E83C5E">
        <w:rPr>
          <w:b/>
        </w:rPr>
        <w:t>t</w:t>
      </w:r>
    </w:p>
    <w:p w14:paraId="574E2ABB" w14:textId="77777777" w:rsidR="004F08CB" w:rsidRPr="00E83C5E" w:rsidRDefault="004F08CB" w:rsidP="00360B01">
      <w:pPr>
        <w:pStyle w:val="TEKSTIII"/>
        <w:rPr>
          <w:b/>
          <w:lang w:eastAsia="en-GB"/>
        </w:rPr>
      </w:pPr>
      <w:r w:rsidRPr="00E83C5E">
        <w:rPr>
          <w:rFonts w:eastAsiaTheme="majorEastAsia"/>
          <w:b/>
          <w:color w:val="000000" w:themeColor="text1"/>
        </w:rPr>
        <w:t>3.1 Vizioni</w:t>
      </w:r>
    </w:p>
    <w:p w14:paraId="574E2ABC" w14:textId="73939D1A" w:rsidR="004F08CB" w:rsidRPr="00E83C5E" w:rsidRDefault="004F08CB" w:rsidP="004F08CB">
      <w:pPr>
        <w:pStyle w:val="NoSpacing"/>
        <w:ind w:firstLine="284"/>
        <w:jc w:val="both"/>
        <w:rPr>
          <w:rFonts w:ascii="Garamond" w:hAnsi="Garamond"/>
          <w:sz w:val="24"/>
          <w:szCs w:val="24"/>
          <w:lang w:val="sq-AL"/>
        </w:rPr>
      </w:pPr>
      <w:r w:rsidRPr="00E83C5E">
        <w:rPr>
          <w:rFonts w:ascii="Garamond" w:hAnsi="Garamond"/>
          <w:sz w:val="24"/>
          <w:szCs w:val="24"/>
          <w:lang w:val="sq-AL"/>
        </w:rPr>
        <w:t>Duke marrë në konsideratë zhvillimet e deritanishme vizioni për zbatimin e Strategjisë Kombëtare të Rinisë 2022</w:t>
      </w:r>
      <w:r w:rsidR="007020A1" w:rsidRPr="00E83C5E">
        <w:rPr>
          <w:rFonts w:ascii="Garamond" w:eastAsia="Times New Roman" w:hAnsi="Garamond"/>
          <w:color w:val="000000"/>
          <w:sz w:val="24"/>
          <w:szCs w:val="24"/>
          <w:lang w:val="sq-AL"/>
        </w:rPr>
        <w:t>–</w:t>
      </w:r>
      <w:r w:rsidRPr="00E83C5E">
        <w:rPr>
          <w:rFonts w:ascii="Garamond" w:hAnsi="Garamond"/>
          <w:sz w:val="24"/>
          <w:szCs w:val="24"/>
          <w:lang w:val="sq-AL"/>
        </w:rPr>
        <w:t>2029</w:t>
      </w:r>
      <w:r w:rsidR="0054549D" w:rsidRPr="00E83C5E">
        <w:rPr>
          <w:rFonts w:ascii="Garamond" w:hAnsi="Garamond"/>
          <w:sz w:val="24"/>
          <w:szCs w:val="24"/>
          <w:lang w:val="sq-AL"/>
        </w:rPr>
        <w:t>,</w:t>
      </w:r>
      <w:r w:rsidRPr="00E83C5E">
        <w:rPr>
          <w:rFonts w:ascii="Garamond" w:hAnsi="Garamond"/>
          <w:sz w:val="24"/>
          <w:szCs w:val="24"/>
          <w:lang w:val="sq-AL"/>
        </w:rPr>
        <w:t xml:space="preserve"> është:</w:t>
      </w:r>
    </w:p>
    <w:p w14:paraId="574E2ABD" w14:textId="7DF5E43B" w:rsidR="004F08CB" w:rsidRPr="00E83C5E" w:rsidRDefault="004F08CB" w:rsidP="004F08CB">
      <w:pPr>
        <w:spacing w:after="0" w:line="240" w:lineRule="auto"/>
        <w:ind w:firstLine="284"/>
        <w:jc w:val="both"/>
        <w:rPr>
          <w:rFonts w:ascii="Garamond" w:hAnsi="Garamond" w:cs="Times New Roman"/>
          <w:b/>
          <w:bCs/>
          <w:sz w:val="24"/>
          <w:szCs w:val="24"/>
        </w:rPr>
      </w:pPr>
      <w:r w:rsidRPr="00E83C5E">
        <w:rPr>
          <w:rFonts w:ascii="Garamond" w:hAnsi="Garamond" w:cs="Times New Roman"/>
          <w:b/>
          <w:bCs/>
          <w:sz w:val="24"/>
          <w:szCs w:val="24"/>
        </w:rPr>
        <w:t xml:space="preserve">Strategjisë kombëtare </w:t>
      </w:r>
      <w:r w:rsidR="009F59C4" w:rsidRPr="00E83C5E">
        <w:rPr>
          <w:rFonts w:ascii="Garamond" w:hAnsi="Garamond" w:cs="Times New Roman"/>
          <w:b/>
          <w:bCs/>
          <w:sz w:val="24"/>
          <w:szCs w:val="24"/>
        </w:rPr>
        <w:t>2022–2029</w:t>
      </w:r>
      <w:r w:rsidRPr="00E83C5E">
        <w:rPr>
          <w:rFonts w:ascii="Garamond" w:hAnsi="Garamond" w:cs="Times New Roman"/>
          <w:b/>
          <w:bCs/>
          <w:sz w:val="24"/>
          <w:szCs w:val="24"/>
        </w:rPr>
        <w:t xml:space="preserve"> ju jep mundësi dhe mbështet të rejat dhe të rinjtë për t’u bërë partnerë aktivë në zhvillimin e Shqipërisë. </w:t>
      </w:r>
    </w:p>
    <w:p w14:paraId="574E2ABE" w14:textId="77777777" w:rsidR="004F08CB" w:rsidRPr="00E83C5E" w:rsidRDefault="004F08CB" w:rsidP="004F08CB">
      <w:pPr>
        <w:pStyle w:val="NoSpacing"/>
        <w:ind w:firstLine="284"/>
        <w:jc w:val="both"/>
        <w:rPr>
          <w:rFonts w:ascii="Garamond" w:hAnsi="Garamond"/>
          <w:sz w:val="24"/>
          <w:szCs w:val="24"/>
          <w:lang w:val="sq-AL"/>
        </w:rPr>
      </w:pPr>
      <w:r w:rsidRPr="00E83C5E">
        <w:rPr>
          <w:rFonts w:ascii="Garamond" w:hAnsi="Garamond"/>
          <w:sz w:val="24"/>
          <w:szCs w:val="24"/>
          <w:lang w:val="sq-AL"/>
        </w:rPr>
        <w:t>Misioni i kësaj strategjie është:</w:t>
      </w:r>
    </w:p>
    <w:p w14:paraId="574E2ABF" w14:textId="774A363A" w:rsidR="004F08CB" w:rsidRPr="00E83C5E" w:rsidRDefault="004F08CB" w:rsidP="004F08CB">
      <w:pPr>
        <w:spacing w:after="0" w:line="240" w:lineRule="auto"/>
        <w:ind w:firstLine="284"/>
        <w:jc w:val="both"/>
        <w:rPr>
          <w:rFonts w:ascii="Garamond" w:hAnsi="Garamond" w:cs="Times New Roman"/>
          <w:b/>
          <w:bCs/>
          <w:sz w:val="24"/>
          <w:szCs w:val="24"/>
        </w:rPr>
      </w:pPr>
      <w:r w:rsidRPr="00E83C5E">
        <w:rPr>
          <w:rFonts w:ascii="Garamond" w:hAnsi="Garamond" w:cs="Times New Roman"/>
          <w:b/>
          <w:bCs/>
          <w:sz w:val="24"/>
          <w:szCs w:val="24"/>
        </w:rPr>
        <w:t>Rritja dhe përmirësimi i mundësive, shërbimeve dhe mbështetjes për të rinjtë dhe në bashkëpunim me të rinjtë në Shqipëri</w:t>
      </w:r>
    </w:p>
    <w:p w14:paraId="574E2AC0" w14:textId="23DA7585" w:rsidR="004F08CB" w:rsidRPr="00E83C5E" w:rsidRDefault="004F08CB" w:rsidP="004F08CB">
      <w:pPr>
        <w:pStyle w:val="NoSpacing"/>
        <w:ind w:firstLine="284"/>
        <w:jc w:val="both"/>
        <w:rPr>
          <w:rFonts w:ascii="Garamond" w:hAnsi="Garamond"/>
          <w:sz w:val="24"/>
          <w:szCs w:val="24"/>
          <w:lang w:val="sq-AL"/>
        </w:rPr>
      </w:pPr>
      <w:r w:rsidRPr="00E83C5E">
        <w:rPr>
          <w:rFonts w:ascii="Garamond" w:hAnsi="Garamond"/>
          <w:sz w:val="24"/>
          <w:szCs w:val="24"/>
          <w:lang w:val="sq-AL"/>
        </w:rPr>
        <w:t>Kjo strategji bazohet në parimet e mëposhtme:</w:t>
      </w:r>
    </w:p>
    <w:p w14:paraId="574E2AC1" w14:textId="0A3A3A5E" w:rsidR="004F08CB" w:rsidRPr="00E83C5E" w:rsidRDefault="00360B01" w:rsidP="00360B01">
      <w:pPr>
        <w:pStyle w:val="TEKSTIII"/>
      </w:pPr>
      <w:r w:rsidRPr="00E83C5E">
        <w:lastRenderedPageBreak/>
        <w:t>-</w:t>
      </w:r>
      <w:r w:rsidR="00B229EC" w:rsidRPr="00E83C5E">
        <w:t xml:space="preserve"> </w:t>
      </w:r>
      <w:r w:rsidR="004F08CB" w:rsidRPr="00E83C5E">
        <w:t>Mbështetje për të gjithë të rinjtë për të zhvilluar potencialin e tyre të plotë, duke marrë parasysh të drejtat e tyre, zërat dhe nevojat e tyre të ndryshme, duke mos lënë askënd pas.</w:t>
      </w:r>
    </w:p>
    <w:p w14:paraId="574E2AC2" w14:textId="35DB1658" w:rsidR="004F08CB" w:rsidRPr="00E83C5E" w:rsidRDefault="00360B01" w:rsidP="00360B01">
      <w:pPr>
        <w:pStyle w:val="TEKSTIII"/>
      </w:pPr>
      <w:r w:rsidRPr="00E83C5E">
        <w:t>-</w:t>
      </w:r>
      <w:r w:rsidR="00B229EC" w:rsidRPr="00E83C5E">
        <w:t xml:space="preserve"> </w:t>
      </w:r>
      <w:r w:rsidR="004F08CB" w:rsidRPr="00E83C5E">
        <w:t>Qasje e bashkërenduar për ofrimin dhe shpërndarjen e shërbimeve për të rinjtë, bazuar në dialogun ndërministror/ndërsektorial dhe shumëpalësh, me fokus të veçantë në zonat rurale, vajzat e reja dhe grupet e margjinalizuara të të rinjve.</w:t>
      </w:r>
    </w:p>
    <w:p w14:paraId="574E2AC3" w14:textId="76DDCBA9" w:rsidR="004F08CB" w:rsidRPr="00E83C5E" w:rsidRDefault="00360B01" w:rsidP="00360B01">
      <w:pPr>
        <w:pStyle w:val="TEKSTIII"/>
      </w:pPr>
      <w:r w:rsidRPr="00E83C5E">
        <w:t>-</w:t>
      </w:r>
      <w:r w:rsidR="00B229EC" w:rsidRPr="00E83C5E">
        <w:t xml:space="preserve"> </w:t>
      </w:r>
      <w:r w:rsidR="004F08CB" w:rsidRPr="00E83C5E">
        <w:t>Monitorim dhe vlerësim i orientuar drejt nxjerrjes së mësimeve.</w:t>
      </w:r>
    </w:p>
    <w:p w14:paraId="574E2AC4" w14:textId="427BAA68" w:rsidR="004F08CB" w:rsidRPr="00E83C5E" w:rsidRDefault="00360B01" w:rsidP="00360B01">
      <w:pPr>
        <w:pStyle w:val="TEKSTIII"/>
      </w:pPr>
      <w:r w:rsidRPr="00E83C5E">
        <w:t>-</w:t>
      </w:r>
      <w:r w:rsidR="00B229EC" w:rsidRPr="00E83C5E">
        <w:t xml:space="preserve"> </w:t>
      </w:r>
      <w:r w:rsidR="004F08CB" w:rsidRPr="00E83C5E">
        <w:t>Të rinjtë si partnerë kyç në zhvillim si në nivel kombëtar dhe atë vendor.</w:t>
      </w:r>
    </w:p>
    <w:p w14:paraId="574E2AC5" w14:textId="30F502DD" w:rsidR="004F08CB" w:rsidRPr="00E83C5E" w:rsidRDefault="00360B01" w:rsidP="00360B01">
      <w:pPr>
        <w:pStyle w:val="TEKSTIII"/>
      </w:pPr>
      <w:r w:rsidRPr="00E83C5E">
        <w:t>-</w:t>
      </w:r>
      <w:r w:rsidR="00B229EC" w:rsidRPr="00E83C5E">
        <w:t xml:space="preserve"> </w:t>
      </w:r>
      <w:r w:rsidR="004F08CB" w:rsidRPr="00E83C5E">
        <w:t xml:space="preserve">Pjesëmarrja domethënëse e të rinjve në </w:t>
      </w:r>
      <w:r w:rsidR="00053B5D" w:rsidRPr="00E83C5E">
        <w:t>vendim</w:t>
      </w:r>
      <w:r w:rsidR="004F08CB" w:rsidRPr="00E83C5E">
        <w:t>marrjen lokale dhe kombëtare, në organizatat rinore dhe jetën e komunitetit.</w:t>
      </w:r>
    </w:p>
    <w:p w14:paraId="574E2AC6" w14:textId="3BFB6078" w:rsidR="004F08CB" w:rsidRPr="00E83C5E" w:rsidRDefault="00360B01" w:rsidP="00360B01">
      <w:pPr>
        <w:pStyle w:val="TEKSTIII"/>
      </w:pPr>
      <w:r w:rsidRPr="00E83C5E">
        <w:t>-</w:t>
      </w:r>
      <w:r w:rsidR="00C011B4" w:rsidRPr="00E83C5E">
        <w:t xml:space="preserve"> </w:t>
      </w:r>
      <w:r w:rsidR="004F08CB" w:rsidRPr="00E83C5E">
        <w:t>Krijimi i politikave rinore të bazuara në të dhëna dokumentare e statistikore të mbështetura me buxhet specifik të dedikuar për të rinjtë dhe dispozita të tjera buxhetore sektoriale.</w:t>
      </w:r>
    </w:p>
    <w:p w14:paraId="574E2AC7" w14:textId="77777777" w:rsidR="004F08CB" w:rsidRPr="00E83C5E" w:rsidRDefault="004F08CB" w:rsidP="00360B01">
      <w:pPr>
        <w:pStyle w:val="TEKSTIII"/>
      </w:pPr>
      <w:r w:rsidRPr="00E83C5E">
        <w:t xml:space="preserve">Vizioni synohet të jetësohet përmes 3 qëllimeve të politikës: </w:t>
      </w:r>
    </w:p>
    <w:p w14:paraId="574E2AC8" w14:textId="3ABD6CF8" w:rsidR="004F08CB" w:rsidRPr="00E83C5E" w:rsidRDefault="00360B01" w:rsidP="00360B01">
      <w:pPr>
        <w:pStyle w:val="TEKSTIII"/>
      </w:pPr>
      <w:r w:rsidRPr="00E83C5E">
        <w:rPr>
          <w:b/>
          <w:bCs/>
        </w:rPr>
        <w:t>-</w:t>
      </w:r>
      <w:r w:rsidR="00B229EC" w:rsidRPr="00E83C5E">
        <w:rPr>
          <w:b/>
          <w:bCs/>
        </w:rPr>
        <w:t xml:space="preserve"> </w:t>
      </w:r>
      <w:r w:rsidR="004F08CB" w:rsidRPr="00E83C5E">
        <w:rPr>
          <w:b/>
          <w:bCs/>
        </w:rPr>
        <w:t xml:space="preserve">Qëllimi i politikës 1: </w:t>
      </w:r>
      <w:r w:rsidR="004F08CB" w:rsidRPr="00E83C5E">
        <w:t>Të rejat dhe të rinjtë marrin pjesë aktivisht në shoqëri dhe ndihen të fuqizuar për t’u shprehur me zërin e tyre. Politikat ndërsektoriale rinore janë të koordinuara, të bazuara në analiza, me mekanizma të mirëfinancuar.</w:t>
      </w:r>
    </w:p>
    <w:p w14:paraId="574E2AC9" w14:textId="03006D44" w:rsidR="004F08CB" w:rsidRPr="00E83C5E" w:rsidRDefault="00360B01" w:rsidP="00360B01">
      <w:pPr>
        <w:pStyle w:val="TEKSTIII"/>
      </w:pPr>
      <w:r w:rsidRPr="00E83C5E">
        <w:rPr>
          <w:b/>
          <w:bCs/>
        </w:rPr>
        <w:t>-</w:t>
      </w:r>
      <w:r w:rsidR="00B229EC" w:rsidRPr="00E83C5E">
        <w:rPr>
          <w:b/>
          <w:bCs/>
        </w:rPr>
        <w:t xml:space="preserve"> </w:t>
      </w:r>
      <w:r w:rsidR="004F08CB" w:rsidRPr="00E83C5E">
        <w:rPr>
          <w:b/>
          <w:bCs/>
        </w:rPr>
        <w:t>Qëllimi i politikës 2:</w:t>
      </w:r>
      <w:r w:rsidR="004F08CB" w:rsidRPr="00E83C5E">
        <w:t xml:space="preserve"> Mbështetet dhe nxitet novacioni rinor dhe rritja e aftësive dhe profesionalizmit të të rejave dhe të rinjve përmes edukimit cilësor në TIK dhe fusha të tjera të zhvillimit digjital duke rritur dhe përmirësuar kështu mundësitë për të hyrë në tregun e punës.</w:t>
      </w:r>
    </w:p>
    <w:p w14:paraId="574E2ACA" w14:textId="426C7157" w:rsidR="004F08CB" w:rsidRPr="00E83C5E" w:rsidRDefault="00360B01" w:rsidP="00360B01">
      <w:pPr>
        <w:pStyle w:val="TEKSTIII"/>
        <w:rPr>
          <w:b/>
          <w:bCs/>
        </w:rPr>
      </w:pPr>
      <w:r w:rsidRPr="00E83C5E">
        <w:rPr>
          <w:b/>
          <w:bCs/>
        </w:rPr>
        <w:t>-</w:t>
      </w:r>
      <w:r w:rsidR="00B229EC" w:rsidRPr="00E83C5E">
        <w:rPr>
          <w:b/>
          <w:bCs/>
        </w:rPr>
        <w:t xml:space="preserve"> </w:t>
      </w:r>
      <w:r w:rsidR="004F08CB" w:rsidRPr="00E83C5E">
        <w:rPr>
          <w:b/>
          <w:bCs/>
        </w:rPr>
        <w:t>Qëllimi i politikës 3</w:t>
      </w:r>
      <w:r w:rsidR="004F08CB" w:rsidRPr="00E83C5E">
        <w:rPr>
          <w:bCs/>
        </w:rPr>
        <w:t>: Mirëqenia aktive, e shëndetshme, fizike, sociale dhe mendore e të rinjve. Siguria, mbrojtja dhe përfshirja e të rinjve në të gjithë diversitetin e tyre, veçanërisht për ata të rinj që janë në situatë rreziku apo mënjanimi social (vulnerabiliteti).</w:t>
      </w:r>
    </w:p>
    <w:p w14:paraId="574E2ACB" w14:textId="77777777" w:rsidR="004F08CB" w:rsidRPr="00E83C5E" w:rsidRDefault="004F08CB" w:rsidP="004F08CB">
      <w:pPr>
        <w:tabs>
          <w:tab w:val="left" w:pos="2055"/>
        </w:tabs>
        <w:spacing w:after="0" w:line="240" w:lineRule="auto"/>
        <w:ind w:firstLine="284"/>
        <w:jc w:val="both"/>
        <w:rPr>
          <w:rFonts w:ascii="Garamond" w:hAnsi="Garamond"/>
          <w:sz w:val="24"/>
          <w:szCs w:val="24"/>
        </w:rPr>
      </w:pPr>
      <w:r w:rsidRPr="00E83C5E">
        <w:rPr>
          <w:rFonts w:ascii="Garamond" w:hAnsi="Garamond" w:cs="Times New Roman"/>
          <w:sz w:val="24"/>
          <w:szCs w:val="24"/>
          <w:lang w:eastAsia="en-GB"/>
        </w:rPr>
        <w:t>Lidhja midis vizionit, qëllimeve të politikës, objektivave specifik</w:t>
      </w:r>
      <w:r w:rsidRPr="00E83C5E">
        <w:rPr>
          <w:rStyle w:val="jlqj4b"/>
          <w:rFonts w:ascii="Garamond" w:eastAsiaTheme="majorEastAsia" w:hAnsi="Garamond" w:cs="Times New Roman"/>
          <w:sz w:val="24"/>
          <w:szCs w:val="24"/>
        </w:rPr>
        <w:t xml:space="preserve">ë </w:t>
      </w:r>
      <w:r w:rsidRPr="00E83C5E">
        <w:rPr>
          <w:rFonts w:ascii="Garamond" w:hAnsi="Garamond" w:cs="Times New Roman"/>
          <w:sz w:val="24"/>
          <w:szCs w:val="24"/>
          <w:lang w:eastAsia="en-GB"/>
        </w:rPr>
        <w:t>dhe rezultateve paraqitet në figurat më poshtë:</w:t>
      </w:r>
      <w:r w:rsidRPr="00E83C5E">
        <w:rPr>
          <w:rFonts w:ascii="Garamond" w:hAnsi="Garamond"/>
          <w:sz w:val="24"/>
          <w:szCs w:val="24"/>
        </w:rPr>
        <w:t xml:space="preserve"> </w:t>
      </w:r>
    </w:p>
    <w:p w14:paraId="574E2ACC" w14:textId="77777777" w:rsidR="00B36971" w:rsidRPr="00E83C5E" w:rsidRDefault="00B50C16" w:rsidP="004B2DE4">
      <w:pPr>
        <w:pStyle w:val="TEKSTIII"/>
        <w:jc w:val="center"/>
      </w:pPr>
      <w:r w:rsidRPr="00E83C5E">
        <w:rPr>
          <w:noProof/>
          <w:lang w:val="en-US"/>
        </w:rPr>
        <w:drawing>
          <wp:inline distT="0" distB="0" distL="0" distR="0" wp14:anchorId="574E3556" wp14:editId="0A9F251A">
            <wp:extent cx="3764478" cy="3619558"/>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29384" t="16220" r="31280" b="6393"/>
                    <a:stretch/>
                  </pic:blipFill>
                  <pic:spPr bwMode="auto">
                    <a:xfrm>
                      <a:off x="0" y="0"/>
                      <a:ext cx="3805832" cy="3659320"/>
                    </a:xfrm>
                    <a:prstGeom prst="rect">
                      <a:avLst/>
                    </a:prstGeom>
                    <a:ln>
                      <a:noFill/>
                    </a:ln>
                    <a:extLst>
                      <a:ext uri="{53640926-AAD7-44D8-BBD7-CCE9431645EC}">
                        <a14:shadowObscured xmlns:a14="http://schemas.microsoft.com/office/drawing/2010/main"/>
                      </a:ext>
                    </a:extLst>
                  </pic:spPr>
                </pic:pic>
              </a:graphicData>
            </a:graphic>
          </wp:inline>
        </w:drawing>
      </w:r>
    </w:p>
    <w:p w14:paraId="574E2ACD" w14:textId="77777777" w:rsidR="000D6802" w:rsidRPr="00E83C5E" w:rsidRDefault="000D6802" w:rsidP="004F08CB">
      <w:pPr>
        <w:pStyle w:val="TEKSTIII"/>
      </w:pPr>
    </w:p>
    <w:p w14:paraId="574E2ACE" w14:textId="77777777" w:rsidR="000D6802" w:rsidRPr="00E83C5E" w:rsidRDefault="000D6802" w:rsidP="000D6802">
      <w:pPr>
        <w:pStyle w:val="TEKSTIII"/>
        <w:jc w:val="center"/>
      </w:pPr>
      <w:r w:rsidRPr="00E83C5E">
        <w:rPr>
          <w:noProof/>
          <w:lang w:val="en-US"/>
        </w:rPr>
        <w:lastRenderedPageBreak/>
        <w:drawing>
          <wp:inline distT="0" distB="0" distL="0" distR="0" wp14:anchorId="574E3558" wp14:editId="628B78D6">
            <wp:extent cx="4286992" cy="52199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54739" t="18747" r="16825" b="9005"/>
                    <a:stretch/>
                  </pic:blipFill>
                  <pic:spPr bwMode="auto">
                    <a:xfrm>
                      <a:off x="0" y="0"/>
                      <a:ext cx="4315491" cy="5254661"/>
                    </a:xfrm>
                    <a:prstGeom prst="rect">
                      <a:avLst/>
                    </a:prstGeom>
                    <a:ln>
                      <a:noFill/>
                    </a:ln>
                    <a:extLst>
                      <a:ext uri="{53640926-AAD7-44D8-BBD7-CCE9431645EC}">
                        <a14:shadowObscured xmlns:a14="http://schemas.microsoft.com/office/drawing/2010/main"/>
                      </a:ext>
                    </a:extLst>
                  </pic:spPr>
                </pic:pic>
              </a:graphicData>
            </a:graphic>
          </wp:inline>
        </w:drawing>
      </w:r>
    </w:p>
    <w:p w14:paraId="574E2AD2" w14:textId="771490C8" w:rsidR="00604BB1" w:rsidRPr="00E83C5E" w:rsidRDefault="00604BB1" w:rsidP="00604BB1">
      <w:pPr>
        <w:pStyle w:val="TEKSTIII"/>
      </w:pPr>
      <w:r w:rsidRPr="00E83C5E">
        <w:t>3.2 Treguesit ky</w:t>
      </w:r>
      <w:r w:rsidR="00D540B0" w:rsidRPr="00E83C5E">
        <w:t>ç</w:t>
      </w:r>
      <w:r w:rsidRPr="00E83C5E">
        <w:t xml:space="preserve"> t</w:t>
      </w:r>
      <w:r w:rsidRPr="00E83C5E">
        <w:rPr>
          <w:rFonts w:cs="Garamond"/>
        </w:rPr>
        <w:t>ë</w:t>
      </w:r>
      <w:r w:rsidRPr="00E83C5E">
        <w:t xml:space="preserve"> performanc</w:t>
      </w:r>
      <w:r w:rsidRPr="00E83C5E">
        <w:rPr>
          <w:rFonts w:cs="Garamond"/>
        </w:rPr>
        <w:t>ë</w:t>
      </w:r>
      <w:r w:rsidRPr="00E83C5E">
        <w:t xml:space="preserve">s </w:t>
      </w:r>
    </w:p>
    <w:p w14:paraId="574E2AD4" w14:textId="77777777" w:rsidR="00604BB1" w:rsidRPr="00E83C5E" w:rsidRDefault="00604BB1" w:rsidP="00604BB1">
      <w:pPr>
        <w:pStyle w:val="TEKSTIII"/>
        <w:rPr>
          <w:i/>
        </w:rPr>
      </w:pPr>
      <w:r w:rsidRPr="00E83C5E">
        <w:rPr>
          <w:i/>
        </w:rPr>
        <w:t xml:space="preserve">Tabela </w:t>
      </w:r>
      <w:r w:rsidRPr="00E83C5E">
        <w:rPr>
          <w:i/>
        </w:rPr>
        <w:fldChar w:fldCharType="begin"/>
      </w:r>
      <w:r w:rsidRPr="00E83C5E">
        <w:rPr>
          <w:i/>
        </w:rPr>
        <w:instrText xml:space="preserve"> SEQ Tabela \* ARABIC </w:instrText>
      </w:r>
      <w:r w:rsidRPr="00E83C5E">
        <w:rPr>
          <w:i/>
        </w:rPr>
        <w:fldChar w:fldCharType="separate"/>
      </w:r>
      <w:r w:rsidRPr="00E83C5E">
        <w:rPr>
          <w:i/>
        </w:rPr>
        <w:t>1</w:t>
      </w:r>
      <w:r w:rsidRPr="00E83C5E">
        <w:rPr>
          <w:i/>
        </w:rPr>
        <w:fldChar w:fldCharType="end"/>
      </w:r>
      <w:r w:rsidRPr="00E83C5E">
        <w:rPr>
          <w:i/>
        </w:rPr>
        <w:t>. Treguesit kyç të performancës për SKR 2022-29</w:t>
      </w:r>
    </w:p>
    <w:tbl>
      <w:tblPr>
        <w:tblStyle w:val="GridTable1Light-Accent11"/>
        <w:tblW w:w="10472" w:type="dxa"/>
        <w:tblInd w:w="-555" w:type="dxa"/>
        <w:tblLook w:val="04A0" w:firstRow="1" w:lastRow="0" w:firstColumn="1" w:lastColumn="0" w:noHBand="0" w:noVBand="1"/>
      </w:tblPr>
      <w:tblGrid>
        <w:gridCol w:w="1152"/>
        <w:gridCol w:w="1696"/>
        <w:gridCol w:w="3630"/>
        <w:gridCol w:w="1506"/>
        <w:gridCol w:w="1382"/>
        <w:gridCol w:w="1106"/>
      </w:tblGrid>
      <w:tr w:rsidR="00604BB1" w:rsidRPr="00E83C5E" w14:paraId="574E2ADE" w14:textId="77777777" w:rsidTr="00FC79F1">
        <w:trPr>
          <w:cnfStyle w:val="100000000000" w:firstRow="1" w:lastRow="0" w:firstColumn="0" w:lastColumn="0" w:oddVBand="0" w:evenVBand="0" w:oddHBand="0"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1152" w:type="dxa"/>
          </w:tcPr>
          <w:p w14:paraId="574E2AD5" w14:textId="77777777" w:rsidR="00604BB1" w:rsidRPr="00E83C5E" w:rsidRDefault="00604BB1" w:rsidP="00604BB1">
            <w:pPr>
              <w:jc w:val="center"/>
              <w:rPr>
                <w:rFonts w:ascii="Garamond" w:hAnsi="Garamond" w:cs="Times New Roman"/>
                <w:b w:val="0"/>
                <w:sz w:val="20"/>
                <w:szCs w:val="24"/>
                <w:lang w:eastAsia="en-GB"/>
              </w:rPr>
            </w:pPr>
            <w:r w:rsidRPr="00E83C5E">
              <w:rPr>
                <w:rFonts w:ascii="Garamond" w:hAnsi="Garamond" w:cs="Times New Roman"/>
                <w:sz w:val="20"/>
                <w:szCs w:val="24"/>
                <w:lang w:eastAsia="en-GB"/>
              </w:rPr>
              <w:t>Lloji i treguesit</w:t>
            </w:r>
          </w:p>
        </w:tc>
        <w:tc>
          <w:tcPr>
            <w:tcW w:w="1696" w:type="dxa"/>
          </w:tcPr>
          <w:p w14:paraId="574E2AD6" w14:textId="2F64501D" w:rsidR="00604BB1" w:rsidRPr="00E83C5E" w:rsidRDefault="00604BB1" w:rsidP="00604BB1">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sz w:val="20"/>
                <w:szCs w:val="24"/>
                <w:lang w:eastAsia="en-GB"/>
              </w:rPr>
            </w:pPr>
            <w:r w:rsidRPr="00E83C5E">
              <w:rPr>
                <w:rFonts w:ascii="Garamond" w:hAnsi="Garamond" w:cs="Times New Roman"/>
                <w:color w:val="000000" w:themeColor="text1"/>
                <w:sz w:val="20"/>
                <w:szCs w:val="24"/>
              </w:rPr>
              <w:t xml:space="preserve">Emërtimi i </w:t>
            </w:r>
            <w:r w:rsidR="00D540B0" w:rsidRPr="00E83C5E">
              <w:rPr>
                <w:rFonts w:ascii="Garamond" w:hAnsi="Garamond" w:cs="Times New Roman"/>
                <w:color w:val="000000" w:themeColor="text1"/>
                <w:sz w:val="20"/>
                <w:szCs w:val="24"/>
              </w:rPr>
              <w:t xml:space="preserve">treguesit </w:t>
            </w:r>
            <w:r w:rsidRPr="00E83C5E">
              <w:rPr>
                <w:rFonts w:ascii="Garamond" w:hAnsi="Garamond" w:cs="Times New Roman"/>
                <w:color w:val="000000" w:themeColor="text1"/>
                <w:sz w:val="20"/>
                <w:szCs w:val="24"/>
              </w:rPr>
              <w:t xml:space="preserve">të </w:t>
            </w:r>
            <w:r w:rsidR="00D540B0" w:rsidRPr="00E83C5E">
              <w:rPr>
                <w:rFonts w:ascii="Garamond" w:hAnsi="Garamond" w:cs="Times New Roman"/>
                <w:color w:val="000000" w:themeColor="text1"/>
                <w:sz w:val="20"/>
                <w:szCs w:val="24"/>
              </w:rPr>
              <w:t>performancës</w:t>
            </w:r>
          </w:p>
        </w:tc>
        <w:tc>
          <w:tcPr>
            <w:tcW w:w="3630" w:type="dxa"/>
          </w:tcPr>
          <w:p w14:paraId="574E2AD7" w14:textId="6F7452C1" w:rsidR="00604BB1" w:rsidRPr="00E83C5E" w:rsidRDefault="00604BB1" w:rsidP="00604BB1">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sz w:val="20"/>
                <w:szCs w:val="24"/>
                <w:lang w:eastAsia="en-GB"/>
              </w:rPr>
            </w:pPr>
            <w:r w:rsidRPr="00E83C5E">
              <w:rPr>
                <w:rFonts w:ascii="Garamond" w:hAnsi="Garamond" w:cs="Times New Roman"/>
                <w:sz w:val="20"/>
                <w:szCs w:val="24"/>
                <w:lang w:eastAsia="en-GB"/>
              </w:rPr>
              <w:t xml:space="preserve">Lidhja me </w:t>
            </w:r>
            <w:r w:rsidR="00D540B0" w:rsidRPr="00E83C5E">
              <w:rPr>
                <w:rFonts w:ascii="Garamond" w:hAnsi="Garamond" w:cs="Times New Roman"/>
                <w:sz w:val="20"/>
                <w:szCs w:val="24"/>
                <w:lang w:eastAsia="en-GB"/>
              </w:rPr>
              <w:t>qëllimin e politikës</w:t>
            </w:r>
          </w:p>
        </w:tc>
        <w:tc>
          <w:tcPr>
            <w:tcW w:w="1506" w:type="dxa"/>
          </w:tcPr>
          <w:p w14:paraId="574E2AD8" w14:textId="247B4C72" w:rsidR="00604BB1" w:rsidRPr="00E83C5E" w:rsidRDefault="00604BB1" w:rsidP="00604BB1">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sz w:val="20"/>
                <w:szCs w:val="24"/>
                <w:lang w:eastAsia="en-GB"/>
              </w:rPr>
            </w:pPr>
            <w:r w:rsidRPr="00E83C5E">
              <w:rPr>
                <w:rFonts w:ascii="Garamond" w:hAnsi="Garamond" w:cs="Times New Roman"/>
                <w:sz w:val="20"/>
                <w:szCs w:val="24"/>
                <w:lang w:eastAsia="en-GB"/>
              </w:rPr>
              <w:t xml:space="preserve">Institucioni </w:t>
            </w:r>
            <w:r w:rsidR="004B2DE4">
              <w:rPr>
                <w:rFonts w:ascii="Garamond" w:hAnsi="Garamond" w:cs="Times New Roman"/>
                <w:sz w:val="20"/>
                <w:szCs w:val="24"/>
                <w:lang w:eastAsia="en-GB"/>
              </w:rPr>
              <w:t>p</w:t>
            </w:r>
            <w:r w:rsidRPr="00E83C5E">
              <w:rPr>
                <w:rFonts w:ascii="Garamond" w:hAnsi="Garamond" w:cs="Times New Roman"/>
                <w:sz w:val="20"/>
                <w:szCs w:val="24"/>
                <w:lang w:eastAsia="en-GB"/>
              </w:rPr>
              <w:t>ërgjegjës</w:t>
            </w:r>
          </w:p>
          <w:p w14:paraId="574E2AD9" w14:textId="77777777" w:rsidR="00604BB1" w:rsidRPr="00E83C5E" w:rsidRDefault="00604BB1" w:rsidP="00604BB1">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sz w:val="20"/>
                <w:szCs w:val="24"/>
                <w:lang w:eastAsia="en-GB"/>
              </w:rPr>
            </w:pPr>
          </w:p>
        </w:tc>
        <w:tc>
          <w:tcPr>
            <w:tcW w:w="1382" w:type="dxa"/>
          </w:tcPr>
          <w:p w14:paraId="574E2ADA" w14:textId="77777777" w:rsidR="00604BB1" w:rsidRPr="00E83C5E" w:rsidRDefault="00604BB1" w:rsidP="00604BB1">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sz w:val="20"/>
                <w:szCs w:val="24"/>
                <w:lang w:eastAsia="en-GB"/>
              </w:rPr>
            </w:pPr>
            <w:r w:rsidRPr="00E83C5E">
              <w:rPr>
                <w:rFonts w:ascii="Garamond" w:hAnsi="Garamond" w:cs="Times New Roman"/>
                <w:sz w:val="20"/>
                <w:szCs w:val="24"/>
                <w:lang w:eastAsia="en-GB"/>
              </w:rPr>
              <w:t>Baseline</w:t>
            </w:r>
          </w:p>
          <w:p w14:paraId="574E2ADB" w14:textId="77777777" w:rsidR="00604BB1" w:rsidRPr="00E83C5E" w:rsidRDefault="00604BB1" w:rsidP="00604BB1">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sz w:val="20"/>
                <w:szCs w:val="24"/>
                <w:lang w:eastAsia="en-GB"/>
              </w:rPr>
            </w:pPr>
            <w:r w:rsidRPr="00E83C5E">
              <w:rPr>
                <w:rFonts w:ascii="Garamond" w:hAnsi="Garamond" w:cs="Times New Roman"/>
                <w:b w:val="0"/>
                <w:sz w:val="20"/>
                <w:szCs w:val="24"/>
                <w:lang w:eastAsia="en-GB"/>
              </w:rPr>
              <w:t>2021</w:t>
            </w:r>
          </w:p>
        </w:tc>
        <w:tc>
          <w:tcPr>
            <w:tcW w:w="1106" w:type="dxa"/>
          </w:tcPr>
          <w:p w14:paraId="574E2ADC" w14:textId="77777777" w:rsidR="00604BB1" w:rsidRPr="00E83C5E" w:rsidRDefault="00604BB1" w:rsidP="00604BB1">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sz w:val="20"/>
                <w:szCs w:val="24"/>
                <w:lang w:eastAsia="en-GB"/>
              </w:rPr>
            </w:pPr>
            <w:r w:rsidRPr="00E83C5E">
              <w:rPr>
                <w:rFonts w:ascii="Garamond" w:hAnsi="Garamond" w:cs="Times New Roman"/>
                <w:sz w:val="20"/>
                <w:szCs w:val="24"/>
                <w:lang w:eastAsia="en-GB"/>
              </w:rPr>
              <w:t>Target</w:t>
            </w:r>
          </w:p>
          <w:p w14:paraId="574E2ADD" w14:textId="77777777" w:rsidR="00604BB1" w:rsidRPr="00E83C5E" w:rsidRDefault="00604BB1" w:rsidP="00604BB1">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sz w:val="20"/>
                <w:szCs w:val="24"/>
                <w:lang w:eastAsia="en-GB"/>
              </w:rPr>
            </w:pPr>
            <w:r w:rsidRPr="00E83C5E">
              <w:rPr>
                <w:rFonts w:ascii="Garamond" w:hAnsi="Garamond" w:cs="Times New Roman"/>
                <w:sz w:val="20"/>
                <w:szCs w:val="24"/>
                <w:lang w:eastAsia="en-GB"/>
              </w:rPr>
              <w:t>2029</w:t>
            </w:r>
          </w:p>
        </w:tc>
      </w:tr>
      <w:tr w:rsidR="00604BB1" w:rsidRPr="00E83C5E" w14:paraId="574E2AE9" w14:textId="77777777" w:rsidTr="00FC79F1">
        <w:trPr>
          <w:trHeight w:val="91"/>
        </w:trPr>
        <w:tc>
          <w:tcPr>
            <w:cnfStyle w:val="001000000000" w:firstRow="0" w:lastRow="0" w:firstColumn="1" w:lastColumn="0" w:oddVBand="0" w:evenVBand="0" w:oddHBand="0" w:evenHBand="0" w:firstRowFirstColumn="0" w:firstRowLastColumn="0" w:lastRowFirstColumn="0" w:lastRowLastColumn="0"/>
            <w:tcW w:w="1152" w:type="dxa"/>
          </w:tcPr>
          <w:p w14:paraId="574E2AE0" w14:textId="48E7CA3C" w:rsidR="00604BB1" w:rsidRPr="00E83C5E" w:rsidRDefault="00604BB1" w:rsidP="00604BB1">
            <w:pPr>
              <w:jc w:val="center"/>
              <w:rPr>
                <w:rFonts w:ascii="Garamond" w:hAnsi="Garamond" w:cs="Times New Roman"/>
                <w:sz w:val="20"/>
                <w:szCs w:val="24"/>
                <w:lang w:eastAsia="en-GB"/>
              </w:rPr>
            </w:pPr>
            <w:r w:rsidRPr="00E83C5E">
              <w:rPr>
                <w:rFonts w:ascii="Garamond" w:hAnsi="Garamond" w:cs="Times New Roman"/>
                <w:sz w:val="20"/>
                <w:szCs w:val="24"/>
                <w:lang w:eastAsia="en-GB"/>
              </w:rPr>
              <w:t xml:space="preserve">Nivel i </w:t>
            </w:r>
            <w:r w:rsidR="00D540B0" w:rsidRPr="00E83C5E">
              <w:rPr>
                <w:rFonts w:ascii="Garamond" w:hAnsi="Garamond" w:cs="Times New Roman"/>
                <w:sz w:val="20"/>
                <w:szCs w:val="24"/>
                <w:lang w:eastAsia="en-GB"/>
              </w:rPr>
              <w:t>l</w:t>
            </w:r>
            <w:r w:rsidRPr="00E83C5E">
              <w:rPr>
                <w:rFonts w:ascii="Garamond" w:hAnsi="Garamond" w:cs="Times New Roman"/>
                <w:sz w:val="20"/>
                <w:szCs w:val="24"/>
                <w:lang w:eastAsia="en-GB"/>
              </w:rPr>
              <w:t>artë/</w:t>
            </w:r>
          </w:p>
          <w:p w14:paraId="574E2AE1" w14:textId="77777777" w:rsidR="00604BB1" w:rsidRPr="00E83C5E" w:rsidRDefault="00604BB1" w:rsidP="00604BB1">
            <w:pPr>
              <w:jc w:val="center"/>
              <w:rPr>
                <w:rFonts w:ascii="Garamond" w:hAnsi="Garamond" w:cs="Times New Roman"/>
                <w:sz w:val="20"/>
                <w:szCs w:val="24"/>
                <w:lang w:eastAsia="en-GB"/>
              </w:rPr>
            </w:pPr>
            <w:r w:rsidRPr="00E83C5E">
              <w:rPr>
                <w:rFonts w:ascii="Garamond" w:hAnsi="Garamond" w:cs="Times New Roman"/>
                <w:sz w:val="20"/>
                <w:szCs w:val="24"/>
                <w:lang w:eastAsia="en-GB"/>
              </w:rPr>
              <w:t>Impakti</w:t>
            </w:r>
          </w:p>
        </w:tc>
        <w:tc>
          <w:tcPr>
            <w:tcW w:w="1696" w:type="dxa"/>
          </w:tcPr>
          <w:p w14:paraId="574E2AE2" w14:textId="7097D14A" w:rsidR="00604BB1" w:rsidRPr="00E83C5E" w:rsidRDefault="00604BB1" w:rsidP="00604BB1">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4"/>
              </w:rPr>
            </w:pPr>
            <w:r w:rsidRPr="00E83C5E">
              <w:rPr>
                <w:rFonts w:ascii="Garamond" w:hAnsi="Garamond" w:cs="Times New Roman"/>
                <w:color w:val="000000" w:themeColor="text1"/>
                <w:sz w:val="20"/>
                <w:szCs w:val="24"/>
              </w:rPr>
              <w:t>Indeksi botëror i zhvillimit të rinisë</w:t>
            </w:r>
            <w:r w:rsidR="00233C37" w:rsidRPr="00E83C5E">
              <w:rPr>
                <w:rFonts w:ascii="Garamond" w:hAnsi="Garamond" w:cs="Times New Roman"/>
                <w:color w:val="000000" w:themeColor="text1"/>
                <w:sz w:val="20"/>
                <w:szCs w:val="24"/>
              </w:rPr>
              <w:t xml:space="preserve"> </w:t>
            </w:r>
          </w:p>
        </w:tc>
        <w:tc>
          <w:tcPr>
            <w:tcW w:w="3630" w:type="dxa"/>
          </w:tcPr>
          <w:p w14:paraId="574E2AE3" w14:textId="5A2F1532" w:rsidR="00604BB1" w:rsidRPr="00E83C5E" w:rsidRDefault="00604BB1" w:rsidP="00CC519F">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E lidhur me tr</w:t>
            </w:r>
            <w:r w:rsidR="00CC519F" w:rsidRPr="00E83C5E">
              <w:rPr>
                <w:rFonts w:ascii="Garamond" w:hAnsi="Garamond" w:cs="Times New Roman"/>
                <w:sz w:val="20"/>
                <w:szCs w:val="24"/>
                <w:lang w:eastAsia="en-GB"/>
              </w:rPr>
              <w:t>i</w:t>
            </w:r>
            <w:r w:rsidRPr="00E83C5E">
              <w:rPr>
                <w:rFonts w:ascii="Garamond" w:hAnsi="Garamond" w:cs="Times New Roman"/>
                <w:sz w:val="20"/>
                <w:szCs w:val="24"/>
                <w:lang w:eastAsia="en-GB"/>
              </w:rPr>
              <w:t xml:space="preserve"> qëllimet</w:t>
            </w:r>
          </w:p>
        </w:tc>
        <w:tc>
          <w:tcPr>
            <w:tcW w:w="1506" w:type="dxa"/>
          </w:tcPr>
          <w:p w14:paraId="574E2AE4" w14:textId="77777777" w:rsidR="00604BB1" w:rsidRPr="00E83C5E" w:rsidRDefault="00604BB1" w:rsidP="00604BB1">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Tregues në nivel botëror/ CommonWealth</w:t>
            </w:r>
          </w:p>
        </w:tc>
        <w:tc>
          <w:tcPr>
            <w:tcW w:w="1382" w:type="dxa"/>
          </w:tcPr>
          <w:p w14:paraId="574E2AE5" w14:textId="77777777" w:rsidR="00604BB1" w:rsidRPr="00E83C5E" w:rsidRDefault="00604BB1" w:rsidP="00604BB1">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0.764</w:t>
            </w:r>
          </w:p>
          <w:p w14:paraId="574E2AE6" w14:textId="721F2D49" w:rsidR="00604BB1" w:rsidRPr="00E83C5E" w:rsidRDefault="00604BB1" w:rsidP="00604BB1">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Vendi</w:t>
            </w:r>
            <w:r w:rsidR="00233C37" w:rsidRPr="00E83C5E">
              <w:rPr>
                <w:rFonts w:ascii="Garamond" w:hAnsi="Garamond" w:cs="Times New Roman"/>
                <w:sz w:val="20"/>
                <w:szCs w:val="24"/>
                <w:lang w:eastAsia="en-GB"/>
              </w:rPr>
              <w:t xml:space="preserve"> </w:t>
            </w:r>
            <w:r w:rsidRPr="00E83C5E">
              <w:rPr>
                <w:rFonts w:ascii="Garamond" w:hAnsi="Garamond" w:cs="Times New Roman"/>
                <w:sz w:val="20"/>
                <w:szCs w:val="24"/>
                <w:lang w:eastAsia="en-GB"/>
              </w:rPr>
              <w:t xml:space="preserve">55 nga 181 </w:t>
            </w:r>
          </w:p>
        </w:tc>
        <w:tc>
          <w:tcPr>
            <w:tcW w:w="1106" w:type="dxa"/>
          </w:tcPr>
          <w:p w14:paraId="574E2AE7" w14:textId="77777777" w:rsidR="00604BB1" w:rsidRPr="00E83C5E" w:rsidRDefault="00604BB1" w:rsidP="00604BB1">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0.8</w:t>
            </w:r>
          </w:p>
          <w:p w14:paraId="574E2AE8" w14:textId="77777777" w:rsidR="00604BB1" w:rsidRPr="00E83C5E" w:rsidRDefault="00604BB1" w:rsidP="00604BB1">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Vendi 35</w:t>
            </w:r>
          </w:p>
        </w:tc>
      </w:tr>
      <w:tr w:rsidR="00604BB1" w:rsidRPr="00E83C5E" w14:paraId="574E2AF2" w14:textId="77777777" w:rsidTr="00FC79F1">
        <w:trPr>
          <w:trHeight w:val="50"/>
        </w:trPr>
        <w:tc>
          <w:tcPr>
            <w:cnfStyle w:val="001000000000" w:firstRow="0" w:lastRow="0" w:firstColumn="1" w:lastColumn="0" w:oddVBand="0" w:evenVBand="0" w:oddHBand="0" w:evenHBand="0" w:firstRowFirstColumn="0" w:firstRowLastColumn="0" w:lastRowFirstColumn="0" w:lastRowLastColumn="0"/>
            <w:tcW w:w="1152" w:type="dxa"/>
          </w:tcPr>
          <w:p w14:paraId="574E2AEA" w14:textId="77777777" w:rsidR="00604BB1" w:rsidRPr="00E83C5E" w:rsidRDefault="00604BB1" w:rsidP="00604BB1">
            <w:pPr>
              <w:jc w:val="both"/>
              <w:rPr>
                <w:rFonts w:ascii="Garamond" w:hAnsi="Garamond" w:cs="Times New Roman"/>
                <w:sz w:val="20"/>
                <w:szCs w:val="24"/>
                <w:lang w:eastAsia="en-GB"/>
              </w:rPr>
            </w:pPr>
            <w:r w:rsidRPr="00E83C5E">
              <w:rPr>
                <w:rFonts w:ascii="Garamond" w:hAnsi="Garamond" w:cs="Times New Roman"/>
                <w:sz w:val="20"/>
                <w:szCs w:val="24"/>
                <w:lang w:eastAsia="en-GB"/>
              </w:rPr>
              <w:t>Rezultati</w:t>
            </w:r>
          </w:p>
        </w:tc>
        <w:tc>
          <w:tcPr>
            <w:tcW w:w="1696" w:type="dxa"/>
          </w:tcPr>
          <w:p w14:paraId="574E2AEB" w14:textId="77777777" w:rsidR="00604BB1" w:rsidRPr="00E83C5E" w:rsidRDefault="00604BB1" w:rsidP="00604BB1">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4"/>
              </w:rPr>
            </w:pPr>
            <w:r w:rsidRPr="00E83C5E">
              <w:rPr>
                <w:rFonts w:ascii="Garamond" w:hAnsi="Garamond" w:cs="Times New Roman"/>
                <w:color w:val="000000" w:themeColor="text1"/>
                <w:sz w:val="20"/>
                <w:szCs w:val="24"/>
              </w:rPr>
              <w:t>Indeksi i Progresit të të Rinjve</w:t>
            </w:r>
          </w:p>
        </w:tc>
        <w:tc>
          <w:tcPr>
            <w:tcW w:w="3630" w:type="dxa"/>
          </w:tcPr>
          <w:p w14:paraId="574E2AEC" w14:textId="77777777" w:rsidR="00604BB1" w:rsidRPr="00E83C5E" w:rsidRDefault="00604BB1" w:rsidP="00604BB1">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Mirëqenia aktive, e shëndetshme, fizike, sociale dhe mendore e të rejave / rinjve. Siguria, mbrojtja dhe përfshirja e të rejave/ të rinjve/ në të gjithë diversitetin e tyre, veçanërisht për ata të rinj që janë në situatë rreziku apo mënjanimi social (vulnerabiliteti)</w:t>
            </w:r>
          </w:p>
        </w:tc>
        <w:tc>
          <w:tcPr>
            <w:tcW w:w="1506" w:type="dxa"/>
          </w:tcPr>
          <w:p w14:paraId="574E2AED" w14:textId="77777777" w:rsidR="00604BB1" w:rsidRPr="00E83C5E" w:rsidRDefault="00604BB1" w:rsidP="00604BB1">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Forumi Evropian i të Rinjve</w:t>
            </w:r>
          </w:p>
        </w:tc>
        <w:tc>
          <w:tcPr>
            <w:tcW w:w="1382" w:type="dxa"/>
          </w:tcPr>
          <w:p w14:paraId="574E2AEE" w14:textId="77777777" w:rsidR="00604BB1" w:rsidRPr="00E83C5E" w:rsidRDefault="00604BB1" w:rsidP="00604BB1">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68.49/100</w:t>
            </w:r>
          </w:p>
          <w:p w14:paraId="574E2AEF" w14:textId="77777777" w:rsidR="00604BB1" w:rsidRPr="00E83C5E" w:rsidRDefault="00604BB1" w:rsidP="00604BB1">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Vendi 64/163</w:t>
            </w:r>
          </w:p>
        </w:tc>
        <w:tc>
          <w:tcPr>
            <w:tcW w:w="1106" w:type="dxa"/>
          </w:tcPr>
          <w:p w14:paraId="574E2AF0" w14:textId="77777777" w:rsidR="00604BB1" w:rsidRPr="00E83C5E" w:rsidRDefault="00604BB1" w:rsidP="00604BB1">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55/100</w:t>
            </w:r>
          </w:p>
          <w:p w14:paraId="574E2AF1" w14:textId="77777777" w:rsidR="00604BB1" w:rsidRPr="00E83C5E" w:rsidRDefault="00604BB1" w:rsidP="00604BB1">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Vendi 50</w:t>
            </w:r>
          </w:p>
        </w:tc>
      </w:tr>
      <w:tr w:rsidR="00604BB1" w:rsidRPr="00E83C5E" w14:paraId="574E2AF9" w14:textId="77777777" w:rsidTr="00FC79F1">
        <w:trPr>
          <w:trHeight w:val="782"/>
        </w:trPr>
        <w:tc>
          <w:tcPr>
            <w:cnfStyle w:val="001000000000" w:firstRow="0" w:lastRow="0" w:firstColumn="1" w:lastColumn="0" w:oddVBand="0" w:evenVBand="0" w:oddHBand="0" w:evenHBand="0" w:firstRowFirstColumn="0" w:firstRowLastColumn="0" w:lastRowFirstColumn="0" w:lastRowLastColumn="0"/>
            <w:tcW w:w="1152" w:type="dxa"/>
          </w:tcPr>
          <w:p w14:paraId="574E2AF3" w14:textId="77777777" w:rsidR="00604BB1" w:rsidRPr="00E83C5E" w:rsidRDefault="00604BB1" w:rsidP="00604BB1">
            <w:pPr>
              <w:jc w:val="both"/>
              <w:rPr>
                <w:rFonts w:ascii="Garamond" w:hAnsi="Garamond" w:cs="Times New Roman"/>
                <w:sz w:val="20"/>
                <w:szCs w:val="24"/>
                <w:lang w:eastAsia="en-GB"/>
              </w:rPr>
            </w:pPr>
            <w:r w:rsidRPr="00E83C5E">
              <w:rPr>
                <w:rFonts w:ascii="Garamond" w:hAnsi="Garamond" w:cs="Times New Roman"/>
                <w:sz w:val="20"/>
                <w:szCs w:val="24"/>
                <w:lang w:eastAsia="en-GB"/>
              </w:rPr>
              <w:t>Ndikimi</w:t>
            </w:r>
          </w:p>
        </w:tc>
        <w:tc>
          <w:tcPr>
            <w:tcW w:w="1696" w:type="dxa"/>
          </w:tcPr>
          <w:p w14:paraId="574E2AF4" w14:textId="66F8D411" w:rsidR="00604BB1" w:rsidRPr="00E83C5E" w:rsidRDefault="00604BB1" w:rsidP="00D540B0">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4"/>
              </w:rPr>
            </w:pPr>
            <w:r w:rsidRPr="00E83C5E">
              <w:rPr>
                <w:rFonts w:ascii="Garamond" w:hAnsi="Garamond" w:cs="Times New Roman"/>
                <w:color w:val="000000" w:themeColor="text1"/>
                <w:sz w:val="20"/>
                <w:szCs w:val="24"/>
              </w:rPr>
              <w:t>% e të rinjve që raportojnë se ndihen të përfaqësuar në politikat rinore të zbatuara në nivel q</w:t>
            </w:r>
            <w:r w:rsidR="00D540B0" w:rsidRPr="00E83C5E">
              <w:rPr>
                <w:rFonts w:ascii="Garamond" w:hAnsi="Garamond" w:cs="Times New Roman"/>
                <w:color w:val="000000" w:themeColor="text1"/>
                <w:sz w:val="20"/>
                <w:szCs w:val="24"/>
              </w:rPr>
              <w:t>e</w:t>
            </w:r>
            <w:r w:rsidRPr="00E83C5E">
              <w:rPr>
                <w:rFonts w:ascii="Garamond" w:hAnsi="Garamond" w:cs="Times New Roman"/>
                <w:color w:val="000000" w:themeColor="text1"/>
                <w:sz w:val="20"/>
                <w:szCs w:val="24"/>
              </w:rPr>
              <w:t>ndror/vendor</w:t>
            </w:r>
          </w:p>
        </w:tc>
        <w:tc>
          <w:tcPr>
            <w:tcW w:w="3630" w:type="dxa"/>
          </w:tcPr>
          <w:p w14:paraId="574E2AF5" w14:textId="100A3FB6" w:rsidR="00604BB1" w:rsidRPr="00E83C5E" w:rsidRDefault="00604BB1" w:rsidP="00364633">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 xml:space="preserve">Fuqizimi i organizimit rinor dhe rritja e pjesëmarrjes rinore </w:t>
            </w:r>
            <w:r w:rsidR="00D540B0" w:rsidRPr="00E83C5E">
              <w:rPr>
                <w:rFonts w:ascii="Garamond" w:hAnsi="Garamond" w:cs="Times New Roman"/>
                <w:sz w:val="20"/>
                <w:szCs w:val="24"/>
                <w:lang w:eastAsia="en-GB"/>
              </w:rPr>
              <w:t>“</w:t>
            </w:r>
            <w:r w:rsidRPr="00E83C5E">
              <w:rPr>
                <w:rFonts w:ascii="Garamond" w:hAnsi="Garamond" w:cs="Times New Roman"/>
                <w:sz w:val="20"/>
                <w:szCs w:val="24"/>
                <w:lang w:eastAsia="en-GB"/>
              </w:rPr>
              <w:t>Të rejat dhe të rinjtë marrin pjesë aktivisht në shoqëri dhe ndihen të fuqizuar për t’u shprehur me zërin e tyre. Politikat ndërsektoriale rinore janë të koordinuara, të bazuara në analiza, me mekanizma të mirëfinancuar</w:t>
            </w:r>
            <w:r w:rsidR="00D540B0" w:rsidRPr="00E83C5E">
              <w:rPr>
                <w:rFonts w:ascii="Garamond" w:hAnsi="Garamond" w:cs="Times New Roman"/>
                <w:sz w:val="20"/>
                <w:szCs w:val="24"/>
                <w:lang w:eastAsia="en-GB"/>
              </w:rPr>
              <w:t>”</w:t>
            </w:r>
          </w:p>
        </w:tc>
        <w:tc>
          <w:tcPr>
            <w:tcW w:w="1506" w:type="dxa"/>
          </w:tcPr>
          <w:p w14:paraId="574E2AF6" w14:textId="77777777" w:rsidR="00604BB1" w:rsidRPr="00E83C5E" w:rsidRDefault="00604BB1" w:rsidP="00604BB1">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MSHRF</w:t>
            </w:r>
          </w:p>
        </w:tc>
        <w:tc>
          <w:tcPr>
            <w:tcW w:w="1382" w:type="dxa"/>
          </w:tcPr>
          <w:p w14:paraId="574E2AF7" w14:textId="77777777" w:rsidR="00604BB1" w:rsidRPr="00E83C5E" w:rsidRDefault="00604BB1" w:rsidP="00604BB1">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20%</w:t>
            </w:r>
          </w:p>
        </w:tc>
        <w:tc>
          <w:tcPr>
            <w:tcW w:w="1106" w:type="dxa"/>
          </w:tcPr>
          <w:p w14:paraId="574E2AF8" w14:textId="77777777" w:rsidR="00604BB1" w:rsidRPr="00E83C5E" w:rsidRDefault="00604BB1" w:rsidP="00604BB1">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80%</w:t>
            </w:r>
          </w:p>
        </w:tc>
      </w:tr>
      <w:tr w:rsidR="00604BB1" w:rsidRPr="00E83C5E" w14:paraId="574E2B00" w14:textId="77777777" w:rsidTr="00FC79F1">
        <w:trPr>
          <w:trHeight w:val="782"/>
        </w:trPr>
        <w:tc>
          <w:tcPr>
            <w:cnfStyle w:val="001000000000" w:firstRow="0" w:lastRow="0" w:firstColumn="1" w:lastColumn="0" w:oddVBand="0" w:evenVBand="0" w:oddHBand="0" w:evenHBand="0" w:firstRowFirstColumn="0" w:firstRowLastColumn="0" w:lastRowFirstColumn="0" w:lastRowLastColumn="0"/>
            <w:tcW w:w="1152" w:type="dxa"/>
          </w:tcPr>
          <w:p w14:paraId="574E2AFA" w14:textId="77777777" w:rsidR="00604BB1" w:rsidRPr="00E83C5E" w:rsidRDefault="00604BB1" w:rsidP="00604BB1">
            <w:pPr>
              <w:jc w:val="both"/>
              <w:rPr>
                <w:rFonts w:ascii="Garamond" w:hAnsi="Garamond" w:cs="Times New Roman"/>
                <w:sz w:val="20"/>
                <w:szCs w:val="24"/>
                <w:lang w:eastAsia="en-GB"/>
              </w:rPr>
            </w:pPr>
            <w:r w:rsidRPr="00E83C5E">
              <w:rPr>
                <w:rFonts w:ascii="Garamond" w:hAnsi="Garamond" w:cs="Times New Roman"/>
                <w:sz w:val="20"/>
                <w:szCs w:val="24"/>
                <w:lang w:eastAsia="en-GB"/>
              </w:rPr>
              <w:lastRenderedPageBreak/>
              <w:t>Rezultati</w:t>
            </w:r>
          </w:p>
        </w:tc>
        <w:tc>
          <w:tcPr>
            <w:tcW w:w="1696" w:type="dxa"/>
          </w:tcPr>
          <w:p w14:paraId="574E2AFB" w14:textId="77777777" w:rsidR="00604BB1" w:rsidRPr="00E83C5E" w:rsidRDefault="00604BB1" w:rsidP="00604BB1">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4"/>
              </w:rPr>
            </w:pPr>
            <w:r w:rsidRPr="00E83C5E">
              <w:rPr>
                <w:rFonts w:ascii="Garamond" w:hAnsi="Garamond" w:cs="Times New Roman"/>
                <w:color w:val="000000" w:themeColor="text1"/>
                <w:sz w:val="20"/>
                <w:szCs w:val="24"/>
              </w:rPr>
              <w:t>% e buxhetit të shtetit dedikuar për programet mbi rininë</w:t>
            </w:r>
          </w:p>
        </w:tc>
        <w:tc>
          <w:tcPr>
            <w:tcW w:w="3630" w:type="dxa"/>
          </w:tcPr>
          <w:p w14:paraId="574E2AFC" w14:textId="743AE5E2" w:rsidR="00604BB1" w:rsidRPr="00E83C5E" w:rsidRDefault="00604BB1" w:rsidP="00364633">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 xml:space="preserve">Fuqizimi i organizimit rinor dhe rritja e pjesëmarrjes rinore </w:t>
            </w:r>
            <w:r w:rsidR="00D540B0" w:rsidRPr="00E83C5E">
              <w:rPr>
                <w:rFonts w:ascii="Garamond" w:hAnsi="Garamond" w:cs="Times New Roman"/>
                <w:sz w:val="20"/>
                <w:szCs w:val="24"/>
                <w:lang w:eastAsia="en-GB"/>
              </w:rPr>
              <w:t>“</w:t>
            </w:r>
            <w:r w:rsidRPr="00E83C5E">
              <w:rPr>
                <w:rFonts w:ascii="Garamond" w:hAnsi="Garamond" w:cs="Times New Roman"/>
                <w:sz w:val="20"/>
                <w:szCs w:val="24"/>
                <w:lang w:eastAsia="en-GB"/>
              </w:rPr>
              <w:t>Të rejat dhe të rinjtë marrin pjesë aktivisht në shoqëri dhe ndihen të fuqizuar për t’u shprehur me zërin e tyre. Politikat ndërsektoriale rinore janë të koordinuara, të bazuara në analiza, me mekanizma të mirëfinancuar</w:t>
            </w:r>
            <w:r w:rsidR="00D540B0" w:rsidRPr="00E83C5E">
              <w:rPr>
                <w:rFonts w:ascii="Garamond" w:hAnsi="Garamond" w:cs="Times New Roman"/>
                <w:sz w:val="20"/>
                <w:szCs w:val="24"/>
                <w:lang w:eastAsia="en-GB"/>
              </w:rPr>
              <w:t>”</w:t>
            </w:r>
          </w:p>
        </w:tc>
        <w:tc>
          <w:tcPr>
            <w:tcW w:w="1506" w:type="dxa"/>
          </w:tcPr>
          <w:p w14:paraId="574E2AFD" w14:textId="77777777" w:rsidR="00604BB1" w:rsidRPr="00E83C5E" w:rsidRDefault="00604BB1" w:rsidP="00604BB1">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MSHRF/ MFE/ AKR</w:t>
            </w:r>
          </w:p>
        </w:tc>
        <w:tc>
          <w:tcPr>
            <w:tcW w:w="1382" w:type="dxa"/>
          </w:tcPr>
          <w:p w14:paraId="574E2AFE" w14:textId="77777777" w:rsidR="00604BB1" w:rsidRPr="00E83C5E" w:rsidRDefault="00604BB1" w:rsidP="00604BB1">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0.05%</w:t>
            </w:r>
          </w:p>
        </w:tc>
        <w:tc>
          <w:tcPr>
            <w:tcW w:w="1106" w:type="dxa"/>
          </w:tcPr>
          <w:p w14:paraId="574E2AFF" w14:textId="77777777" w:rsidR="00604BB1" w:rsidRPr="00E83C5E" w:rsidRDefault="00604BB1" w:rsidP="00604BB1">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2.4%</w:t>
            </w:r>
          </w:p>
        </w:tc>
      </w:tr>
    </w:tbl>
    <w:p w14:paraId="574E2B01" w14:textId="77777777" w:rsidR="00604BB1" w:rsidRPr="00E83C5E" w:rsidRDefault="00604BB1" w:rsidP="000D6802">
      <w:pPr>
        <w:pStyle w:val="TEKSTIII"/>
        <w:jc w:val="center"/>
      </w:pPr>
    </w:p>
    <w:p w14:paraId="574E2B02" w14:textId="64E542E2" w:rsidR="0027606D" w:rsidRPr="00E83C5E" w:rsidRDefault="0027606D" w:rsidP="00D540B0">
      <w:pPr>
        <w:pStyle w:val="TEKSTIII"/>
        <w:ind w:firstLine="0"/>
      </w:pPr>
      <w:r w:rsidRPr="00E83C5E">
        <w:t>PJESA II</w:t>
      </w:r>
      <w:r w:rsidR="00D540B0" w:rsidRPr="00E83C5E">
        <w:t>.</w:t>
      </w:r>
      <w:r w:rsidRPr="00E83C5E">
        <w:t xml:space="preserve"> QËLLIMET E POLITIKAVE DHE OBJEKTIVAT SPECIFIKË TË SKR 2022</w:t>
      </w:r>
      <w:r w:rsidR="00D540B0" w:rsidRPr="00E83C5E">
        <w:t>–</w:t>
      </w:r>
      <w:r w:rsidRPr="00E83C5E">
        <w:t>2029</w:t>
      </w:r>
    </w:p>
    <w:p w14:paraId="574E2B03" w14:textId="1291F4DB" w:rsidR="0027606D" w:rsidRPr="00E83C5E" w:rsidRDefault="0027606D" w:rsidP="0027606D">
      <w:pPr>
        <w:pStyle w:val="TEKSTIII"/>
        <w:rPr>
          <w:rFonts w:eastAsia="Times New Roman" w:cs="Times New Roman"/>
          <w:bCs/>
        </w:rPr>
      </w:pPr>
      <w:r w:rsidRPr="00E83C5E">
        <w:rPr>
          <w:rFonts w:cs="Times New Roman"/>
          <w:bCs/>
        </w:rPr>
        <w:t xml:space="preserve">Qëllimi i </w:t>
      </w:r>
      <w:r w:rsidR="00D540B0" w:rsidRPr="00E83C5E">
        <w:rPr>
          <w:rFonts w:cs="Times New Roman"/>
          <w:bCs/>
        </w:rPr>
        <w:t>p</w:t>
      </w:r>
      <w:r w:rsidRPr="00E83C5E">
        <w:rPr>
          <w:rFonts w:cs="Times New Roman"/>
          <w:bCs/>
        </w:rPr>
        <w:t xml:space="preserve">olitikës </w:t>
      </w:r>
      <w:r w:rsidRPr="00E83C5E">
        <w:rPr>
          <w:rFonts w:eastAsia="Arial" w:cs="Times New Roman"/>
          <w:bCs/>
        </w:rPr>
        <w:t>1:</w:t>
      </w:r>
      <w:r w:rsidRPr="00E83C5E">
        <w:rPr>
          <w:rFonts w:cs="Times New Roman"/>
          <w:bCs/>
        </w:rPr>
        <w:t xml:space="preserve"> </w:t>
      </w:r>
      <w:r w:rsidRPr="00E83C5E">
        <w:rPr>
          <w:rFonts w:eastAsia="Arial" w:cs="Times New Roman"/>
          <w:bCs/>
        </w:rPr>
        <w:t>Të rejat dhe të rinjtë marrin pjesë aktivisht në shoqëri dhe ndihen të fuqizuar për t’u shprehur me zërin e tyre. Politikat ndërsektoriale rinore janë të koordinuara, të bazuara në analiza, me mekanizma të mirëfinancuar.</w:t>
      </w:r>
    </w:p>
    <w:p w14:paraId="574E2B04" w14:textId="77777777" w:rsidR="0027606D" w:rsidRPr="00E83C5E" w:rsidRDefault="0027606D" w:rsidP="0027606D">
      <w:pPr>
        <w:spacing w:after="0" w:line="240" w:lineRule="auto"/>
        <w:ind w:firstLine="284"/>
        <w:jc w:val="both"/>
        <w:rPr>
          <w:rFonts w:ascii="Garamond" w:hAnsi="Garamond" w:cs="Times New Roman"/>
          <w:b/>
          <w:bCs/>
          <w:sz w:val="24"/>
          <w:szCs w:val="24"/>
        </w:rPr>
      </w:pPr>
      <w:r w:rsidRPr="00E83C5E">
        <w:rPr>
          <w:rFonts w:ascii="Garamond" w:hAnsi="Garamond" w:cs="Times New Roman"/>
          <w:bCs/>
          <w:sz w:val="24"/>
          <w:szCs w:val="24"/>
        </w:rPr>
        <w:t>Përmes fuqizimit, organizimit rinor dhe rritjes së pjesëmarrjes rinore kjo politikë, synon të arrijë tre objektivat e mëposhtëm:</w:t>
      </w:r>
    </w:p>
    <w:p w14:paraId="574E2B05" w14:textId="43F89DA1" w:rsidR="0027606D" w:rsidRPr="00E83C5E" w:rsidRDefault="0027606D" w:rsidP="0027606D">
      <w:pPr>
        <w:spacing w:after="0" w:line="240" w:lineRule="auto"/>
        <w:ind w:firstLine="284"/>
        <w:jc w:val="both"/>
        <w:rPr>
          <w:rFonts w:ascii="Garamond" w:hAnsi="Garamond" w:cs="Times New Roman"/>
          <w:sz w:val="24"/>
          <w:szCs w:val="24"/>
        </w:rPr>
      </w:pPr>
      <w:r w:rsidRPr="00E83C5E">
        <w:rPr>
          <w:rFonts w:ascii="Garamond" w:hAnsi="Garamond" w:cs="Times New Roman"/>
          <w:b/>
          <w:bCs/>
          <w:sz w:val="24"/>
          <w:szCs w:val="24"/>
        </w:rPr>
        <w:t xml:space="preserve">Objektivi </w:t>
      </w:r>
      <w:r w:rsidR="00D540B0" w:rsidRPr="00E83C5E">
        <w:rPr>
          <w:rFonts w:ascii="Garamond" w:hAnsi="Garamond" w:cs="Times New Roman"/>
          <w:b/>
          <w:bCs/>
          <w:sz w:val="24"/>
          <w:szCs w:val="24"/>
        </w:rPr>
        <w:t>s</w:t>
      </w:r>
      <w:r w:rsidRPr="00E83C5E">
        <w:rPr>
          <w:rFonts w:ascii="Garamond" w:hAnsi="Garamond" w:cs="Times New Roman"/>
          <w:b/>
          <w:bCs/>
          <w:sz w:val="24"/>
          <w:szCs w:val="24"/>
        </w:rPr>
        <w:t>pecifik 1.1:</w:t>
      </w:r>
      <w:r w:rsidRPr="00E83C5E">
        <w:rPr>
          <w:rFonts w:ascii="Garamond" w:hAnsi="Garamond" w:cs="Times New Roman"/>
          <w:sz w:val="24"/>
          <w:szCs w:val="24"/>
        </w:rPr>
        <w:t xml:space="preserve"> </w:t>
      </w:r>
      <w:r w:rsidRPr="00E83C5E">
        <w:rPr>
          <w:rFonts w:ascii="Garamond" w:eastAsia="Arial" w:hAnsi="Garamond" w:cs="Times New Roman"/>
          <w:sz w:val="24"/>
          <w:szCs w:val="24"/>
        </w:rPr>
        <w:t xml:space="preserve">Të rinjtë janë të </w:t>
      </w:r>
      <w:r w:rsidR="00A83D87">
        <w:rPr>
          <w:rFonts w:ascii="Garamond" w:eastAsia="Arial" w:hAnsi="Garamond" w:cs="Times New Roman"/>
          <w:sz w:val="24"/>
          <w:szCs w:val="24"/>
        </w:rPr>
        <w:t>mirinformuar</w:t>
      </w:r>
      <w:r w:rsidRPr="00E83C5E">
        <w:rPr>
          <w:rFonts w:ascii="Garamond" w:eastAsia="Arial" w:hAnsi="Garamond" w:cs="Times New Roman"/>
          <w:sz w:val="24"/>
          <w:szCs w:val="24"/>
        </w:rPr>
        <w:t xml:space="preserve"> rreth mundësive për të mësuar, fituar përvojë organizative dhe vullnetarizëm, dhe për të marrë pjesë aktivisht në jetën qytetare, sociale dhe politike</w:t>
      </w:r>
      <w:r w:rsidR="00D540B0" w:rsidRPr="00E83C5E">
        <w:rPr>
          <w:rFonts w:ascii="Garamond" w:eastAsia="Arial" w:hAnsi="Garamond" w:cs="Times New Roman"/>
          <w:sz w:val="24"/>
          <w:szCs w:val="24"/>
        </w:rPr>
        <w:t>;</w:t>
      </w:r>
    </w:p>
    <w:p w14:paraId="574E2B06" w14:textId="0853AA9A" w:rsidR="0027606D" w:rsidRPr="00E83C5E" w:rsidRDefault="0027606D" w:rsidP="0027606D">
      <w:pPr>
        <w:spacing w:after="0" w:line="240" w:lineRule="auto"/>
        <w:ind w:firstLine="284"/>
        <w:jc w:val="both"/>
        <w:rPr>
          <w:rFonts w:ascii="Garamond" w:hAnsi="Garamond" w:cs="Times New Roman"/>
          <w:sz w:val="24"/>
          <w:szCs w:val="24"/>
        </w:rPr>
      </w:pPr>
      <w:r w:rsidRPr="00E83C5E">
        <w:rPr>
          <w:rFonts w:ascii="Garamond" w:hAnsi="Garamond" w:cs="Times New Roman"/>
          <w:b/>
          <w:bCs/>
          <w:sz w:val="24"/>
          <w:szCs w:val="24"/>
        </w:rPr>
        <w:t xml:space="preserve">Objektivi </w:t>
      </w:r>
      <w:r w:rsidR="00D540B0" w:rsidRPr="00E83C5E">
        <w:rPr>
          <w:rFonts w:ascii="Garamond" w:hAnsi="Garamond" w:cs="Times New Roman"/>
          <w:b/>
          <w:bCs/>
          <w:sz w:val="24"/>
          <w:szCs w:val="24"/>
        </w:rPr>
        <w:t>s</w:t>
      </w:r>
      <w:r w:rsidRPr="00E83C5E">
        <w:rPr>
          <w:rFonts w:ascii="Garamond" w:hAnsi="Garamond" w:cs="Times New Roman"/>
          <w:b/>
          <w:bCs/>
          <w:sz w:val="24"/>
          <w:szCs w:val="24"/>
        </w:rPr>
        <w:t>pecifik 1.2:</w:t>
      </w:r>
      <w:r w:rsidRPr="00E83C5E">
        <w:rPr>
          <w:rFonts w:ascii="Garamond" w:hAnsi="Garamond" w:cs="Times New Roman"/>
          <w:sz w:val="24"/>
          <w:szCs w:val="24"/>
        </w:rPr>
        <w:t xml:space="preserve"> </w:t>
      </w:r>
      <w:r w:rsidRPr="00E83C5E">
        <w:rPr>
          <w:rFonts w:ascii="Garamond" w:eastAsia="Arial" w:hAnsi="Garamond" w:cs="Times New Roman"/>
          <w:sz w:val="24"/>
          <w:szCs w:val="24"/>
        </w:rPr>
        <w:t>Politika rinore është e koordinuar, e bazuar në analiza dhe e harmonizuar në sektorë të ndryshëm duke kërkuar kohezionin dhe optimizimin e burimeve dhe duke forcuar si instrument zbatues të këtyre politikave Agjencinë Kombëtare të Rinisë</w:t>
      </w:r>
      <w:r w:rsidR="00D540B0" w:rsidRPr="00E83C5E">
        <w:rPr>
          <w:rFonts w:ascii="Garamond" w:eastAsia="Arial" w:hAnsi="Garamond" w:cs="Times New Roman"/>
          <w:sz w:val="24"/>
          <w:szCs w:val="24"/>
        </w:rPr>
        <w:t>;</w:t>
      </w:r>
    </w:p>
    <w:p w14:paraId="574E2B07" w14:textId="2FD54B0F" w:rsidR="0027606D" w:rsidRPr="00E83C5E" w:rsidRDefault="0027606D" w:rsidP="0027606D">
      <w:pPr>
        <w:spacing w:after="0" w:line="240" w:lineRule="auto"/>
        <w:ind w:firstLine="284"/>
        <w:jc w:val="both"/>
        <w:rPr>
          <w:rFonts w:ascii="Garamond" w:eastAsia="Arial" w:hAnsi="Garamond" w:cs="Times New Roman"/>
          <w:sz w:val="24"/>
          <w:szCs w:val="24"/>
        </w:rPr>
      </w:pPr>
      <w:r w:rsidRPr="00E83C5E">
        <w:rPr>
          <w:rFonts w:ascii="Garamond" w:hAnsi="Garamond" w:cs="Times New Roman"/>
          <w:b/>
          <w:bCs/>
          <w:sz w:val="24"/>
          <w:szCs w:val="24"/>
        </w:rPr>
        <w:t xml:space="preserve">Objektivi </w:t>
      </w:r>
      <w:r w:rsidR="00D540B0" w:rsidRPr="00E83C5E">
        <w:rPr>
          <w:rFonts w:ascii="Garamond" w:hAnsi="Garamond" w:cs="Times New Roman"/>
          <w:b/>
          <w:bCs/>
          <w:sz w:val="24"/>
          <w:szCs w:val="24"/>
        </w:rPr>
        <w:t>s</w:t>
      </w:r>
      <w:r w:rsidRPr="00E83C5E">
        <w:rPr>
          <w:rFonts w:ascii="Garamond" w:hAnsi="Garamond" w:cs="Times New Roman"/>
          <w:b/>
          <w:bCs/>
          <w:sz w:val="24"/>
          <w:szCs w:val="24"/>
        </w:rPr>
        <w:t>pecifik 1.3</w:t>
      </w:r>
      <w:r w:rsidRPr="00E83C5E">
        <w:rPr>
          <w:rFonts w:ascii="Garamond" w:hAnsi="Garamond" w:cs="Times New Roman"/>
          <w:sz w:val="24"/>
          <w:szCs w:val="24"/>
        </w:rPr>
        <w:t>:</w:t>
      </w:r>
      <w:r w:rsidR="00233C37" w:rsidRPr="00E83C5E">
        <w:rPr>
          <w:rFonts w:ascii="Garamond" w:hAnsi="Garamond" w:cs="Times New Roman"/>
          <w:sz w:val="24"/>
          <w:szCs w:val="24"/>
        </w:rPr>
        <w:t xml:space="preserve"> </w:t>
      </w:r>
      <w:r w:rsidRPr="00E83C5E">
        <w:rPr>
          <w:rFonts w:ascii="Garamond" w:eastAsia="Arial" w:hAnsi="Garamond" w:cs="Times New Roman"/>
          <w:sz w:val="24"/>
          <w:szCs w:val="24"/>
        </w:rPr>
        <w:t>Studimet rinore dhe të dhënat për rininë nxiten të zhvillohen dhe të bëhen pjesë e programeve të studimit në institucionet e arsimit të lartë dhe referenca për zhvillimet e mëtejshme në fushën e rinisë.</w:t>
      </w:r>
    </w:p>
    <w:p w14:paraId="574E2B08" w14:textId="0E0C383D" w:rsidR="0027606D" w:rsidRPr="00E83C5E" w:rsidRDefault="0027606D" w:rsidP="0027606D">
      <w:pPr>
        <w:spacing w:after="0" w:line="240" w:lineRule="auto"/>
        <w:ind w:firstLine="284"/>
        <w:jc w:val="both"/>
        <w:rPr>
          <w:rFonts w:ascii="Garamond" w:hAnsi="Garamond" w:cs="Times New Roman"/>
          <w:b/>
          <w:sz w:val="24"/>
          <w:szCs w:val="24"/>
        </w:rPr>
      </w:pPr>
      <w:r w:rsidRPr="00E83C5E">
        <w:rPr>
          <w:rFonts w:ascii="Garamond" w:hAnsi="Garamond" w:cs="Times New Roman"/>
          <w:b/>
          <w:sz w:val="24"/>
          <w:szCs w:val="24"/>
        </w:rPr>
        <w:t xml:space="preserve">Institucionet </w:t>
      </w:r>
      <w:r w:rsidR="00D540B0" w:rsidRPr="00E83C5E">
        <w:rPr>
          <w:rFonts w:ascii="Garamond" w:hAnsi="Garamond" w:cs="Times New Roman"/>
          <w:b/>
          <w:sz w:val="24"/>
          <w:szCs w:val="24"/>
        </w:rPr>
        <w:t>d</w:t>
      </w:r>
      <w:r w:rsidRPr="00E83C5E">
        <w:rPr>
          <w:rFonts w:ascii="Garamond" w:hAnsi="Garamond" w:cs="Times New Roman"/>
          <w:b/>
          <w:sz w:val="24"/>
          <w:szCs w:val="24"/>
        </w:rPr>
        <w:t>rejtuese</w:t>
      </w:r>
    </w:p>
    <w:p w14:paraId="574E2B09" w14:textId="77777777" w:rsidR="0027606D" w:rsidRPr="00E83C5E" w:rsidRDefault="0027606D" w:rsidP="0027606D">
      <w:pPr>
        <w:spacing w:after="0" w:line="240" w:lineRule="auto"/>
        <w:ind w:firstLine="284"/>
        <w:jc w:val="both"/>
        <w:rPr>
          <w:rFonts w:ascii="Garamond" w:hAnsi="Garamond" w:cs="Times New Roman"/>
          <w:bCs/>
          <w:sz w:val="24"/>
          <w:szCs w:val="24"/>
        </w:rPr>
      </w:pPr>
      <w:r w:rsidRPr="00E83C5E">
        <w:rPr>
          <w:rFonts w:ascii="Garamond" w:hAnsi="Garamond" w:cs="Times New Roman"/>
          <w:bCs/>
          <w:sz w:val="24"/>
          <w:szCs w:val="24"/>
        </w:rPr>
        <w:t>MSHRF, AKR</w:t>
      </w:r>
    </w:p>
    <w:p w14:paraId="574E2B0A" w14:textId="263CC5D8" w:rsidR="0027606D" w:rsidRPr="00E83C5E" w:rsidRDefault="0027606D" w:rsidP="0027606D">
      <w:pPr>
        <w:spacing w:after="0" w:line="240" w:lineRule="auto"/>
        <w:ind w:firstLine="284"/>
        <w:jc w:val="both"/>
        <w:rPr>
          <w:rFonts w:ascii="Garamond" w:hAnsi="Garamond" w:cs="Times New Roman"/>
          <w:b/>
          <w:sz w:val="24"/>
          <w:szCs w:val="24"/>
        </w:rPr>
      </w:pPr>
      <w:r w:rsidRPr="00E83C5E">
        <w:rPr>
          <w:rFonts w:ascii="Garamond" w:hAnsi="Garamond" w:cs="Times New Roman"/>
          <w:b/>
          <w:sz w:val="24"/>
          <w:szCs w:val="24"/>
        </w:rPr>
        <w:t xml:space="preserve">Institucioni </w:t>
      </w:r>
      <w:r w:rsidR="00D540B0" w:rsidRPr="00E83C5E">
        <w:rPr>
          <w:rFonts w:ascii="Garamond" w:hAnsi="Garamond" w:cs="Times New Roman"/>
          <w:b/>
          <w:sz w:val="24"/>
          <w:szCs w:val="24"/>
        </w:rPr>
        <w:t>p</w:t>
      </w:r>
      <w:r w:rsidRPr="00E83C5E">
        <w:rPr>
          <w:rFonts w:ascii="Garamond" w:hAnsi="Garamond" w:cs="Times New Roman"/>
          <w:b/>
          <w:sz w:val="24"/>
          <w:szCs w:val="24"/>
        </w:rPr>
        <w:t>jesëmarrës</w:t>
      </w:r>
    </w:p>
    <w:p w14:paraId="574E2B0B" w14:textId="77777777" w:rsidR="0027606D" w:rsidRPr="00E83C5E" w:rsidRDefault="0027606D" w:rsidP="0027606D">
      <w:pPr>
        <w:spacing w:after="0" w:line="240" w:lineRule="auto"/>
        <w:ind w:firstLine="284"/>
        <w:jc w:val="both"/>
        <w:rPr>
          <w:rFonts w:ascii="Garamond" w:hAnsi="Garamond" w:cs="Times New Roman"/>
          <w:bCs/>
          <w:sz w:val="24"/>
          <w:szCs w:val="24"/>
        </w:rPr>
      </w:pPr>
      <w:r w:rsidRPr="00E83C5E">
        <w:rPr>
          <w:rFonts w:ascii="Garamond" w:hAnsi="Garamond" w:cs="Times New Roman"/>
          <w:bCs/>
          <w:sz w:val="24"/>
          <w:szCs w:val="24"/>
        </w:rPr>
        <w:t>MEF, MAS, INSTAT, AKSHI, AKPA, KQZ, AKAFPK, IAL</w:t>
      </w:r>
    </w:p>
    <w:p w14:paraId="574E2B0C" w14:textId="27FE8D9E" w:rsidR="0027606D" w:rsidRPr="00E83C5E" w:rsidRDefault="0027606D" w:rsidP="0027606D">
      <w:pPr>
        <w:spacing w:after="0" w:line="240" w:lineRule="auto"/>
        <w:ind w:firstLine="284"/>
        <w:jc w:val="both"/>
        <w:rPr>
          <w:rFonts w:ascii="Garamond" w:eastAsia="Calibri" w:hAnsi="Garamond" w:cs="Times New Roman"/>
          <w:sz w:val="24"/>
          <w:szCs w:val="24"/>
        </w:rPr>
      </w:pPr>
      <w:r w:rsidRPr="00E83C5E">
        <w:rPr>
          <w:rFonts w:ascii="Garamond" w:eastAsia="Calibri" w:hAnsi="Garamond" w:cs="Times New Roman"/>
          <w:sz w:val="24"/>
          <w:szCs w:val="24"/>
        </w:rPr>
        <w:t>Masat dhe buxhetet e ndërlidhura për të arritur rezultatet</w:t>
      </w:r>
      <w:r w:rsidR="00233C37" w:rsidRPr="00E83C5E">
        <w:rPr>
          <w:rFonts w:ascii="Garamond" w:eastAsia="Calibri" w:hAnsi="Garamond" w:cs="Times New Roman"/>
          <w:sz w:val="24"/>
          <w:szCs w:val="24"/>
        </w:rPr>
        <w:t xml:space="preserve"> </w:t>
      </w:r>
      <w:r w:rsidRPr="00E83C5E">
        <w:rPr>
          <w:rFonts w:ascii="Garamond" w:eastAsia="Calibri" w:hAnsi="Garamond" w:cs="Times New Roman"/>
          <w:sz w:val="24"/>
          <w:szCs w:val="24"/>
        </w:rPr>
        <w:t>specifike janë përshkruar në planin e veprimit të dokumentit strategjik q</w:t>
      </w:r>
      <w:r w:rsidRPr="00E83C5E">
        <w:rPr>
          <w:rFonts w:ascii="Garamond" w:hAnsi="Garamond" w:cs="Times New Roman"/>
          <w:sz w:val="24"/>
          <w:szCs w:val="24"/>
        </w:rPr>
        <w:t>ë</w:t>
      </w:r>
      <w:r w:rsidRPr="00E83C5E">
        <w:rPr>
          <w:rFonts w:ascii="Garamond" w:eastAsia="Calibri" w:hAnsi="Garamond" w:cs="Times New Roman"/>
          <w:sz w:val="24"/>
          <w:szCs w:val="24"/>
        </w:rPr>
        <w:t xml:space="preserve"> do të ngarkohet në IPSIS. </w:t>
      </w:r>
    </w:p>
    <w:p w14:paraId="574E2B0D" w14:textId="43B66300" w:rsidR="0027606D" w:rsidRPr="00E83C5E" w:rsidRDefault="0027606D" w:rsidP="0027606D">
      <w:pPr>
        <w:pStyle w:val="TEKSTIII"/>
        <w:rPr>
          <w:b/>
          <w:lang w:eastAsia="en-GB"/>
        </w:rPr>
      </w:pPr>
      <w:r w:rsidRPr="00E83C5E">
        <w:rPr>
          <w:b/>
          <w:lang w:eastAsia="en-GB"/>
        </w:rPr>
        <w:t xml:space="preserve">Lidhja midis qëllimit të politikës </w:t>
      </w:r>
      <w:r w:rsidR="00D540B0" w:rsidRPr="00E83C5E">
        <w:rPr>
          <w:b/>
          <w:lang w:eastAsia="en-GB"/>
        </w:rPr>
        <w:t xml:space="preserve">dhe objektivave të zhvillimit të qëndrueshëm </w:t>
      </w:r>
      <w:r w:rsidRPr="00E83C5E">
        <w:rPr>
          <w:b/>
          <w:lang w:eastAsia="en-GB"/>
        </w:rPr>
        <w:t>(OZHQ) dhe MSA-së.</w:t>
      </w:r>
    </w:p>
    <w:p w14:paraId="574E2B0E" w14:textId="6A6C2090" w:rsidR="0027606D" w:rsidRPr="00E83C5E" w:rsidRDefault="0027606D" w:rsidP="0027606D">
      <w:pPr>
        <w:spacing w:after="0" w:line="240" w:lineRule="auto"/>
        <w:ind w:firstLine="284"/>
        <w:jc w:val="both"/>
        <w:rPr>
          <w:rStyle w:val="jlqj4b"/>
          <w:rFonts w:ascii="Garamond" w:eastAsiaTheme="majorEastAsia" w:hAnsi="Garamond" w:cs="Times New Roman"/>
          <w:sz w:val="24"/>
          <w:szCs w:val="24"/>
        </w:rPr>
      </w:pPr>
      <w:r w:rsidRPr="00E83C5E">
        <w:rPr>
          <w:rFonts w:ascii="Garamond" w:hAnsi="Garamond" w:cs="Times New Roman"/>
          <w:b/>
          <w:bCs/>
          <w:sz w:val="24"/>
          <w:szCs w:val="24"/>
        </w:rPr>
        <w:t xml:space="preserve">Qëllimi </w:t>
      </w:r>
      <w:r w:rsidR="00D540B0" w:rsidRPr="00E83C5E">
        <w:rPr>
          <w:rFonts w:ascii="Garamond" w:hAnsi="Garamond" w:cs="Times New Roman"/>
          <w:b/>
          <w:bCs/>
          <w:sz w:val="24"/>
          <w:szCs w:val="24"/>
        </w:rPr>
        <w:t>i politikës nr</w:t>
      </w:r>
      <w:r w:rsidRPr="00E83C5E">
        <w:rPr>
          <w:rFonts w:ascii="Garamond" w:hAnsi="Garamond" w:cs="Times New Roman"/>
          <w:b/>
          <w:bCs/>
          <w:sz w:val="24"/>
          <w:szCs w:val="24"/>
        </w:rPr>
        <w:t>.</w:t>
      </w:r>
      <w:r w:rsidR="00D540B0" w:rsidRPr="00E83C5E">
        <w:rPr>
          <w:rFonts w:ascii="Garamond" w:hAnsi="Garamond" w:cs="Times New Roman"/>
          <w:b/>
          <w:bCs/>
          <w:sz w:val="24"/>
          <w:szCs w:val="24"/>
        </w:rPr>
        <w:t xml:space="preserve"> </w:t>
      </w:r>
      <w:r w:rsidRPr="00E83C5E">
        <w:rPr>
          <w:rFonts w:ascii="Garamond" w:hAnsi="Garamond" w:cs="Times New Roman"/>
          <w:b/>
          <w:bCs/>
          <w:sz w:val="24"/>
          <w:szCs w:val="24"/>
        </w:rPr>
        <w:t>1</w:t>
      </w:r>
      <w:r w:rsidR="00D540B0" w:rsidRPr="00E83C5E">
        <w:rPr>
          <w:rFonts w:ascii="Garamond" w:hAnsi="Garamond" w:cs="Times New Roman"/>
          <w:b/>
          <w:bCs/>
          <w:sz w:val="24"/>
          <w:szCs w:val="24"/>
        </w:rPr>
        <w:t>:</w:t>
      </w:r>
      <w:r w:rsidRPr="00E83C5E">
        <w:rPr>
          <w:rFonts w:ascii="Garamond" w:hAnsi="Garamond" w:cs="Times New Roman"/>
          <w:b/>
          <w:bCs/>
          <w:sz w:val="24"/>
          <w:szCs w:val="24"/>
        </w:rPr>
        <w:t xml:space="preserve"> </w:t>
      </w:r>
      <w:r w:rsidRPr="00E83C5E">
        <w:rPr>
          <w:rFonts w:ascii="Garamond" w:hAnsi="Garamond" w:cs="Times New Roman"/>
          <w:sz w:val="24"/>
          <w:szCs w:val="24"/>
        </w:rPr>
        <w:t>synon ngritjen dhe bërjen funksionale të një sistemi të plotë</w:t>
      </w:r>
      <w:r w:rsidR="00233C37" w:rsidRPr="00E83C5E">
        <w:rPr>
          <w:rFonts w:ascii="Garamond" w:hAnsi="Garamond" w:cs="Times New Roman"/>
          <w:sz w:val="24"/>
          <w:szCs w:val="24"/>
        </w:rPr>
        <w:t xml:space="preserve"> </w:t>
      </w:r>
      <w:r w:rsidRPr="00E83C5E">
        <w:rPr>
          <w:rFonts w:ascii="Garamond" w:hAnsi="Garamond" w:cs="Times New Roman"/>
          <w:sz w:val="24"/>
          <w:szCs w:val="24"/>
        </w:rPr>
        <w:t xml:space="preserve">mbështetës dhe organizativ për rininë në të gjithë vendin duke ju krijuar mundësi të rinjve dhe të rejave të shprehen dhe të kontribuojnë efektivisht në jetën dhe zhvillimin e komuniteteve të tyre. </w:t>
      </w:r>
      <w:r w:rsidRPr="00E83C5E">
        <w:rPr>
          <w:rFonts w:ascii="Garamond" w:hAnsi="Garamond" w:cs="Times New Roman"/>
          <w:bCs/>
          <w:sz w:val="24"/>
          <w:szCs w:val="24"/>
        </w:rPr>
        <w:t>Ky qëllim i politik</w:t>
      </w:r>
      <w:r w:rsidRPr="00E83C5E">
        <w:rPr>
          <w:rFonts w:ascii="Garamond" w:hAnsi="Garamond" w:cs="Times New Roman"/>
          <w:sz w:val="24"/>
          <w:szCs w:val="24"/>
        </w:rPr>
        <w:t>ë</w:t>
      </w:r>
      <w:r w:rsidRPr="00E83C5E">
        <w:rPr>
          <w:rFonts w:ascii="Garamond" w:hAnsi="Garamond" w:cs="Times New Roman"/>
          <w:bCs/>
          <w:sz w:val="24"/>
          <w:szCs w:val="24"/>
        </w:rPr>
        <w:t xml:space="preserve">s lidhet me </w:t>
      </w:r>
      <w:r w:rsidRPr="00E83C5E">
        <w:rPr>
          <w:rFonts w:ascii="Garamond" w:eastAsiaTheme="majorEastAsia" w:hAnsi="Garamond" w:cs="Times New Roman"/>
          <w:color w:val="000000" w:themeColor="text1"/>
          <w:sz w:val="24"/>
          <w:szCs w:val="24"/>
        </w:rPr>
        <w:t xml:space="preserve">OZHQ-të 5, 11, 13 dhe 16, të cilat </w:t>
      </w:r>
      <w:r w:rsidRPr="00E83C5E">
        <w:rPr>
          <w:rStyle w:val="jlqj4b"/>
          <w:rFonts w:ascii="Garamond" w:eastAsiaTheme="majorEastAsia" w:hAnsi="Garamond" w:cs="Times New Roman"/>
          <w:sz w:val="24"/>
          <w:szCs w:val="24"/>
        </w:rPr>
        <w:t xml:space="preserve">promovojnë një shoqëri paqësore dhe gjithëpërfshirëse që garanton zhvillim të qëndrueshëm dhe synon ndërtimin e institucioneve efektive, të përgjegjshme dhe gjithëpërfshirëse në të gjitha nivelet. Duke e vënë theksin te rritja e pjesëmarrjes së të rejave në proceset zgjedhore kjo politikë nxit barazinë gjinore. Nga ana tjetër me ndërgjegjësimin e rinjve për vullnetarizëm synohet të rritet veprimi i të rejave dhe të rinjve për klimën. </w:t>
      </w:r>
    </w:p>
    <w:p w14:paraId="574E2B0F" w14:textId="08864836" w:rsidR="0027606D" w:rsidRPr="00E83C5E" w:rsidRDefault="0027606D" w:rsidP="0027606D">
      <w:pPr>
        <w:spacing w:after="0" w:line="240" w:lineRule="auto"/>
        <w:ind w:firstLine="284"/>
        <w:jc w:val="both"/>
        <w:rPr>
          <w:rStyle w:val="jlqj4b"/>
          <w:rFonts w:ascii="Garamond" w:eastAsiaTheme="majorEastAsia" w:hAnsi="Garamond" w:cs="Times New Roman"/>
          <w:sz w:val="24"/>
          <w:szCs w:val="24"/>
        </w:rPr>
      </w:pPr>
      <w:r w:rsidRPr="00E83C5E">
        <w:rPr>
          <w:rStyle w:val="jlqj4b"/>
          <w:rFonts w:ascii="Garamond" w:eastAsiaTheme="majorEastAsia" w:hAnsi="Garamond" w:cs="Times New Roman"/>
          <w:sz w:val="24"/>
          <w:szCs w:val="24"/>
        </w:rPr>
        <w:t>Kjo politikë ka lidhje edhe me PKIE 2022</w:t>
      </w:r>
      <w:r w:rsidR="0013250B" w:rsidRPr="00E83C5E">
        <w:rPr>
          <w:rStyle w:val="jlqj4b"/>
          <w:rFonts w:ascii="Garamond" w:eastAsiaTheme="majorEastAsia" w:hAnsi="Garamond" w:cs="Times New Roman"/>
          <w:sz w:val="24"/>
          <w:szCs w:val="24"/>
        </w:rPr>
        <w:t>–</w:t>
      </w:r>
      <w:r w:rsidRPr="00E83C5E">
        <w:rPr>
          <w:rStyle w:val="jlqj4b"/>
          <w:rFonts w:ascii="Garamond" w:eastAsiaTheme="majorEastAsia" w:hAnsi="Garamond" w:cs="Times New Roman"/>
          <w:sz w:val="24"/>
          <w:szCs w:val="24"/>
        </w:rPr>
        <w:t>24</w:t>
      </w:r>
      <w:r w:rsidR="0013250B" w:rsidRPr="00E83C5E">
        <w:rPr>
          <w:rStyle w:val="jlqj4b"/>
          <w:rFonts w:ascii="Garamond" w:eastAsiaTheme="majorEastAsia" w:hAnsi="Garamond" w:cs="Times New Roman"/>
          <w:sz w:val="24"/>
          <w:szCs w:val="24"/>
        </w:rPr>
        <w:t>,</w:t>
      </w:r>
      <w:r w:rsidRPr="00E83C5E">
        <w:rPr>
          <w:rStyle w:val="jlqj4b"/>
          <w:rFonts w:ascii="Garamond" w:eastAsiaTheme="majorEastAsia" w:hAnsi="Garamond" w:cs="Times New Roman"/>
          <w:sz w:val="24"/>
          <w:szCs w:val="24"/>
        </w:rPr>
        <w:t xml:space="preserve"> veçanërisht</w:t>
      </w:r>
      <w:r w:rsidR="0013250B" w:rsidRPr="00E83C5E">
        <w:rPr>
          <w:rStyle w:val="jlqj4b"/>
          <w:rFonts w:ascii="Garamond" w:eastAsiaTheme="majorEastAsia" w:hAnsi="Garamond" w:cs="Times New Roman"/>
          <w:sz w:val="24"/>
          <w:szCs w:val="24"/>
        </w:rPr>
        <w:t>,</w:t>
      </w:r>
      <w:r w:rsidRPr="00E83C5E">
        <w:rPr>
          <w:rStyle w:val="jlqj4b"/>
          <w:rFonts w:ascii="Garamond" w:eastAsiaTheme="majorEastAsia" w:hAnsi="Garamond" w:cs="Times New Roman"/>
          <w:sz w:val="24"/>
          <w:szCs w:val="24"/>
        </w:rPr>
        <w:t xml:space="preserve"> në masat që ka parashikuar qeveria për forcimin e </w:t>
      </w:r>
      <w:r w:rsidR="00F00CCB" w:rsidRPr="00E83C5E">
        <w:rPr>
          <w:rStyle w:val="jlqj4b"/>
          <w:rFonts w:ascii="Garamond" w:eastAsiaTheme="majorEastAsia" w:hAnsi="Garamond" w:cs="Times New Roman"/>
          <w:sz w:val="24"/>
          <w:szCs w:val="24"/>
        </w:rPr>
        <w:t>demokracisë</w:t>
      </w:r>
      <w:r w:rsidRPr="00E83C5E">
        <w:rPr>
          <w:rStyle w:val="jlqj4b"/>
          <w:rFonts w:ascii="Garamond" w:eastAsiaTheme="majorEastAsia" w:hAnsi="Garamond" w:cs="Times New Roman"/>
          <w:sz w:val="24"/>
          <w:szCs w:val="24"/>
        </w:rPr>
        <w:t xml:space="preserve"> dhe shtetit të së drejtës që në kuadër të kësaj strategjie përkthehet në forcimin e organizatave rinore, rrjetëzimin e tyre dhe lehtësimin e kushteve për të krijuar organizata rinore. </w:t>
      </w:r>
    </w:p>
    <w:p w14:paraId="574E2B10" w14:textId="127986DD" w:rsidR="0027606D" w:rsidRPr="00E83C5E" w:rsidRDefault="0027606D" w:rsidP="0027606D">
      <w:pPr>
        <w:spacing w:after="0" w:line="240" w:lineRule="auto"/>
        <w:ind w:firstLine="284"/>
        <w:jc w:val="both"/>
        <w:rPr>
          <w:rStyle w:val="jlqj4b"/>
          <w:rFonts w:ascii="Garamond" w:eastAsiaTheme="majorEastAsia" w:hAnsi="Garamond" w:cs="Times New Roman"/>
          <w:sz w:val="24"/>
          <w:szCs w:val="24"/>
        </w:rPr>
      </w:pPr>
      <w:r w:rsidRPr="00E83C5E">
        <w:rPr>
          <w:rStyle w:val="jlqj4b"/>
          <w:rFonts w:ascii="Garamond" w:eastAsiaTheme="majorEastAsia" w:hAnsi="Garamond" w:cs="Times New Roman"/>
          <w:sz w:val="24"/>
          <w:szCs w:val="24"/>
        </w:rPr>
        <w:t>Në lidhjet me MSA</w:t>
      </w:r>
      <w:r w:rsidR="00F00CCB" w:rsidRPr="00E83C5E">
        <w:rPr>
          <w:rStyle w:val="jlqj4b"/>
          <w:rFonts w:ascii="Garamond" w:eastAsiaTheme="majorEastAsia" w:hAnsi="Garamond" w:cs="Times New Roman"/>
          <w:sz w:val="24"/>
          <w:szCs w:val="24"/>
        </w:rPr>
        <w:t>-në</w:t>
      </w:r>
      <w:r w:rsidRPr="00E83C5E">
        <w:rPr>
          <w:rStyle w:val="jlqj4b"/>
          <w:rFonts w:ascii="Garamond" w:eastAsiaTheme="majorEastAsia" w:hAnsi="Garamond" w:cs="Times New Roman"/>
          <w:sz w:val="24"/>
          <w:szCs w:val="24"/>
        </w:rPr>
        <w:t xml:space="preserve"> kjo politikë lidhet drejtpërsëdrejti me </w:t>
      </w:r>
      <w:r w:rsidR="0013250B" w:rsidRPr="00E83C5E">
        <w:rPr>
          <w:rStyle w:val="jlqj4b"/>
          <w:rFonts w:ascii="Garamond" w:eastAsiaTheme="majorEastAsia" w:hAnsi="Garamond" w:cs="Times New Roman"/>
          <w:sz w:val="24"/>
          <w:szCs w:val="24"/>
        </w:rPr>
        <w:t>t</w:t>
      </w:r>
      <w:r w:rsidRPr="00E83C5E">
        <w:rPr>
          <w:rStyle w:val="jlqj4b"/>
          <w:rFonts w:ascii="Garamond" w:eastAsiaTheme="majorEastAsia" w:hAnsi="Garamond" w:cs="Times New Roman"/>
          <w:sz w:val="24"/>
          <w:szCs w:val="24"/>
        </w:rPr>
        <w:t xml:space="preserve">itullin VII që trajton çështjet e </w:t>
      </w:r>
      <w:r w:rsidR="00753791" w:rsidRPr="00E83C5E">
        <w:rPr>
          <w:rStyle w:val="jlqj4b"/>
          <w:rFonts w:ascii="Garamond" w:eastAsiaTheme="majorEastAsia" w:hAnsi="Garamond" w:cs="Times New Roman"/>
          <w:sz w:val="24"/>
          <w:szCs w:val="24"/>
        </w:rPr>
        <w:t xml:space="preserve">lirisë, drejtësisë dhe sigurisë, </w:t>
      </w:r>
      <w:r w:rsidRPr="00E83C5E">
        <w:rPr>
          <w:rStyle w:val="jlqj4b"/>
          <w:rFonts w:ascii="Garamond" w:eastAsiaTheme="majorEastAsia" w:hAnsi="Garamond" w:cs="Times New Roman"/>
          <w:sz w:val="24"/>
          <w:szCs w:val="24"/>
        </w:rPr>
        <w:t>si edhe me nenin 78 kur zhvillon masa për fuqizimin e institucioneve rinore, nenin 99 në kuadër të masave për bashkëpunimin mes organizatave rinore për të përmirësuar komunitetet dhe rritur përfshirjen, si edhe nenin 111 në lidhje me masat e forcimit të Agjencisë Kombëtare të Rinisë për të zbatuar politikat rinore</w:t>
      </w:r>
      <w:r w:rsidR="00B01885" w:rsidRPr="00E83C5E">
        <w:rPr>
          <w:rStyle w:val="jlqj4b"/>
          <w:rFonts w:ascii="Garamond" w:eastAsiaTheme="majorEastAsia" w:hAnsi="Garamond" w:cs="Times New Roman"/>
          <w:sz w:val="24"/>
          <w:szCs w:val="24"/>
        </w:rPr>
        <w:t>,</w:t>
      </w:r>
      <w:r w:rsidRPr="00E83C5E">
        <w:rPr>
          <w:rStyle w:val="jlqj4b"/>
          <w:rFonts w:ascii="Garamond" w:eastAsiaTheme="majorEastAsia" w:hAnsi="Garamond" w:cs="Times New Roman"/>
          <w:sz w:val="24"/>
          <w:szCs w:val="24"/>
        </w:rPr>
        <w:t xml:space="preserve"> si edhe në krijimin e një fryme miqësore kundrejt të rejave dhe të rinjve në kontaktet e tyre me administratën. </w:t>
      </w:r>
    </w:p>
    <w:p w14:paraId="574E2B11" w14:textId="19B133CB" w:rsidR="0027606D" w:rsidRPr="00E83C5E" w:rsidRDefault="0027606D" w:rsidP="0027606D">
      <w:pPr>
        <w:spacing w:after="0" w:line="240" w:lineRule="auto"/>
        <w:ind w:firstLine="284"/>
        <w:jc w:val="both"/>
        <w:rPr>
          <w:rStyle w:val="jlqj4b"/>
          <w:rFonts w:ascii="Garamond" w:eastAsiaTheme="majorEastAsia" w:hAnsi="Garamond" w:cs="Times New Roman"/>
          <w:sz w:val="24"/>
          <w:szCs w:val="24"/>
        </w:rPr>
      </w:pPr>
      <w:r w:rsidRPr="00E83C5E">
        <w:rPr>
          <w:rStyle w:val="jlqj4b"/>
          <w:rFonts w:ascii="Garamond" w:eastAsiaTheme="majorEastAsia" w:hAnsi="Garamond" w:cs="Times New Roman"/>
          <w:sz w:val="24"/>
          <w:szCs w:val="24"/>
        </w:rPr>
        <w:lastRenderedPageBreak/>
        <w:t>Objektivat e kësaj strategjie përputhen edhe me SKZHI</w:t>
      </w:r>
      <w:r w:rsidR="00F75DFB">
        <w:rPr>
          <w:rStyle w:val="jlqj4b"/>
          <w:rFonts w:ascii="Garamond" w:eastAsiaTheme="majorEastAsia" w:hAnsi="Garamond" w:cs="Times New Roman"/>
          <w:sz w:val="24"/>
          <w:szCs w:val="24"/>
        </w:rPr>
        <w:t>-në</w:t>
      </w:r>
      <w:r w:rsidRPr="00E83C5E">
        <w:rPr>
          <w:rStyle w:val="jlqj4b"/>
          <w:rFonts w:ascii="Garamond" w:eastAsiaTheme="majorEastAsia" w:hAnsi="Garamond" w:cs="Times New Roman"/>
          <w:sz w:val="24"/>
          <w:szCs w:val="24"/>
        </w:rPr>
        <w:t xml:space="preserve"> në arritjet e objektivit strategjik të paraqitur në këtë dokument në lidhje me rininë që synon nxitjen dhe thellimin e pjesëmarrjes së të rinjve në shoqëri e </w:t>
      </w:r>
      <w:r w:rsidR="00053B5D" w:rsidRPr="00E83C5E">
        <w:rPr>
          <w:rStyle w:val="jlqj4b"/>
          <w:rFonts w:ascii="Garamond" w:eastAsiaTheme="majorEastAsia" w:hAnsi="Garamond" w:cs="Times New Roman"/>
          <w:sz w:val="24"/>
          <w:szCs w:val="24"/>
        </w:rPr>
        <w:t>vendim</w:t>
      </w:r>
      <w:r w:rsidRPr="00E83C5E">
        <w:rPr>
          <w:rStyle w:val="jlqj4b"/>
          <w:rFonts w:ascii="Garamond" w:eastAsiaTheme="majorEastAsia" w:hAnsi="Garamond" w:cs="Times New Roman"/>
          <w:sz w:val="24"/>
          <w:szCs w:val="24"/>
        </w:rPr>
        <w:t xml:space="preserve">marrje. </w:t>
      </w:r>
    </w:p>
    <w:p w14:paraId="574E2B13" w14:textId="7273B5B5" w:rsidR="0027606D" w:rsidRPr="00E83C5E" w:rsidRDefault="0027606D" w:rsidP="00F00CCB">
      <w:pPr>
        <w:spacing w:after="0" w:line="240" w:lineRule="auto"/>
        <w:ind w:firstLine="284"/>
        <w:jc w:val="both"/>
        <w:rPr>
          <w:rFonts w:ascii="Garamond" w:hAnsi="Garamond"/>
          <w:sz w:val="24"/>
          <w:szCs w:val="24"/>
        </w:rPr>
      </w:pPr>
      <w:r w:rsidRPr="00E83C5E">
        <w:rPr>
          <w:rFonts w:ascii="Garamond" w:hAnsi="Garamond" w:cs="Times New Roman"/>
          <w:sz w:val="24"/>
          <w:szCs w:val="24"/>
          <w:lang w:eastAsia="en-GB"/>
        </w:rPr>
        <w:t xml:space="preserve">Treguesit e rezultateve për </w:t>
      </w:r>
      <w:r w:rsidR="00B01885" w:rsidRPr="00E83C5E">
        <w:rPr>
          <w:rFonts w:ascii="Garamond" w:hAnsi="Garamond" w:cs="Times New Roman"/>
          <w:sz w:val="24"/>
          <w:szCs w:val="24"/>
          <w:lang w:eastAsia="en-GB"/>
        </w:rPr>
        <w:t xml:space="preserve">qëllimin e politikës </w:t>
      </w:r>
      <w:r w:rsidRPr="00E83C5E">
        <w:rPr>
          <w:rFonts w:ascii="Garamond" w:hAnsi="Garamond" w:cs="Times New Roman"/>
          <w:sz w:val="24"/>
          <w:szCs w:val="24"/>
          <w:lang w:eastAsia="en-GB"/>
        </w:rPr>
        <w:t>1 jan</w:t>
      </w:r>
      <w:r w:rsidRPr="00E83C5E">
        <w:rPr>
          <w:rFonts w:ascii="Garamond" w:hAnsi="Garamond" w:cs="Times New Roman"/>
          <w:bCs/>
          <w:sz w:val="24"/>
          <w:szCs w:val="24"/>
        </w:rPr>
        <w:t>ë përcaktuar në tabelën e mëposhtme</w:t>
      </w:r>
      <w:r w:rsidRPr="00E83C5E">
        <w:rPr>
          <w:rFonts w:ascii="Garamond" w:hAnsi="Garamond" w:cs="Times New Roman"/>
          <w:sz w:val="24"/>
          <w:szCs w:val="24"/>
          <w:lang w:eastAsia="en-GB"/>
        </w:rPr>
        <w:t>:</w:t>
      </w:r>
    </w:p>
    <w:p w14:paraId="574E2B14" w14:textId="484F09DD" w:rsidR="0027606D" w:rsidRPr="00E83C5E" w:rsidRDefault="0027606D" w:rsidP="0027606D">
      <w:pPr>
        <w:pStyle w:val="Caption"/>
        <w:keepNext/>
        <w:spacing w:after="0"/>
        <w:ind w:firstLine="284"/>
        <w:rPr>
          <w:rFonts w:ascii="Garamond" w:hAnsi="Garamond"/>
          <w:color w:val="000000" w:themeColor="text1"/>
          <w:sz w:val="24"/>
          <w:szCs w:val="24"/>
        </w:rPr>
      </w:pPr>
      <w:r w:rsidRPr="00E83C5E">
        <w:rPr>
          <w:rFonts w:ascii="Garamond" w:hAnsi="Garamond"/>
          <w:color w:val="000000" w:themeColor="text1"/>
          <w:sz w:val="24"/>
          <w:szCs w:val="24"/>
        </w:rPr>
        <w:t xml:space="preserve">Tabela </w:t>
      </w:r>
      <w:r w:rsidRPr="00E83C5E">
        <w:rPr>
          <w:rFonts w:ascii="Garamond" w:hAnsi="Garamond"/>
          <w:color w:val="000000" w:themeColor="text1"/>
          <w:sz w:val="24"/>
          <w:szCs w:val="24"/>
        </w:rPr>
        <w:fldChar w:fldCharType="begin"/>
      </w:r>
      <w:r w:rsidRPr="00E83C5E">
        <w:rPr>
          <w:rFonts w:ascii="Garamond" w:hAnsi="Garamond"/>
          <w:color w:val="000000" w:themeColor="text1"/>
          <w:sz w:val="24"/>
          <w:szCs w:val="24"/>
        </w:rPr>
        <w:instrText xml:space="preserve"> SEQ Tabela \* ARABIC </w:instrText>
      </w:r>
      <w:r w:rsidRPr="00E83C5E">
        <w:rPr>
          <w:rFonts w:ascii="Garamond" w:hAnsi="Garamond"/>
          <w:color w:val="000000" w:themeColor="text1"/>
          <w:sz w:val="24"/>
          <w:szCs w:val="24"/>
        </w:rPr>
        <w:fldChar w:fldCharType="separate"/>
      </w:r>
      <w:r w:rsidRPr="00E83C5E">
        <w:rPr>
          <w:rFonts w:ascii="Garamond" w:hAnsi="Garamond"/>
          <w:color w:val="000000" w:themeColor="text1"/>
          <w:sz w:val="24"/>
          <w:szCs w:val="24"/>
        </w:rPr>
        <w:t>2</w:t>
      </w:r>
      <w:r w:rsidRPr="00E83C5E">
        <w:rPr>
          <w:rFonts w:ascii="Garamond" w:hAnsi="Garamond"/>
          <w:color w:val="000000" w:themeColor="text1"/>
          <w:sz w:val="24"/>
          <w:szCs w:val="24"/>
        </w:rPr>
        <w:fldChar w:fldCharType="end"/>
      </w:r>
      <w:r w:rsidRPr="00E83C5E">
        <w:rPr>
          <w:rFonts w:ascii="Garamond" w:hAnsi="Garamond"/>
          <w:color w:val="000000" w:themeColor="text1"/>
          <w:sz w:val="24"/>
          <w:szCs w:val="24"/>
        </w:rPr>
        <w:t xml:space="preserve">: Treguesit e rezultateve për </w:t>
      </w:r>
      <w:r w:rsidR="00B01885" w:rsidRPr="00E83C5E">
        <w:rPr>
          <w:rFonts w:ascii="Garamond" w:hAnsi="Garamond"/>
          <w:color w:val="000000" w:themeColor="text1"/>
          <w:sz w:val="24"/>
          <w:szCs w:val="24"/>
        </w:rPr>
        <w:t xml:space="preserve">qëllimin e politikës </w:t>
      </w:r>
      <w:r w:rsidRPr="00E83C5E">
        <w:rPr>
          <w:rFonts w:ascii="Garamond" w:hAnsi="Garamond"/>
          <w:color w:val="000000" w:themeColor="text1"/>
          <w:sz w:val="24"/>
          <w:szCs w:val="24"/>
        </w:rPr>
        <w:t>1</w:t>
      </w:r>
    </w:p>
    <w:tbl>
      <w:tblPr>
        <w:tblStyle w:val="GridTable1Light-Accent11"/>
        <w:tblW w:w="9419" w:type="dxa"/>
        <w:tblLayout w:type="fixed"/>
        <w:tblLook w:val="04A0" w:firstRow="1" w:lastRow="0" w:firstColumn="1" w:lastColumn="0" w:noHBand="0" w:noVBand="1"/>
      </w:tblPr>
      <w:tblGrid>
        <w:gridCol w:w="1165"/>
        <w:gridCol w:w="1890"/>
        <w:gridCol w:w="2700"/>
        <w:gridCol w:w="2357"/>
        <w:gridCol w:w="1307"/>
      </w:tblGrid>
      <w:tr w:rsidR="0027606D" w:rsidRPr="00E83C5E" w14:paraId="574E2B1B" w14:textId="77777777" w:rsidTr="00B01885">
        <w:trPr>
          <w:cnfStyle w:val="100000000000" w:firstRow="1" w:lastRow="0" w:firstColumn="0" w:lastColumn="0" w:oddVBand="0" w:evenVBand="0" w:oddHBand="0"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165" w:type="dxa"/>
          </w:tcPr>
          <w:p w14:paraId="574E2B15" w14:textId="77777777" w:rsidR="0027606D" w:rsidRPr="00E83C5E" w:rsidRDefault="0027606D" w:rsidP="0027606D">
            <w:pPr>
              <w:jc w:val="center"/>
              <w:rPr>
                <w:rFonts w:ascii="Garamond" w:hAnsi="Garamond" w:cs="Times New Roman"/>
                <w:b w:val="0"/>
                <w:color w:val="000000" w:themeColor="text1"/>
                <w:sz w:val="20"/>
                <w:szCs w:val="20"/>
                <w:lang w:eastAsia="en-GB"/>
              </w:rPr>
            </w:pPr>
            <w:r w:rsidRPr="00E83C5E">
              <w:rPr>
                <w:rFonts w:ascii="Garamond" w:hAnsi="Garamond" w:cs="Times New Roman"/>
                <w:color w:val="000000" w:themeColor="text1"/>
                <w:sz w:val="20"/>
                <w:szCs w:val="20"/>
                <w:lang w:eastAsia="en-GB"/>
              </w:rPr>
              <w:t>Lloji i treguesit</w:t>
            </w:r>
          </w:p>
        </w:tc>
        <w:tc>
          <w:tcPr>
            <w:tcW w:w="1890" w:type="dxa"/>
          </w:tcPr>
          <w:p w14:paraId="574E2B16" w14:textId="3FC40FEC" w:rsidR="0027606D" w:rsidRPr="00E83C5E" w:rsidRDefault="0027606D" w:rsidP="00DA0E84">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color w:val="000000" w:themeColor="text1"/>
                <w:sz w:val="20"/>
                <w:szCs w:val="20"/>
                <w:lang w:eastAsia="en-GB"/>
              </w:rPr>
            </w:pPr>
            <w:r w:rsidRPr="00E83C5E">
              <w:rPr>
                <w:rFonts w:ascii="Garamond" w:hAnsi="Garamond" w:cs="Times New Roman"/>
                <w:color w:val="000000" w:themeColor="text1"/>
                <w:sz w:val="20"/>
                <w:szCs w:val="20"/>
              </w:rPr>
              <w:t xml:space="preserve">Emërtimi i </w:t>
            </w:r>
            <w:r w:rsidR="00B01885" w:rsidRPr="00E83C5E">
              <w:rPr>
                <w:rFonts w:ascii="Garamond" w:hAnsi="Garamond" w:cs="Times New Roman"/>
                <w:color w:val="000000" w:themeColor="text1"/>
                <w:sz w:val="20"/>
                <w:szCs w:val="20"/>
              </w:rPr>
              <w:t xml:space="preserve">treguesit </w:t>
            </w:r>
            <w:r w:rsidRPr="00E83C5E">
              <w:rPr>
                <w:rFonts w:ascii="Garamond" w:hAnsi="Garamond" w:cs="Times New Roman"/>
                <w:color w:val="000000" w:themeColor="text1"/>
                <w:sz w:val="20"/>
                <w:szCs w:val="20"/>
              </w:rPr>
              <w:t xml:space="preserve">të </w:t>
            </w:r>
            <w:r w:rsidR="00B01885" w:rsidRPr="00E83C5E">
              <w:rPr>
                <w:rFonts w:ascii="Garamond" w:hAnsi="Garamond" w:cs="Times New Roman"/>
                <w:color w:val="000000" w:themeColor="text1"/>
                <w:sz w:val="20"/>
                <w:szCs w:val="20"/>
              </w:rPr>
              <w:t>p</w:t>
            </w:r>
            <w:r w:rsidR="00DA0E84" w:rsidRPr="00E83C5E">
              <w:rPr>
                <w:rFonts w:ascii="Garamond" w:hAnsi="Garamond" w:cs="Times New Roman"/>
                <w:color w:val="000000" w:themeColor="text1"/>
                <w:sz w:val="20"/>
                <w:szCs w:val="20"/>
              </w:rPr>
              <w:t>e</w:t>
            </w:r>
            <w:r w:rsidR="00B01885" w:rsidRPr="00E83C5E">
              <w:rPr>
                <w:rFonts w:ascii="Garamond" w:hAnsi="Garamond" w:cs="Times New Roman"/>
                <w:color w:val="000000" w:themeColor="text1"/>
                <w:sz w:val="20"/>
                <w:szCs w:val="20"/>
              </w:rPr>
              <w:t>rformancës</w:t>
            </w:r>
          </w:p>
        </w:tc>
        <w:tc>
          <w:tcPr>
            <w:tcW w:w="2700" w:type="dxa"/>
          </w:tcPr>
          <w:p w14:paraId="574E2B17" w14:textId="4EC0D81A" w:rsidR="0027606D" w:rsidRPr="00E83C5E" w:rsidRDefault="0027606D" w:rsidP="0027606D">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sz w:val="20"/>
                <w:szCs w:val="20"/>
                <w:lang w:eastAsia="en-GB"/>
              </w:rPr>
            </w:pPr>
            <w:r w:rsidRPr="00E83C5E">
              <w:rPr>
                <w:rFonts w:ascii="Garamond" w:hAnsi="Garamond" w:cs="Times New Roman"/>
                <w:sz w:val="20"/>
                <w:szCs w:val="20"/>
                <w:lang w:eastAsia="en-GB"/>
              </w:rPr>
              <w:t xml:space="preserve">Lidhja me </w:t>
            </w:r>
            <w:r w:rsidR="00B01885" w:rsidRPr="00E83C5E">
              <w:rPr>
                <w:rFonts w:ascii="Garamond" w:hAnsi="Garamond" w:cs="Times New Roman"/>
                <w:sz w:val="20"/>
                <w:szCs w:val="20"/>
                <w:lang w:eastAsia="en-GB"/>
              </w:rPr>
              <w:t xml:space="preserve">qëllimin </w:t>
            </w:r>
            <w:r w:rsidRPr="00E83C5E">
              <w:rPr>
                <w:rFonts w:ascii="Garamond" w:hAnsi="Garamond" w:cs="Times New Roman"/>
                <w:sz w:val="20"/>
                <w:szCs w:val="20"/>
                <w:lang w:eastAsia="en-GB"/>
              </w:rPr>
              <w:t xml:space="preserve">e </w:t>
            </w:r>
            <w:r w:rsidR="00B01885" w:rsidRPr="00E83C5E">
              <w:rPr>
                <w:rFonts w:ascii="Garamond" w:hAnsi="Garamond" w:cs="Times New Roman"/>
                <w:sz w:val="20"/>
                <w:szCs w:val="20"/>
                <w:lang w:eastAsia="en-GB"/>
              </w:rPr>
              <w:t>politikës</w:t>
            </w:r>
          </w:p>
        </w:tc>
        <w:tc>
          <w:tcPr>
            <w:tcW w:w="2357" w:type="dxa"/>
          </w:tcPr>
          <w:p w14:paraId="574E2B18" w14:textId="60E35EC0" w:rsidR="0027606D" w:rsidRPr="00E83C5E" w:rsidRDefault="0027606D" w:rsidP="0027606D">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sz w:val="20"/>
                <w:szCs w:val="20"/>
                <w:lang w:eastAsia="en-GB"/>
              </w:rPr>
            </w:pPr>
            <w:r w:rsidRPr="00E83C5E">
              <w:rPr>
                <w:rFonts w:ascii="Garamond" w:hAnsi="Garamond" w:cs="Times New Roman"/>
                <w:sz w:val="20"/>
                <w:szCs w:val="20"/>
                <w:lang w:eastAsia="en-GB"/>
              </w:rPr>
              <w:t xml:space="preserve">Lidhja me </w:t>
            </w:r>
            <w:r w:rsidR="00B01885" w:rsidRPr="00E83C5E">
              <w:rPr>
                <w:rFonts w:ascii="Garamond" w:hAnsi="Garamond" w:cs="Times New Roman"/>
                <w:sz w:val="20"/>
                <w:szCs w:val="20"/>
                <w:lang w:eastAsia="en-GB"/>
              </w:rPr>
              <w:t>objektivin specifik</w:t>
            </w:r>
          </w:p>
        </w:tc>
        <w:tc>
          <w:tcPr>
            <w:tcW w:w="1307" w:type="dxa"/>
          </w:tcPr>
          <w:p w14:paraId="574E2B19" w14:textId="311081A0" w:rsidR="0027606D" w:rsidRPr="00E83C5E" w:rsidRDefault="0027606D" w:rsidP="0027606D">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sz w:val="20"/>
                <w:szCs w:val="20"/>
                <w:lang w:eastAsia="en-GB"/>
              </w:rPr>
            </w:pPr>
            <w:r w:rsidRPr="00E83C5E">
              <w:rPr>
                <w:rFonts w:ascii="Garamond" w:hAnsi="Garamond" w:cs="Times New Roman"/>
                <w:sz w:val="20"/>
                <w:szCs w:val="20"/>
                <w:lang w:eastAsia="en-GB"/>
              </w:rPr>
              <w:t xml:space="preserve">Institucioni </w:t>
            </w:r>
            <w:r w:rsidR="00B01885" w:rsidRPr="00E83C5E">
              <w:rPr>
                <w:rFonts w:ascii="Garamond" w:hAnsi="Garamond" w:cs="Times New Roman"/>
                <w:sz w:val="20"/>
                <w:szCs w:val="20"/>
                <w:lang w:eastAsia="en-GB"/>
              </w:rPr>
              <w:t>përgjegjës</w:t>
            </w:r>
          </w:p>
          <w:p w14:paraId="574E2B1A" w14:textId="77777777" w:rsidR="0027606D" w:rsidRPr="00E83C5E" w:rsidRDefault="0027606D" w:rsidP="0027606D">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sz w:val="20"/>
                <w:szCs w:val="20"/>
                <w:lang w:eastAsia="en-GB"/>
              </w:rPr>
            </w:pPr>
          </w:p>
        </w:tc>
      </w:tr>
      <w:tr w:rsidR="0027606D" w:rsidRPr="00E83C5E" w14:paraId="574E2B22" w14:textId="77777777" w:rsidTr="00BC2136">
        <w:trPr>
          <w:trHeight w:val="620"/>
        </w:trPr>
        <w:tc>
          <w:tcPr>
            <w:cnfStyle w:val="001000000000" w:firstRow="0" w:lastRow="0" w:firstColumn="1" w:lastColumn="0" w:oddVBand="0" w:evenVBand="0" w:oddHBand="0" w:evenHBand="0" w:firstRowFirstColumn="0" w:firstRowLastColumn="0" w:lastRowFirstColumn="0" w:lastRowLastColumn="0"/>
            <w:tcW w:w="1165" w:type="dxa"/>
          </w:tcPr>
          <w:p w14:paraId="574E2B1C" w14:textId="77777777" w:rsidR="0027606D" w:rsidRPr="00E83C5E" w:rsidRDefault="0027606D" w:rsidP="0027606D">
            <w:pPr>
              <w:jc w:val="both"/>
              <w:rPr>
                <w:rFonts w:ascii="Garamond" w:hAnsi="Garamond" w:cs="Times New Roman"/>
                <w:sz w:val="20"/>
                <w:szCs w:val="20"/>
                <w:lang w:eastAsia="en-GB"/>
              </w:rPr>
            </w:pPr>
            <w:r w:rsidRPr="00E83C5E">
              <w:rPr>
                <w:rFonts w:ascii="Garamond" w:hAnsi="Garamond" w:cs="Times New Roman"/>
                <w:sz w:val="20"/>
                <w:szCs w:val="20"/>
                <w:lang w:eastAsia="en-GB"/>
              </w:rPr>
              <w:t>Rezultati</w:t>
            </w:r>
          </w:p>
        </w:tc>
        <w:tc>
          <w:tcPr>
            <w:tcW w:w="1890" w:type="dxa"/>
          </w:tcPr>
          <w:p w14:paraId="574E2B1D" w14:textId="51287F27" w:rsidR="0027606D" w:rsidRPr="00E83C5E" w:rsidRDefault="0027606D" w:rsidP="00DA0E84">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 xml:space="preserve">% e bashkive ku janë ngritur </w:t>
            </w:r>
            <w:r w:rsidR="00DA0E84" w:rsidRPr="00E83C5E">
              <w:rPr>
                <w:rFonts w:ascii="Garamond" w:hAnsi="Garamond" w:cs="Times New Roman"/>
                <w:sz w:val="20"/>
                <w:szCs w:val="20"/>
                <w:lang w:eastAsia="en-GB"/>
              </w:rPr>
              <w:t>qendrat rinore multifunksionale</w:t>
            </w:r>
          </w:p>
        </w:tc>
        <w:tc>
          <w:tcPr>
            <w:tcW w:w="2700" w:type="dxa"/>
          </w:tcPr>
          <w:p w14:paraId="574E2B1E" w14:textId="77777777" w:rsidR="0027606D" w:rsidRPr="00E83C5E" w:rsidRDefault="0027606D" w:rsidP="0027606D">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Fuqizimi organizimit rinor dhe rritja e pjesëmarrjes rinore</w:t>
            </w:r>
          </w:p>
          <w:p w14:paraId="574E2B1F" w14:textId="046B42D0" w:rsidR="0027606D" w:rsidRPr="00E83C5E" w:rsidRDefault="0027606D" w:rsidP="00364633">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Të rejat dhe të rinjtë marrin pjesë aktivisht në shoqëri dhe ndihen të fuqizuar për t’u shprehur me zërin e tyre. Politikat ndërsektoriale rinore janë të koordinuara, të bazuara në analiza, me mekanizma të mirëfinancuar</w:t>
            </w:r>
          </w:p>
        </w:tc>
        <w:tc>
          <w:tcPr>
            <w:tcW w:w="2357" w:type="dxa"/>
          </w:tcPr>
          <w:p w14:paraId="574E2B20" w14:textId="7F453BC4" w:rsidR="0027606D" w:rsidRPr="00E83C5E" w:rsidRDefault="0027606D" w:rsidP="0027606D">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 xml:space="preserve">Të rinjtë janë të </w:t>
            </w:r>
            <w:r w:rsidR="00A83D87">
              <w:rPr>
                <w:rFonts w:ascii="Garamond" w:hAnsi="Garamond" w:cs="Times New Roman"/>
                <w:sz w:val="20"/>
                <w:szCs w:val="20"/>
              </w:rPr>
              <w:t>mirinformuar</w:t>
            </w:r>
            <w:r w:rsidRPr="00E83C5E">
              <w:rPr>
                <w:rFonts w:ascii="Garamond" w:hAnsi="Garamond" w:cs="Times New Roman"/>
                <w:sz w:val="20"/>
                <w:szCs w:val="20"/>
              </w:rPr>
              <w:t xml:space="preserve"> rreth mundësive për të mësuar, fituar përvojë organizative dhe vullnetarizëm, dhe për të marrë pjesë aktivisht në jetën qytetare, sociale dhe politike</w:t>
            </w:r>
          </w:p>
        </w:tc>
        <w:tc>
          <w:tcPr>
            <w:tcW w:w="1307" w:type="dxa"/>
          </w:tcPr>
          <w:p w14:paraId="574E2B21" w14:textId="77777777" w:rsidR="0027606D" w:rsidRPr="00E83C5E" w:rsidRDefault="0027606D" w:rsidP="0027606D">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MSHRF/ AKR</w:t>
            </w:r>
          </w:p>
        </w:tc>
      </w:tr>
      <w:tr w:rsidR="0027606D" w:rsidRPr="00E83C5E" w14:paraId="574E2B29" w14:textId="77777777" w:rsidTr="00BC2136">
        <w:trPr>
          <w:trHeight w:val="503"/>
        </w:trPr>
        <w:tc>
          <w:tcPr>
            <w:cnfStyle w:val="001000000000" w:firstRow="0" w:lastRow="0" w:firstColumn="1" w:lastColumn="0" w:oddVBand="0" w:evenVBand="0" w:oddHBand="0" w:evenHBand="0" w:firstRowFirstColumn="0" w:firstRowLastColumn="0" w:lastRowFirstColumn="0" w:lastRowLastColumn="0"/>
            <w:tcW w:w="1165" w:type="dxa"/>
          </w:tcPr>
          <w:p w14:paraId="574E2B23" w14:textId="77777777" w:rsidR="0027606D" w:rsidRPr="00E83C5E" w:rsidRDefault="0027606D" w:rsidP="0027606D">
            <w:pPr>
              <w:jc w:val="both"/>
              <w:rPr>
                <w:rFonts w:ascii="Garamond" w:hAnsi="Garamond" w:cs="Times New Roman"/>
                <w:sz w:val="20"/>
                <w:szCs w:val="20"/>
                <w:lang w:eastAsia="en-GB"/>
              </w:rPr>
            </w:pPr>
            <w:r w:rsidRPr="00E83C5E">
              <w:rPr>
                <w:rFonts w:ascii="Garamond" w:hAnsi="Garamond" w:cs="Times New Roman"/>
                <w:sz w:val="20"/>
                <w:szCs w:val="20"/>
                <w:lang w:eastAsia="en-GB"/>
              </w:rPr>
              <w:t>Rezultati</w:t>
            </w:r>
          </w:p>
        </w:tc>
        <w:tc>
          <w:tcPr>
            <w:tcW w:w="1890" w:type="dxa"/>
          </w:tcPr>
          <w:p w14:paraId="574E2B24" w14:textId="7B77F980" w:rsidR="0027606D" w:rsidRPr="00E83C5E" w:rsidRDefault="0027606D" w:rsidP="003B428A">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Numri/përqindja i/e bashkive që kanë ngritur kënde digjitale të informimit rinor (info-points)</w:t>
            </w:r>
          </w:p>
        </w:tc>
        <w:tc>
          <w:tcPr>
            <w:tcW w:w="2700" w:type="dxa"/>
          </w:tcPr>
          <w:p w14:paraId="574E2B25" w14:textId="77777777" w:rsidR="0027606D" w:rsidRPr="00E83C5E" w:rsidRDefault="0027606D" w:rsidP="0027606D">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Fuqizimi organizimit rinor dhe rritja e pjesëmarrjes rinore</w:t>
            </w:r>
          </w:p>
          <w:p w14:paraId="574E2B26" w14:textId="21EEE375" w:rsidR="0027606D" w:rsidRPr="00E83C5E" w:rsidRDefault="0027606D" w:rsidP="00364633">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Të rejat dhe të rinjtë marrin pjesë aktivisht në shoqëri dhe ndihen të fuqizuar për t’u shprehur me zërin e tyre. Politikat ndërsektoriale rinore janë të koordinuara, të bazuara në analiza, me mekanizma të mirëfinancuar</w:t>
            </w:r>
          </w:p>
        </w:tc>
        <w:tc>
          <w:tcPr>
            <w:tcW w:w="2357" w:type="dxa"/>
          </w:tcPr>
          <w:p w14:paraId="574E2B27" w14:textId="77777777" w:rsidR="0027606D" w:rsidRPr="00E83C5E" w:rsidRDefault="0027606D" w:rsidP="0027606D">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Politika rinore është e koordinuar, e bazuar në analiza dhe e harmonizuar në sektorë të ndryshëm duke kërkuar kohezionin dhe optimizimin e burimeve dhe duke forcuar si instrument zbatues të këtyre politikave Agjencinë Kombëtare të Rinisë.</w:t>
            </w:r>
          </w:p>
        </w:tc>
        <w:tc>
          <w:tcPr>
            <w:tcW w:w="1307" w:type="dxa"/>
          </w:tcPr>
          <w:p w14:paraId="574E2B28" w14:textId="77777777" w:rsidR="0027606D" w:rsidRPr="00E83C5E" w:rsidRDefault="0027606D" w:rsidP="0027606D">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MSHRF/ AKR/ Bashki</w:t>
            </w:r>
          </w:p>
        </w:tc>
      </w:tr>
      <w:tr w:rsidR="0027606D" w:rsidRPr="00E83C5E" w14:paraId="574E2B30" w14:textId="77777777" w:rsidTr="00BC2136">
        <w:trPr>
          <w:trHeight w:val="530"/>
        </w:trPr>
        <w:tc>
          <w:tcPr>
            <w:cnfStyle w:val="001000000000" w:firstRow="0" w:lastRow="0" w:firstColumn="1" w:lastColumn="0" w:oddVBand="0" w:evenVBand="0" w:oddHBand="0" w:evenHBand="0" w:firstRowFirstColumn="0" w:firstRowLastColumn="0" w:lastRowFirstColumn="0" w:lastRowLastColumn="0"/>
            <w:tcW w:w="1165" w:type="dxa"/>
          </w:tcPr>
          <w:p w14:paraId="574E2B2A" w14:textId="77777777" w:rsidR="0027606D" w:rsidRPr="00E83C5E" w:rsidRDefault="0027606D" w:rsidP="0027606D">
            <w:pPr>
              <w:jc w:val="both"/>
              <w:rPr>
                <w:rFonts w:ascii="Garamond" w:hAnsi="Garamond" w:cs="Times New Roman"/>
                <w:sz w:val="20"/>
                <w:szCs w:val="20"/>
                <w:lang w:eastAsia="en-GB"/>
              </w:rPr>
            </w:pPr>
            <w:r w:rsidRPr="00E83C5E">
              <w:rPr>
                <w:rFonts w:ascii="Garamond" w:hAnsi="Garamond" w:cs="Times New Roman"/>
                <w:sz w:val="20"/>
                <w:szCs w:val="20"/>
                <w:lang w:eastAsia="en-GB"/>
              </w:rPr>
              <w:t>Rezultati</w:t>
            </w:r>
          </w:p>
        </w:tc>
        <w:tc>
          <w:tcPr>
            <w:tcW w:w="1890" w:type="dxa"/>
          </w:tcPr>
          <w:p w14:paraId="574E2B2B" w14:textId="413AAD33" w:rsidR="0027606D" w:rsidRPr="00E83C5E" w:rsidRDefault="0027606D" w:rsidP="00950F24">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 xml:space="preserve">Numri i </w:t>
            </w:r>
            <w:r w:rsidR="00950F24" w:rsidRPr="00E83C5E">
              <w:rPr>
                <w:rFonts w:ascii="Garamond" w:hAnsi="Garamond" w:cs="Times New Roman"/>
                <w:sz w:val="20"/>
                <w:szCs w:val="20"/>
                <w:lang w:eastAsia="en-GB"/>
              </w:rPr>
              <w:t>këshillave vendorë</w:t>
            </w:r>
            <w:r w:rsidRPr="00E83C5E">
              <w:rPr>
                <w:rFonts w:ascii="Garamond" w:hAnsi="Garamond" w:cs="Times New Roman"/>
                <w:sz w:val="20"/>
                <w:szCs w:val="20"/>
                <w:lang w:eastAsia="en-GB"/>
              </w:rPr>
              <w:t xml:space="preserve"> të ngritur dhe funksionale</w:t>
            </w:r>
            <w:r w:rsidR="002346C5" w:rsidRPr="00E83C5E">
              <w:rPr>
                <w:rFonts w:ascii="Garamond" w:hAnsi="Garamond" w:cs="Times New Roman"/>
                <w:sz w:val="20"/>
                <w:szCs w:val="20"/>
                <w:lang w:eastAsia="en-GB"/>
              </w:rPr>
              <w:t xml:space="preserve"> (</w:t>
            </w:r>
            <w:r w:rsidRPr="00E83C5E">
              <w:rPr>
                <w:rFonts w:ascii="Garamond" w:hAnsi="Garamond" w:cs="Times New Roman"/>
                <w:sz w:val="20"/>
                <w:szCs w:val="20"/>
                <w:lang w:eastAsia="en-GB"/>
              </w:rPr>
              <w:t>në nivel bashkie)</w:t>
            </w:r>
          </w:p>
        </w:tc>
        <w:tc>
          <w:tcPr>
            <w:tcW w:w="2700" w:type="dxa"/>
          </w:tcPr>
          <w:p w14:paraId="574E2B2C" w14:textId="77777777" w:rsidR="0027606D" w:rsidRPr="00E83C5E" w:rsidRDefault="0027606D" w:rsidP="0027606D">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Fuqizimi organizimit rinor dhe rritja e pjesëmarrjes rinore</w:t>
            </w:r>
          </w:p>
          <w:p w14:paraId="574E2B2D" w14:textId="6498B454" w:rsidR="0027606D" w:rsidRPr="00E83C5E" w:rsidRDefault="0027606D" w:rsidP="00364633">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Të rejat dhe të rinjtë marrin pjesë aktivisht në shoqëri dhe ndihen të fuqizuar për t’u shprehur me zërin e tyre. Politikat ndërsektoriale rinore janë të koordinuara, të bazuara në analiza, me mekanizma të mirëfinancuar</w:t>
            </w:r>
          </w:p>
        </w:tc>
        <w:tc>
          <w:tcPr>
            <w:tcW w:w="2357" w:type="dxa"/>
          </w:tcPr>
          <w:p w14:paraId="574E2B2E" w14:textId="08B0F6C3" w:rsidR="0027606D" w:rsidRPr="00E83C5E" w:rsidRDefault="0027606D" w:rsidP="003B428A">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Të rinjtë janë të mirinformuar rreth mundësive për të mësuar, fituar përvojë organizative dhe vullnetarizëm, dhe për të marrë pjesë aktivisht në jetën qytetare, sociale dhe politike</w:t>
            </w:r>
          </w:p>
        </w:tc>
        <w:tc>
          <w:tcPr>
            <w:tcW w:w="1307" w:type="dxa"/>
          </w:tcPr>
          <w:p w14:paraId="574E2B2F" w14:textId="77777777" w:rsidR="0027606D" w:rsidRPr="00E83C5E" w:rsidRDefault="0027606D" w:rsidP="0027606D">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MSHRF/ AKR/ Bashki</w:t>
            </w:r>
          </w:p>
        </w:tc>
      </w:tr>
      <w:tr w:rsidR="0027606D" w:rsidRPr="00E83C5E" w14:paraId="574E2B37" w14:textId="77777777" w:rsidTr="003B428A">
        <w:trPr>
          <w:trHeight w:val="50"/>
        </w:trPr>
        <w:tc>
          <w:tcPr>
            <w:cnfStyle w:val="001000000000" w:firstRow="0" w:lastRow="0" w:firstColumn="1" w:lastColumn="0" w:oddVBand="0" w:evenVBand="0" w:oddHBand="0" w:evenHBand="0" w:firstRowFirstColumn="0" w:firstRowLastColumn="0" w:lastRowFirstColumn="0" w:lastRowLastColumn="0"/>
            <w:tcW w:w="1165" w:type="dxa"/>
          </w:tcPr>
          <w:p w14:paraId="574E2B31" w14:textId="77777777" w:rsidR="0027606D" w:rsidRPr="00E83C5E" w:rsidRDefault="0027606D" w:rsidP="0027606D">
            <w:pPr>
              <w:jc w:val="both"/>
              <w:rPr>
                <w:rFonts w:ascii="Garamond" w:hAnsi="Garamond" w:cs="Times New Roman"/>
                <w:sz w:val="20"/>
                <w:szCs w:val="20"/>
                <w:lang w:eastAsia="en-GB"/>
              </w:rPr>
            </w:pPr>
            <w:r w:rsidRPr="00E83C5E">
              <w:rPr>
                <w:rFonts w:ascii="Garamond" w:hAnsi="Garamond" w:cs="Times New Roman"/>
                <w:sz w:val="20"/>
                <w:szCs w:val="20"/>
                <w:lang w:eastAsia="en-GB"/>
              </w:rPr>
              <w:t>Rezultati</w:t>
            </w:r>
          </w:p>
        </w:tc>
        <w:tc>
          <w:tcPr>
            <w:tcW w:w="1890" w:type="dxa"/>
          </w:tcPr>
          <w:p w14:paraId="574E2B32" w14:textId="334A09DA" w:rsidR="0027606D" w:rsidRPr="00E83C5E" w:rsidRDefault="0027606D" w:rsidP="003B428A">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 xml:space="preserve">Ligji </w:t>
            </w:r>
            <w:r w:rsidR="00D540B0" w:rsidRPr="00E83C5E">
              <w:rPr>
                <w:rFonts w:ascii="Garamond" w:hAnsi="Garamond" w:cs="Times New Roman"/>
                <w:sz w:val="20"/>
                <w:szCs w:val="20"/>
                <w:lang w:eastAsia="en-GB"/>
              </w:rPr>
              <w:t>“</w:t>
            </w:r>
            <w:r w:rsidRPr="00E83C5E">
              <w:rPr>
                <w:rFonts w:ascii="Garamond" w:hAnsi="Garamond" w:cs="Times New Roman"/>
                <w:sz w:val="20"/>
                <w:szCs w:val="20"/>
                <w:lang w:eastAsia="en-GB"/>
              </w:rPr>
              <w:t xml:space="preserve">Për </w:t>
            </w:r>
            <w:r w:rsidR="003B428A" w:rsidRPr="00E83C5E">
              <w:rPr>
                <w:rFonts w:ascii="Garamond" w:hAnsi="Garamond" w:cs="Times New Roman"/>
                <w:sz w:val="20"/>
                <w:szCs w:val="20"/>
                <w:lang w:eastAsia="en-GB"/>
              </w:rPr>
              <w:t>r</w:t>
            </w:r>
            <w:r w:rsidRPr="00E83C5E">
              <w:rPr>
                <w:rFonts w:ascii="Garamond" w:hAnsi="Garamond" w:cs="Times New Roman"/>
                <w:sz w:val="20"/>
                <w:szCs w:val="20"/>
                <w:lang w:eastAsia="en-GB"/>
              </w:rPr>
              <w:t>ininë</w:t>
            </w:r>
            <w:r w:rsidR="00D540B0" w:rsidRPr="00E83C5E">
              <w:rPr>
                <w:rFonts w:ascii="Garamond" w:hAnsi="Garamond" w:cs="Times New Roman"/>
                <w:sz w:val="20"/>
                <w:szCs w:val="20"/>
                <w:lang w:eastAsia="en-GB"/>
              </w:rPr>
              <w:t>”</w:t>
            </w:r>
            <w:r w:rsidRPr="00E83C5E">
              <w:rPr>
                <w:rFonts w:ascii="Garamond" w:hAnsi="Garamond" w:cs="Times New Roman"/>
                <w:sz w:val="20"/>
                <w:szCs w:val="20"/>
                <w:lang w:eastAsia="en-GB"/>
              </w:rPr>
              <w:t xml:space="preserve"> i rishikuar dhe miratuar</w:t>
            </w:r>
          </w:p>
        </w:tc>
        <w:tc>
          <w:tcPr>
            <w:tcW w:w="2700" w:type="dxa"/>
          </w:tcPr>
          <w:p w14:paraId="574E2B33" w14:textId="77777777" w:rsidR="0027606D" w:rsidRPr="00E83C5E" w:rsidRDefault="0027606D" w:rsidP="0027606D">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Fuqizimi organizimit rinor dhe rritja e pjesëmarrjes rinore</w:t>
            </w:r>
          </w:p>
          <w:p w14:paraId="574E2B34" w14:textId="514AD687" w:rsidR="0027606D" w:rsidRPr="00E83C5E" w:rsidRDefault="0027606D" w:rsidP="00364633">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Të rejat dhe të rinjtë marrin pjesë aktivisht në shoqëri dhe ndihen të fuqizuar për t’u shprehur me zërin e tyre. Politikat ndërsektoriale rinore janë të koordinuara, të bazuara në analiza, me mekanizma të mirëfinancuar</w:t>
            </w:r>
          </w:p>
        </w:tc>
        <w:tc>
          <w:tcPr>
            <w:tcW w:w="2357" w:type="dxa"/>
          </w:tcPr>
          <w:p w14:paraId="574E2B35" w14:textId="50F5AF6E" w:rsidR="0027606D" w:rsidRPr="00E83C5E" w:rsidRDefault="0027606D" w:rsidP="0027606D">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 xml:space="preserve">Të rinjtë janë të </w:t>
            </w:r>
            <w:r w:rsidR="00A83D87">
              <w:rPr>
                <w:rFonts w:ascii="Garamond" w:hAnsi="Garamond" w:cs="Times New Roman"/>
                <w:sz w:val="20"/>
                <w:szCs w:val="20"/>
                <w:lang w:eastAsia="en-GB"/>
              </w:rPr>
              <w:t>mirinformuar</w:t>
            </w:r>
            <w:r w:rsidRPr="00E83C5E">
              <w:rPr>
                <w:rFonts w:ascii="Garamond" w:hAnsi="Garamond" w:cs="Times New Roman"/>
                <w:sz w:val="20"/>
                <w:szCs w:val="20"/>
                <w:lang w:eastAsia="en-GB"/>
              </w:rPr>
              <w:t xml:space="preserve"> rreth mundësive për të mësuar, fituar përvojë organizative dhe vullnetarizëm, dhe për të marrë pjesë aktivisht në jetën qytetare, sociale dhe politike</w:t>
            </w:r>
          </w:p>
        </w:tc>
        <w:tc>
          <w:tcPr>
            <w:tcW w:w="1307" w:type="dxa"/>
          </w:tcPr>
          <w:p w14:paraId="574E2B36" w14:textId="77777777" w:rsidR="0027606D" w:rsidRPr="00E83C5E" w:rsidRDefault="0027606D" w:rsidP="0027606D">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MSHRF</w:t>
            </w:r>
          </w:p>
        </w:tc>
      </w:tr>
      <w:tr w:rsidR="0027606D" w:rsidRPr="00E83C5E" w14:paraId="574E2B3E" w14:textId="77777777" w:rsidTr="00BC2136">
        <w:trPr>
          <w:trHeight w:val="530"/>
        </w:trPr>
        <w:tc>
          <w:tcPr>
            <w:cnfStyle w:val="001000000000" w:firstRow="0" w:lastRow="0" w:firstColumn="1" w:lastColumn="0" w:oddVBand="0" w:evenVBand="0" w:oddHBand="0" w:evenHBand="0" w:firstRowFirstColumn="0" w:firstRowLastColumn="0" w:lastRowFirstColumn="0" w:lastRowLastColumn="0"/>
            <w:tcW w:w="1165" w:type="dxa"/>
          </w:tcPr>
          <w:p w14:paraId="574E2B38" w14:textId="77777777" w:rsidR="0027606D" w:rsidRPr="00E83C5E" w:rsidRDefault="0027606D" w:rsidP="0027606D">
            <w:pPr>
              <w:jc w:val="both"/>
              <w:rPr>
                <w:rFonts w:ascii="Garamond" w:hAnsi="Garamond" w:cs="Times New Roman"/>
                <w:sz w:val="20"/>
                <w:szCs w:val="20"/>
                <w:lang w:eastAsia="en-GB"/>
              </w:rPr>
            </w:pPr>
            <w:r w:rsidRPr="00E83C5E">
              <w:rPr>
                <w:rFonts w:ascii="Garamond" w:hAnsi="Garamond" w:cs="Times New Roman"/>
                <w:sz w:val="20"/>
                <w:szCs w:val="20"/>
                <w:lang w:eastAsia="en-GB"/>
              </w:rPr>
              <w:t>Rezultati</w:t>
            </w:r>
          </w:p>
        </w:tc>
        <w:tc>
          <w:tcPr>
            <w:tcW w:w="1890" w:type="dxa"/>
          </w:tcPr>
          <w:p w14:paraId="574E2B39" w14:textId="3228B69C" w:rsidR="0027606D" w:rsidRPr="00E83C5E" w:rsidRDefault="0027606D" w:rsidP="0027606D">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 xml:space="preserve">Ligji </w:t>
            </w:r>
            <w:r w:rsidR="00D540B0" w:rsidRPr="00E83C5E">
              <w:rPr>
                <w:rFonts w:ascii="Garamond" w:hAnsi="Garamond" w:cs="Times New Roman"/>
                <w:sz w:val="20"/>
                <w:szCs w:val="20"/>
                <w:lang w:eastAsia="en-GB"/>
              </w:rPr>
              <w:t>“</w:t>
            </w:r>
            <w:r w:rsidRPr="00E83C5E">
              <w:rPr>
                <w:rFonts w:ascii="Garamond" w:hAnsi="Garamond" w:cs="Times New Roman"/>
                <w:sz w:val="20"/>
                <w:szCs w:val="20"/>
                <w:lang w:eastAsia="en-GB"/>
              </w:rPr>
              <w:t>Për Vullnetarizmin</w:t>
            </w:r>
            <w:r w:rsidR="00D540B0" w:rsidRPr="00E83C5E">
              <w:rPr>
                <w:rFonts w:ascii="Garamond" w:hAnsi="Garamond" w:cs="Times New Roman"/>
                <w:sz w:val="20"/>
                <w:szCs w:val="20"/>
                <w:lang w:eastAsia="en-GB"/>
              </w:rPr>
              <w:t>”</w:t>
            </w:r>
            <w:r w:rsidRPr="00E83C5E">
              <w:rPr>
                <w:rFonts w:ascii="Garamond" w:hAnsi="Garamond" w:cs="Times New Roman"/>
                <w:sz w:val="20"/>
                <w:szCs w:val="20"/>
                <w:lang w:eastAsia="en-GB"/>
              </w:rPr>
              <w:t xml:space="preserve"> i rishikuar dhe miratuar</w:t>
            </w:r>
          </w:p>
        </w:tc>
        <w:tc>
          <w:tcPr>
            <w:tcW w:w="2700" w:type="dxa"/>
          </w:tcPr>
          <w:p w14:paraId="574E2B3A" w14:textId="77777777" w:rsidR="0027606D" w:rsidRPr="00E83C5E" w:rsidRDefault="0027606D" w:rsidP="0027606D">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Fuqizimi organizimit rinor dhe rritja e pjesëmarrjes rinore</w:t>
            </w:r>
          </w:p>
          <w:p w14:paraId="574E2B3B" w14:textId="3F14D4FB" w:rsidR="0027606D" w:rsidRPr="00E83C5E" w:rsidRDefault="0027606D" w:rsidP="00364633">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Të rejat dhe të rinjtë marrin pjesë aktivisht në shoqëri dhe ndihen të fuqizuar për t’u shprehur me zërin e tyre. Politikat ndërsektoriale rinore janë të koordinuara, të bazuara në analiza, me mekanizma të mirëfinancuar</w:t>
            </w:r>
          </w:p>
        </w:tc>
        <w:tc>
          <w:tcPr>
            <w:tcW w:w="2357" w:type="dxa"/>
          </w:tcPr>
          <w:p w14:paraId="574E2B3C" w14:textId="5314F772" w:rsidR="0027606D" w:rsidRPr="00E83C5E" w:rsidRDefault="0027606D" w:rsidP="0027606D">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 xml:space="preserve">Të rinjtë janë të </w:t>
            </w:r>
            <w:r w:rsidR="00A83D87">
              <w:rPr>
                <w:rFonts w:ascii="Garamond" w:hAnsi="Garamond" w:cs="Times New Roman"/>
                <w:sz w:val="20"/>
                <w:szCs w:val="20"/>
                <w:lang w:eastAsia="en-GB"/>
              </w:rPr>
              <w:t>mirinformuar</w:t>
            </w:r>
            <w:r w:rsidRPr="00E83C5E">
              <w:rPr>
                <w:rFonts w:ascii="Garamond" w:hAnsi="Garamond" w:cs="Times New Roman"/>
                <w:sz w:val="20"/>
                <w:szCs w:val="20"/>
                <w:lang w:eastAsia="en-GB"/>
              </w:rPr>
              <w:t xml:space="preserve"> rreth mundësive për të mësuar, fituar përvojë organizative dhe vullnetarizëm, dhe për të marrë pjesë aktivisht në jetën qytetare, sociale dhe politike</w:t>
            </w:r>
          </w:p>
        </w:tc>
        <w:tc>
          <w:tcPr>
            <w:tcW w:w="1307" w:type="dxa"/>
          </w:tcPr>
          <w:p w14:paraId="574E2B3D" w14:textId="77777777" w:rsidR="0027606D" w:rsidRPr="00E83C5E" w:rsidRDefault="0027606D" w:rsidP="0027606D">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MSHRF/AKPA/MFE</w:t>
            </w:r>
          </w:p>
        </w:tc>
      </w:tr>
      <w:tr w:rsidR="0027606D" w:rsidRPr="00E83C5E" w14:paraId="574E2B45" w14:textId="77777777" w:rsidTr="00BC2136">
        <w:trPr>
          <w:trHeight w:val="530"/>
        </w:trPr>
        <w:tc>
          <w:tcPr>
            <w:cnfStyle w:val="001000000000" w:firstRow="0" w:lastRow="0" w:firstColumn="1" w:lastColumn="0" w:oddVBand="0" w:evenVBand="0" w:oddHBand="0" w:evenHBand="0" w:firstRowFirstColumn="0" w:firstRowLastColumn="0" w:lastRowFirstColumn="0" w:lastRowLastColumn="0"/>
            <w:tcW w:w="1165" w:type="dxa"/>
          </w:tcPr>
          <w:p w14:paraId="574E2B3F" w14:textId="77777777" w:rsidR="0027606D" w:rsidRPr="00E83C5E" w:rsidRDefault="0027606D" w:rsidP="0027606D">
            <w:pPr>
              <w:jc w:val="both"/>
              <w:rPr>
                <w:rFonts w:ascii="Garamond" w:hAnsi="Garamond" w:cs="Times New Roman"/>
                <w:sz w:val="20"/>
                <w:szCs w:val="20"/>
                <w:lang w:eastAsia="en-GB"/>
              </w:rPr>
            </w:pPr>
            <w:r w:rsidRPr="00E83C5E">
              <w:rPr>
                <w:rFonts w:ascii="Garamond" w:hAnsi="Garamond" w:cs="Times New Roman"/>
                <w:sz w:val="20"/>
                <w:szCs w:val="20"/>
                <w:lang w:eastAsia="en-GB"/>
              </w:rPr>
              <w:lastRenderedPageBreak/>
              <w:t>Rezultati</w:t>
            </w:r>
          </w:p>
        </w:tc>
        <w:tc>
          <w:tcPr>
            <w:tcW w:w="1890" w:type="dxa"/>
          </w:tcPr>
          <w:p w14:paraId="574E2B40" w14:textId="50C17104" w:rsidR="0027606D" w:rsidRPr="00E83C5E" w:rsidRDefault="0027606D" w:rsidP="0027606D">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 xml:space="preserve">Platforma rinore </w:t>
            </w:r>
            <w:r w:rsidR="00D540B0" w:rsidRPr="00E83C5E">
              <w:rPr>
                <w:rFonts w:ascii="Garamond" w:hAnsi="Garamond" w:cs="Times New Roman"/>
                <w:sz w:val="20"/>
                <w:szCs w:val="20"/>
                <w:lang w:eastAsia="en-GB"/>
              </w:rPr>
              <w:t>“</w:t>
            </w:r>
            <w:r w:rsidRPr="00E83C5E">
              <w:rPr>
                <w:rFonts w:ascii="Garamond" w:hAnsi="Garamond" w:cs="Times New Roman"/>
                <w:sz w:val="20"/>
                <w:szCs w:val="20"/>
                <w:lang w:eastAsia="en-GB"/>
              </w:rPr>
              <w:t>Të rinjtë për të rinjtë</w:t>
            </w:r>
            <w:r w:rsidR="00D540B0" w:rsidRPr="00E83C5E">
              <w:rPr>
                <w:rFonts w:ascii="Garamond" w:hAnsi="Garamond" w:cs="Times New Roman"/>
                <w:sz w:val="20"/>
                <w:szCs w:val="20"/>
                <w:lang w:eastAsia="en-GB"/>
              </w:rPr>
              <w:t>”</w:t>
            </w:r>
            <w:r w:rsidRPr="00E83C5E">
              <w:rPr>
                <w:rFonts w:ascii="Garamond" w:hAnsi="Garamond" w:cs="Times New Roman"/>
                <w:sz w:val="20"/>
                <w:szCs w:val="20"/>
                <w:lang w:eastAsia="en-GB"/>
              </w:rPr>
              <w:t xml:space="preserve"> e ngritur, funksionale dhe e përditësuar</w:t>
            </w:r>
          </w:p>
        </w:tc>
        <w:tc>
          <w:tcPr>
            <w:tcW w:w="2700" w:type="dxa"/>
          </w:tcPr>
          <w:p w14:paraId="574E2B41" w14:textId="77777777" w:rsidR="0027606D" w:rsidRPr="00E83C5E" w:rsidRDefault="0027606D" w:rsidP="0027606D">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Fuqizimi organizimit rinor dhe rritja e pjesëmarrjes rinore</w:t>
            </w:r>
          </w:p>
          <w:p w14:paraId="574E2B42" w14:textId="1D3B7628" w:rsidR="0027606D" w:rsidRPr="00E83C5E" w:rsidRDefault="0027606D" w:rsidP="00364633">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Të rejat dhe të rinjtë marrin pjesë aktivisht në shoqëri dhe ndihen të fuqizuar për t’u shprehur me zërin e tyre. Politikat ndërsektoriale rinore janë të koordinuara, të bazuara në analiza, me mekanizma të mirëfinancuar</w:t>
            </w:r>
          </w:p>
        </w:tc>
        <w:tc>
          <w:tcPr>
            <w:tcW w:w="2357" w:type="dxa"/>
          </w:tcPr>
          <w:p w14:paraId="574E2B43" w14:textId="77777777" w:rsidR="0027606D" w:rsidRPr="00E83C5E" w:rsidRDefault="0027606D" w:rsidP="0027606D">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Politika rinore është e koordinuar, e bazuar në analiza dhe e harmonizuar në sektorë të ndryshëm duke kërkuar kohezionin dhe optimizimin e burimeve dhe duke forcuar si instrument zbatues të këtyre politikave Agjencinë Kombëtare të Rinisë.</w:t>
            </w:r>
          </w:p>
        </w:tc>
        <w:tc>
          <w:tcPr>
            <w:tcW w:w="1307" w:type="dxa"/>
          </w:tcPr>
          <w:p w14:paraId="574E2B44" w14:textId="77777777" w:rsidR="0027606D" w:rsidRPr="00E83C5E" w:rsidRDefault="0027606D" w:rsidP="0027606D">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MSHRF/ AKR</w:t>
            </w:r>
          </w:p>
        </w:tc>
      </w:tr>
      <w:tr w:rsidR="0027606D" w:rsidRPr="00E83C5E" w14:paraId="574E2B4D" w14:textId="77777777" w:rsidTr="00BC2136">
        <w:trPr>
          <w:trHeight w:val="530"/>
        </w:trPr>
        <w:tc>
          <w:tcPr>
            <w:cnfStyle w:val="001000000000" w:firstRow="0" w:lastRow="0" w:firstColumn="1" w:lastColumn="0" w:oddVBand="0" w:evenVBand="0" w:oddHBand="0" w:evenHBand="0" w:firstRowFirstColumn="0" w:firstRowLastColumn="0" w:lastRowFirstColumn="0" w:lastRowLastColumn="0"/>
            <w:tcW w:w="1165" w:type="dxa"/>
          </w:tcPr>
          <w:p w14:paraId="574E2B46" w14:textId="77777777" w:rsidR="0027606D" w:rsidRPr="00E83C5E" w:rsidRDefault="0027606D" w:rsidP="0027606D">
            <w:pPr>
              <w:jc w:val="both"/>
              <w:rPr>
                <w:rFonts w:ascii="Garamond" w:hAnsi="Garamond" w:cs="Times New Roman"/>
                <w:sz w:val="20"/>
                <w:szCs w:val="20"/>
                <w:lang w:eastAsia="en-GB"/>
              </w:rPr>
            </w:pPr>
            <w:r w:rsidRPr="00E83C5E">
              <w:rPr>
                <w:rFonts w:ascii="Garamond" w:hAnsi="Garamond" w:cs="Times New Roman"/>
                <w:sz w:val="20"/>
                <w:szCs w:val="20"/>
                <w:lang w:eastAsia="en-GB"/>
              </w:rPr>
              <w:t>Rezultati</w:t>
            </w:r>
          </w:p>
        </w:tc>
        <w:tc>
          <w:tcPr>
            <w:tcW w:w="1890" w:type="dxa"/>
          </w:tcPr>
          <w:p w14:paraId="574E2B47" w14:textId="77777777" w:rsidR="0027606D" w:rsidRPr="00E83C5E" w:rsidRDefault="0027606D" w:rsidP="0027606D">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Politikat zhvillimore rinore të hartuara bazuar në analizë</w:t>
            </w:r>
          </w:p>
        </w:tc>
        <w:tc>
          <w:tcPr>
            <w:tcW w:w="2700" w:type="dxa"/>
          </w:tcPr>
          <w:p w14:paraId="574E2B48" w14:textId="77777777" w:rsidR="0027606D" w:rsidRPr="00E83C5E" w:rsidRDefault="0027606D" w:rsidP="0027606D">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Fuqizimi organizimit rinor dhe rritja e pjesëmarrjes rinore</w:t>
            </w:r>
          </w:p>
          <w:p w14:paraId="574E2B49" w14:textId="0D308F43" w:rsidR="0027606D" w:rsidRPr="00E83C5E" w:rsidRDefault="0027606D" w:rsidP="00364633">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Të rejat dhe të rinjtë marrin pjesë aktivisht në shoqëri dhe ndihen të fuqizuar për t’u shprehur me zërin e tyre. Politikat ndërsektoriale rinore janë të koordinuara, të bazuara në analiza, me mekanizma të mirëfinancuar</w:t>
            </w:r>
          </w:p>
        </w:tc>
        <w:tc>
          <w:tcPr>
            <w:tcW w:w="2357" w:type="dxa"/>
          </w:tcPr>
          <w:p w14:paraId="574E2B4A" w14:textId="77777777" w:rsidR="0027606D" w:rsidRPr="00E83C5E" w:rsidRDefault="0027606D" w:rsidP="0027606D">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 xml:space="preserve"> Studimet rinore dhe të dhënat për rininë nxiten të zhvillohen dhe të bëhen pjesë e programeve të studimit në institucionet e arsimit të lartë dhe referenca për zhvillimet e mëtejshme në fushën e rinisë.</w:t>
            </w:r>
          </w:p>
          <w:p w14:paraId="574E2B4B" w14:textId="77777777" w:rsidR="0027606D" w:rsidRPr="00E83C5E" w:rsidRDefault="0027606D" w:rsidP="0027606D">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p>
        </w:tc>
        <w:tc>
          <w:tcPr>
            <w:tcW w:w="1307" w:type="dxa"/>
          </w:tcPr>
          <w:p w14:paraId="574E2B4C" w14:textId="77777777" w:rsidR="0027606D" w:rsidRPr="00E83C5E" w:rsidRDefault="0027606D" w:rsidP="0027606D">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en-GB"/>
              </w:rPr>
            </w:pPr>
            <w:r w:rsidRPr="00E83C5E">
              <w:rPr>
                <w:rFonts w:ascii="Garamond" w:hAnsi="Garamond" w:cs="Times New Roman"/>
                <w:sz w:val="20"/>
                <w:szCs w:val="20"/>
                <w:lang w:eastAsia="en-GB"/>
              </w:rPr>
              <w:t>MSHRF/ AKR</w:t>
            </w:r>
          </w:p>
        </w:tc>
      </w:tr>
    </w:tbl>
    <w:p w14:paraId="574E2B4F" w14:textId="0B4D6451" w:rsidR="0027606D" w:rsidRPr="00E83C5E" w:rsidRDefault="0027606D" w:rsidP="0027606D">
      <w:pPr>
        <w:spacing w:after="0" w:line="240" w:lineRule="auto"/>
        <w:ind w:firstLine="284"/>
        <w:jc w:val="both"/>
        <w:rPr>
          <w:rFonts w:ascii="Garamond" w:hAnsi="Garamond" w:cs="Times New Roman"/>
          <w:sz w:val="20"/>
          <w:szCs w:val="24"/>
          <w:lang w:eastAsia="en-GB"/>
        </w:rPr>
      </w:pPr>
      <w:r w:rsidRPr="00E83C5E">
        <w:rPr>
          <w:rFonts w:ascii="Garamond" w:hAnsi="Garamond" w:cs="Times New Roman"/>
          <w:sz w:val="20"/>
          <w:szCs w:val="24"/>
          <w:lang w:eastAsia="en-GB"/>
        </w:rPr>
        <w:t xml:space="preserve">*Matrica e </w:t>
      </w:r>
      <w:r w:rsidR="00246061" w:rsidRPr="00E83C5E">
        <w:rPr>
          <w:rFonts w:ascii="Garamond" w:hAnsi="Garamond" w:cs="Times New Roman"/>
          <w:sz w:val="20"/>
          <w:szCs w:val="24"/>
          <w:lang w:eastAsia="en-GB"/>
        </w:rPr>
        <w:t>qëllimit të politikave, objektivat specifik</w:t>
      </w:r>
      <w:r w:rsidR="00246061">
        <w:rPr>
          <w:rFonts w:ascii="Garamond" w:hAnsi="Garamond" w:cs="Times New Roman"/>
          <w:sz w:val="20"/>
          <w:szCs w:val="24"/>
          <w:lang w:eastAsia="en-GB"/>
        </w:rPr>
        <w:t>ë</w:t>
      </w:r>
      <w:r w:rsidR="00246061" w:rsidRPr="00E83C5E">
        <w:rPr>
          <w:rFonts w:ascii="Garamond" w:hAnsi="Garamond" w:cs="Times New Roman"/>
          <w:sz w:val="20"/>
          <w:szCs w:val="24"/>
          <w:lang w:eastAsia="en-GB"/>
        </w:rPr>
        <w:t xml:space="preserve"> dhe indikator</w:t>
      </w:r>
      <w:r w:rsidR="00246061" w:rsidRPr="00E83C5E">
        <w:rPr>
          <w:rFonts w:ascii="Garamond" w:hAnsi="Garamond" w:cs="Times New Roman"/>
          <w:sz w:val="20"/>
          <w:szCs w:val="24"/>
        </w:rPr>
        <w:t>ë</w:t>
      </w:r>
      <w:r w:rsidR="00246061" w:rsidRPr="00E83C5E">
        <w:rPr>
          <w:rFonts w:ascii="Garamond" w:hAnsi="Garamond" w:cs="Times New Roman"/>
          <w:sz w:val="20"/>
          <w:szCs w:val="24"/>
          <w:lang w:eastAsia="en-GB"/>
        </w:rPr>
        <w:t>t jan</w:t>
      </w:r>
      <w:r w:rsidR="00246061" w:rsidRPr="00E83C5E">
        <w:rPr>
          <w:rFonts w:ascii="Garamond" w:hAnsi="Garamond" w:cs="Times New Roman"/>
          <w:sz w:val="20"/>
          <w:szCs w:val="24"/>
        </w:rPr>
        <w:t>ë</w:t>
      </w:r>
      <w:r w:rsidR="00246061" w:rsidRPr="00E83C5E">
        <w:rPr>
          <w:rFonts w:ascii="Garamond" w:hAnsi="Garamond" w:cs="Times New Roman"/>
          <w:sz w:val="20"/>
          <w:szCs w:val="24"/>
          <w:lang w:eastAsia="en-GB"/>
        </w:rPr>
        <w:t xml:space="preserve"> dh</w:t>
      </w:r>
      <w:r w:rsidR="00246061" w:rsidRPr="00E83C5E">
        <w:rPr>
          <w:rFonts w:ascii="Garamond" w:hAnsi="Garamond" w:cs="Times New Roman"/>
          <w:sz w:val="20"/>
          <w:szCs w:val="24"/>
        </w:rPr>
        <w:t>ë</w:t>
      </w:r>
      <w:r w:rsidR="00246061" w:rsidRPr="00E83C5E">
        <w:rPr>
          <w:rFonts w:ascii="Garamond" w:hAnsi="Garamond" w:cs="Times New Roman"/>
          <w:sz w:val="20"/>
          <w:szCs w:val="24"/>
          <w:lang w:eastAsia="en-GB"/>
        </w:rPr>
        <w:t>n</w:t>
      </w:r>
      <w:r w:rsidR="00246061" w:rsidRPr="00E83C5E">
        <w:rPr>
          <w:rFonts w:ascii="Garamond" w:hAnsi="Garamond" w:cs="Times New Roman"/>
          <w:sz w:val="20"/>
          <w:szCs w:val="24"/>
        </w:rPr>
        <w:t>ë</w:t>
      </w:r>
      <w:r w:rsidR="00246061" w:rsidRPr="00E83C5E">
        <w:rPr>
          <w:rFonts w:ascii="Garamond" w:hAnsi="Garamond" w:cs="Times New Roman"/>
          <w:sz w:val="20"/>
          <w:szCs w:val="24"/>
          <w:lang w:eastAsia="en-GB"/>
        </w:rPr>
        <w:t xml:space="preserve"> n</w:t>
      </w:r>
      <w:r w:rsidR="00246061" w:rsidRPr="00E83C5E">
        <w:rPr>
          <w:rFonts w:ascii="Garamond" w:hAnsi="Garamond" w:cs="Times New Roman"/>
          <w:sz w:val="20"/>
          <w:szCs w:val="24"/>
        </w:rPr>
        <w:t>ë</w:t>
      </w:r>
      <w:r w:rsidR="00246061" w:rsidRPr="00E83C5E">
        <w:rPr>
          <w:rFonts w:ascii="Garamond" w:hAnsi="Garamond" w:cs="Times New Roman"/>
          <w:sz w:val="20"/>
          <w:szCs w:val="24"/>
          <w:lang w:eastAsia="en-GB"/>
        </w:rPr>
        <w:t xml:space="preserve"> aneksin 3</w:t>
      </w:r>
      <w:r w:rsidRPr="00E83C5E">
        <w:rPr>
          <w:rFonts w:ascii="Garamond" w:hAnsi="Garamond" w:cs="Times New Roman"/>
          <w:sz w:val="20"/>
          <w:szCs w:val="24"/>
          <w:lang w:eastAsia="en-GB"/>
        </w:rPr>
        <w:t xml:space="preserve"> t</w:t>
      </w:r>
      <w:r w:rsidRPr="00E83C5E">
        <w:rPr>
          <w:rFonts w:ascii="Garamond" w:hAnsi="Garamond" w:cs="Times New Roman"/>
          <w:sz w:val="20"/>
          <w:szCs w:val="24"/>
        </w:rPr>
        <w:t>ë</w:t>
      </w:r>
      <w:r w:rsidRPr="00E83C5E">
        <w:rPr>
          <w:rFonts w:ascii="Garamond" w:hAnsi="Garamond" w:cs="Times New Roman"/>
          <w:sz w:val="20"/>
          <w:szCs w:val="24"/>
          <w:lang w:eastAsia="en-GB"/>
        </w:rPr>
        <w:t xml:space="preserve"> Planit t</w:t>
      </w:r>
      <w:r w:rsidRPr="00E83C5E">
        <w:rPr>
          <w:rFonts w:ascii="Garamond" w:hAnsi="Garamond" w:cs="Times New Roman"/>
          <w:sz w:val="20"/>
          <w:szCs w:val="24"/>
        </w:rPr>
        <w:t>ë</w:t>
      </w:r>
      <w:r w:rsidRPr="00E83C5E">
        <w:rPr>
          <w:rFonts w:ascii="Garamond" w:hAnsi="Garamond" w:cs="Times New Roman"/>
          <w:sz w:val="20"/>
          <w:szCs w:val="24"/>
          <w:lang w:eastAsia="en-GB"/>
        </w:rPr>
        <w:t xml:space="preserve"> Veprimit. </w:t>
      </w:r>
    </w:p>
    <w:p w14:paraId="574E2B50" w14:textId="77777777" w:rsidR="0027606D" w:rsidRPr="00E83C5E" w:rsidRDefault="0027606D" w:rsidP="000D6802">
      <w:pPr>
        <w:pStyle w:val="TEKSTIII"/>
        <w:jc w:val="center"/>
      </w:pPr>
    </w:p>
    <w:p w14:paraId="574E2B51" w14:textId="66CC8AD7" w:rsidR="00AE2512" w:rsidRPr="00E83C5E" w:rsidRDefault="00AE2512" w:rsidP="00AE2512">
      <w:pPr>
        <w:pStyle w:val="TEKSTIII"/>
        <w:rPr>
          <w:b/>
        </w:rPr>
      </w:pPr>
      <w:r w:rsidRPr="00E83C5E">
        <w:rPr>
          <w:b/>
        </w:rPr>
        <w:t xml:space="preserve">Objektivi </w:t>
      </w:r>
      <w:r w:rsidR="003B428A" w:rsidRPr="00E83C5E">
        <w:rPr>
          <w:b/>
        </w:rPr>
        <w:t>s</w:t>
      </w:r>
      <w:r w:rsidRPr="00E83C5E">
        <w:rPr>
          <w:b/>
        </w:rPr>
        <w:t>pecifik 1.1:</w:t>
      </w:r>
    </w:p>
    <w:p w14:paraId="574E2B52" w14:textId="6785F729" w:rsidR="00AE2512" w:rsidRPr="00E83C5E" w:rsidRDefault="00AE2512" w:rsidP="00AE2512">
      <w:pPr>
        <w:pStyle w:val="TEKSTIII"/>
        <w:rPr>
          <w:b/>
        </w:rPr>
      </w:pPr>
      <w:r w:rsidRPr="00E83C5E">
        <w:rPr>
          <w:rFonts w:eastAsia="Arial"/>
          <w:b/>
        </w:rPr>
        <w:t xml:space="preserve">Të rinjtë janë të </w:t>
      </w:r>
      <w:r w:rsidR="00A83D87">
        <w:rPr>
          <w:rFonts w:eastAsia="Arial"/>
          <w:b/>
        </w:rPr>
        <w:t>mirinformuar</w:t>
      </w:r>
      <w:r w:rsidRPr="00E83C5E">
        <w:rPr>
          <w:rFonts w:eastAsia="Arial"/>
          <w:b/>
        </w:rPr>
        <w:t xml:space="preserve"> rreth mundësive për të mësuar, fituar përvojë organizative dhe vullnetarizëm, dhe për të marrë pjesë aktivisht në jetën qytetare, sociale dhe politike</w:t>
      </w:r>
      <w:r w:rsidRPr="00E83C5E">
        <w:rPr>
          <w:b/>
        </w:rPr>
        <w:t xml:space="preserve"> </w:t>
      </w:r>
    </w:p>
    <w:p w14:paraId="574E2B53" w14:textId="5BCF82B8" w:rsidR="00AE2512" w:rsidRPr="00E83C5E" w:rsidRDefault="00AE2512" w:rsidP="00AE2512">
      <w:pPr>
        <w:pStyle w:val="TEKSTIII"/>
        <w:rPr>
          <w:b/>
        </w:rPr>
      </w:pPr>
      <w:r w:rsidRPr="00E83C5E">
        <w:rPr>
          <w:b/>
        </w:rPr>
        <w:t xml:space="preserve">Analiza e </w:t>
      </w:r>
      <w:r w:rsidR="003B428A" w:rsidRPr="00E83C5E">
        <w:rPr>
          <w:b/>
        </w:rPr>
        <w:t xml:space="preserve">situatës dhe sfidat </w:t>
      </w:r>
    </w:p>
    <w:p w14:paraId="574E2B54" w14:textId="2C633AD9" w:rsidR="00AE2512" w:rsidRPr="00E83C5E" w:rsidRDefault="00AE2512" w:rsidP="00AE2512">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Në të gjitha takimet konsultative që janë bërë nga përfaqësuesit e qeverisë me të rinj në kuadër të zhvillimit të kësaj strategjie, mungesa e informacioneve të përditësuara dhe saktësia e tyre kanë dalë në plan të parë. Të rinjve janë po ashtu të paorientuar se ku mund të kërkojnë informacione për t’u zhvilluar më tej apo fituar përvojë profesionale e vullnetare si për burimet digjitale online ashtu edhe për informacionet që duhet të ndahen në mjediset e tyre</w:t>
      </w:r>
      <w:r w:rsidR="00372B71">
        <w:rPr>
          <w:rFonts w:ascii="Garamond" w:hAnsi="Garamond" w:cs="Times New Roman"/>
          <w:sz w:val="24"/>
          <w:szCs w:val="24"/>
        </w:rPr>
        <w:t>,</w:t>
      </w:r>
      <w:r w:rsidRPr="00E83C5E">
        <w:rPr>
          <w:rFonts w:ascii="Garamond" w:hAnsi="Garamond" w:cs="Times New Roman"/>
          <w:sz w:val="24"/>
          <w:szCs w:val="24"/>
        </w:rPr>
        <w:t xml:space="preserve"> si</w:t>
      </w:r>
      <w:r w:rsidR="00372B71">
        <w:rPr>
          <w:rFonts w:ascii="Garamond" w:hAnsi="Garamond" w:cs="Times New Roman"/>
          <w:sz w:val="24"/>
          <w:szCs w:val="24"/>
        </w:rPr>
        <w:t>:</w:t>
      </w:r>
      <w:r w:rsidRPr="00E83C5E">
        <w:rPr>
          <w:rFonts w:ascii="Garamond" w:hAnsi="Garamond" w:cs="Times New Roman"/>
          <w:sz w:val="24"/>
          <w:szCs w:val="24"/>
        </w:rPr>
        <w:t xml:space="preserve"> shkolla, vendet e punës apo vendet e argëtimit. </w:t>
      </w:r>
    </w:p>
    <w:p w14:paraId="574E2B55" w14:textId="0410AD48" w:rsidR="00AE2512" w:rsidRPr="00E83C5E" w:rsidRDefault="00AE2512" w:rsidP="00AE2512">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Në zbatim </w:t>
      </w:r>
      <w:r w:rsidR="003B428A" w:rsidRPr="00E83C5E">
        <w:rPr>
          <w:rFonts w:ascii="Garamond" w:hAnsi="Garamond" w:cs="Times New Roman"/>
          <w:sz w:val="24"/>
          <w:szCs w:val="24"/>
        </w:rPr>
        <w:t xml:space="preserve">të ligjit për rininë </w:t>
      </w:r>
      <w:r w:rsidRPr="00E83C5E">
        <w:rPr>
          <w:rFonts w:ascii="Garamond" w:hAnsi="Garamond" w:cs="Times New Roman"/>
          <w:sz w:val="24"/>
          <w:szCs w:val="24"/>
        </w:rPr>
        <w:t>janë emëruar nëpunësit rinorë nëpër të gjitha bashkitë</w:t>
      </w:r>
      <w:r w:rsidR="003B428A" w:rsidRPr="00E83C5E">
        <w:rPr>
          <w:rFonts w:ascii="Garamond" w:hAnsi="Garamond" w:cs="Times New Roman"/>
          <w:sz w:val="24"/>
          <w:szCs w:val="24"/>
        </w:rPr>
        <w:t>,</w:t>
      </w:r>
      <w:r w:rsidRPr="00E83C5E">
        <w:rPr>
          <w:rFonts w:ascii="Garamond" w:hAnsi="Garamond" w:cs="Times New Roman"/>
          <w:sz w:val="24"/>
          <w:szCs w:val="24"/>
        </w:rPr>
        <w:t xml:space="preserve"> por </w:t>
      </w:r>
      <w:r w:rsidR="003B428A" w:rsidRPr="00E83C5E">
        <w:rPr>
          <w:rFonts w:ascii="Garamond" w:hAnsi="Garamond" w:cs="Times New Roman"/>
          <w:sz w:val="24"/>
          <w:szCs w:val="24"/>
        </w:rPr>
        <w:t xml:space="preserve">këshillat vendorë rinorë </w:t>
      </w:r>
      <w:r w:rsidRPr="00E83C5E">
        <w:rPr>
          <w:rFonts w:ascii="Garamond" w:hAnsi="Garamond" w:cs="Times New Roman"/>
          <w:sz w:val="24"/>
          <w:szCs w:val="24"/>
        </w:rPr>
        <w:t>nuk janë efektivë në të gjitha bashkitë. Organizimi rinor, veçanërisht jashtë kryeqytetit dhe jashtë organizim</w:t>
      </w:r>
      <w:r w:rsidR="00527FA6">
        <w:rPr>
          <w:rFonts w:ascii="Garamond" w:hAnsi="Garamond" w:cs="Times New Roman"/>
          <w:sz w:val="24"/>
          <w:szCs w:val="24"/>
        </w:rPr>
        <w:t>e</w:t>
      </w:r>
      <w:r w:rsidRPr="00E83C5E">
        <w:rPr>
          <w:rFonts w:ascii="Garamond" w:hAnsi="Garamond" w:cs="Times New Roman"/>
          <w:sz w:val="24"/>
          <w:szCs w:val="24"/>
        </w:rPr>
        <w:t>ve shkollore nuk i përgjigjet situatave dhe sfidave që ka</w:t>
      </w:r>
      <w:r w:rsidR="00527FA6">
        <w:rPr>
          <w:rFonts w:ascii="Garamond" w:hAnsi="Garamond" w:cs="Times New Roman"/>
          <w:sz w:val="24"/>
          <w:szCs w:val="24"/>
        </w:rPr>
        <w:t>l</w:t>
      </w:r>
      <w:r w:rsidRPr="00E83C5E">
        <w:rPr>
          <w:rFonts w:ascii="Garamond" w:hAnsi="Garamond" w:cs="Times New Roman"/>
          <w:sz w:val="24"/>
          <w:szCs w:val="24"/>
        </w:rPr>
        <w:t>o</w:t>
      </w:r>
      <w:r w:rsidR="00527FA6">
        <w:rPr>
          <w:rFonts w:ascii="Garamond" w:hAnsi="Garamond" w:cs="Times New Roman"/>
          <w:sz w:val="24"/>
          <w:szCs w:val="24"/>
        </w:rPr>
        <w:t>j</w:t>
      </w:r>
      <w:r w:rsidRPr="00E83C5E">
        <w:rPr>
          <w:rFonts w:ascii="Garamond" w:hAnsi="Garamond" w:cs="Times New Roman"/>
          <w:sz w:val="24"/>
          <w:szCs w:val="24"/>
        </w:rPr>
        <w:t xml:space="preserve">në të rinjtë. Organizimi rinor në kuadër të organizatave </w:t>
      </w:r>
      <w:r w:rsidR="003B428A" w:rsidRPr="00E83C5E">
        <w:rPr>
          <w:rFonts w:ascii="Garamond" w:hAnsi="Garamond" w:cs="Times New Roman"/>
          <w:sz w:val="24"/>
          <w:szCs w:val="24"/>
        </w:rPr>
        <w:t>jo</w:t>
      </w:r>
      <w:r w:rsidRPr="00E83C5E">
        <w:rPr>
          <w:rFonts w:ascii="Garamond" w:hAnsi="Garamond" w:cs="Times New Roman"/>
          <w:sz w:val="24"/>
          <w:szCs w:val="24"/>
        </w:rPr>
        <w:t xml:space="preserve">qeveritare është gjithashtu i vështirë për t’u realizuar për shkak të pagesave të larta që e shoqërojnë regjistrimin e një organizate </w:t>
      </w:r>
      <w:r w:rsidR="003B428A" w:rsidRPr="00E83C5E">
        <w:rPr>
          <w:rFonts w:ascii="Garamond" w:hAnsi="Garamond" w:cs="Times New Roman"/>
          <w:sz w:val="24"/>
          <w:szCs w:val="24"/>
        </w:rPr>
        <w:t>jo</w:t>
      </w:r>
      <w:r w:rsidRPr="00E83C5E">
        <w:rPr>
          <w:rFonts w:ascii="Garamond" w:hAnsi="Garamond" w:cs="Times New Roman"/>
          <w:sz w:val="24"/>
          <w:szCs w:val="24"/>
        </w:rPr>
        <w:t xml:space="preserve">qeveritare dhe mungesës së përvojës nga ana e të rinjve në këtë proces. Edhe organizimet rinore në shkolla janë kryesisht formale dhe nuk i fuqizojnë të rinjtë. </w:t>
      </w:r>
    </w:p>
    <w:p w14:paraId="574E2B56" w14:textId="5F6F6DCD" w:rsidR="00AE2512" w:rsidRPr="00E83C5E" w:rsidRDefault="00AE2512" w:rsidP="00AE2512">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Në këtë situatë, është parë me përparësi, rishikimi i ligjit të rinisë në tërësinë e tij dhe në veçanti për të rritur rolin e të rinjve në përmirësimin dhe zhvillimin e jetës në komunitet dhe për t’i bërë të rejat dhe të rinjtë aktivë në ndërmarrjen e politikave rinore vendore. Shembu</w:t>
      </w:r>
      <w:r w:rsidR="00527FA6">
        <w:rPr>
          <w:rFonts w:ascii="Garamond" w:hAnsi="Garamond" w:cs="Times New Roman"/>
          <w:sz w:val="24"/>
          <w:szCs w:val="24"/>
        </w:rPr>
        <w:t>j</w:t>
      </w:r>
      <w:r w:rsidRPr="00E83C5E">
        <w:rPr>
          <w:rFonts w:ascii="Garamond" w:hAnsi="Garamond" w:cs="Times New Roman"/>
          <w:sz w:val="24"/>
          <w:szCs w:val="24"/>
        </w:rPr>
        <w:t>t e mirë të analizës së pjesëmarrjes së të rinjve në proceset buxhetore dhe vendime të tjera vendore në bashkitë</w:t>
      </w:r>
      <w:r w:rsidR="002F3CE6">
        <w:rPr>
          <w:rFonts w:ascii="Garamond" w:hAnsi="Garamond" w:cs="Times New Roman"/>
          <w:sz w:val="24"/>
          <w:szCs w:val="24"/>
        </w:rPr>
        <w:t>:</w:t>
      </w:r>
      <w:r w:rsidRPr="00E83C5E">
        <w:rPr>
          <w:rFonts w:ascii="Garamond" w:hAnsi="Garamond" w:cs="Times New Roman"/>
          <w:sz w:val="24"/>
          <w:szCs w:val="24"/>
        </w:rPr>
        <w:t xml:space="preserve"> Cërrik, Korçë, Fier, Përmet, Durrës, Roskovec, Belsh, Shijak, Dimal, Krujë dhe Pogradec</w:t>
      </w:r>
      <w:r w:rsidR="002F3CE6">
        <w:rPr>
          <w:rFonts w:ascii="Garamond" w:hAnsi="Garamond" w:cs="Times New Roman"/>
          <w:sz w:val="24"/>
          <w:szCs w:val="24"/>
        </w:rPr>
        <w:t>,</w:t>
      </w:r>
      <w:r w:rsidRPr="00E83C5E">
        <w:rPr>
          <w:rFonts w:ascii="Garamond" w:hAnsi="Garamond" w:cs="Times New Roman"/>
          <w:sz w:val="24"/>
          <w:szCs w:val="24"/>
        </w:rPr>
        <w:t xml:space="preserve"> duhen shtrirë në të gjithë vendin</w:t>
      </w:r>
      <w:r w:rsidRPr="00E83C5E">
        <w:rPr>
          <w:rStyle w:val="FootnoteReference"/>
          <w:rFonts w:ascii="Garamond" w:hAnsi="Garamond" w:cs="Times New Roman"/>
          <w:sz w:val="24"/>
          <w:szCs w:val="24"/>
        </w:rPr>
        <w:footnoteReference w:id="15"/>
      </w:r>
      <w:r w:rsidRPr="00E83C5E">
        <w:rPr>
          <w:rFonts w:ascii="Garamond" w:hAnsi="Garamond" w:cs="Times New Roman"/>
          <w:sz w:val="24"/>
          <w:szCs w:val="24"/>
        </w:rPr>
        <w:t xml:space="preserve">. </w:t>
      </w:r>
    </w:p>
    <w:p w14:paraId="574E2B57" w14:textId="53D7FA49" w:rsidR="00AE2512" w:rsidRPr="00E83C5E" w:rsidRDefault="00AE2512" w:rsidP="00AE2512">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Takimet me të rinjtë kanë nxjerrë në pah edhe nevojën për një komunikim më efektiv me ta në platformat e komunikimit që përdoren më së shumti prej tyre. Konceptet e komunikimit digjital me të rinjtë si për të informuar ata për mundësitë për përfshirje, vullnetarizëm apo punësim apo edhe për të krijuar rrjete të përbashkëta komunikimi mes tyre duhen rishikuar. Kërkohet zhvillimi </w:t>
      </w:r>
      <w:r w:rsidRPr="00E83C5E">
        <w:rPr>
          <w:rFonts w:ascii="Garamond" w:hAnsi="Garamond" w:cs="Times New Roman"/>
          <w:sz w:val="24"/>
          <w:szCs w:val="24"/>
        </w:rPr>
        <w:lastRenderedPageBreak/>
        <w:t xml:space="preserve">apo rikonceptimi i faqes </w:t>
      </w:r>
      <w:r w:rsidR="00D540B0" w:rsidRPr="00E83C5E">
        <w:rPr>
          <w:rFonts w:ascii="Garamond" w:hAnsi="Garamond" w:cs="Times New Roman"/>
          <w:sz w:val="24"/>
          <w:szCs w:val="24"/>
        </w:rPr>
        <w:t>“</w:t>
      </w:r>
      <w:r w:rsidRPr="00E83C5E">
        <w:rPr>
          <w:rFonts w:ascii="Garamond" w:hAnsi="Garamond" w:cs="Times New Roman"/>
          <w:sz w:val="24"/>
          <w:szCs w:val="24"/>
        </w:rPr>
        <w:t>rinia.al</w:t>
      </w:r>
      <w:r w:rsidR="00D540B0" w:rsidRPr="00E83C5E">
        <w:rPr>
          <w:rFonts w:ascii="Garamond" w:hAnsi="Garamond" w:cs="Times New Roman"/>
          <w:sz w:val="24"/>
          <w:szCs w:val="24"/>
        </w:rPr>
        <w:t>”</w:t>
      </w:r>
      <w:r w:rsidRPr="00E83C5E">
        <w:rPr>
          <w:rFonts w:ascii="Garamond" w:hAnsi="Garamond" w:cs="Times New Roman"/>
          <w:sz w:val="24"/>
          <w:szCs w:val="24"/>
        </w:rPr>
        <w:t xml:space="preserve"> për të fuqizuar komunikimin mes të rinjve dhe për të lidhur të gjitha platformat dhe nismat rinore që ekzistojnë. </w:t>
      </w:r>
    </w:p>
    <w:p w14:paraId="574E2B58" w14:textId="2C83951E" w:rsidR="00AE2512" w:rsidRPr="00E83C5E" w:rsidRDefault="00AE2512" w:rsidP="00AE2512">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Jo vetëm infrastruktura digjitale</w:t>
      </w:r>
      <w:r w:rsidR="003D4E43">
        <w:rPr>
          <w:rFonts w:ascii="Garamond" w:hAnsi="Garamond" w:cs="Times New Roman"/>
          <w:sz w:val="24"/>
          <w:szCs w:val="24"/>
        </w:rPr>
        <w:t>,</w:t>
      </w:r>
      <w:r w:rsidRPr="00E83C5E">
        <w:rPr>
          <w:rFonts w:ascii="Garamond" w:hAnsi="Garamond" w:cs="Times New Roman"/>
          <w:sz w:val="24"/>
          <w:szCs w:val="24"/>
        </w:rPr>
        <w:t xml:space="preserve"> por edhe ajo fizike në shërbim të të rinjve mbetet problematike dhe sfiduese. Me përjashtim të një numri të paktë të qendrave rinore kërkohet shtimi i tyre në të gjithë vendin dhe mundësisht në nivel bashkie, duke krijuar hapësira të përshtatshme për të rinjtë. Sigurimi i infrastrukturës për aktivitete rinore do të rriste dhe promovonte veprimtarinë rinore dhe do të siguronte një bazë për zhvillime të mëtejshme për rininë si në çështjet e ndërgjegjësimit të tyre politik, vetëshprehjes dhe </w:t>
      </w:r>
      <w:r w:rsidR="002842BC" w:rsidRPr="00E83C5E">
        <w:rPr>
          <w:rFonts w:ascii="Garamond" w:hAnsi="Garamond" w:cs="Times New Roman"/>
          <w:sz w:val="24"/>
          <w:szCs w:val="24"/>
        </w:rPr>
        <w:t>promovimit</w:t>
      </w:r>
      <w:r w:rsidRPr="00E83C5E">
        <w:rPr>
          <w:rFonts w:ascii="Garamond" w:hAnsi="Garamond" w:cs="Times New Roman"/>
          <w:sz w:val="24"/>
          <w:szCs w:val="24"/>
        </w:rPr>
        <w:t xml:space="preserve"> e zhvillimit të punës rinore. </w:t>
      </w:r>
    </w:p>
    <w:p w14:paraId="574E2B59" w14:textId="5324DED0" w:rsidR="00AE2512" w:rsidRPr="00E83C5E" w:rsidRDefault="00AE2512" w:rsidP="00AE2512">
      <w:pPr>
        <w:spacing w:after="0" w:line="240" w:lineRule="auto"/>
        <w:ind w:firstLine="284"/>
        <w:jc w:val="both"/>
        <w:rPr>
          <w:rFonts w:ascii="Garamond" w:hAnsi="Garamond" w:cs="Times New Roman"/>
          <w:b/>
          <w:sz w:val="24"/>
          <w:szCs w:val="24"/>
        </w:rPr>
      </w:pPr>
      <w:r w:rsidRPr="00E83C5E">
        <w:rPr>
          <w:rFonts w:ascii="Garamond" w:hAnsi="Garamond" w:cs="Times New Roman"/>
          <w:b/>
          <w:sz w:val="24"/>
          <w:szCs w:val="24"/>
        </w:rPr>
        <w:t xml:space="preserve">Institucionet </w:t>
      </w:r>
      <w:r w:rsidR="0058775E" w:rsidRPr="00E83C5E">
        <w:rPr>
          <w:rFonts w:ascii="Garamond" w:hAnsi="Garamond" w:cs="Times New Roman"/>
          <w:b/>
          <w:sz w:val="24"/>
          <w:szCs w:val="24"/>
        </w:rPr>
        <w:t>d</w:t>
      </w:r>
      <w:r w:rsidRPr="00E83C5E">
        <w:rPr>
          <w:rFonts w:ascii="Garamond" w:hAnsi="Garamond" w:cs="Times New Roman"/>
          <w:b/>
          <w:sz w:val="24"/>
          <w:szCs w:val="24"/>
        </w:rPr>
        <w:t>rejtuese</w:t>
      </w:r>
    </w:p>
    <w:p w14:paraId="574E2B5A" w14:textId="43DC35C0" w:rsidR="00AE2512" w:rsidRPr="00E83C5E" w:rsidRDefault="00AE2512" w:rsidP="00AE2512">
      <w:pPr>
        <w:shd w:val="clear" w:color="auto" w:fill="FFFFFF" w:themeFill="background1"/>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MSHRF, AKR</w:t>
      </w:r>
      <w:r w:rsidR="003D4E43">
        <w:rPr>
          <w:rFonts w:ascii="Garamond" w:hAnsi="Garamond" w:cs="Times New Roman"/>
          <w:sz w:val="24"/>
          <w:szCs w:val="24"/>
        </w:rPr>
        <w:t>,</w:t>
      </w:r>
      <w:r w:rsidRPr="00E83C5E">
        <w:rPr>
          <w:rFonts w:ascii="Garamond" w:hAnsi="Garamond" w:cs="Times New Roman"/>
          <w:sz w:val="24"/>
          <w:szCs w:val="24"/>
        </w:rPr>
        <w:t xml:space="preserve"> MAS</w:t>
      </w:r>
    </w:p>
    <w:p w14:paraId="574E2B5B" w14:textId="4B2E2EC7" w:rsidR="00AE2512" w:rsidRPr="00E83C5E" w:rsidRDefault="00AE2512" w:rsidP="00AE2512">
      <w:pPr>
        <w:shd w:val="clear" w:color="auto" w:fill="FFFFFF" w:themeFill="background1"/>
        <w:spacing w:after="0" w:line="240" w:lineRule="auto"/>
        <w:ind w:firstLine="284"/>
        <w:jc w:val="both"/>
        <w:rPr>
          <w:rFonts w:ascii="Garamond" w:hAnsi="Garamond" w:cs="Times New Roman"/>
          <w:b/>
          <w:sz w:val="24"/>
          <w:szCs w:val="24"/>
        </w:rPr>
      </w:pPr>
      <w:r w:rsidRPr="00E83C5E">
        <w:rPr>
          <w:rFonts w:ascii="Garamond" w:hAnsi="Garamond" w:cs="Times New Roman"/>
          <w:b/>
          <w:sz w:val="24"/>
          <w:szCs w:val="24"/>
        </w:rPr>
        <w:t xml:space="preserve">Institucionet </w:t>
      </w:r>
      <w:r w:rsidR="003D4E43">
        <w:rPr>
          <w:rFonts w:ascii="Garamond" w:hAnsi="Garamond" w:cs="Times New Roman"/>
          <w:b/>
          <w:sz w:val="24"/>
          <w:szCs w:val="24"/>
        </w:rPr>
        <w:t>p</w:t>
      </w:r>
      <w:r w:rsidRPr="00E83C5E">
        <w:rPr>
          <w:rFonts w:ascii="Garamond" w:hAnsi="Garamond" w:cs="Times New Roman"/>
          <w:b/>
          <w:sz w:val="24"/>
          <w:szCs w:val="24"/>
        </w:rPr>
        <w:t>jesëmarrës</w:t>
      </w:r>
      <w:r w:rsidR="003D4E43">
        <w:rPr>
          <w:rFonts w:ascii="Garamond" w:hAnsi="Garamond" w:cs="Times New Roman"/>
          <w:b/>
          <w:sz w:val="24"/>
          <w:szCs w:val="24"/>
        </w:rPr>
        <w:t>e</w:t>
      </w:r>
    </w:p>
    <w:p w14:paraId="574E2B5C" w14:textId="77777777" w:rsidR="00AE2512" w:rsidRPr="00527FA6" w:rsidRDefault="00AE2512" w:rsidP="00AE2512">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MFE, AKAFPK, AKPA, njësitë e vetëqeverisjes </w:t>
      </w:r>
      <w:r w:rsidRPr="00527FA6">
        <w:rPr>
          <w:rFonts w:ascii="Garamond" w:hAnsi="Garamond" w:cs="Times New Roman"/>
          <w:sz w:val="24"/>
          <w:szCs w:val="24"/>
        </w:rPr>
        <w:t xml:space="preserve">vendore, KQZ, </w:t>
      </w:r>
    </w:p>
    <w:p w14:paraId="574E2B5D" w14:textId="5AA383D5" w:rsidR="00AE2512" w:rsidRPr="00E83C5E" w:rsidRDefault="00AE2512" w:rsidP="00AE2512">
      <w:pPr>
        <w:spacing w:after="0" w:line="240" w:lineRule="auto"/>
        <w:ind w:firstLine="284"/>
        <w:jc w:val="both"/>
        <w:rPr>
          <w:rFonts w:ascii="Garamond" w:eastAsia="Calibri" w:hAnsi="Garamond" w:cs="Times New Roman"/>
          <w:sz w:val="24"/>
          <w:szCs w:val="24"/>
        </w:rPr>
      </w:pPr>
      <w:r w:rsidRPr="00527FA6">
        <w:rPr>
          <w:rFonts w:ascii="Garamond" w:eastAsia="Calibri" w:hAnsi="Garamond" w:cs="Times New Roman"/>
          <w:sz w:val="24"/>
          <w:szCs w:val="24"/>
        </w:rPr>
        <w:t>Masat dhe buxhetet e ndërlidhura për të arritur rezultatet</w:t>
      </w:r>
      <w:r w:rsidR="00233C37" w:rsidRPr="00527FA6">
        <w:rPr>
          <w:rFonts w:ascii="Garamond" w:eastAsia="Calibri" w:hAnsi="Garamond" w:cs="Times New Roman"/>
          <w:sz w:val="24"/>
          <w:szCs w:val="24"/>
        </w:rPr>
        <w:t xml:space="preserve"> </w:t>
      </w:r>
      <w:r w:rsidRPr="00527FA6">
        <w:rPr>
          <w:rFonts w:ascii="Garamond" w:eastAsia="Calibri" w:hAnsi="Garamond" w:cs="Times New Roman"/>
          <w:sz w:val="24"/>
          <w:szCs w:val="24"/>
        </w:rPr>
        <w:t>specifike</w:t>
      </w:r>
      <w:r w:rsidRPr="00E83C5E">
        <w:rPr>
          <w:rFonts w:ascii="Garamond" w:eastAsia="Calibri" w:hAnsi="Garamond" w:cs="Times New Roman"/>
          <w:sz w:val="24"/>
          <w:szCs w:val="24"/>
        </w:rPr>
        <w:t xml:space="preserve"> janë përshkruar në planin e veprimit të dokumentit strategjik q</w:t>
      </w:r>
      <w:r w:rsidRPr="00E83C5E">
        <w:rPr>
          <w:rFonts w:ascii="Garamond" w:hAnsi="Garamond" w:cs="Times New Roman"/>
          <w:sz w:val="24"/>
          <w:szCs w:val="24"/>
        </w:rPr>
        <w:t>ë</w:t>
      </w:r>
      <w:r w:rsidRPr="00E83C5E">
        <w:rPr>
          <w:rFonts w:ascii="Garamond" w:eastAsia="Calibri" w:hAnsi="Garamond" w:cs="Times New Roman"/>
          <w:sz w:val="24"/>
          <w:szCs w:val="24"/>
        </w:rPr>
        <w:t xml:space="preserve"> do të ngarkohet në IPSIS.</w:t>
      </w:r>
    </w:p>
    <w:p w14:paraId="574E2B5E" w14:textId="73E415C5" w:rsidR="00AE2512" w:rsidRPr="00E83C5E" w:rsidRDefault="00AE2512" w:rsidP="00AE2512">
      <w:pPr>
        <w:pStyle w:val="TEKSTIII"/>
        <w:rPr>
          <w:b/>
        </w:rPr>
      </w:pPr>
      <w:r w:rsidRPr="00E83C5E">
        <w:rPr>
          <w:b/>
        </w:rPr>
        <w:t xml:space="preserve">Lidhja e objektivit specifik me Marrëveshjen e Stabilizim-Asociimit </w:t>
      </w:r>
    </w:p>
    <w:p w14:paraId="574E2B5F" w14:textId="3EDFB4B5" w:rsidR="00AE2512" w:rsidRPr="00E83C5E" w:rsidRDefault="00AE2512" w:rsidP="00AE2512">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Objektivi </w:t>
      </w:r>
      <w:r w:rsidR="003D4E43">
        <w:rPr>
          <w:rFonts w:ascii="Garamond" w:hAnsi="Garamond" w:cs="Times New Roman"/>
          <w:sz w:val="24"/>
          <w:szCs w:val="24"/>
        </w:rPr>
        <w:t>s</w:t>
      </w:r>
      <w:r w:rsidRPr="00E83C5E">
        <w:rPr>
          <w:rFonts w:ascii="Garamond" w:hAnsi="Garamond" w:cs="Times New Roman"/>
          <w:sz w:val="24"/>
          <w:szCs w:val="24"/>
        </w:rPr>
        <w:t>pecifik 1.1 synon aktivizimin e të rinjve në jetën social-ekonomike të vendit përmes informimit</w:t>
      </w:r>
      <w:r w:rsidR="00233C37" w:rsidRPr="00E83C5E">
        <w:rPr>
          <w:rFonts w:ascii="Garamond" w:hAnsi="Garamond" w:cs="Times New Roman"/>
          <w:sz w:val="24"/>
          <w:szCs w:val="24"/>
        </w:rPr>
        <w:t xml:space="preserve"> </w:t>
      </w:r>
      <w:r w:rsidRPr="00E83C5E">
        <w:rPr>
          <w:rFonts w:ascii="Garamond" w:hAnsi="Garamond" w:cs="Times New Roman"/>
          <w:sz w:val="24"/>
          <w:szCs w:val="24"/>
        </w:rPr>
        <w:t>më të mirë të tyre për zhvillimet dhe duke i bërë ata pjesë aktive të proces</w:t>
      </w:r>
      <w:r w:rsidR="00527FA6">
        <w:rPr>
          <w:rFonts w:ascii="Garamond" w:hAnsi="Garamond" w:cs="Times New Roman"/>
          <w:sz w:val="24"/>
          <w:szCs w:val="24"/>
        </w:rPr>
        <w:t>e</w:t>
      </w:r>
      <w:r w:rsidRPr="00E83C5E">
        <w:rPr>
          <w:rFonts w:ascii="Garamond" w:hAnsi="Garamond" w:cs="Times New Roman"/>
          <w:sz w:val="24"/>
          <w:szCs w:val="24"/>
        </w:rPr>
        <w:t xml:space="preserve">ve të informimit dhe pjesëmarrjes në jetën social-politike të vendit. Ky objektiv lidhet me nenin 100 që trajton çështjet e arsimit dhe trajnimit të të rinjve sepse synon aftësimin e të rinjve për të marrë informacionet në lidhje me punësimin, aftësimin dhe edukimin përmes burimeve digjitale të informacionit. Po ashtu ky objektiv lidhet edhe me nenin 77 të kapitullit të V në diskutimet e punësimit për të rejat dhe të rinjtë si edhe me nenin 103 që lidhet me shoqërinë e informacionit pasi ky objektiv synon digjitalizimin e proceseve të shkëmbimit të informacioneve që i duhen të rinjve për zhvillimin e tyre profesional dhe shoqëror. </w:t>
      </w:r>
    </w:p>
    <w:p w14:paraId="574E2B62" w14:textId="4884C51A" w:rsidR="00AE2512" w:rsidRPr="00E83C5E" w:rsidRDefault="00AE2512" w:rsidP="00AE2512">
      <w:pPr>
        <w:pStyle w:val="TEKSTIII"/>
        <w:rPr>
          <w:rStyle w:val="jlqj4b"/>
          <w:rFonts w:cs="Times New Roman"/>
          <w:b/>
        </w:rPr>
      </w:pPr>
      <w:r w:rsidRPr="00E83C5E">
        <w:rPr>
          <w:b/>
        </w:rPr>
        <w:t>Treguesit kryesorë të rezultateve</w:t>
      </w:r>
    </w:p>
    <w:p w14:paraId="574E2B63" w14:textId="77777777" w:rsidR="00AE2512" w:rsidRPr="00E83C5E" w:rsidRDefault="00AE2512" w:rsidP="00AE2512">
      <w:pPr>
        <w:pStyle w:val="Caption"/>
        <w:keepNext/>
        <w:spacing w:after="0"/>
        <w:ind w:firstLine="284"/>
        <w:rPr>
          <w:rFonts w:ascii="Garamond" w:hAnsi="Garamond"/>
          <w:color w:val="000000" w:themeColor="text1"/>
          <w:sz w:val="24"/>
          <w:szCs w:val="24"/>
        </w:rPr>
      </w:pPr>
      <w:r w:rsidRPr="00E83C5E">
        <w:rPr>
          <w:rFonts w:ascii="Garamond" w:hAnsi="Garamond"/>
          <w:color w:val="000000" w:themeColor="text1"/>
          <w:sz w:val="24"/>
          <w:szCs w:val="24"/>
        </w:rPr>
        <w:t xml:space="preserve">Tabela </w:t>
      </w:r>
      <w:r w:rsidRPr="00E83C5E">
        <w:rPr>
          <w:rFonts w:ascii="Garamond" w:hAnsi="Garamond"/>
          <w:color w:val="000000" w:themeColor="text1"/>
          <w:sz w:val="24"/>
          <w:szCs w:val="24"/>
        </w:rPr>
        <w:fldChar w:fldCharType="begin"/>
      </w:r>
      <w:r w:rsidRPr="00E83C5E">
        <w:rPr>
          <w:rFonts w:ascii="Garamond" w:hAnsi="Garamond"/>
          <w:color w:val="000000" w:themeColor="text1"/>
          <w:sz w:val="24"/>
          <w:szCs w:val="24"/>
        </w:rPr>
        <w:instrText xml:space="preserve"> SEQ Tabela \* ARABIC </w:instrText>
      </w:r>
      <w:r w:rsidRPr="00E83C5E">
        <w:rPr>
          <w:rFonts w:ascii="Garamond" w:hAnsi="Garamond"/>
          <w:color w:val="000000" w:themeColor="text1"/>
          <w:sz w:val="24"/>
          <w:szCs w:val="24"/>
        </w:rPr>
        <w:fldChar w:fldCharType="separate"/>
      </w:r>
      <w:r w:rsidRPr="00E83C5E">
        <w:rPr>
          <w:rFonts w:ascii="Garamond" w:hAnsi="Garamond"/>
          <w:color w:val="000000" w:themeColor="text1"/>
          <w:sz w:val="24"/>
          <w:szCs w:val="24"/>
        </w:rPr>
        <w:t>3</w:t>
      </w:r>
      <w:r w:rsidRPr="00E83C5E">
        <w:rPr>
          <w:rFonts w:ascii="Garamond" w:hAnsi="Garamond"/>
          <w:color w:val="000000" w:themeColor="text1"/>
          <w:sz w:val="24"/>
          <w:szCs w:val="24"/>
        </w:rPr>
        <w:fldChar w:fldCharType="end"/>
      </w:r>
      <w:r w:rsidRPr="00E83C5E">
        <w:rPr>
          <w:rFonts w:ascii="Garamond" w:hAnsi="Garamond"/>
          <w:color w:val="000000" w:themeColor="text1"/>
          <w:sz w:val="24"/>
          <w:szCs w:val="24"/>
        </w:rPr>
        <w:t>: Lista e treguesve kyç të performancës lidhur me objektivin specifik 1.1</w:t>
      </w:r>
    </w:p>
    <w:tbl>
      <w:tblPr>
        <w:tblStyle w:val="GridTable1Light-Accent11"/>
        <w:tblW w:w="9246" w:type="dxa"/>
        <w:tblLayout w:type="fixed"/>
        <w:tblLook w:val="04A0" w:firstRow="1" w:lastRow="0" w:firstColumn="1" w:lastColumn="0" w:noHBand="0" w:noVBand="1"/>
      </w:tblPr>
      <w:tblGrid>
        <w:gridCol w:w="1348"/>
        <w:gridCol w:w="1853"/>
        <w:gridCol w:w="2296"/>
        <w:gridCol w:w="2467"/>
        <w:gridCol w:w="1282"/>
      </w:tblGrid>
      <w:tr w:rsidR="00AE2512" w:rsidRPr="00E83C5E" w14:paraId="574E2B6A" w14:textId="77777777" w:rsidTr="007D677B">
        <w:trPr>
          <w:cnfStyle w:val="100000000000" w:firstRow="1" w:lastRow="0" w:firstColumn="0" w:lastColumn="0" w:oddVBand="0" w:evenVBand="0" w:oddHBand="0" w:evenHBand="0" w:firstRowFirstColumn="0" w:firstRowLastColumn="0" w:lastRowFirstColumn="0" w:lastRowLastColumn="0"/>
          <w:trHeight w:val="47"/>
        </w:trPr>
        <w:tc>
          <w:tcPr>
            <w:cnfStyle w:val="001000000000" w:firstRow="0" w:lastRow="0" w:firstColumn="1" w:lastColumn="0" w:oddVBand="0" w:evenVBand="0" w:oddHBand="0" w:evenHBand="0" w:firstRowFirstColumn="0" w:firstRowLastColumn="0" w:lastRowFirstColumn="0" w:lastRowLastColumn="0"/>
            <w:tcW w:w="1348" w:type="dxa"/>
          </w:tcPr>
          <w:p w14:paraId="574E2B64" w14:textId="77777777" w:rsidR="00AE2512" w:rsidRPr="00E83C5E" w:rsidRDefault="00AE2512" w:rsidP="00AE2512">
            <w:pPr>
              <w:jc w:val="center"/>
              <w:rPr>
                <w:rFonts w:ascii="Garamond" w:hAnsi="Garamond" w:cs="Times New Roman"/>
                <w:b w:val="0"/>
                <w:color w:val="000000" w:themeColor="text1"/>
                <w:sz w:val="20"/>
                <w:szCs w:val="24"/>
                <w:lang w:eastAsia="en-GB"/>
              </w:rPr>
            </w:pPr>
            <w:r w:rsidRPr="00E83C5E">
              <w:rPr>
                <w:rFonts w:ascii="Garamond" w:hAnsi="Garamond" w:cs="Times New Roman"/>
                <w:color w:val="000000" w:themeColor="text1"/>
                <w:sz w:val="20"/>
                <w:szCs w:val="24"/>
                <w:lang w:eastAsia="en-GB"/>
              </w:rPr>
              <w:t>Lloji i treguesit</w:t>
            </w:r>
          </w:p>
        </w:tc>
        <w:tc>
          <w:tcPr>
            <w:tcW w:w="1853" w:type="dxa"/>
          </w:tcPr>
          <w:p w14:paraId="574E2B65" w14:textId="236A207A" w:rsidR="00AE2512" w:rsidRPr="00E83C5E" w:rsidRDefault="00AE2512" w:rsidP="00DA0E84">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color w:val="000000" w:themeColor="text1"/>
                <w:sz w:val="20"/>
                <w:szCs w:val="24"/>
                <w:lang w:eastAsia="en-GB"/>
              </w:rPr>
            </w:pPr>
            <w:r w:rsidRPr="00E83C5E">
              <w:rPr>
                <w:rFonts w:ascii="Garamond" w:hAnsi="Garamond" w:cs="Times New Roman"/>
                <w:color w:val="000000" w:themeColor="text1"/>
                <w:sz w:val="20"/>
                <w:szCs w:val="24"/>
              </w:rPr>
              <w:t xml:space="preserve">Emërtimi i </w:t>
            </w:r>
            <w:r w:rsidR="00DA0E84" w:rsidRPr="00E83C5E">
              <w:rPr>
                <w:rFonts w:ascii="Garamond" w:hAnsi="Garamond" w:cs="Times New Roman"/>
                <w:color w:val="000000" w:themeColor="text1"/>
                <w:sz w:val="20"/>
                <w:szCs w:val="24"/>
              </w:rPr>
              <w:t>t</w:t>
            </w:r>
            <w:r w:rsidRPr="00E83C5E">
              <w:rPr>
                <w:rFonts w:ascii="Garamond" w:hAnsi="Garamond" w:cs="Times New Roman"/>
                <w:color w:val="000000" w:themeColor="text1"/>
                <w:sz w:val="20"/>
                <w:szCs w:val="24"/>
              </w:rPr>
              <w:t xml:space="preserve">reguesit të </w:t>
            </w:r>
            <w:r w:rsidR="00DA0E84" w:rsidRPr="00E83C5E">
              <w:rPr>
                <w:rFonts w:ascii="Garamond" w:hAnsi="Garamond" w:cs="Times New Roman"/>
                <w:color w:val="000000" w:themeColor="text1"/>
                <w:sz w:val="20"/>
                <w:szCs w:val="24"/>
              </w:rPr>
              <w:t>pe</w:t>
            </w:r>
            <w:r w:rsidRPr="00E83C5E">
              <w:rPr>
                <w:rFonts w:ascii="Garamond" w:hAnsi="Garamond" w:cs="Times New Roman"/>
                <w:color w:val="000000" w:themeColor="text1"/>
                <w:sz w:val="20"/>
                <w:szCs w:val="24"/>
              </w:rPr>
              <w:t>rformancës</w:t>
            </w:r>
          </w:p>
        </w:tc>
        <w:tc>
          <w:tcPr>
            <w:tcW w:w="2296" w:type="dxa"/>
          </w:tcPr>
          <w:p w14:paraId="574E2B66" w14:textId="2E1F19CD" w:rsidR="00AE2512" w:rsidRPr="00E83C5E" w:rsidRDefault="00AE2512" w:rsidP="00AE2512">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sz w:val="20"/>
                <w:szCs w:val="24"/>
                <w:lang w:eastAsia="en-GB"/>
              </w:rPr>
            </w:pPr>
            <w:r w:rsidRPr="00E83C5E">
              <w:rPr>
                <w:rFonts w:ascii="Garamond" w:hAnsi="Garamond" w:cs="Times New Roman"/>
                <w:sz w:val="20"/>
                <w:szCs w:val="24"/>
                <w:lang w:eastAsia="en-GB"/>
              </w:rPr>
              <w:t xml:space="preserve">Lidhja me </w:t>
            </w:r>
            <w:r w:rsidR="00DA0E84" w:rsidRPr="00E83C5E">
              <w:rPr>
                <w:rFonts w:ascii="Garamond" w:hAnsi="Garamond" w:cs="Times New Roman"/>
                <w:sz w:val="20"/>
                <w:szCs w:val="24"/>
                <w:lang w:eastAsia="en-GB"/>
              </w:rPr>
              <w:t>qëllimin e politikës</w:t>
            </w:r>
          </w:p>
        </w:tc>
        <w:tc>
          <w:tcPr>
            <w:tcW w:w="2467" w:type="dxa"/>
          </w:tcPr>
          <w:p w14:paraId="574E2B67" w14:textId="598F3616" w:rsidR="00AE2512" w:rsidRPr="00E83C5E" w:rsidRDefault="00AE2512" w:rsidP="00AE2512">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sz w:val="20"/>
                <w:szCs w:val="24"/>
                <w:lang w:eastAsia="en-GB"/>
              </w:rPr>
            </w:pPr>
            <w:r w:rsidRPr="00E83C5E">
              <w:rPr>
                <w:rFonts w:ascii="Garamond" w:hAnsi="Garamond" w:cs="Times New Roman"/>
                <w:sz w:val="20"/>
                <w:szCs w:val="24"/>
                <w:lang w:eastAsia="en-GB"/>
              </w:rPr>
              <w:t xml:space="preserve">Lidhja me </w:t>
            </w:r>
            <w:r w:rsidR="00DA0E84" w:rsidRPr="00E83C5E">
              <w:rPr>
                <w:rFonts w:ascii="Garamond" w:hAnsi="Garamond" w:cs="Times New Roman"/>
                <w:sz w:val="20"/>
                <w:szCs w:val="24"/>
                <w:lang w:eastAsia="en-GB"/>
              </w:rPr>
              <w:t>objektivin specifik</w:t>
            </w:r>
          </w:p>
        </w:tc>
        <w:tc>
          <w:tcPr>
            <w:tcW w:w="1282" w:type="dxa"/>
          </w:tcPr>
          <w:p w14:paraId="574E2B68" w14:textId="1BEB95DF" w:rsidR="00AE2512" w:rsidRPr="00E83C5E" w:rsidRDefault="00AE2512" w:rsidP="00AE2512">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sz w:val="20"/>
                <w:szCs w:val="24"/>
                <w:lang w:eastAsia="en-GB"/>
              </w:rPr>
            </w:pPr>
            <w:r w:rsidRPr="00E83C5E">
              <w:rPr>
                <w:rFonts w:ascii="Garamond" w:hAnsi="Garamond" w:cs="Times New Roman"/>
                <w:sz w:val="20"/>
                <w:szCs w:val="24"/>
                <w:lang w:eastAsia="en-GB"/>
              </w:rPr>
              <w:t xml:space="preserve">Institucioni </w:t>
            </w:r>
            <w:r w:rsidR="00DA0E84" w:rsidRPr="00E83C5E">
              <w:rPr>
                <w:rFonts w:ascii="Garamond" w:hAnsi="Garamond" w:cs="Times New Roman"/>
                <w:sz w:val="20"/>
                <w:szCs w:val="24"/>
                <w:lang w:eastAsia="en-GB"/>
              </w:rPr>
              <w:t>përgjegjës</w:t>
            </w:r>
          </w:p>
          <w:p w14:paraId="574E2B69" w14:textId="77777777" w:rsidR="00AE2512" w:rsidRPr="00E83C5E" w:rsidRDefault="00AE2512" w:rsidP="00AE2512">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sz w:val="20"/>
                <w:szCs w:val="24"/>
                <w:lang w:eastAsia="en-GB"/>
              </w:rPr>
            </w:pPr>
          </w:p>
        </w:tc>
      </w:tr>
      <w:tr w:rsidR="00AE2512" w:rsidRPr="00E83C5E" w14:paraId="574E2B71" w14:textId="77777777" w:rsidTr="0058775E">
        <w:trPr>
          <w:trHeight w:val="30"/>
        </w:trPr>
        <w:tc>
          <w:tcPr>
            <w:cnfStyle w:val="001000000000" w:firstRow="0" w:lastRow="0" w:firstColumn="1" w:lastColumn="0" w:oddVBand="0" w:evenVBand="0" w:oddHBand="0" w:evenHBand="0" w:firstRowFirstColumn="0" w:firstRowLastColumn="0" w:lastRowFirstColumn="0" w:lastRowLastColumn="0"/>
            <w:tcW w:w="1348" w:type="dxa"/>
          </w:tcPr>
          <w:p w14:paraId="574E2B6B" w14:textId="77777777" w:rsidR="00AE2512" w:rsidRPr="00E83C5E" w:rsidRDefault="00AE2512" w:rsidP="00AE2512">
            <w:pPr>
              <w:jc w:val="both"/>
              <w:rPr>
                <w:rFonts w:ascii="Garamond" w:hAnsi="Garamond" w:cs="Times New Roman"/>
                <w:sz w:val="20"/>
                <w:szCs w:val="24"/>
                <w:lang w:eastAsia="en-GB"/>
              </w:rPr>
            </w:pPr>
            <w:r w:rsidRPr="00E83C5E">
              <w:rPr>
                <w:rFonts w:ascii="Garamond" w:hAnsi="Garamond" w:cs="Times New Roman"/>
                <w:sz w:val="20"/>
                <w:szCs w:val="24"/>
                <w:lang w:eastAsia="en-GB"/>
              </w:rPr>
              <w:t>Rezultati</w:t>
            </w:r>
          </w:p>
        </w:tc>
        <w:tc>
          <w:tcPr>
            <w:tcW w:w="1853" w:type="dxa"/>
          </w:tcPr>
          <w:p w14:paraId="574E2B6C" w14:textId="291DD35C" w:rsidR="00AE2512" w:rsidRPr="00E83C5E" w:rsidRDefault="00AE2512" w:rsidP="00DA0E84">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 xml:space="preserve">% e bashkive ku janë ngritur </w:t>
            </w:r>
            <w:r w:rsidR="00DA0E84" w:rsidRPr="00E83C5E">
              <w:rPr>
                <w:rFonts w:ascii="Garamond" w:hAnsi="Garamond" w:cs="Times New Roman"/>
                <w:sz w:val="20"/>
                <w:szCs w:val="24"/>
                <w:lang w:eastAsia="en-GB"/>
              </w:rPr>
              <w:t>qendrat rinore multifunksionale</w:t>
            </w:r>
          </w:p>
        </w:tc>
        <w:tc>
          <w:tcPr>
            <w:tcW w:w="2296" w:type="dxa"/>
          </w:tcPr>
          <w:p w14:paraId="574E2B6D" w14:textId="77777777" w:rsidR="00AE2512" w:rsidRPr="00E83C5E" w:rsidRDefault="00AE2512" w:rsidP="0058775E">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Fuqizimi organizimit rinor dhe rritja e pjesëmarrjes rinore</w:t>
            </w:r>
          </w:p>
          <w:p w14:paraId="574E2B6E" w14:textId="1AF4AFB2" w:rsidR="00AE2512" w:rsidRPr="00E83C5E" w:rsidRDefault="00AE2512" w:rsidP="00364633">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Të rejat dhe të rinjtë marrin pjesë aktivisht në shoqëri dhe ndihen të fuqizuar për t’u shprehur me zërin e tyre. Politikat ndërsektoriale rinore janë të koordinuara, të bazuara në analiza, me mekanizma të mirëfinancuar</w:t>
            </w:r>
          </w:p>
        </w:tc>
        <w:tc>
          <w:tcPr>
            <w:tcW w:w="2467" w:type="dxa"/>
          </w:tcPr>
          <w:p w14:paraId="574E2B6F" w14:textId="3CF69FD4" w:rsidR="00AE2512" w:rsidRPr="00E83C5E" w:rsidRDefault="00AE2512" w:rsidP="0058775E">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rPr>
            </w:pPr>
            <w:r w:rsidRPr="00E83C5E">
              <w:rPr>
                <w:rFonts w:ascii="Garamond" w:hAnsi="Garamond" w:cs="Times New Roman"/>
                <w:sz w:val="20"/>
                <w:szCs w:val="24"/>
              </w:rPr>
              <w:t xml:space="preserve">Të rinjtë janë të </w:t>
            </w:r>
            <w:r w:rsidR="00A83D87">
              <w:rPr>
                <w:rFonts w:ascii="Garamond" w:hAnsi="Garamond" w:cs="Times New Roman"/>
                <w:sz w:val="20"/>
                <w:szCs w:val="24"/>
              </w:rPr>
              <w:t>mirinformuar</w:t>
            </w:r>
            <w:r w:rsidRPr="00E83C5E">
              <w:rPr>
                <w:rFonts w:ascii="Garamond" w:hAnsi="Garamond" w:cs="Times New Roman"/>
                <w:sz w:val="20"/>
                <w:szCs w:val="24"/>
              </w:rPr>
              <w:t xml:space="preserve"> rreth mundësive për të mësuar, fituar përvojë organizative dhe vullnetarizëm, dhe për të marrë pjesë aktivisht në jetën qytetare, sociale dhe politike</w:t>
            </w:r>
          </w:p>
        </w:tc>
        <w:tc>
          <w:tcPr>
            <w:tcW w:w="1282" w:type="dxa"/>
          </w:tcPr>
          <w:p w14:paraId="574E2B70" w14:textId="77777777" w:rsidR="00AE2512" w:rsidRPr="00E83C5E" w:rsidRDefault="00AE2512" w:rsidP="0058775E">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MSHRF/ AKR</w:t>
            </w:r>
          </w:p>
        </w:tc>
      </w:tr>
      <w:tr w:rsidR="00AE2512" w:rsidRPr="00E83C5E" w14:paraId="574E2B78" w14:textId="77777777" w:rsidTr="00BC2136">
        <w:trPr>
          <w:trHeight w:val="530"/>
        </w:trPr>
        <w:tc>
          <w:tcPr>
            <w:cnfStyle w:val="001000000000" w:firstRow="0" w:lastRow="0" w:firstColumn="1" w:lastColumn="0" w:oddVBand="0" w:evenVBand="0" w:oddHBand="0" w:evenHBand="0" w:firstRowFirstColumn="0" w:firstRowLastColumn="0" w:lastRowFirstColumn="0" w:lastRowLastColumn="0"/>
            <w:tcW w:w="1348" w:type="dxa"/>
          </w:tcPr>
          <w:p w14:paraId="574E2B72" w14:textId="77777777" w:rsidR="00AE2512" w:rsidRPr="00E83C5E" w:rsidRDefault="00AE2512" w:rsidP="00AE2512">
            <w:pPr>
              <w:jc w:val="both"/>
              <w:rPr>
                <w:rFonts w:ascii="Garamond" w:hAnsi="Garamond" w:cs="Times New Roman"/>
                <w:sz w:val="20"/>
                <w:szCs w:val="24"/>
                <w:lang w:eastAsia="en-GB"/>
              </w:rPr>
            </w:pPr>
            <w:r w:rsidRPr="00E83C5E">
              <w:rPr>
                <w:rFonts w:ascii="Garamond" w:hAnsi="Garamond" w:cs="Times New Roman"/>
                <w:sz w:val="20"/>
                <w:szCs w:val="24"/>
                <w:lang w:eastAsia="en-GB"/>
              </w:rPr>
              <w:t>Rezultati</w:t>
            </w:r>
          </w:p>
        </w:tc>
        <w:tc>
          <w:tcPr>
            <w:tcW w:w="1853" w:type="dxa"/>
          </w:tcPr>
          <w:p w14:paraId="574E2B73" w14:textId="473D14E4" w:rsidR="00AE2512" w:rsidRPr="00E83C5E" w:rsidRDefault="00AE2512" w:rsidP="004A51E8">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 xml:space="preserve">Numri i </w:t>
            </w:r>
            <w:r w:rsidR="004A51E8" w:rsidRPr="00E83C5E">
              <w:rPr>
                <w:rFonts w:ascii="Garamond" w:hAnsi="Garamond" w:cs="Times New Roman"/>
                <w:sz w:val="20"/>
                <w:szCs w:val="24"/>
                <w:lang w:eastAsia="en-GB"/>
              </w:rPr>
              <w:t xml:space="preserve">këshillave vendorë </w:t>
            </w:r>
            <w:r w:rsidRPr="00E83C5E">
              <w:rPr>
                <w:rFonts w:ascii="Garamond" w:hAnsi="Garamond" w:cs="Times New Roman"/>
                <w:sz w:val="20"/>
                <w:szCs w:val="24"/>
                <w:lang w:eastAsia="en-GB"/>
              </w:rPr>
              <w:t>të ngritur dhe funksionale</w:t>
            </w:r>
            <w:r w:rsidR="002346C5" w:rsidRPr="00E83C5E">
              <w:rPr>
                <w:rFonts w:ascii="Garamond" w:hAnsi="Garamond" w:cs="Times New Roman"/>
                <w:sz w:val="20"/>
                <w:szCs w:val="24"/>
                <w:lang w:eastAsia="en-GB"/>
              </w:rPr>
              <w:t xml:space="preserve"> (</w:t>
            </w:r>
            <w:r w:rsidRPr="00E83C5E">
              <w:rPr>
                <w:rFonts w:ascii="Garamond" w:hAnsi="Garamond" w:cs="Times New Roman"/>
                <w:sz w:val="20"/>
                <w:szCs w:val="24"/>
                <w:lang w:eastAsia="en-GB"/>
              </w:rPr>
              <w:t>në nivel bashkie)</w:t>
            </w:r>
          </w:p>
        </w:tc>
        <w:tc>
          <w:tcPr>
            <w:tcW w:w="2296" w:type="dxa"/>
          </w:tcPr>
          <w:p w14:paraId="574E2B74" w14:textId="77777777" w:rsidR="00AE2512" w:rsidRPr="00E83C5E" w:rsidRDefault="00AE2512" w:rsidP="00AE2512">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Fuqizimi organizimit rinor dhe rritja e pjesëmarrjes rinore</w:t>
            </w:r>
          </w:p>
          <w:p w14:paraId="574E2B75" w14:textId="3804F58A" w:rsidR="00AE2512" w:rsidRPr="00E83C5E" w:rsidRDefault="00AE2512" w:rsidP="00364633">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Të rejat dhe të rinjtë marrin pjesë aktivisht në shoqëri dhe ndihen të fuqizuar për t’u shprehur me zërin e tyre. Politikat ndërsektoriale rinore janë të koordinuara, të bazuara në analiza, me mekanizma të mirëfinancuar</w:t>
            </w:r>
          </w:p>
        </w:tc>
        <w:tc>
          <w:tcPr>
            <w:tcW w:w="2467" w:type="dxa"/>
          </w:tcPr>
          <w:p w14:paraId="574E2B76" w14:textId="2C611A48" w:rsidR="00AE2512" w:rsidRPr="00E83C5E" w:rsidRDefault="00AE2512" w:rsidP="00AE2512">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 xml:space="preserve">Të rinjtë janë të </w:t>
            </w:r>
            <w:r w:rsidR="00A83D87">
              <w:rPr>
                <w:rFonts w:ascii="Garamond" w:hAnsi="Garamond" w:cs="Times New Roman"/>
                <w:sz w:val="20"/>
                <w:szCs w:val="24"/>
                <w:lang w:eastAsia="en-GB"/>
              </w:rPr>
              <w:t>mirinformuar</w:t>
            </w:r>
            <w:r w:rsidRPr="00E83C5E">
              <w:rPr>
                <w:rFonts w:ascii="Garamond" w:hAnsi="Garamond" w:cs="Times New Roman"/>
                <w:sz w:val="20"/>
                <w:szCs w:val="24"/>
                <w:lang w:eastAsia="en-GB"/>
              </w:rPr>
              <w:t xml:space="preserve"> rreth mundësive për të mësuar, fituar përvojë organizative dhe vullnetarizëm, dhe për të marrë pjesë aktivisht në jetën qytetare, sociale dhe politike</w:t>
            </w:r>
          </w:p>
        </w:tc>
        <w:tc>
          <w:tcPr>
            <w:tcW w:w="1282" w:type="dxa"/>
          </w:tcPr>
          <w:p w14:paraId="574E2B77" w14:textId="77777777" w:rsidR="00AE2512" w:rsidRPr="00E83C5E" w:rsidRDefault="00AE2512" w:rsidP="00AE2512">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MSHRF/ AKR/ Bashki</w:t>
            </w:r>
          </w:p>
        </w:tc>
      </w:tr>
      <w:tr w:rsidR="00AE2512" w:rsidRPr="00E83C5E" w14:paraId="574E2B7F" w14:textId="77777777" w:rsidTr="00BC2136">
        <w:trPr>
          <w:trHeight w:val="530"/>
        </w:trPr>
        <w:tc>
          <w:tcPr>
            <w:cnfStyle w:val="001000000000" w:firstRow="0" w:lastRow="0" w:firstColumn="1" w:lastColumn="0" w:oddVBand="0" w:evenVBand="0" w:oddHBand="0" w:evenHBand="0" w:firstRowFirstColumn="0" w:firstRowLastColumn="0" w:lastRowFirstColumn="0" w:lastRowLastColumn="0"/>
            <w:tcW w:w="1348" w:type="dxa"/>
          </w:tcPr>
          <w:p w14:paraId="574E2B79" w14:textId="77777777" w:rsidR="00AE2512" w:rsidRPr="00E83C5E" w:rsidRDefault="00AE2512" w:rsidP="00AE2512">
            <w:pPr>
              <w:jc w:val="both"/>
              <w:rPr>
                <w:rFonts w:ascii="Garamond" w:hAnsi="Garamond" w:cs="Times New Roman"/>
                <w:sz w:val="20"/>
                <w:szCs w:val="24"/>
                <w:lang w:eastAsia="en-GB"/>
              </w:rPr>
            </w:pPr>
            <w:r w:rsidRPr="00E83C5E">
              <w:rPr>
                <w:rFonts w:ascii="Garamond" w:hAnsi="Garamond" w:cs="Times New Roman"/>
                <w:sz w:val="20"/>
                <w:szCs w:val="24"/>
                <w:lang w:eastAsia="en-GB"/>
              </w:rPr>
              <w:lastRenderedPageBreak/>
              <w:t>Rezultati</w:t>
            </w:r>
          </w:p>
        </w:tc>
        <w:tc>
          <w:tcPr>
            <w:tcW w:w="1853" w:type="dxa"/>
          </w:tcPr>
          <w:p w14:paraId="574E2B7A" w14:textId="74603E72" w:rsidR="00AE2512" w:rsidRPr="00E83C5E" w:rsidRDefault="00AE2512" w:rsidP="00AE2512">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 xml:space="preserve">Ligji </w:t>
            </w:r>
            <w:r w:rsidR="00D540B0" w:rsidRPr="00E83C5E">
              <w:rPr>
                <w:rFonts w:ascii="Garamond" w:hAnsi="Garamond" w:cs="Times New Roman"/>
                <w:sz w:val="20"/>
                <w:szCs w:val="24"/>
                <w:lang w:eastAsia="en-GB"/>
              </w:rPr>
              <w:t>“</w:t>
            </w:r>
            <w:r w:rsidRPr="00E83C5E">
              <w:rPr>
                <w:rFonts w:ascii="Garamond" w:hAnsi="Garamond" w:cs="Times New Roman"/>
                <w:sz w:val="20"/>
                <w:szCs w:val="24"/>
                <w:lang w:eastAsia="en-GB"/>
              </w:rPr>
              <w:t>Për Rininë</w:t>
            </w:r>
            <w:r w:rsidR="00D540B0" w:rsidRPr="00E83C5E">
              <w:rPr>
                <w:rFonts w:ascii="Garamond" w:hAnsi="Garamond" w:cs="Times New Roman"/>
                <w:sz w:val="20"/>
                <w:szCs w:val="24"/>
                <w:lang w:eastAsia="en-GB"/>
              </w:rPr>
              <w:t>”</w:t>
            </w:r>
            <w:r w:rsidRPr="00E83C5E">
              <w:rPr>
                <w:rFonts w:ascii="Garamond" w:hAnsi="Garamond" w:cs="Times New Roman"/>
                <w:sz w:val="20"/>
                <w:szCs w:val="24"/>
                <w:lang w:eastAsia="en-GB"/>
              </w:rPr>
              <w:t xml:space="preserve"> i rishikuar dhe miratuar</w:t>
            </w:r>
          </w:p>
        </w:tc>
        <w:tc>
          <w:tcPr>
            <w:tcW w:w="2296" w:type="dxa"/>
          </w:tcPr>
          <w:p w14:paraId="574E2B7B" w14:textId="77777777" w:rsidR="00AE2512" w:rsidRPr="00E83C5E" w:rsidRDefault="00AE2512" w:rsidP="00AE2512">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Fuqizimi organizimit rinor dhe rritja e pjesëmarrjes rinore</w:t>
            </w:r>
          </w:p>
          <w:p w14:paraId="574E2B7C" w14:textId="314C799D" w:rsidR="00AE2512" w:rsidRPr="00E83C5E" w:rsidRDefault="00AE2512" w:rsidP="00364633">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Të rejat dhe të rinjtë marrin pjesë aktivisht në shoqëri dhe ndihen të fuqizuar për t’u shprehur me zërin e tyre. Politikat ndërsektoriale rinore janë të koordinuara, të bazuara në analiza, me mekanizma të mirëfinancuar</w:t>
            </w:r>
          </w:p>
        </w:tc>
        <w:tc>
          <w:tcPr>
            <w:tcW w:w="2467" w:type="dxa"/>
          </w:tcPr>
          <w:p w14:paraId="574E2B7D" w14:textId="63AFA634" w:rsidR="00AE2512" w:rsidRPr="00E83C5E" w:rsidRDefault="00AE2512" w:rsidP="00AE2512">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 xml:space="preserve">Të rinjtë janë të </w:t>
            </w:r>
            <w:r w:rsidR="00A83D87">
              <w:rPr>
                <w:rFonts w:ascii="Garamond" w:hAnsi="Garamond" w:cs="Times New Roman"/>
                <w:sz w:val="20"/>
                <w:szCs w:val="24"/>
                <w:lang w:eastAsia="en-GB"/>
              </w:rPr>
              <w:t>mirinformuar</w:t>
            </w:r>
            <w:r w:rsidRPr="00E83C5E">
              <w:rPr>
                <w:rFonts w:ascii="Garamond" w:hAnsi="Garamond" w:cs="Times New Roman"/>
                <w:sz w:val="20"/>
                <w:szCs w:val="24"/>
                <w:lang w:eastAsia="en-GB"/>
              </w:rPr>
              <w:t xml:space="preserve"> rreth mundësive për të mësuar, fituar përvojë organizative dhe vullnetarizëm, dhe për të marrë pjesë aktivisht në jetën qytetare, sociale dhe politike</w:t>
            </w:r>
          </w:p>
        </w:tc>
        <w:tc>
          <w:tcPr>
            <w:tcW w:w="1282" w:type="dxa"/>
          </w:tcPr>
          <w:p w14:paraId="574E2B7E" w14:textId="77777777" w:rsidR="00AE2512" w:rsidRPr="00E83C5E" w:rsidRDefault="00AE2512" w:rsidP="00AE2512">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MSHRF</w:t>
            </w:r>
          </w:p>
        </w:tc>
      </w:tr>
      <w:tr w:rsidR="00AE2512" w:rsidRPr="00E83C5E" w14:paraId="574E2B86" w14:textId="77777777" w:rsidTr="00BC2136">
        <w:trPr>
          <w:trHeight w:val="530"/>
        </w:trPr>
        <w:tc>
          <w:tcPr>
            <w:cnfStyle w:val="001000000000" w:firstRow="0" w:lastRow="0" w:firstColumn="1" w:lastColumn="0" w:oddVBand="0" w:evenVBand="0" w:oddHBand="0" w:evenHBand="0" w:firstRowFirstColumn="0" w:firstRowLastColumn="0" w:lastRowFirstColumn="0" w:lastRowLastColumn="0"/>
            <w:tcW w:w="1348" w:type="dxa"/>
          </w:tcPr>
          <w:p w14:paraId="574E2B80" w14:textId="77777777" w:rsidR="00AE2512" w:rsidRPr="00E83C5E" w:rsidRDefault="00AE2512" w:rsidP="00AE2512">
            <w:pPr>
              <w:jc w:val="both"/>
              <w:rPr>
                <w:rFonts w:ascii="Garamond" w:hAnsi="Garamond" w:cs="Times New Roman"/>
                <w:sz w:val="20"/>
                <w:szCs w:val="24"/>
                <w:lang w:eastAsia="en-GB"/>
              </w:rPr>
            </w:pPr>
            <w:r w:rsidRPr="00E83C5E">
              <w:rPr>
                <w:rFonts w:ascii="Garamond" w:hAnsi="Garamond" w:cs="Times New Roman"/>
                <w:sz w:val="20"/>
                <w:szCs w:val="24"/>
                <w:lang w:eastAsia="en-GB"/>
              </w:rPr>
              <w:t>Rezultati</w:t>
            </w:r>
          </w:p>
        </w:tc>
        <w:tc>
          <w:tcPr>
            <w:tcW w:w="1853" w:type="dxa"/>
          </w:tcPr>
          <w:p w14:paraId="574E2B81" w14:textId="3EE4D81C" w:rsidR="00AE2512" w:rsidRPr="00E83C5E" w:rsidRDefault="00AE2512" w:rsidP="004A51E8">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 xml:space="preserve">Ligji </w:t>
            </w:r>
            <w:r w:rsidR="00D540B0" w:rsidRPr="00E83C5E">
              <w:rPr>
                <w:rFonts w:ascii="Garamond" w:hAnsi="Garamond" w:cs="Times New Roman"/>
                <w:sz w:val="20"/>
                <w:szCs w:val="24"/>
                <w:lang w:eastAsia="en-GB"/>
              </w:rPr>
              <w:t>“</w:t>
            </w:r>
            <w:r w:rsidRPr="00E83C5E">
              <w:rPr>
                <w:rFonts w:ascii="Garamond" w:hAnsi="Garamond" w:cs="Times New Roman"/>
                <w:sz w:val="20"/>
                <w:szCs w:val="24"/>
                <w:lang w:eastAsia="en-GB"/>
              </w:rPr>
              <w:t xml:space="preserve">Për </w:t>
            </w:r>
            <w:r w:rsidR="004A51E8" w:rsidRPr="00E83C5E">
              <w:rPr>
                <w:rFonts w:ascii="Garamond" w:hAnsi="Garamond" w:cs="Times New Roman"/>
                <w:sz w:val="20"/>
                <w:szCs w:val="24"/>
                <w:lang w:eastAsia="en-GB"/>
              </w:rPr>
              <w:t>v</w:t>
            </w:r>
            <w:r w:rsidRPr="00E83C5E">
              <w:rPr>
                <w:rFonts w:ascii="Garamond" w:hAnsi="Garamond" w:cs="Times New Roman"/>
                <w:sz w:val="20"/>
                <w:szCs w:val="24"/>
                <w:lang w:eastAsia="en-GB"/>
              </w:rPr>
              <w:t>ullnetarizmin</w:t>
            </w:r>
            <w:r w:rsidR="00D540B0" w:rsidRPr="00E83C5E">
              <w:rPr>
                <w:rFonts w:ascii="Garamond" w:hAnsi="Garamond" w:cs="Times New Roman"/>
                <w:sz w:val="20"/>
                <w:szCs w:val="24"/>
                <w:lang w:eastAsia="en-GB"/>
              </w:rPr>
              <w:t>”</w:t>
            </w:r>
            <w:r w:rsidRPr="00E83C5E">
              <w:rPr>
                <w:rFonts w:ascii="Garamond" w:hAnsi="Garamond" w:cs="Times New Roman"/>
                <w:sz w:val="20"/>
                <w:szCs w:val="24"/>
                <w:lang w:eastAsia="en-GB"/>
              </w:rPr>
              <w:t xml:space="preserve"> i rishikuar dhe miratuar</w:t>
            </w:r>
          </w:p>
        </w:tc>
        <w:tc>
          <w:tcPr>
            <w:tcW w:w="2296" w:type="dxa"/>
          </w:tcPr>
          <w:p w14:paraId="574E2B82" w14:textId="77777777" w:rsidR="00AE2512" w:rsidRPr="00E83C5E" w:rsidRDefault="00AE2512" w:rsidP="00AE2512">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Fuqizimi organizimit rinor dhe rritja e pjesëmarrjes rinore</w:t>
            </w:r>
          </w:p>
          <w:p w14:paraId="574E2B83" w14:textId="5DE244A4" w:rsidR="00AE2512" w:rsidRPr="00E83C5E" w:rsidRDefault="00AE2512" w:rsidP="00364633">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Të rejat dhe të rinjtë marrin pjesë aktivisht në shoqëri dhe ndihen të fuqizuar për t’u shprehur me zërin e tyre. Politikat ndërsektoriale rinore janë të koordinuara, të bazuara në analiza, me mekanizma të mirëfinancuar</w:t>
            </w:r>
          </w:p>
        </w:tc>
        <w:tc>
          <w:tcPr>
            <w:tcW w:w="2467" w:type="dxa"/>
          </w:tcPr>
          <w:p w14:paraId="574E2B84" w14:textId="50D36672" w:rsidR="00AE2512" w:rsidRPr="00E83C5E" w:rsidRDefault="00AE2512" w:rsidP="00AE2512">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 xml:space="preserve">Të rinjtë janë të </w:t>
            </w:r>
            <w:r w:rsidR="00A83D87">
              <w:rPr>
                <w:rFonts w:ascii="Garamond" w:hAnsi="Garamond" w:cs="Times New Roman"/>
                <w:sz w:val="20"/>
                <w:szCs w:val="24"/>
                <w:lang w:eastAsia="en-GB"/>
              </w:rPr>
              <w:t>mirinformuar</w:t>
            </w:r>
            <w:r w:rsidRPr="00E83C5E">
              <w:rPr>
                <w:rFonts w:ascii="Garamond" w:hAnsi="Garamond" w:cs="Times New Roman"/>
                <w:sz w:val="20"/>
                <w:szCs w:val="24"/>
                <w:lang w:eastAsia="en-GB"/>
              </w:rPr>
              <w:t xml:space="preserve"> rreth mundësive për të mësuar, fituar përvojë organizative dhe vullnetarizëm, dhe për të marrë pjesë aktivisht në jetën qytetare, sociale dhe politike</w:t>
            </w:r>
          </w:p>
        </w:tc>
        <w:tc>
          <w:tcPr>
            <w:tcW w:w="1282" w:type="dxa"/>
          </w:tcPr>
          <w:p w14:paraId="574E2B85" w14:textId="77777777" w:rsidR="00AE2512" w:rsidRPr="00E83C5E" w:rsidRDefault="00AE2512" w:rsidP="00AE2512">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MSHRF/AKPA/MFE</w:t>
            </w:r>
          </w:p>
        </w:tc>
      </w:tr>
    </w:tbl>
    <w:p w14:paraId="574E2B89" w14:textId="022B5BBA" w:rsidR="00AE2512" w:rsidRPr="00E83C5E" w:rsidRDefault="00AE2512" w:rsidP="0058775E">
      <w:pPr>
        <w:spacing w:after="0" w:line="240" w:lineRule="auto"/>
        <w:ind w:firstLine="284"/>
        <w:jc w:val="both"/>
        <w:rPr>
          <w:rFonts w:ascii="Garamond" w:hAnsi="Garamond"/>
          <w:sz w:val="24"/>
          <w:szCs w:val="24"/>
        </w:rPr>
      </w:pPr>
      <w:r w:rsidRPr="00E83C5E">
        <w:rPr>
          <w:rFonts w:ascii="Garamond" w:hAnsi="Garamond" w:cs="Times New Roman"/>
          <w:color w:val="222222"/>
          <w:sz w:val="24"/>
          <w:szCs w:val="24"/>
        </w:rPr>
        <w:t xml:space="preserve">Lista e masave për arritjen e </w:t>
      </w:r>
      <w:r w:rsidR="0058775E" w:rsidRPr="00E83C5E">
        <w:rPr>
          <w:rFonts w:ascii="Garamond" w:hAnsi="Garamond" w:cs="Times New Roman"/>
          <w:color w:val="222222"/>
          <w:sz w:val="24"/>
          <w:szCs w:val="24"/>
        </w:rPr>
        <w:t xml:space="preserve">objektivit specifik </w:t>
      </w:r>
      <w:r w:rsidRPr="00E83C5E">
        <w:rPr>
          <w:rFonts w:ascii="Garamond" w:hAnsi="Garamond" w:cs="Times New Roman"/>
          <w:color w:val="222222"/>
          <w:sz w:val="24"/>
          <w:szCs w:val="24"/>
        </w:rPr>
        <w:t>1.1</w:t>
      </w:r>
    </w:p>
    <w:p w14:paraId="574E2B8A" w14:textId="77777777" w:rsidR="00AE2512" w:rsidRPr="00E83C5E" w:rsidRDefault="00AE2512" w:rsidP="00AE2512">
      <w:pPr>
        <w:pStyle w:val="Caption"/>
        <w:keepNext/>
        <w:spacing w:after="0"/>
        <w:ind w:firstLine="284"/>
        <w:rPr>
          <w:rFonts w:ascii="Garamond" w:hAnsi="Garamond"/>
          <w:sz w:val="24"/>
          <w:szCs w:val="24"/>
        </w:rPr>
      </w:pPr>
      <w:r w:rsidRPr="00E83C5E">
        <w:rPr>
          <w:rFonts w:ascii="Garamond" w:hAnsi="Garamond"/>
          <w:sz w:val="24"/>
          <w:szCs w:val="24"/>
        </w:rPr>
        <w:t xml:space="preserve">Tabela </w:t>
      </w:r>
      <w:r w:rsidRPr="00E83C5E">
        <w:rPr>
          <w:rFonts w:ascii="Garamond" w:hAnsi="Garamond"/>
          <w:sz w:val="24"/>
          <w:szCs w:val="24"/>
        </w:rPr>
        <w:fldChar w:fldCharType="begin"/>
      </w:r>
      <w:r w:rsidRPr="00E83C5E">
        <w:rPr>
          <w:rFonts w:ascii="Garamond" w:hAnsi="Garamond"/>
          <w:sz w:val="24"/>
          <w:szCs w:val="24"/>
        </w:rPr>
        <w:instrText xml:space="preserve"> SEQ Tabela \* ARABIC </w:instrText>
      </w:r>
      <w:r w:rsidRPr="00E83C5E">
        <w:rPr>
          <w:rFonts w:ascii="Garamond" w:hAnsi="Garamond"/>
          <w:sz w:val="24"/>
          <w:szCs w:val="24"/>
        </w:rPr>
        <w:fldChar w:fldCharType="separate"/>
      </w:r>
      <w:r w:rsidRPr="00E83C5E">
        <w:rPr>
          <w:rFonts w:ascii="Garamond" w:hAnsi="Garamond"/>
          <w:sz w:val="24"/>
          <w:szCs w:val="24"/>
        </w:rPr>
        <w:t>4</w:t>
      </w:r>
      <w:r w:rsidRPr="00E83C5E">
        <w:rPr>
          <w:rFonts w:ascii="Garamond" w:hAnsi="Garamond"/>
          <w:sz w:val="24"/>
          <w:szCs w:val="24"/>
        </w:rPr>
        <w:fldChar w:fldCharType="end"/>
      </w:r>
      <w:r w:rsidRPr="00E83C5E">
        <w:rPr>
          <w:rFonts w:ascii="Garamond" w:hAnsi="Garamond"/>
          <w:sz w:val="24"/>
          <w:szCs w:val="24"/>
        </w:rPr>
        <w:t>: Lista e masave për arritjen e objektivit specifik 1.1</w:t>
      </w:r>
    </w:p>
    <w:tbl>
      <w:tblPr>
        <w:tblStyle w:val="GridTable1Light-Accent51"/>
        <w:tblW w:w="9498" w:type="dxa"/>
        <w:tblLook w:val="04A0" w:firstRow="1" w:lastRow="0" w:firstColumn="1" w:lastColumn="0" w:noHBand="0" w:noVBand="1"/>
      </w:tblPr>
      <w:tblGrid>
        <w:gridCol w:w="940"/>
        <w:gridCol w:w="8558"/>
      </w:tblGrid>
      <w:tr w:rsidR="00AE2512" w:rsidRPr="00E83C5E" w14:paraId="574E2B8D" w14:textId="77777777" w:rsidTr="0058775E">
        <w:trPr>
          <w:cnfStyle w:val="100000000000" w:firstRow="1" w:lastRow="0" w:firstColumn="0" w:lastColumn="0" w:oddVBand="0" w:evenVBand="0" w:oddHBand="0"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940" w:type="dxa"/>
          </w:tcPr>
          <w:p w14:paraId="574E2B8B" w14:textId="3C3A389E" w:rsidR="00AE2512" w:rsidRPr="00E83C5E" w:rsidRDefault="0058775E" w:rsidP="0058775E">
            <w:pPr>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 xml:space="preserve">Nr. i </w:t>
            </w:r>
            <w:r w:rsidR="00AE2512" w:rsidRPr="00E83C5E">
              <w:rPr>
                <w:rFonts w:ascii="Garamond" w:eastAsia="Times New Roman" w:hAnsi="Garamond" w:cs="Times New Roman"/>
                <w:color w:val="000000"/>
                <w:sz w:val="20"/>
                <w:szCs w:val="24"/>
              </w:rPr>
              <w:t>masës</w:t>
            </w:r>
          </w:p>
        </w:tc>
        <w:tc>
          <w:tcPr>
            <w:tcW w:w="8558" w:type="dxa"/>
          </w:tcPr>
          <w:p w14:paraId="574E2B8C" w14:textId="47DED4EC" w:rsidR="00AE2512" w:rsidRPr="00E83C5E" w:rsidRDefault="00AE2512" w:rsidP="004A51E8">
            <w:pPr>
              <w:jc w:val="both"/>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Masa sipas objektivit specifi</w:t>
            </w:r>
            <w:r w:rsidR="004A51E8" w:rsidRPr="00E83C5E">
              <w:rPr>
                <w:rFonts w:ascii="Garamond" w:eastAsia="Times New Roman" w:hAnsi="Garamond" w:cs="Times New Roman"/>
                <w:color w:val="000000"/>
                <w:sz w:val="20"/>
                <w:szCs w:val="24"/>
              </w:rPr>
              <w:t>k</w:t>
            </w:r>
            <w:r w:rsidRPr="00E83C5E">
              <w:rPr>
                <w:rFonts w:ascii="Garamond" w:eastAsia="Times New Roman" w:hAnsi="Garamond" w:cs="Times New Roman"/>
                <w:color w:val="000000"/>
                <w:sz w:val="20"/>
                <w:szCs w:val="24"/>
              </w:rPr>
              <w:t xml:space="preserve"> 1.1</w:t>
            </w:r>
          </w:p>
        </w:tc>
      </w:tr>
      <w:tr w:rsidR="00AE2512" w:rsidRPr="00E83C5E" w14:paraId="574E2B90" w14:textId="77777777" w:rsidTr="0058775E">
        <w:trPr>
          <w:trHeight w:val="30"/>
        </w:trPr>
        <w:tc>
          <w:tcPr>
            <w:cnfStyle w:val="001000000000" w:firstRow="0" w:lastRow="0" w:firstColumn="1" w:lastColumn="0" w:oddVBand="0" w:evenVBand="0" w:oddHBand="0" w:evenHBand="0" w:firstRowFirstColumn="0" w:firstRowLastColumn="0" w:lastRowFirstColumn="0" w:lastRowLastColumn="0"/>
            <w:tcW w:w="940" w:type="dxa"/>
            <w:hideMark/>
          </w:tcPr>
          <w:p w14:paraId="574E2B8E" w14:textId="77777777" w:rsidR="00AE2512" w:rsidRPr="00E83C5E" w:rsidRDefault="00AE2512" w:rsidP="00816900">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1.1.1</w:t>
            </w:r>
          </w:p>
        </w:tc>
        <w:tc>
          <w:tcPr>
            <w:tcW w:w="8558" w:type="dxa"/>
          </w:tcPr>
          <w:p w14:paraId="574E2B8F" w14:textId="228AF7B3" w:rsidR="00AE2512" w:rsidRPr="00E83C5E" w:rsidRDefault="00AE2512" w:rsidP="00816900">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4"/>
              </w:rPr>
            </w:pPr>
            <w:r w:rsidRPr="00E83C5E">
              <w:rPr>
                <w:rFonts w:ascii="Garamond" w:eastAsia="Arial" w:hAnsi="Garamond" w:cs="Times New Roman"/>
                <w:sz w:val="20"/>
                <w:szCs w:val="24"/>
              </w:rPr>
              <w:t xml:space="preserve">Rishikohet </w:t>
            </w:r>
            <w:r w:rsidR="0058775E" w:rsidRPr="00E83C5E">
              <w:rPr>
                <w:rFonts w:ascii="Garamond" w:eastAsia="Arial" w:hAnsi="Garamond" w:cs="Times New Roman"/>
                <w:sz w:val="20"/>
                <w:szCs w:val="24"/>
              </w:rPr>
              <w:t xml:space="preserve">ligji për rininë për të konsoliduar </w:t>
            </w:r>
            <w:r w:rsidRPr="00E83C5E">
              <w:rPr>
                <w:rFonts w:ascii="Garamond" w:eastAsia="Arial" w:hAnsi="Garamond" w:cs="Times New Roman"/>
                <w:sz w:val="20"/>
                <w:szCs w:val="24"/>
              </w:rPr>
              <w:t>dhe zhvilluar më tej proceset e krijimit të organizatave rinore, përfaqësimin rinor, punën rinore</w:t>
            </w:r>
            <w:r w:rsidRPr="00E83C5E">
              <w:rPr>
                <w:rFonts w:ascii="Garamond" w:eastAsia="Arial" w:hAnsi="Garamond" w:cs="Times New Roman"/>
                <w:sz w:val="20"/>
                <w:szCs w:val="24"/>
                <w:vertAlign w:val="superscript"/>
              </w:rPr>
              <w:footnoteReference w:id="16"/>
            </w:r>
            <w:r w:rsidR="00233C37" w:rsidRPr="00E83C5E">
              <w:rPr>
                <w:rFonts w:ascii="Garamond" w:eastAsia="Arial" w:hAnsi="Garamond" w:cs="Times New Roman"/>
                <w:sz w:val="20"/>
                <w:szCs w:val="24"/>
              </w:rPr>
              <w:t xml:space="preserve"> </w:t>
            </w:r>
            <w:r w:rsidRPr="00E83C5E">
              <w:rPr>
                <w:rFonts w:ascii="Garamond" w:eastAsia="Arial" w:hAnsi="Garamond" w:cs="Times New Roman"/>
                <w:sz w:val="20"/>
                <w:szCs w:val="24"/>
              </w:rPr>
              <w:t>dhe ofrimin e shërbimeve të pranueshme e miqësore për të rinjtë.</w:t>
            </w:r>
          </w:p>
        </w:tc>
      </w:tr>
      <w:tr w:rsidR="00AE2512" w:rsidRPr="00E83C5E" w14:paraId="574E2B93" w14:textId="77777777" w:rsidTr="0058775E">
        <w:trPr>
          <w:trHeight w:val="50"/>
        </w:trPr>
        <w:tc>
          <w:tcPr>
            <w:cnfStyle w:val="001000000000" w:firstRow="0" w:lastRow="0" w:firstColumn="1" w:lastColumn="0" w:oddVBand="0" w:evenVBand="0" w:oddHBand="0" w:evenHBand="0" w:firstRowFirstColumn="0" w:firstRowLastColumn="0" w:lastRowFirstColumn="0" w:lastRowLastColumn="0"/>
            <w:tcW w:w="940" w:type="dxa"/>
            <w:hideMark/>
          </w:tcPr>
          <w:p w14:paraId="574E2B91" w14:textId="77777777" w:rsidR="00AE2512" w:rsidRPr="00E83C5E" w:rsidRDefault="00AE2512" w:rsidP="00816900">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1.1.2</w:t>
            </w:r>
          </w:p>
        </w:tc>
        <w:tc>
          <w:tcPr>
            <w:tcW w:w="8558" w:type="dxa"/>
          </w:tcPr>
          <w:p w14:paraId="574E2B92" w14:textId="155DCE13" w:rsidR="00AE2512" w:rsidRPr="00E83C5E" w:rsidRDefault="00AE2512" w:rsidP="00816900">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4"/>
              </w:rPr>
            </w:pPr>
            <w:r w:rsidRPr="00E83C5E">
              <w:rPr>
                <w:rFonts w:ascii="Garamond" w:eastAsia="Arial" w:hAnsi="Garamond" w:cs="Times New Roman"/>
                <w:sz w:val="20"/>
                <w:szCs w:val="24"/>
              </w:rPr>
              <w:t xml:space="preserve">Forcohen mekanizmat (në nivel qendror dhe vendor) për të garantuar pjesëmarrjen dhe konsultimin e të rejave dhe të rinjve në </w:t>
            </w:r>
            <w:r w:rsidR="00053B5D" w:rsidRPr="00E83C5E">
              <w:rPr>
                <w:rFonts w:ascii="Garamond" w:eastAsia="Arial" w:hAnsi="Garamond" w:cs="Times New Roman"/>
                <w:sz w:val="20"/>
                <w:szCs w:val="24"/>
              </w:rPr>
              <w:t>vendim</w:t>
            </w:r>
            <w:r w:rsidRPr="00E83C5E">
              <w:rPr>
                <w:rFonts w:ascii="Garamond" w:eastAsia="Arial" w:hAnsi="Garamond" w:cs="Times New Roman"/>
                <w:sz w:val="20"/>
                <w:szCs w:val="24"/>
              </w:rPr>
              <w:t>marrje.</w:t>
            </w:r>
          </w:p>
        </w:tc>
      </w:tr>
      <w:tr w:rsidR="00AE2512" w:rsidRPr="00E83C5E" w14:paraId="574E2B96" w14:textId="77777777" w:rsidTr="00BC2136">
        <w:trPr>
          <w:trHeight w:val="411"/>
        </w:trPr>
        <w:tc>
          <w:tcPr>
            <w:cnfStyle w:val="001000000000" w:firstRow="0" w:lastRow="0" w:firstColumn="1" w:lastColumn="0" w:oddVBand="0" w:evenVBand="0" w:oddHBand="0" w:evenHBand="0" w:firstRowFirstColumn="0" w:firstRowLastColumn="0" w:lastRowFirstColumn="0" w:lastRowLastColumn="0"/>
            <w:tcW w:w="940" w:type="dxa"/>
            <w:hideMark/>
          </w:tcPr>
          <w:p w14:paraId="574E2B94" w14:textId="77777777" w:rsidR="00AE2512" w:rsidRPr="00E83C5E" w:rsidRDefault="00AE2512" w:rsidP="00816900">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1.1.3</w:t>
            </w:r>
          </w:p>
        </w:tc>
        <w:tc>
          <w:tcPr>
            <w:tcW w:w="8558" w:type="dxa"/>
          </w:tcPr>
          <w:p w14:paraId="574E2B95" w14:textId="5BAACBEC" w:rsidR="00AE2512" w:rsidRPr="00E83C5E" w:rsidRDefault="00AE2512" w:rsidP="00816900">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4"/>
              </w:rPr>
            </w:pPr>
            <w:r w:rsidRPr="00E83C5E">
              <w:rPr>
                <w:rFonts w:ascii="Garamond" w:eastAsia="Arial" w:hAnsi="Garamond" w:cs="Times New Roman"/>
                <w:sz w:val="20"/>
                <w:szCs w:val="24"/>
              </w:rPr>
              <w:t xml:space="preserve">Përmes platformës rinore </w:t>
            </w:r>
            <w:r w:rsidR="00D540B0" w:rsidRPr="00E83C5E">
              <w:rPr>
                <w:rFonts w:ascii="Garamond" w:eastAsia="Arial" w:hAnsi="Garamond" w:cs="Times New Roman"/>
                <w:sz w:val="20"/>
                <w:szCs w:val="24"/>
              </w:rPr>
              <w:t>“</w:t>
            </w:r>
            <w:r w:rsidRPr="00E83C5E">
              <w:rPr>
                <w:rFonts w:ascii="Garamond" w:eastAsia="Arial" w:hAnsi="Garamond" w:cs="Times New Roman"/>
                <w:sz w:val="20"/>
                <w:szCs w:val="24"/>
              </w:rPr>
              <w:t>Të rinjtë për të rinjtë</w:t>
            </w:r>
            <w:r w:rsidR="00D540B0" w:rsidRPr="00E83C5E">
              <w:rPr>
                <w:rFonts w:ascii="Garamond" w:eastAsia="Arial" w:hAnsi="Garamond" w:cs="Times New Roman"/>
                <w:sz w:val="20"/>
                <w:szCs w:val="24"/>
              </w:rPr>
              <w:t>”</w:t>
            </w:r>
            <w:r w:rsidRPr="00E83C5E">
              <w:rPr>
                <w:rFonts w:ascii="Garamond" w:eastAsia="Arial" w:hAnsi="Garamond" w:cs="Times New Roman"/>
                <w:sz w:val="20"/>
                <w:szCs w:val="24"/>
              </w:rPr>
              <w:t xml:space="preserve"> dhe formave të tjera të komunikimit social shpërndahen informacione dhe udhëzues për rritjen e pjesëmarrjes së të rinjve në </w:t>
            </w:r>
            <w:r w:rsidR="00053B5D" w:rsidRPr="00E83C5E">
              <w:rPr>
                <w:rFonts w:ascii="Garamond" w:eastAsia="Arial" w:hAnsi="Garamond" w:cs="Times New Roman"/>
                <w:sz w:val="20"/>
                <w:szCs w:val="24"/>
              </w:rPr>
              <w:t>vendim</w:t>
            </w:r>
            <w:r w:rsidRPr="00E83C5E">
              <w:rPr>
                <w:rFonts w:ascii="Garamond" w:eastAsia="Arial" w:hAnsi="Garamond" w:cs="Times New Roman"/>
                <w:sz w:val="20"/>
                <w:szCs w:val="24"/>
              </w:rPr>
              <w:t>marrje.</w:t>
            </w:r>
            <w:r w:rsidR="00233C37" w:rsidRPr="00E83C5E">
              <w:rPr>
                <w:rFonts w:ascii="Garamond" w:eastAsia="Arial" w:hAnsi="Garamond" w:cs="Times New Roman"/>
                <w:sz w:val="20"/>
                <w:szCs w:val="24"/>
              </w:rPr>
              <w:t xml:space="preserve"> </w:t>
            </w:r>
          </w:p>
        </w:tc>
      </w:tr>
      <w:tr w:rsidR="00AE2512" w:rsidRPr="00E83C5E" w14:paraId="574E2B99" w14:textId="77777777" w:rsidTr="0058775E">
        <w:trPr>
          <w:trHeight w:val="50"/>
        </w:trPr>
        <w:tc>
          <w:tcPr>
            <w:cnfStyle w:val="001000000000" w:firstRow="0" w:lastRow="0" w:firstColumn="1" w:lastColumn="0" w:oddVBand="0" w:evenVBand="0" w:oddHBand="0" w:evenHBand="0" w:firstRowFirstColumn="0" w:firstRowLastColumn="0" w:lastRowFirstColumn="0" w:lastRowLastColumn="0"/>
            <w:tcW w:w="940" w:type="dxa"/>
            <w:hideMark/>
          </w:tcPr>
          <w:p w14:paraId="574E2B97" w14:textId="77777777" w:rsidR="00AE2512" w:rsidRPr="00E83C5E" w:rsidRDefault="00AE2512" w:rsidP="00816900">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1.1.4</w:t>
            </w:r>
          </w:p>
        </w:tc>
        <w:tc>
          <w:tcPr>
            <w:tcW w:w="8558" w:type="dxa"/>
          </w:tcPr>
          <w:p w14:paraId="574E2B98" w14:textId="02F581A1" w:rsidR="00AE2512" w:rsidRPr="00E83C5E" w:rsidRDefault="00AE2512" w:rsidP="00816900">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4"/>
              </w:rPr>
            </w:pPr>
            <w:r w:rsidRPr="00E83C5E">
              <w:rPr>
                <w:rFonts w:ascii="Garamond" w:eastAsia="Arial" w:hAnsi="Garamond" w:cs="Times New Roman"/>
                <w:sz w:val="20"/>
                <w:szCs w:val="24"/>
              </w:rPr>
              <w:t>AKR</w:t>
            </w:r>
            <w:r w:rsidR="00364633">
              <w:rPr>
                <w:rFonts w:ascii="Garamond" w:eastAsia="Arial" w:hAnsi="Garamond" w:cs="Times New Roman"/>
                <w:sz w:val="20"/>
                <w:szCs w:val="24"/>
              </w:rPr>
              <w:t>-ja</w:t>
            </w:r>
            <w:r w:rsidRPr="00E83C5E">
              <w:rPr>
                <w:rFonts w:ascii="Garamond" w:eastAsia="Arial" w:hAnsi="Garamond" w:cs="Times New Roman"/>
                <w:sz w:val="20"/>
                <w:szCs w:val="24"/>
              </w:rPr>
              <w:t xml:space="preserve"> mbështet me anë të një programi grantesh organizatat rinore dhe/ose për të rinjtë</w:t>
            </w:r>
            <w:r w:rsidR="00BE7B59">
              <w:rPr>
                <w:rFonts w:ascii="Garamond" w:eastAsia="Arial" w:hAnsi="Garamond" w:cs="Times New Roman"/>
                <w:sz w:val="20"/>
                <w:szCs w:val="24"/>
              </w:rPr>
              <w:t>,</w:t>
            </w:r>
            <w:r w:rsidRPr="00E83C5E">
              <w:rPr>
                <w:rFonts w:ascii="Garamond" w:eastAsia="Arial" w:hAnsi="Garamond" w:cs="Times New Roman"/>
                <w:sz w:val="20"/>
                <w:szCs w:val="24"/>
              </w:rPr>
              <w:t xml:space="preserve"> si dhe njësitë e vetëqeverisjes vendore përmes ngritjes së infrastrukturës për qendra rinore dhe hapësira për të rinjtë.</w:t>
            </w:r>
          </w:p>
        </w:tc>
      </w:tr>
      <w:tr w:rsidR="00AE2512" w:rsidRPr="00E83C5E" w14:paraId="574E2B9C" w14:textId="77777777" w:rsidTr="0058775E">
        <w:trPr>
          <w:trHeight w:val="50"/>
        </w:trPr>
        <w:tc>
          <w:tcPr>
            <w:cnfStyle w:val="001000000000" w:firstRow="0" w:lastRow="0" w:firstColumn="1" w:lastColumn="0" w:oddVBand="0" w:evenVBand="0" w:oddHBand="0" w:evenHBand="0" w:firstRowFirstColumn="0" w:firstRowLastColumn="0" w:lastRowFirstColumn="0" w:lastRowLastColumn="0"/>
            <w:tcW w:w="940" w:type="dxa"/>
            <w:hideMark/>
          </w:tcPr>
          <w:p w14:paraId="574E2B9A" w14:textId="77777777" w:rsidR="00AE2512" w:rsidRPr="00E83C5E" w:rsidRDefault="00AE2512" w:rsidP="00816900">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1.1.5</w:t>
            </w:r>
          </w:p>
        </w:tc>
        <w:tc>
          <w:tcPr>
            <w:tcW w:w="8558" w:type="dxa"/>
          </w:tcPr>
          <w:p w14:paraId="574E2B9B" w14:textId="77777777" w:rsidR="00AE2512" w:rsidRPr="00E83C5E" w:rsidRDefault="00AE2512" w:rsidP="00816900">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4"/>
              </w:rPr>
            </w:pPr>
            <w:r w:rsidRPr="00E83C5E">
              <w:rPr>
                <w:rFonts w:ascii="Garamond" w:eastAsia="Arial" w:hAnsi="Garamond" w:cs="Times New Roman"/>
                <w:sz w:val="20"/>
                <w:szCs w:val="24"/>
              </w:rPr>
              <w:t>Nxitet zhvillimi i një mjedisi shkollor përkrahës për të gjithë nxënësit dhe mbështetet aktivizimi i Këshillave Studentore / Qeverive të Nxënësve dhe organizimeve të tjera të nxënësve</w:t>
            </w:r>
            <w:r w:rsidRPr="00E83C5E">
              <w:rPr>
                <w:rStyle w:val="FootnoteReference"/>
                <w:rFonts w:ascii="Garamond" w:eastAsia="Arial" w:hAnsi="Garamond" w:cs="Times New Roman"/>
                <w:sz w:val="20"/>
                <w:szCs w:val="24"/>
              </w:rPr>
              <w:footnoteReference w:id="17"/>
            </w:r>
            <w:r w:rsidRPr="00E83C5E">
              <w:rPr>
                <w:rFonts w:ascii="Garamond" w:eastAsia="Arial" w:hAnsi="Garamond" w:cs="Times New Roman"/>
                <w:sz w:val="20"/>
                <w:szCs w:val="24"/>
              </w:rPr>
              <w:t>.</w:t>
            </w:r>
          </w:p>
        </w:tc>
      </w:tr>
      <w:tr w:rsidR="00AE2512" w:rsidRPr="00E83C5E" w14:paraId="574E2B9F" w14:textId="77777777" w:rsidTr="0058775E">
        <w:trPr>
          <w:trHeight w:val="50"/>
        </w:trPr>
        <w:tc>
          <w:tcPr>
            <w:cnfStyle w:val="001000000000" w:firstRow="0" w:lastRow="0" w:firstColumn="1" w:lastColumn="0" w:oddVBand="0" w:evenVBand="0" w:oddHBand="0" w:evenHBand="0" w:firstRowFirstColumn="0" w:firstRowLastColumn="0" w:lastRowFirstColumn="0" w:lastRowLastColumn="0"/>
            <w:tcW w:w="940" w:type="dxa"/>
          </w:tcPr>
          <w:p w14:paraId="574E2B9D" w14:textId="77777777" w:rsidR="00AE2512" w:rsidRPr="00E83C5E" w:rsidRDefault="00AE2512" w:rsidP="00816900">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1.1.6</w:t>
            </w:r>
          </w:p>
        </w:tc>
        <w:tc>
          <w:tcPr>
            <w:tcW w:w="8558" w:type="dxa"/>
          </w:tcPr>
          <w:p w14:paraId="574E2B9E" w14:textId="77777777" w:rsidR="00AE2512" w:rsidRPr="00E83C5E" w:rsidRDefault="00AE2512" w:rsidP="00816900">
            <w:pPr>
              <w:jc w:val="both"/>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sz w:val="20"/>
                <w:szCs w:val="24"/>
              </w:rPr>
            </w:pPr>
            <w:r w:rsidRPr="00E83C5E">
              <w:rPr>
                <w:rFonts w:ascii="Garamond" w:eastAsia="Arial" w:hAnsi="Garamond" w:cs="Times New Roman"/>
                <w:sz w:val="20"/>
                <w:szCs w:val="24"/>
              </w:rPr>
              <w:t>Rritet ndërgjegjësimi politik i të rinjve dhe në veçanti i vajzave dhe grave të reja, nëpërmjet promovimit të programeve të edukimit të votuesve dhe nismave të tjera ndërgjegjësuese.</w:t>
            </w:r>
          </w:p>
        </w:tc>
      </w:tr>
      <w:tr w:rsidR="00AE2512" w:rsidRPr="00E83C5E" w14:paraId="574E2BA2" w14:textId="77777777" w:rsidTr="0058775E">
        <w:trPr>
          <w:trHeight w:val="50"/>
        </w:trPr>
        <w:tc>
          <w:tcPr>
            <w:cnfStyle w:val="001000000000" w:firstRow="0" w:lastRow="0" w:firstColumn="1" w:lastColumn="0" w:oddVBand="0" w:evenVBand="0" w:oddHBand="0" w:evenHBand="0" w:firstRowFirstColumn="0" w:firstRowLastColumn="0" w:lastRowFirstColumn="0" w:lastRowLastColumn="0"/>
            <w:tcW w:w="940" w:type="dxa"/>
          </w:tcPr>
          <w:p w14:paraId="574E2BA0" w14:textId="77777777" w:rsidR="00AE2512" w:rsidRPr="00E83C5E" w:rsidRDefault="00AE2512" w:rsidP="00816900">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1.1.7</w:t>
            </w:r>
          </w:p>
        </w:tc>
        <w:tc>
          <w:tcPr>
            <w:tcW w:w="8558" w:type="dxa"/>
          </w:tcPr>
          <w:p w14:paraId="574E2BA1" w14:textId="6B6EB733" w:rsidR="00AE2512" w:rsidRPr="00E83C5E" w:rsidRDefault="00AE2512" w:rsidP="00816900">
            <w:pPr>
              <w:jc w:val="both"/>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sz w:val="20"/>
                <w:szCs w:val="24"/>
              </w:rPr>
            </w:pPr>
            <w:r w:rsidRPr="00E83C5E">
              <w:rPr>
                <w:rFonts w:ascii="Garamond" w:eastAsia="Arial" w:hAnsi="Garamond" w:cs="Times New Roman"/>
                <w:sz w:val="20"/>
                <w:szCs w:val="24"/>
              </w:rPr>
              <w:t>Promovohet dhe mbështetet e drejta e të rejave dhe të rinjve</w:t>
            </w:r>
            <w:r w:rsidR="00233C37" w:rsidRPr="00E83C5E">
              <w:rPr>
                <w:rFonts w:ascii="Garamond" w:eastAsia="Arial" w:hAnsi="Garamond" w:cs="Times New Roman"/>
                <w:sz w:val="20"/>
                <w:szCs w:val="24"/>
              </w:rPr>
              <w:t xml:space="preserve"> </w:t>
            </w:r>
            <w:r w:rsidRPr="00E83C5E">
              <w:rPr>
                <w:rFonts w:ascii="Garamond" w:eastAsia="Arial" w:hAnsi="Garamond" w:cs="Times New Roman"/>
                <w:sz w:val="20"/>
                <w:szCs w:val="24"/>
              </w:rPr>
              <w:t xml:space="preserve">për barazi dhe gjithëpërfshirje për </w:t>
            </w:r>
            <w:r w:rsidRPr="00E83C5E">
              <w:rPr>
                <w:rFonts w:ascii="Garamond" w:eastAsia="Arial" w:hAnsi="Garamond" w:cs="Times New Roman"/>
                <w:b/>
                <w:i/>
                <w:sz w:val="20"/>
                <w:szCs w:val="24"/>
              </w:rPr>
              <w:t>vetë-shprehje</w:t>
            </w:r>
            <w:r w:rsidR="00233C37" w:rsidRPr="00E83C5E">
              <w:rPr>
                <w:rFonts w:ascii="Garamond" w:eastAsia="Arial" w:hAnsi="Garamond" w:cs="Times New Roman"/>
                <w:sz w:val="20"/>
                <w:szCs w:val="24"/>
              </w:rPr>
              <w:t xml:space="preserve"> </w:t>
            </w:r>
            <w:r w:rsidRPr="00E83C5E">
              <w:rPr>
                <w:rFonts w:ascii="Garamond" w:eastAsia="Arial" w:hAnsi="Garamond" w:cs="Times New Roman"/>
                <w:sz w:val="20"/>
                <w:szCs w:val="24"/>
              </w:rPr>
              <w:t>në lidhje me orientimin e tyre seksual dhe/ose identitetin gjinor.</w:t>
            </w:r>
          </w:p>
        </w:tc>
      </w:tr>
      <w:tr w:rsidR="00816900" w:rsidRPr="00E83C5E" w14:paraId="574E2BA5" w14:textId="77777777" w:rsidTr="0058775E">
        <w:trPr>
          <w:trHeight w:val="50"/>
        </w:trPr>
        <w:tc>
          <w:tcPr>
            <w:cnfStyle w:val="001000000000" w:firstRow="0" w:lastRow="0" w:firstColumn="1" w:lastColumn="0" w:oddVBand="0" w:evenVBand="0" w:oddHBand="0" w:evenHBand="0" w:firstRowFirstColumn="0" w:firstRowLastColumn="0" w:lastRowFirstColumn="0" w:lastRowLastColumn="0"/>
            <w:tcW w:w="940" w:type="dxa"/>
          </w:tcPr>
          <w:p w14:paraId="574E2BA3" w14:textId="77777777" w:rsidR="00816900" w:rsidRPr="00E83C5E" w:rsidRDefault="00816900" w:rsidP="00816900">
            <w:pPr>
              <w:pStyle w:val="TEKSTIII"/>
              <w:ind w:firstLine="0"/>
              <w:rPr>
                <w:sz w:val="20"/>
              </w:rPr>
            </w:pPr>
            <w:r w:rsidRPr="00E83C5E">
              <w:rPr>
                <w:sz w:val="20"/>
              </w:rPr>
              <w:t>1.1.8</w:t>
            </w:r>
          </w:p>
        </w:tc>
        <w:tc>
          <w:tcPr>
            <w:tcW w:w="8558" w:type="dxa"/>
          </w:tcPr>
          <w:p w14:paraId="574E2BA4" w14:textId="3F6C5F83" w:rsidR="00816900" w:rsidRPr="00E83C5E" w:rsidRDefault="00816900" w:rsidP="00816900">
            <w:pPr>
              <w:pStyle w:val="TEKSTIII"/>
              <w:ind w:firstLine="0"/>
              <w:cnfStyle w:val="000000000000" w:firstRow="0" w:lastRow="0" w:firstColumn="0" w:lastColumn="0" w:oddVBand="0" w:evenVBand="0" w:oddHBand="0" w:evenHBand="0" w:firstRowFirstColumn="0" w:firstRowLastColumn="0" w:lastRowFirstColumn="0" w:lastRowLastColumn="0"/>
              <w:rPr>
                <w:rFonts w:eastAsia="Arial"/>
                <w:sz w:val="20"/>
              </w:rPr>
            </w:pPr>
            <w:r w:rsidRPr="00E83C5E">
              <w:rPr>
                <w:rFonts w:eastAsia="Arial"/>
                <w:sz w:val="20"/>
              </w:rPr>
              <w:t xml:space="preserve">Rishikohet ligji </w:t>
            </w:r>
            <w:r w:rsidR="00D540B0" w:rsidRPr="00E83C5E">
              <w:rPr>
                <w:rFonts w:eastAsia="Arial"/>
                <w:sz w:val="20"/>
              </w:rPr>
              <w:t>“</w:t>
            </w:r>
            <w:r w:rsidRPr="00E83C5E">
              <w:rPr>
                <w:rFonts w:eastAsia="Arial"/>
                <w:sz w:val="20"/>
              </w:rPr>
              <w:t>Për vullnetarizmin</w:t>
            </w:r>
            <w:r w:rsidR="00D540B0" w:rsidRPr="00E83C5E">
              <w:rPr>
                <w:rFonts w:eastAsia="Arial"/>
                <w:sz w:val="20"/>
              </w:rPr>
              <w:t>”</w:t>
            </w:r>
            <w:r w:rsidRPr="00E83C5E">
              <w:rPr>
                <w:rFonts w:eastAsia="Arial"/>
                <w:sz w:val="20"/>
              </w:rPr>
              <w:t xml:space="preserve"> me qëllim fuqizimin e mundësive për vullnetarizmin e të rejave/rinjve.</w:t>
            </w:r>
          </w:p>
        </w:tc>
      </w:tr>
      <w:tr w:rsidR="00816900" w:rsidRPr="00E83C5E" w14:paraId="574E2BA8" w14:textId="77777777" w:rsidTr="00BC2136">
        <w:trPr>
          <w:trHeight w:val="696"/>
        </w:trPr>
        <w:tc>
          <w:tcPr>
            <w:cnfStyle w:val="001000000000" w:firstRow="0" w:lastRow="0" w:firstColumn="1" w:lastColumn="0" w:oddVBand="0" w:evenVBand="0" w:oddHBand="0" w:evenHBand="0" w:firstRowFirstColumn="0" w:firstRowLastColumn="0" w:lastRowFirstColumn="0" w:lastRowLastColumn="0"/>
            <w:tcW w:w="940" w:type="dxa"/>
          </w:tcPr>
          <w:p w14:paraId="574E2BA6" w14:textId="77777777" w:rsidR="00816900" w:rsidRPr="00E83C5E" w:rsidRDefault="00816900" w:rsidP="00816900">
            <w:pPr>
              <w:pStyle w:val="TEKSTIII"/>
              <w:ind w:firstLine="0"/>
              <w:rPr>
                <w:sz w:val="20"/>
              </w:rPr>
            </w:pPr>
            <w:r w:rsidRPr="00E83C5E">
              <w:rPr>
                <w:sz w:val="20"/>
              </w:rPr>
              <w:t>1.1.9</w:t>
            </w:r>
          </w:p>
        </w:tc>
        <w:tc>
          <w:tcPr>
            <w:tcW w:w="8558" w:type="dxa"/>
          </w:tcPr>
          <w:p w14:paraId="574E2BA7" w14:textId="447BDC66" w:rsidR="00816900" w:rsidRPr="00E83C5E" w:rsidRDefault="00816900" w:rsidP="00816900">
            <w:pPr>
              <w:pStyle w:val="TEKSTIII"/>
              <w:ind w:firstLine="0"/>
              <w:cnfStyle w:val="000000000000" w:firstRow="0" w:lastRow="0" w:firstColumn="0" w:lastColumn="0" w:oddVBand="0" w:evenVBand="0" w:oddHBand="0" w:evenHBand="0" w:firstRowFirstColumn="0" w:firstRowLastColumn="0" w:lastRowFirstColumn="0" w:lastRowLastColumn="0"/>
              <w:rPr>
                <w:rFonts w:eastAsia="Arial"/>
                <w:sz w:val="20"/>
              </w:rPr>
            </w:pPr>
            <w:r w:rsidRPr="00E83C5E">
              <w:rPr>
                <w:rFonts w:eastAsia="Arial"/>
                <w:sz w:val="20"/>
              </w:rPr>
              <w:t xml:space="preserve">Në përputhje me ligjet dhe VKM për njohjen e përvojës së punës dhe mësimit informal dhe </w:t>
            </w:r>
            <w:r w:rsidR="003B428A" w:rsidRPr="00E83C5E">
              <w:rPr>
                <w:rFonts w:eastAsia="Arial"/>
                <w:sz w:val="20"/>
              </w:rPr>
              <w:t>jo</w:t>
            </w:r>
            <w:r w:rsidRPr="00E83C5E">
              <w:rPr>
                <w:rFonts w:eastAsia="Arial"/>
                <w:sz w:val="20"/>
              </w:rPr>
              <w:t xml:space="preserve">formal njihen kompetencat e fituara nëpërmjet edukimit jo formal dhe punës rinore bazuar në përcaktimet e profesioneve të punës së të rinjve nëpërmjet Kornizës Kombëtare të Kualifikimeve dhe në bashkërendim me Portofolin Evropian të Punës Rinore (European Youth Work Portfolio). </w:t>
            </w:r>
          </w:p>
        </w:tc>
      </w:tr>
    </w:tbl>
    <w:p w14:paraId="574E2BAB" w14:textId="1F21B12C" w:rsidR="002F7250" w:rsidRPr="007D677B" w:rsidRDefault="00816900" w:rsidP="007D677B">
      <w:pPr>
        <w:pStyle w:val="TEKSTIII"/>
        <w:ind w:firstLine="0"/>
        <w:rPr>
          <w:color w:val="FF0000"/>
          <w:sz w:val="32"/>
        </w:rPr>
      </w:pPr>
      <w:r w:rsidRPr="007D677B">
        <w:rPr>
          <w:color w:val="FF0000"/>
          <w:sz w:val="32"/>
        </w:rPr>
        <w:t xml:space="preserve"> </w:t>
      </w:r>
      <w:r w:rsidR="007D677B">
        <w:rPr>
          <w:color w:val="FF0000"/>
          <w:sz w:val="32"/>
        </w:rPr>
        <w:t xml:space="preserve">  </w:t>
      </w:r>
      <w:r w:rsidRPr="007D677B">
        <w:t>Detajimi i plotë e masave është dhënë në planin e veprimit IPSIS</w:t>
      </w:r>
    </w:p>
    <w:p w14:paraId="574E2BAC" w14:textId="4373A8C0" w:rsidR="002F7250" w:rsidRPr="00E83C5E" w:rsidRDefault="002F7250" w:rsidP="002F7250">
      <w:pPr>
        <w:pStyle w:val="TEKSTIII"/>
        <w:rPr>
          <w:b/>
        </w:rPr>
      </w:pPr>
      <w:r w:rsidRPr="00E83C5E">
        <w:rPr>
          <w:b/>
        </w:rPr>
        <w:t xml:space="preserve">Objektivi </w:t>
      </w:r>
      <w:r w:rsidR="0058775E" w:rsidRPr="00E83C5E">
        <w:rPr>
          <w:b/>
        </w:rPr>
        <w:t>s</w:t>
      </w:r>
      <w:r w:rsidRPr="00E83C5E">
        <w:rPr>
          <w:b/>
        </w:rPr>
        <w:t>pecifik 1.2:</w:t>
      </w:r>
    </w:p>
    <w:p w14:paraId="574E2BAD" w14:textId="77777777" w:rsidR="002F7250" w:rsidRPr="00E83C5E" w:rsidRDefault="002F7250" w:rsidP="002F7250">
      <w:pPr>
        <w:pStyle w:val="TEKSTIII"/>
        <w:rPr>
          <w:b/>
        </w:rPr>
      </w:pPr>
      <w:r w:rsidRPr="00E83C5E">
        <w:rPr>
          <w:rFonts w:eastAsia="Arial"/>
          <w:b/>
        </w:rPr>
        <w:t>Politika rinore është e koordinuar, e bazuar në analiza dhe e harmonizuar në sektorë të ndryshëm duke kërkuar kohezionin dhe optimizimin e burimeve dhe duke forcuar si instrument zbatues të këtyre politikave Agjencinë Kombëtare të Rinisë.</w:t>
      </w:r>
    </w:p>
    <w:p w14:paraId="574E2BAE" w14:textId="6D388686" w:rsidR="002F7250" w:rsidRPr="00E83C5E" w:rsidRDefault="002F7250" w:rsidP="002F7250">
      <w:pPr>
        <w:pStyle w:val="TEKSTIII"/>
        <w:rPr>
          <w:b/>
          <w:color w:val="000000" w:themeColor="text1"/>
        </w:rPr>
      </w:pPr>
      <w:r w:rsidRPr="00E83C5E">
        <w:rPr>
          <w:b/>
          <w:color w:val="000000" w:themeColor="text1"/>
        </w:rPr>
        <w:t xml:space="preserve">Analiza e </w:t>
      </w:r>
      <w:r w:rsidR="0058775E" w:rsidRPr="00E83C5E">
        <w:rPr>
          <w:b/>
          <w:color w:val="000000" w:themeColor="text1"/>
        </w:rPr>
        <w:t>situatës dhe sfidat</w:t>
      </w:r>
    </w:p>
    <w:p w14:paraId="574E2BAF" w14:textId="1D51D100" w:rsidR="002F7250" w:rsidRPr="00E83C5E" w:rsidRDefault="002F7250" w:rsidP="002F7250">
      <w:pPr>
        <w:shd w:val="clear" w:color="auto" w:fill="FFFFFF" w:themeFill="background1"/>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lastRenderedPageBreak/>
        <w:t xml:space="preserve">Ligji për </w:t>
      </w:r>
      <w:r w:rsidR="0058775E" w:rsidRPr="00E83C5E">
        <w:rPr>
          <w:rFonts w:ascii="Garamond" w:hAnsi="Garamond" w:cs="Times New Roman"/>
          <w:sz w:val="24"/>
          <w:szCs w:val="24"/>
        </w:rPr>
        <w:t xml:space="preserve">rininë </w:t>
      </w:r>
      <w:r w:rsidRPr="00E83C5E">
        <w:rPr>
          <w:rFonts w:ascii="Garamond" w:hAnsi="Garamond" w:cs="Times New Roman"/>
          <w:sz w:val="24"/>
          <w:szCs w:val="24"/>
        </w:rPr>
        <w:t xml:space="preserve">i vitit 2019, parashikonte edhe zhvillimin e një institucioni i cili do të ishte përgjegjës për zbatimin e politikave rinore. Ky institucion është Agjencia Kombëtare Rinore, aktiviteti i së cilës rregullohet si me ligjin për rininë ashtu edhe me një grup vendimesh qeveritare (VKM). Aktualisht ky institucion bën zbatimin e politikave rinore dhe menaxhon proceset e dhënies së granteve për organizatat rinore. </w:t>
      </w:r>
      <w:r w:rsidR="008802C8" w:rsidRPr="00E83C5E">
        <w:rPr>
          <w:rFonts w:ascii="Garamond" w:hAnsi="Garamond" w:cs="Times New Roman"/>
          <w:sz w:val="24"/>
          <w:szCs w:val="24"/>
        </w:rPr>
        <w:t>M</w:t>
      </w:r>
      <w:r w:rsidRPr="00E83C5E">
        <w:rPr>
          <w:rFonts w:ascii="Garamond" w:hAnsi="Garamond" w:cs="Times New Roman"/>
          <w:sz w:val="24"/>
          <w:szCs w:val="24"/>
        </w:rPr>
        <w:t>ë 2022</w:t>
      </w:r>
      <w:r w:rsidR="008802C8" w:rsidRPr="00E83C5E">
        <w:rPr>
          <w:rFonts w:ascii="Garamond" w:hAnsi="Garamond" w:cs="Times New Roman"/>
          <w:sz w:val="24"/>
          <w:szCs w:val="24"/>
        </w:rPr>
        <w:t>-n</w:t>
      </w:r>
      <w:r w:rsidRPr="00E83C5E">
        <w:rPr>
          <w:rFonts w:ascii="Garamond" w:hAnsi="Garamond" w:cs="Times New Roman"/>
          <w:sz w:val="24"/>
          <w:szCs w:val="24"/>
        </w:rPr>
        <w:t>, buxheti i AKR-së është</w:t>
      </w:r>
      <w:r w:rsidR="00233C37" w:rsidRPr="00E83C5E">
        <w:rPr>
          <w:rFonts w:ascii="Garamond" w:hAnsi="Garamond" w:cs="Times New Roman"/>
          <w:sz w:val="24"/>
          <w:szCs w:val="24"/>
        </w:rPr>
        <w:t xml:space="preserve"> </w:t>
      </w:r>
      <w:r w:rsidRPr="00E83C5E">
        <w:rPr>
          <w:rFonts w:ascii="Garamond" w:hAnsi="Garamond" w:cs="Times New Roman"/>
          <w:sz w:val="24"/>
          <w:szCs w:val="24"/>
        </w:rPr>
        <w:t xml:space="preserve"> 211370 mijë lek</w:t>
      </w:r>
      <w:r w:rsidR="00AC10D3" w:rsidRPr="00E83C5E">
        <w:rPr>
          <w:rFonts w:ascii="Garamond" w:hAnsi="Garamond" w:cs="Times New Roman"/>
          <w:sz w:val="24"/>
          <w:szCs w:val="24"/>
        </w:rPr>
        <w:t>ë</w:t>
      </w:r>
      <w:r w:rsidRPr="00E83C5E">
        <w:rPr>
          <w:rFonts w:ascii="Garamond" w:hAnsi="Garamond" w:cs="Times New Roman"/>
          <w:sz w:val="24"/>
          <w:szCs w:val="24"/>
        </w:rPr>
        <w:t>, dhe përfaqëson pak më shumë se 0.05% të buxhetit të shtetit të këtij viti. AKR, për t’iu përgjigjur sfidave të zhvillimit rinor dhe për të nxitur zbatimin e politikave me t</w:t>
      </w:r>
      <w:r w:rsidR="002A22C5" w:rsidRPr="00E83C5E">
        <w:rPr>
          <w:rFonts w:ascii="Garamond" w:hAnsi="Garamond" w:cs="Times New Roman"/>
          <w:sz w:val="24"/>
          <w:szCs w:val="24"/>
        </w:rPr>
        <w:t>ë</w:t>
      </w:r>
      <w:r w:rsidRPr="00E83C5E">
        <w:rPr>
          <w:rFonts w:ascii="Garamond" w:hAnsi="Garamond" w:cs="Times New Roman"/>
          <w:sz w:val="24"/>
          <w:szCs w:val="24"/>
        </w:rPr>
        <w:t xml:space="preserve"> rejat e të rinjtë në qendër të tyre duhet fuqizuar si me personel ashtu edhe me fonde. </w:t>
      </w:r>
    </w:p>
    <w:p w14:paraId="574E2BB0" w14:textId="24E7D5F5" w:rsidR="002F7250" w:rsidRPr="00E83C5E" w:rsidRDefault="002F7250" w:rsidP="002F7250">
      <w:pPr>
        <w:shd w:val="clear" w:color="auto" w:fill="FFFFFF" w:themeFill="background1"/>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Sipas raportit me zbatimin e politikave të Planit Kombëtar të Veprimit për Rininë 2015–2020 e kanë lidhur shkallën e realizimit të këtij plani që shkon deri në masën 40% edhe me mungesën e burimeve njerëzore për rininë</w:t>
      </w:r>
      <w:r w:rsidRPr="00E83C5E">
        <w:rPr>
          <w:rStyle w:val="FootnoteReference"/>
          <w:rFonts w:ascii="Garamond" w:hAnsi="Garamond" w:cs="Times New Roman"/>
          <w:sz w:val="24"/>
          <w:szCs w:val="24"/>
        </w:rPr>
        <w:footnoteReference w:id="18"/>
      </w:r>
      <w:r w:rsidRPr="00E83C5E">
        <w:rPr>
          <w:rFonts w:ascii="Garamond" w:hAnsi="Garamond" w:cs="Times New Roman"/>
          <w:sz w:val="24"/>
          <w:szCs w:val="24"/>
        </w:rPr>
        <w:t xml:space="preserve">. Fuqizimi i burimeve njerëzore dhe fuqizimi i organizatave rinore do të rriste edhe përfaqësimin më cilësor të rinisë në rajon e më gjerë duke ndërtuar edhe mbi përvojat pozitive të zbatimit të politikave të programit </w:t>
      </w:r>
      <w:r w:rsidR="00D540B0" w:rsidRPr="00E83C5E">
        <w:rPr>
          <w:rFonts w:ascii="Garamond" w:hAnsi="Garamond" w:cs="Times New Roman"/>
          <w:sz w:val="24"/>
          <w:szCs w:val="24"/>
        </w:rPr>
        <w:t>“</w:t>
      </w:r>
      <w:r w:rsidRPr="00E83C5E">
        <w:rPr>
          <w:rFonts w:ascii="Garamond" w:hAnsi="Garamond" w:cs="Times New Roman"/>
          <w:sz w:val="24"/>
          <w:szCs w:val="24"/>
        </w:rPr>
        <w:t>Tirana – kryeqyteti evropian i rinise</w:t>
      </w:r>
      <w:r w:rsidR="00D540B0" w:rsidRPr="00E83C5E">
        <w:rPr>
          <w:rFonts w:ascii="Garamond" w:hAnsi="Garamond" w:cs="Times New Roman"/>
          <w:sz w:val="24"/>
          <w:szCs w:val="24"/>
        </w:rPr>
        <w:t>”</w:t>
      </w:r>
      <w:r w:rsidRPr="00E83C5E">
        <w:rPr>
          <w:rFonts w:ascii="Garamond" w:hAnsi="Garamond" w:cs="Times New Roman"/>
          <w:sz w:val="24"/>
          <w:szCs w:val="24"/>
        </w:rPr>
        <w:t xml:space="preserve"> dhe mbi mbështetjen e dhënë për këtë program nga qeveria. </w:t>
      </w:r>
    </w:p>
    <w:p w14:paraId="574E2BB1" w14:textId="77777777" w:rsidR="002F7250" w:rsidRPr="00E83C5E" w:rsidRDefault="002F7250" w:rsidP="002F7250">
      <w:pPr>
        <w:shd w:val="clear" w:color="auto" w:fill="FFFFFF" w:themeFill="background1"/>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Lidhur ngushtë me këtë gjë është edhe zhvillimi i kapaciteteve në administratën publike për t’u marrë me politikat rinore si nëpër ministritë e linjës ashtu edhe në nivel vendor. Forcimi i kapaciteteve brenda administratës për t’iu përgjigjur kërkesave të të rejave dhe të rinjve me zbatim politikash për ta duke siguruar edhe shërbime miqësore kundrejt tyre mbetet ende një sfide edhe pse ekziston nisma që një e treta e vendeve të punës në administratën publike duhet të përmbushen nga të rinjtë. </w:t>
      </w:r>
    </w:p>
    <w:p w14:paraId="574E2BB2" w14:textId="7C9B2C7D" w:rsidR="002F7250" w:rsidRPr="00E83C5E" w:rsidRDefault="002F7250" w:rsidP="002F7250">
      <w:pPr>
        <w:shd w:val="clear" w:color="auto" w:fill="FFFFFF" w:themeFill="background1"/>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Edhe pse janë bërë hapa të mëdha përpara për angazhimin e të rejave dhe të rejave pranë proceseve politikëbërëse si me anë të stazheve profesionale apo kontratave të punësimit</w:t>
      </w:r>
      <w:r w:rsidRPr="00E83C5E">
        <w:rPr>
          <w:rStyle w:val="FootnoteReference"/>
          <w:rFonts w:ascii="Garamond" w:hAnsi="Garamond" w:cs="Times New Roman"/>
          <w:sz w:val="24"/>
          <w:szCs w:val="24"/>
        </w:rPr>
        <w:footnoteReference w:id="19"/>
      </w:r>
      <w:r w:rsidRPr="00E83C5E">
        <w:rPr>
          <w:rFonts w:ascii="Garamond" w:hAnsi="Garamond" w:cs="Times New Roman"/>
          <w:sz w:val="24"/>
          <w:szCs w:val="24"/>
        </w:rPr>
        <w:t xml:space="preserve"> çështjet e marrjes dhe dhënies së informacioneve në lidhje me programet e punësimit apo nxitjes së punësimit mbeten problematike. Kjo në një kohë kur qeveria ka marrë një sërë masash dhe politikash për të nxitur punësimin dhe inovacionin mes të rejave dhe të rinjve, politika që nga të rinjtë dhe të rejat që morën pjesë në konsultimet e bëra me ta në kuadër të kësaj strategjie nuk njiheshin. </w:t>
      </w:r>
    </w:p>
    <w:p w14:paraId="574E2BB3" w14:textId="77777777" w:rsidR="002F7250" w:rsidRPr="00E83C5E" w:rsidRDefault="002F7250" w:rsidP="002F7250">
      <w:pPr>
        <w:shd w:val="clear" w:color="auto" w:fill="FFFFFF" w:themeFill="background1"/>
        <w:spacing w:after="0" w:line="240" w:lineRule="auto"/>
        <w:ind w:firstLine="284"/>
        <w:jc w:val="both"/>
        <w:rPr>
          <w:rFonts w:ascii="Garamond" w:hAnsi="Garamond" w:cs="Times New Roman"/>
          <w:b/>
          <w:sz w:val="24"/>
          <w:szCs w:val="24"/>
        </w:rPr>
      </w:pPr>
      <w:r w:rsidRPr="00E83C5E">
        <w:rPr>
          <w:rFonts w:ascii="Garamond" w:hAnsi="Garamond" w:cs="Times New Roman"/>
          <w:b/>
          <w:sz w:val="24"/>
          <w:szCs w:val="24"/>
        </w:rPr>
        <w:t>Institucione drejtuese</w:t>
      </w:r>
    </w:p>
    <w:p w14:paraId="574E2BB4" w14:textId="77777777" w:rsidR="002F7250" w:rsidRPr="00E83C5E" w:rsidRDefault="002F7250" w:rsidP="002F7250">
      <w:pPr>
        <w:shd w:val="clear" w:color="auto" w:fill="FFFFFF" w:themeFill="background1"/>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MSHRF, AKR, </w:t>
      </w:r>
    </w:p>
    <w:p w14:paraId="574E2BB5" w14:textId="77777777" w:rsidR="002F7250" w:rsidRPr="00E83C5E" w:rsidRDefault="002F7250" w:rsidP="002F7250">
      <w:pPr>
        <w:shd w:val="clear" w:color="auto" w:fill="FFFFFF" w:themeFill="background1"/>
        <w:spacing w:after="0" w:line="240" w:lineRule="auto"/>
        <w:ind w:firstLine="284"/>
        <w:jc w:val="both"/>
        <w:rPr>
          <w:rFonts w:ascii="Garamond" w:hAnsi="Garamond" w:cs="Times New Roman"/>
          <w:b/>
          <w:sz w:val="24"/>
          <w:szCs w:val="24"/>
        </w:rPr>
      </w:pPr>
      <w:r w:rsidRPr="00E83C5E">
        <w:rPr>
          <w:rFonts w:ascii="Garamond" w:hAnsi="Garamond" w:cs="Times New Roman"/>
          <w:b/>
          <w:sz w:val="24"/>
          <w:szCs w:val="24"/>
        </w:rPr>
        <w:t>Institucionet pjesëmarrëse</w:t>
      </w:r>
    </w:p>
    <w:p w14:paraId="574E2BB6" w14:textId="6C8E7150" w:rsidR="002F7250" w:rsidRPr="00E83C5E" w:rsidRDefault="002F7250" w:rsidP="002F7250">
      <w:pPr>
        <w:shd w:val="clear" w:color="auto" w:fill="FFFFFF" w:themeFill="background1"/>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MFE, </w:t>
      </w:r>
      <w:r w:rsidR="00AC10D3" w:rsidRPr="00E83C5E">
        <w:rPr>
          <w:rFonts w:ascii="Garamond" w:hAnsi="Garamond" w:cs="Times New Roman"/>
          <w:sz w:val="24"/>
          <w:szCs w:val="24"/>
        </w:rPr>
        <w:t>m</w:t>
      </w:r>
      <w:r w:rsidRPr="00E83C5E">
        <w:rPr>
          <w:rFonts w:ascii="Garamond" w:hAnsi="Garamond" w:cs="Times New Roman"/>
          <w:sz w:val="24"/>
          <w:szCs w:val="24"/>
        </w:rPr>
        <w:t>inistritë e linjës</w:t>
      </w:r>
    </w:p>
    <w:p w14:paraId="574E2BB7" w14:textId="2E7EC6FC" w:rsidR="002F7250" w:rsidRPr="00E83C5E" w:rsidRDefault="002F7250" w:rsidP="002F7250">
      <w:pPr>
        <w:shd w:val="clear" w:color="auto" w:fill="FFFFFF" w:themeFill="background1"/>
        <w:spacing w:after="0" w:line="240" w:lineRule="auto"/>
        <w:ind w:firstLine="284"/>
        <w:jc w:val="both"/>
        <w:rPr>
          <w:rFonts w:ascii="Garamond" w:eastAsia="Calibri" w:hAnsi="Garamond" w:cs="Times New Roman"/>
          <w:sz w:val="24"/>
          <w:szCs w:val="24"/>
        </w:rPr>
      </w:pPr>
      <w:r w:rsidRPr="00E83C5E">
        <w:rPr>
          <w:rFonts w:ascii="Garamond" w:eastAsia="Calibri" w:hAnsi="Garamond" w:cs="Times New Roman"/>
          <w:sz w:val="24"/>
          <w:szCs w:val="24"/>
        </w:rPr>
        <w:t>Masat dhe buxhetet e ndërlidhura për të arritur rezultatet</w:t>
      </w:r>
      <w:r w:rsidR="00233C37" w:rsidRPr="00E83C5E">
        <w:rPr>
          <w:rFonts w:ascii="Garamond" w:eastAsia="Calibri" w:hAnsi="Garamond" w:cs="Times New Roman"/>
          <w:sz w:val="24"/>
          <w:szCs w:val="24"/>
        </w:rPr>
        <w:t xml:space="preserve"> </w:t>
      </w:r>
      <w:r w:rsidRPr="00E83C5E">
        <w:rPr>
          <w:rFonts w:ascii="Garamond" w:eastAsia="Calibri" w:hAnsi="Garamond" w:cs="Times New Roman"/>
          <w:sz w:val="24"/>
          <w:szCs w:val="24"/>
        </w:rPr>
        <w:t>specifike janë përshkruar në planin e veprimit të dokumentit strategjik q</w:t>
      </w:r>
      <w:r w:rsidRPr="00E83C5E">
        <w:rPr>
          <w:rFonts w:ascii="Garamond" w:hAnsi="Garamond" w:cs="Times New Roman"/>
          <w:sz w:val="24"/>
          <w:szCs w:val="24"/>
        </w:rPr>
        <w:t>ë</w:t>
      </w:r>
      <w:r w:rsidRPr="00E83C5E">
        <w:rPr>
          <w:rFonts w:ascii="Garamond" w:eastAsia="Calibri" w:hAnsi="Garamond" w:cs="Times New Roman"/>
          <w:sz w:val="24"/>
          <w:szCs w:val="24"/>
        </w:rPr>
        <w:t xml:space="preserve"> do të ngarkohet në IPSIS.</w:t>
      </w:r>
    </w:p>
    <w:p w14:paraId="574E2BB8" w14:textId="77777777" w:rsidR="002F7250" w:rsidRPr="00E83C5E" w:rsidRDefault="002F7250" w:rsidP="00101B0A">
      <w:pPr>
        <w:pStyle w:val="TEKSTIII"/>
        <w:rPr>
          <w:b/>
        </w:rPr>
      </w:pPr>
      <w:r w:rsidRPr="00E83C5E">
        <w:rPr>
          <w:b/>
        </w:rPr>
        <w:t xml:space="preserve">Lidhja e objektivit specifik me MSA-në. </w:t>
      </w:r>
    </w:p>
    <w:p w14:paraId="574E2BB9" w14:textId="2D9AFE02" w:rsidR="002F7250" w:rsidRPr="00E83C5E" w:rsidRDefault="002F7250" w:rsidP="002F7250">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Objektivi </w:t>
      </w:r>
      <w:r w:rsidR="005E1BE8" w:rsidRPr="00E83C5E">
        <w:rPr>
          <w:rFonts w:ascii="Garamond" w:hAnsi="Garamond" w:cs="Times New Roman"/>
          <w:sz w:val="24"/>
          <w:szCs w:val="24"/>
        </w:rPr>
        <w:t>s</w:t>
      </w:r>
      <w:r w:rsidRPr="00E83C5E">
        <w:rPr>
          <w:rFonts w:ascii="Garamond" w:hAnsi="Garamond" w:cs="Times New Roman"/>
          <w:sz w:val="24"/>
          <w:szCs w:val="24"/>
        </w:rPr>
        <w:t xml:space="preserve">pecifik 1.2 synon fuqizimin e organizimit të administratës rinore që merret me rininë – Agjencinë Kombëtare e Rinisë më specifikisht për t’iu përgjigjur zhvillimeve të vrullshme dhe sfidave të kohës. E parë nga ky këndvështrim, ky objektiv specifik lidhet </w:t>
      </w:r>
      <w:r w:rsidR="005E1BE8" w:rsidRPr="00E83C5E">
        <w:rPr>
          <w:rFonts w:ascii="Garamond" w:hAnsi="Garamond" w:cs="Times New Roman"/>
          <w:sz w:val="24"/>
          <w:szCs w:val="24"/>
        </w:rPr>
        <w:t>drejtpërsëdrejti</w:t>
      </w:r>
      <w:r w:rsidRPr="00E83C5E">
        <w:rPr>
          <w:rFonts w:ascii="Garamond" w:hAnsi="Garamond" w:cs="Times New Roman"/>
          <w:sz w:val="24"/>
          <w:szCs w:val="24"/>
        </w:rPr>
        <w:t xml:space="preserve"> me </w:t>
      </w:r>
      <w:r w:rsidR="00BF04DE" w:rsidRPr="00E83C5E">
        <w:rPr>
          <w:rFonts w:ascii="Garamond" w:hAnsi="Garamond" w:cs="Times New Roman"/>
          <w:sz w:val="24"/>
          <w:szCs w:val="24"/>
        </w:rPr>
        <w:t>t</w:t>
      </w:r>
      <w:r w:rsidRPr="00E83C5E">
        <w:rPr>
          <w:rFonts w:ascii="Garamond" w:hAnsi="Garamond" w:cs="Times New Roman"/>
          <w:sz w:val="24"/>
          <w:szCs w:val="24"/>
        </w:rPr>
        <w:t xml:space="preserve">itullin VII të MSA, neni 78 i cili fokusohet në forcimin e institucioneve publike dhe në këtë rast lidhet me forcimin e organizimit të rinisë brenda administratës. Po ashtu kjo lidhet me titullin VIII të MSA-së dhe nenin 111 që fokusohet te forcimi i administratës publike. </w:t>
      </w:r>
    </w:p>
    <w:p w14:paraId="574E2BBA" w14:textId="499C8890" w:rsidR="002F7250" w:rsidRPr="00E83C5E" w:rsidRDefault="002F7250" w:rsidP="002F7250">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Ky objektiv, i cili, kërkon zhvillimin e shërbimeve miqësore kundrejt rinisë lidhet edhe me OZHQ 16 në kontekstin e krijimit e institucioneve të forta</w:t>
      </w:r>
      <w:r w:rsidR="0002048B" w:rsidRPr="00E83C5E">
        <w:rPr>
          <w:rFonts w:ascii="Garamond" w:hAnsi="Garamond" w:cs="Times New Roman"/>
          <w:sz w:val="24"/>
          <w:szCs w:val="24"/>
        </w:rPr>
        <w:t>,</w:t>
      </w:r>
      <w:r w:rsidRPr="00E83C5E">
        <w:rPr>
          <w:rFonts w:ascii="Garamond" w:hAnsi="Garamond" w:cs="Times New Roman"/>
          <w:sz w:val="24"/>
          <w:szCs w:val="24"/>
        </w:rPr>
        <w:t xml:space="preserve"> i cili në këtë rast përkthehet në fuqizimin të mëtejshëm të kapacit</w:t>
      </w:r>
      <w:r w:rsidR="0002048B" w:rsidRPr="00E83C5E">
        <w:rPr>
          <w:rFonts w:ascii="Garamond" w:hAnsi="Garamond" w:cs="Times New Roman"/>
          <w:sz w:val="24"/>
          <w:szCs w:val="24"/>
        </w:rPr>
        <w:t>et</w:t>
      </w:r>
      <w:r w:rsidRPr="00E83C5E">
        <w:rPr>
          <w:rFonts w:ascii="Garamond" w:hAnsi="Garamond" w:cs="Times New Roman"/>
          <w:sz w:val="24"/>
          <w:szCs w:val="24"/>
        </w:rPr>
        <w:t>eve zbatuese, administrative e drejtuese të AKR-së.</w:t>
      </w:r>
    </w:p>
    <w:p w14:paraId="574E2BBC" w14:textId="77777777" w:rsidR="002F7250" w:rsidRPr="00E83C5E" w:rsidRDefault="002F7250" w:rsidP="00101B0A">
      <w:pPr>
        <w:pStyle w:val="TEKSTIII"/>
        <w:rPr>
          <w:rStyle w:val="jlqj4b"/>
          <w:rFonts w:cs="Times New Roman"/>
          <w:b/>
        </w:rPr>
      </w:pPr>
      <w:r w:rsidRPr="00E83C5E">
        <w:rPr>
          <w:b/>
        </w:rPr>
        <w:t>Treguesit kryesorë të rezultateve</w:t>
      </w:r>
    </w:p>
    <w:p w14:paraId="574E2BBE" w14:textId="77777777" w:rsidR="002F7250" w:rsidRPr="00E83C5E" w:rsidRDefault="002F7250" w:rsidP="002F7250">
      <w:pPr>
        <w:pStyle w:val="Caption"/>
        <w:keepNext/>
        <w:spacing w:after="0"/>
        <w:ind w:firstLine="284"/>
        <w:rPr>
          <w:rFonts w:ascii="Garamond" w:hAnsi="Garamond"/>
          <w:sz w:val="24"/>
          <w:szCs w:val="24"/>
        </w:rPr>
      </w:pPr>
      <w:r w:rsidRPr="00E83C5E">
        <w:rPr>
          <w:rFonts w:ascii="Garamond" w:hAnsi="Garamond"/>
          <w:color w:val="000000" w:themeColor="text1"/>
          <w:sz w:val="24"/>
          <w:szCs w:val="24"/>
        </w:rPr>
        <w:lastRenderedPageBreak/>
        <w:t xml:space="preserve">Tabela </w:t>
      </w:r>
      <w:r w:rsidRPr="00E83C5E">
        <w:rPr>
          <w:rFonts w:ascii="Garamond" w:hAnsi="Garamond"/>
          <w:color w:val="000000" w:themeColor="text1"/>
          <w:sz w:val="24"/>
          <w:szCs w:val="24"/>
        </w:rPr>
        <w:fldChar w:fldCharType="begin"/>
      </w:r>
      <w:r w:rsidRPr="00E83C5E">
        <w:rPr>
          <w:rFonts w:ascii="Garamond" w:hAnsi="Garamond"/>
          <w:color w:val="000000" w:themeColor="text1"/>
          <w:sz w:val="24"/>
          <w:szCs w:val="24"/>
        </w:rPr>
        <w:instrText xml:space="preserve"> SEQ Tabela \* ARABIC </w:instrText>
      </w:r>
      <w:r w:rsidRPr="00E83C5E">
        <w:rPr>
          <w:rFonts w:ascii="Garamond" w:hAnsi="Garamond"/>
          <w:color w:val="000000" w:themeColor="text1"/>
          <w:sz w:val="24"/>
          <w:szCs w:val="24"/>
        </w:rPr>
        <w:fldChar w:fldCharType="separate"/>
      </w:r>
      <w:r w:rsidRPr="00E83C5E">
        <w:rPr>
          <w:rFonts w:ascii="Garamond" w:hAnsi="Garamond"/>
          <w:color w:val="000000" w:themeColor="text1"/>
          <w:sz w:val="24"/>
          <w:szCs w:val="24"/>
        </w:rPr>
        <w:t>5</w:t>
      </w:r>
      <w:r w:rsidRPr="00E83C5E">
        <w:rPr>
          <w:rFonts w:ascii="Garamond" w:hAnsi="Garamond"/>
          <w:color w:val="000000" w:themeColor="text1"/>
          <w:sz w:val="24"/>
          <w:szCs w:val="24"/>
        </w:rPr>
        <w:fldChar w:fldCharType="end"/>
      </w:r>
      <w:r w:rsidRPr="00E83C5E">
        <w:rPr>
          <w:rFonts w:ascii="Garamond" w:hAnsi="Garamond"/>
          <w:color w:val="000000" w:themeColor="text1"/>
          <w:sz w:val="24"/>
          <w:szCs w:val="24"/>
        </w:rPr>
        <w:t>: Lista e treguesve kyç të performancës lidhur me objektivin specifik 1.2.</w:t>
      </w:r>
    </w:p>
    <w:tbl>
      <w:tblPr>
        <w:tblStyle w:val="GridTable1Light-Accent11"/>
        <w:tblW w:w="9332" w:type="dxa"/>
        <w:tblLayout w:type="fixed"/>
        <w:tblLook w:val="04A0" w:firstRow="1" w:lastRow="0" w:firstColumn="1" w:lastColumn="0" w:noHBand="0" w:noVBand="1"/>
      </w:tblPr>
      <w:tblGrid>
        <w:gridCol w:w="1356"/>
        <w:gridCol w:w="1870"/>
        <w:gridCol w:w="2320"/>
        <w:gridCol w:w="2492"/>
        <w:gridCol w:w="1294"/>
      </w:tblGrid>
      <w:tr w:rsidR="002F7250" w:rsidRPr="00E83C5E" w14:paraId="574E2BC5" w14:textId="77777777" w:rsidTr="00BF04DE">
        <w:trPr>
          <w:cnfStyle w:val="100000000000" w:firstRow="1" w:lastRow="0" w:firstColumn="0" w:lastColumn="0" w:oddVBand="0" w:evenVBand="0" w:oddHBand="0"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356" w:type="dxa"/>
          </w:tcPr>
          <w:p w14:paraId="574E2BBF" w14:textId="77777777" w:rsidR="002F7250" w:rsidRPr="00E83C5E" w:rsidRDefault="002F7250" w:rsidP="00101B0A">
            <w:pPr>
              <w:jc w:val="center"/>
              <w:rPr>
                <w:rFonts w:ascii="Garamond" w:hAnsi="Garamond" w:cs="Times New Roman"/>
                <w:b w:val="0"/>
                <w:color w:val="000000" w:themeColor="text1"/>
                <w:sz w:val="20"/>
                <w:szCs w:val="24"/>
                <w:lang w:eastAsia="en-GB"/>
              </w:rPr>
            </w:pPr>
            <w:r w:rsidRPr="00E83C5E">
              <w:rPr>
                <w:rFonts w:ascii="Garamond" w:hAnsi="Garamond" w:cs="Times New Roman"/>
                <w:color w:val="000000" w:themeColor="text1"/>
                <w:sz w:val="20"/>
                <w:szCs w:val="24"/>
                <w:lang w:eastAsia="en-GB"/>
              </w:rPr>
              <w:t>Lloji i treguesit</w:t>
            </w:r>
          </w:p>
        </w:tc>
        <w:tc>
          <w:tcPr>
            <w:tcW w:w="1870" w:type="dxa"/>
          </w:tcPr>
          <w:p w14:paraId="574E2BC0" w14:textId="5A6EB804" w:rsidR="002F7250" w:rsidRPr="00E83C5E" w:rsidRDefault="002F7250" w:rsidP="0002048B">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color w:val="000000" w:themeColor="text1"/>
                <w:sz w:val="20"/>
                <w:szCs w:val="24"/>
                <w:lang w:eastAsia="en-GB"/>
              </w:rPr>
            </w:pPr>
            <w:r w:rsidRPr="00E83C5E">
              <w:rPr>
                <w:rFonts w:ascii="Garamond" w:hAnsi="Garamond" w:cs="Times New Roman"/>
                <w:color w:val="000000" w:themeColor="text1"/>
                <w:sz w:val="20"/>
                <w:szCs w:val="24"/>
              </w:rPr>
              <w:t xml:space="preserve">Emërtimi i </w:t>
            </w:r>
            <w:r w:rsidR="00BF04DE" w:rsidRPr="00E83C5E">
              <w:rPr>
                <w:rFonts w:ascii="Garamond" w:hAnsi="Garamond" w:cs="Times New Roman"/>
                <w:color w:val="000000" w:themeColor="text1"/>
                <w:sz w:val="20"/>
                <w:szCs w:val="24"/>
              </w:rPr>
              <w:t>treguesit të p</w:t>
            </w:r>
            <w:r w:rsidR="0002048B" w:rsidRPr="00E83C5E">
              <w:rPr>
                <w:rFonts w:ascii="Garamond" w:hAnsi="Garamond" w:cs="Times New Roman"/>
                <w:color w:val="000000" w:themeColor="text1"/>
                <w:sz w:val="20"/>
                <w:szCs w:val="24"/>
              </w:rPr>
              <w:t>e</w:t>
            </w:r>
            <w:r w:rsidR="00BF04DE" w:rsidRPr="00E83C5E">
              <w:rPr>
                <w:rFonts w:ascii="Garamond" w:hAnsi="Garamond" w:cs="Times New Roman"/>
                <w:color w:val="000000" w:themeColor="text1"/>
                <w:sz w:val="20"/>
                <w:szCs w:val="24"/>
              </w:rPr>
              <w:t>rformancës</w:t>
            </w:r>
          </w:p>
        </w:tc>
        <w:tc>
          <w:tcPr>
            <w:tcW w:w="2320" w:type="dxa"/>
          </w:tcPr>
          <w:p w14:paraId="574E2BC1" w14:textId="7298A16B" w:rsidR="002F7250" w:rsidRPr="00E83C5E" w:rsidRDefault="002F7250" w:rsidP="00101B0A">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sz w:val="20"/>
                <w:szCs w:val="24"/>
                <w:lang w:eastAsia="en-GB"/>
              </w:rPr>
            </w:pPr>
            <w:r w:rsidRPr="00E83C5E">
              <w:rPr>
                <w:rFonts w:ascii="Garamond" w:hAnsi="Garamond" w:cs="Times New Roman"/>
                <w:sz w:val="20"/>
                <w:szCs w:val="24"/>
                <w:lang w:eastAsia="en-GB"/>
              </w:rPr>
              <w:t xml:space="preserve">Lidhja me </w:t>
            </w:r>
            <w:r w:rsidR="00BF04DE" w:rsidRPr="00E83C5E">
              <w:rPr>
                <w:rFonts w:ascii="Garamond" w:hAnsi="Garamond" w:cs="Times New Roman"/>
                <w:sz w:val="20"/>
                <w:szCs w:val="24"/>
                <w:lang w:eastAsia="en-GB"/>
              </w:rPr>
              <w:t>qëllimin e politikës</w:t>
            </w:r>
          </w:p>
        </w:tc>
        <w:tc>
          <w:tcPr>
            <w:tcW w:w="2492" w:type="dxa"/>
          </w:tcPr>
          <w:p w14:paraId="574E2BC2" w14:textId="280F66D1" w:rsidR="002F7250" w:rsidRPr="00E83C5E" w:rsidRDefault="002F7250" w:rsidP="00101B0A">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sz w:val="20"/>
                <w:szCs w:val="24"/>
                <w:lang w:eastAsia="en-GB"/>
              </w:rPr>
            </w:pPr>
            <w:r w:rsidRPr="00E83C5E">
              <w:rPr>
                <w:rFonts w:ascii="Garamond" w:hAnsi="Garamond" w:cs="Times New Roman"/>
                <w:sz w:val="20"/>
                <w:szCs w:val="24"/>
                <w:lang w:eastAsia="en-GB"/>
              </w:rPr>
              <w:t xml:space="preserve">Lidhja me </w:t>
            </w:r>
            <w:r w:rsidR="00BF04DE" w:rsidRPr="00E83C5E">
              <w:rPr>
                <w:rFonts w:ascii="Garamond" w:hAnsi="Garamond" w:cs="Times New Roman"/>
                <w:sz w:val="20"/>
                <w:szCs w:val="24"/>
                <w:lang w:eastAsia="en-GB"/>
              </w:rPr>
              <w:t>objektivin specifik</w:t>
            </w:r>
          </w:p>
        </w:tc>
        <w:tc>
          <w:tcPr>
            <w:tcW w:w="1294" w:type="dxa"/>
          </w:tcPr>
          <w:p w14:paraId="574E2BC3" w14:textId="6E7D312F" w:rsidR="002F7250" w:rsidRPr="00E83C5E" w:rsidRDefault="002F7250" w:rsidP="00101B0A">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sz w:val="20"/>
                <w:szCs w:val="24"/>
                <w:lang w:eastAsia="en-GB"/>
              </w:rPr>
            </w:pPr>
            <w:r w:rsidRPr="00E83C5E">
              <w:rPr>
                <w:rFonts w:ascii="Garamond" w:hAnsi="Garamond" w:cs="Times New Roman"/>
                <w:sz w:val="20"/>
                <w:szCs w:val="24"/>
                <w:lang w:eastAsia="en-GB"/>
              </w:rPr>
              <w:t xml:space="preserve">Institucioni </w:t>
            </w:r>
            <w:r w:rsidR="00BF04DE" w:rsidRPr="00E83C5E">
              <w:rPr>
                <w:rFonts w:ascii="Garamond" w:hAnsi="Garamond" w:cs="Times New Roman"/>
                <w:sz w:val="20"/>
                <w:szCs w:val="24"/>
                <w:lang w:eastAsia="en-GB"/>
              </w:rPr>
              <w:t>përgjegjës</w:t>
            </w:r>
          </w:p>
          <w:p w14:paraId="574E2BC4" w14:textId="77777777" w:rsidR="002F7250" w:rsidRPr="00E83C5E" w:rsidRDefault="002F7250" w:rsidP="00101B0A">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sz w:val="20"/>
                <w:szCs w:val="24"/>
                <w:lang w:eastAsia="en-GB"/>
              </w:rPr>
            </w:pPr>
          </w:p>
        </w:tc>
      </w:tr>
      <w:tr w:rsidR="002F7250" w:rsidRPr="00E83C5E" w14:paraId="574E2BCC" w14:textId="77777777" w:rsidTr="00BC2136">
        <w:trPr>
          <w:trHeight w:val="503"/>
        </w:trPr>
        <w:tc>
          <w:tcPr>
            <w:cnfStyle w:val="001000000000" w:firstRow="0" w:lastRow="0" w:firstColumn="1" w:lastColumn="0" w:oddVBand="0" w:evenVBand="0" w:oddHBand="0" w:evenHBand="0" w:firstRowFirstColumn="0" w:firstRowLastColumn="0" w:lastRowFirstColumn="0" w:lastRowLastColumn="0"/>
            <w:tcW w:w="1356" w:type="dxa"/>
          </w:tcPr>
          <w:p w14:paraId="574E2BC6" w14:textId="77777777" w:rsidR="002F7250" w:rsidRPr="00E83C5E" w:rsidRDefault="002F7250" w:rsidP="00101B0A">
            <w:pPr>
              <w:jc w:val="both"/>
              <w:rPr>
                <w:rFonts w:ascii="Garamond" w:hAnsi="Garamond" w:cs="Times New Roman"/>
                <w:sz w:val="20"/>
                <w:szCs w:val="24"/>
                <w:lang w:eastAsia="en-GB"/>
              </w:rPr>
            </w:pPr>
            <w:r w:rsidRPr="00E83C5E">
              <w:rPr>
                <w:rFonts w:ascii="Garamond" w:hAnsi="Garamond" w:cs="Times New Roman"/>
                <w:sz w:val="20"/>
                <w:szCs w:val="24"/>
                <w:lang w:eastAsia="en-GB"/>
              </w:rPr>
              <w:t>Rezultati</w:t>
            </w:r>
          </w:p>
        </w:tc>
        <w:tc>
          <w:tcPr>
            <w:tcW w:w="1870" w:type="dxa"/>
          </w:tcPr>
          <w:p w14:paraId="574E2BC7" w14:textId="731F6BE0" w:rsidR="002F7250" w:rsidRPr="00E83C5E" w:rsidRDefault="002F7250" w:rsidP="00BF04DE">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Numri/përqindja i/e bashkive që kanë ngritur kënde digjitale të informimit rinor (</w:t>
            </w:r>
            <w:r w:rsidRPr="00E83C5E">
              <w:rPr>
                <w:rFonts w:ascii="Garamond" w:hAnsi="Garamond" w:cs="Times New Roman"/>
                <w:i/>
                <w:sz w:val="20"/>
                <w:szCs w:val="24"/>
                <w:lang w:eastAsia="en-GB"/>
              </w:rPr>
              <w:t>info-points</w:t>
            </w:r>
            <w:r w:rsidRPr="00E83C5E">
              <w:rPr>
                <w:rFonts w:ascii="Garamond" w:hAnsi="Garamond" w:cs="Times New Roman"/>
                <w:sz w:val="20"/>
                <w:szCs w:val="24"/>
                <w:lang w:eastAsia="en-GB"/>
              </w:rPr>
              <w:t>)</w:t>
            </w:r>
          </w:p>
        </w:tc>
        <w:tc>
          <w:tcPr>
            <w:tcW w:w="2320" w:type="dxa"/>
          </w:tcPr>
          <w:p w14:paraId="574E2BC8" w14:textId="77777777" w:rsidR="002F7250" w:rsidRPr="00E83C5E" w:rsidRDefault="002F7250" w:rsidP="00101B0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Fuqizimi organizimit rinor dhe rritja e pjesëmarrjes rinore</w:t>
            </w:r>
          </w:p>
          <w:p w14:paraId="574E2BC9" w14:textId="04CD36E6" w:rsidR="002F7250" w:rsidRPr="00E83C5E" w:rsidRDefault="002F7250" w:rsidP="00364633">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Të rejat dhe të rinjtë marrin pjesë aktivisht në shoqëri dhe ndihen të fuqizuar për t’u shprehur me zërin e tyre. Politikat ndërsektoriale rinore janë të koordinuara, të bazuara në analiza, me mekanizma të mirëfinancuar</w:t>
            </w:r>
          </w:p>
        </w:tc>
        <w:tc>
          <w:tcPr>
            <w:tcW w:w="2492" w:type="dxa"/>
          </w:tcPr>
          <w:p w14:paraId="574E2BCA" w14:textId="77777777" w:rsidR="002F7250" w:rsidRPr="00E83C5E" w:rsidRDefault="002F7250" w:rsidP="00101B0A">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Politika rinore është e koordinuar, e bazuar në analiza dhe e harmonizuar në sektorë të ndryshëm duke kërkuar kohezionin dhe optimizimin e burimeve dhe duke forcuar si instrument zbatues të këtyre politikave Agjencinë Kombëtare të Rinisë.</w:t>
            </w:r>
          </w:p>
        </w:tc>
        <w:tc>
          <w:tcPr>
            <w:tcW w:w="1294" w:type="dxa"/>
          </w:tcPr>
          <w:p w14:paraId="574E2BCB" w14:textId="77777777" w:rsidR="002F7250" w:rsidRPr="00E83C5E" w:rsidRDefault="002F7250" w:rsidP="00101B0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MSHRF/ AKR/ Bashki</w:t>
            </w:r>
          </w:p>
        </w:tc>
      </w:tr>
      <w:tr w:rsidR="002F7250" w:rsidRPr="00E83C5E" w14:paraId="574E2BD4" w14:textId="77777777" w:rsidTr="00BC2136">
        <w:trPr>
          <w:trHeight w:val="530"/>
        </w:trPr>
        <w:tc>
          <w:tcPr>
            <w:cnfStyle w:val="001000000000" w:firstRow="0" w:lastRow="0" w:firstColumn="1" w:lastColumn="0" w:oddVBand="0" w:evenVBand="0" w:oddHBand="0" w:evenHBand="0" w:firstRowFirstColumn="0" w:firstRowLastColumn="0" w:lastRowFirstColumn="0" w:lastRowLastColumn="0"/>
            <w:tcW w:w="1356" w:type="dxa"/>
          </w:tcPr>
          <w:p w14:paraId="574E2BCD" w14:textId="77777777" w:rsidR="002F7250" w:rsidRPr="00E83C5E" w:rsidRDefault="002F7250" w:rsidP="00101B0A">
            <w:pPr>
              <w:jc w:val="both"/>
              <w:rPr>
                <w:rFonts w:ascii="Garamond" w:hAnsi="Garamond" w:cs="Times New Roman"/>
                <w:sz w:val="20"/>
                <w:szCs w:val="24"/>
                <w:lang w:eastAsia="en-GB"/>
              </w:rPr>
            </w:pPr>
            <w:r w:rsidRPr="00E83C5E">
              <w:rPr>
                <w:rFonts w:ascii="Garamond" w:hAnsi="Garamond" w:cs="Times New Roman"/>
                <w:sz w:val="20"/>
                <w:szCs w:val="24"/>
                <w:lang w:eastAsia="en-GB"/>
              </w:rPr>
              <w:t>Rezultati</w:t>
            </w:r>
          </w:p>
        </w:tc>
        <w:tc>
          <w:tcPr>
            <w:tcW w:w="1870" w:type="dxa"/>
          </w:tcPr>
          <w:p w14:paraId="574E2BCE" w14:textId="7F416C26" w:rsidR="002F7250" w:rsidRPr="00E83C5E" w:rsidRDefault="002F7250" w:rsidP="00101B0A">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 xml:space="preserve">Platforma rinore </w:t>
            </w:r>
            <w:r w:rsidR="00D540B0" w:rsidRPr="00E83C5E">
              <w:rPr>
                <w:rFonts w:ascii="Garamond" w:hAnsi="Garamond" w:cs="Times New Roman"/>
                <w:sz w:val="20"/>
                <w:szCs w:val="24"/>
                <w:lang w:eastAsia="en-GB"/>
              </w:rPr>
              <w:t>“</w:t>
            </w:r>
            <w:r w:rsidRPr="00E83C5E">
              <w:rPr>
                <w:rFonts w:ascii="Garamond" w:hAnsi="Garamond" w:cs="Times New Roman"/>
                <w:sz w:val="20"/>
                <w:szCs w:val="24"/>
                <w:lang w:eastAsia="en-GB"/>
              </w:rPr>
              <w:t>Të rinjtë për të rinjtë</w:t>
            </w:r>
            <w:r w:rsidR="00D540B0" w:rsidRPr="00E83C5E">
              <w:rPr>
                <w:rFonts w:ascii="Garamond" w:hAnsi="Garamond" w:cs="Times New Roman"/>
                <w:sz w:val="20"/>
                <w:szCs w:val="24"/>
                <w:lang w:eastAsia="en-GB"/>
              </w:rPr>
              <w:t>”</w:t>
            </w:r>
            <w:r w:rsidRPr="00E83C5E">
              <w:rPr>
                <w:rFonts w:ascii="Garamond" w:hAnsi="Garamond" w:cs="Times New Roman"/>
                <w:sz w:val="20"/>
                <w:szCs w:val="24"/>
                <w:lang w:eastAsia="en-GB"/>
              </w:rPr>
              <w:t xml:space="preserve"> e ngritur, funksionale dhe e përditësuar</w:t>
            </w:r>
          </w:p>
        </w:tc>
        <w:tc>
          <w:tcPr>
            <w:tcW w:w="2320" w:type="dxa"/>
          </w:tcPr>
          <w:p w14:paraId="574E2BCF" w14:textId="77777777" w:rsidR="002F7250" w:rsidRPr="00E83C5E" w:rsidRDefault="002F7250" w:rsidP="00101B0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Fuqizimi organizimit rinor dhe rritja e pjesëmarrjes rinore</w:t>
            </w:r>
          </w:p>
          <w:p w14:paraId="574E2BD0" w14:textId="4FBFDA57" w:rsidR="002F7250" w:rsidRPr="00E83C5E" w:rsidRDefault="002F7250" w:rsidP="00364633">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Të rejat dhe të rinjtë marrin pjesë aktivisht në shoqëri dhe ndihen të fuqizuar për t’u shprehur me zërin e tyre. Politikat ndërsektoriale rinore janë të koordinuara, të bazuara në analiza, me mekanizma të mirëfinancuar</w:t>
            </w:r>
          </w:p>
        </w:tc>
        <w:tc>
          <w:tcPr>
            <w:tcW w:w="2492" w:type="dxa"/>
          </w:tcPr>
          <w:p w14:paraId="574E2BD1" w14:textId="77777777" w:rsidR="002F7250" w:rsidRPr="00E83C5E" w:rsidRDefault="002F7250" w:rsidP="00101B0A">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Politika rinore është e koordinuar, e bazuar në analiza dhe e harmonizuar në sektorë të ndryshëm duke kërkuar kohezionin dhe optimizimin e burimeve dhe duke forcuar si instrument zbatues të këtyre politikave Agjencinë Kombëtare të Rinisë.</w:t>
            </w:r>
          </w:p>
        </w:tc>
        <w:tc>
          <w:tcPr>
            <w:tcW w:w="1294" w:type="dxa"/>
          </w:tcPr>
          <w:p w14:paraId="574E2BD2" w14:textId="77777777" w:rsidR="002F7250" w:rsidRPr="00E83C5E" w:rsidRDefault="002F7250" w:rsidP="00101B0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MSHRF/ AKR</w:t>
            </w:r>
          </w:p>
          <w:p w14:paraId="574E2BD3" w14:textId="77777777" w:rsidR="002F7250" w:rsidRPr="00E83C5E" w:rsidRDefault="002F7250" w:rsidP="00101B0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AKPA</w:t>
            </w:r>
          </w:p>
        </w:tc>
      </w:tr>
    </w:tbl>
    <w:p w14:paraId="574E2BD6" w14:textId="4EED3322" w:rsidR="002F7250" w:rsidRPr="00E83C5E" w:rsidRDefault="002F7250" w:rsidP="002F7250">
      <w:pPr>
        <w:pStyle w:val="Caption"/>
        <w:keepNext/>
        <w:spacing w:after="0"/>
        <w:ind w:firstLine="284"/>
        <w:rPr>
          <w:rFonts w:ascii="Garamond" w:hAnsi="Garamond"/>
          <w:color w:val="000000" w:themeColor="text1"/>
          <w:sz w:val="24"/>
          <w:szCs w:val="24"/>
        </w:rPr>
      </w:pPr>
      <w:r w:rsidRPr="00E83C5E">
        <w:rPr>
          <w:rFonts w:ascii="Garamond" w:hAnsi="Garamond"/>
          <w:color w:val="000000" w:themeColor="text1"/>
          <w:sz w:val="24"/>
          <w:szCs w:val="24"/>
        </w:rPr>
        <w:t xml:space="preserve">Tabela </w:t>
      </w:r>
      <w:r w:rsidRPr="00E83C5E">
        <w:rPr>
          <w:rFonts w:ascii="Garamond" w:hAnsi="Garamond"/>
          <w:color w:val="000000" w:themeColor="text1"/>
          <w:sz w:val="24"/>
          <w:szCs w:val="24"/>
        </w:rPr>
        <w:fldChar w:fldCharType="begin"/>
      </w:r>
      <w:r w:rsidRPr="00E83C5E">
        <w:rPr>
          <w:rFonts w:ascii="Garamond" w:hAnsi="Garamond"/>
          <w:color w:val="000000" w:themeColor="text1"/>
          <w:sz w:val="24"/>
          <w:szCs w:val="24"/>
        </w:rPr>
        <w:instrText xml:space="preserve"> SEQ Tabela \* ARABIC </w:instrText>
      </w:r>
      <w:r w:rsidRPr="00E83C5E">
        <w:rPr>
          <w:rFonts w:ascii="Garamond" w:hAnsi="Garamond"/>
          <w:color w:val="000000" w:themeColor="text1"/>
          <w:sz w:val="24"/>
          <w:szCs w:val="24"/>
        </w:rPr>
        <w:fldChar w:fldCharType="separate"/>
      </w:r>
      <w:r w:rsidRPr="00E83C5E">
        <w:rPr>
          <w:rFonts w:ascii="Garamond" w:hAnsi="Garamond"/>
          <w:color w:val="000000" w:themeColor="text1"/>
          <w:sz w:val="24"/>
          <w:szCs w:val="24"/>
        </w:rPr>
        <w:t>6</w:t>
      </w:r>
      <w:r w:rsidRPr="00E83C5E">
        <w:rPr>
          <w:rFonts w:ascii="Garamond" w:hAnsi="Garamond"/>
          <w:color w:val="000000" w:themeColor="text1"/>
          <w:sz w:val="24"/>
          <w:szCs w:val="24"/>
        </w:rPr>
        <w:fldChar w:fldCharType="end"/>
      </w:r>
      <w:r w:rsidRPr="00E83C5E">
        <w:rPr>
          <w:rFonts w:ascii="Garamond" w:hAnsi="Garamond"/>
          <w:color w:val="000000" w:themeColor="text1"/>
          <w:sz w:val="24"/>
          <w:szCs w:val="24"/>
        </w:rPr>
        <w:t xml:space="preserve">: Lista e masave të parashikuara në lidhje me </w:t>
      </w:r>
      <w:r w:rsidR="00BF04DE" w:rsidRPr="00E83C5E">
        <w:rPr>
          <w:rFonts w:ascii="Garamond" w:hAnsi="Garamond"/>
          <w:color w:val="000000" w:themeColor="text1"/>
          <w:sz w:val="24"/>
          <w:szCs w:val="24"/>
        </w:rPr>
        <w:t xml:space="preserve">objektivin specifik </w:t>
      </w:r>
      <w:r w:rsidRPr="00E83C5E">
        <w:rPr>
          <w:rFonts w:ascii="Garamond" w:hAnsi="Garamond"/>
          <w:color w:val="000000" w:themeColor="text1"/>
          <w:sz w:val="24"/>
          <w:szCs w:val="24"/>
        </w:rPr>
        <w:t>1.2</w:t>
      </w:r>
    </w:p>
    <w:tbl>
      <w:tblPr>
        <w:tblStyle w:val="GridTable1Light-Accent11"/>
        <w:tblW w:w="9072" w:type="dxa"/>
        <w:tblLook w:val="04A0" w:firstRow="1" w:lastRow="0" w:firstColumn="1" w:lastColumn="0" w:noHBand="0" w:noVBand="1"/>
      </w:tblPr>
      <w:tblGrid>
        <w:gridCol w:w="840"/>
        <w:gridCol w:w="8232"/>
      </w:tblGrid>
      <w:tr w:rsidR="002F7250" w:rsidRPr="00E83C5E" w14:paraId="574E2BD9" w14:textId="77777777" w:rsidTr="00BF04DE">
        <w:trPr>
          <w:cnfStyle w:val="100000000000" w:firstRow="1" w:lastRow="0" w:firstColumn="0" w:lastColumn="0" w:oddVBand="0" w:evenVBand="0" w:oddHBand="0"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840" w:type="dxa"/>
          </w:tcPr>
          <w:p w14:paraId="574E2BD7" w14:textId="7CCF8001" w:rsidR="002F7250" w:rsidRPr="00E83C5E" w:rsidRDefault="002F7250" w:rsidP="00101B0A">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Nr</w:t>
            </w:r>
            <w:r w:rsidR="00BF04DE" w:rsidRPr="00E83C5E">
              <w:rPr>
                <w:rFonts w:ascii="Garamond" w:eastAsia="Times New Roman" w:hAnsi="Garamond" w:cs="Times New Roman"/>
                <w:color w:val="000000"/>
                <w:sz w:val="20"/>
                <w:szCs w:val="24"/>
              </w:rPr>
              <w:t>.</w:t>
            </w:r>
            <w:r w:rsidRPr="00E83C5E">
              <w:rPr>
                <w:rFonts w:ascii="Garamond" w:eastAsia="Times New Roman" w:hAnsi="Garamond" w:cs="Times New Roman"/>
                <w:color w:val="000000"/>
                <w:sz w:val="20"/>
                <w:szCs w:val="24"/>
              </w:rPr>
              <w:t xml:space="preserve"> i masës</w:t>
            </w:r>
          </w:p>
        </w:tc>
        <w:tc>
          <w:tcPr>
            <w:tcW w:w="8232" w:type="dxa"/>
          </w:tcPr>
          <w:p w14:paraId="574E2BD8" w14:textId="77777777" w:rsidR="002F7250" w:rsidRPr="00E83C5E" w:rsidRDefault="002F7250" w:rsidP="00101B0A">
            <w:pPr>
              <w:jc w:val="both"/>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sz w:val="20"/>
                <w:szCs w:val="24"/>
              </w:rPr>
            </w:pPr>
            <w:r w:rsidRPr="00E83C5E">
              <w:rPr>
                <w:rFonts w:ascii="Garamond" w:eastAsia="Times New Roman" w:hAnsi="Garamond" w:cs="Times New Roman"/>
                <w:sz w:val="20"/>
                <w:szCs w:val="24"/>
              </w:rPr>
              <w:t>Masa sipas objektivit specifik</w:t>
            </w:r>
          </w:p>
        </w:tc>
      </w:tr>
      <w:tr w:rsidR="002F7250" w:rsidRPr="00E83C5E" w14:paraId="574E2BDC" w14:textId="77777777" w:rsidTr="00BF04DE">
        <w:trPr>
          <w:trHeight w:val="30"/>
        </w:trPr>
        <w:tc>
          <w:tcPr>
            <w:cnfStyle w:val="001000000000" w:firstRow="0" w:lastRow="0" w:firstColumn="1" w:lastColumn="0" w:oddVBand="0" w:evenVBand="0" w:oddHBand="0" w:evenHBand="0" w:firstRowFirstColumn="0" w:firstRowLastColumn="0" w:lastRowFirstColumn="0" w:lastRowLastColumn="0"/>
            <w:tcW w:w="840" w:type="dxa"/>
            <w:hideMark/>
          </w:tcPr>
          <w:p w14:paraId="574E2BDA" w14:textId="77777777" w:rsidR="002F7250" w:rsidRPr="00E83C5E" w:rsidRDefault="002F7250" w:rsidP="00101B0A">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1.2.1</w:t>
            </w:r>
          </w:p>
        </w:tc>
        <w:tc>
          <w:tcPr>
            <w:tcW w:w="8232" w:type="dxa"/>
          </w:tcPr>
          <w:p w14:paraId="574E2BDB" w14:textId="77777777" w:rsidR="002F7250" w:rsidRPr="00E83C5E" w:rsidRDefault="002F7250" w:rsidP="00101B0A">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20"/>
                <w:szCs w:val="24"/>
              </w:rPr>
            </w:pPr>
            <w:r w:rsidRPr="00E83C5E">
              <w:rPr>
                <w:rFonts w:ascii="Garamond" w:eastAsia="Arial" w:hAnsi="Garamond" w:cs="Times New Roman"/>
                <w:sz w:val="20"/>
                <w:szCs w:val="24"/>
              </w:rPr>
              <w:t>Fuqizohen rolet zbatuese, koordinuese, monitoruese të AKR përmes fuqizimit të saj me burime financiare dhe njerëzore për të siguruar zbatimin e politikave sektoriale për rininë të pasqyruara në këtë strategji.</w:t>
            </w:r>
          </w:p>
        </w:tc>
      </w:tr>
      <w:tr w:rsidR="002F7250" w:rsidRPr="00E83C5E" w14:paraId="574E2BDF" w14:textId="77777777" w:rsidTr="00C756B0">
        <w:trPr>
          <w:trHeight w:val="93"/>
        </w:trPr>
        <w:tc>
          <w:tcPr>
            <w:cnfStyle w:val="001000000000" w:firstRow="0" w:lastRow="0" w:firstColumn="1" w:lastColumn="0" w:oddVBand="0" w:evenVBand="0" w:oddHBand="0" w:evenHBand="0" w:firstRowFirstColumn="0" w:firstRowLastColumn="0" w:lastRowFirstColumn="0" w:lastRowLastColumn="0"/>
            <w:tcW w:w="840" w:type="dxa"/>
            <w:hideMark/>
          </w:tcPr>
          <w:p w14:paraId="574E2BDD" w14:textId="77777777" w:rsidR="002F7250" w:rsidRPr="00E83C5E" w:rsidRDefault="002F7250" w:rsidP="00101B0A">
            <w:pPr>
              <w:jc w:val="both"/>
              <w:rPr>
                <w:rFonts w:ascii="Garamond" w:eastAsia="Times New Roman" w:hAnsi="Garamond" w:cs="Times New Roman"/>
                <w:b w:val="0"/>
                <w:bCs w:val="0"/>
                <w:color w:val="000000"/>
                <w:sz w:val="20"/>
                <w:szCs w:val="24"/>
              </w:rPr>
            </w:pPr>
            <w:r w:rsidRPr="00E83C5E">
              <w:rPr>
                <w:rFonts w:ascii="Garamond" w:eastAsia="Times New Roman" w:hAnsi="Garamond" w:cs="Times New Roman"/>
                <w:color w:val="000000"/>
                <w:sz w:val="20"/>
                <w:szCs w:val="24"/>
              </w:rPr>
              <w:t>1.2.2</w:t>
            </w:r>
          </w:p>
        </w:tc>
        <w:tc>
          <w:tcPr>
            <w:tcW w:w="8232" w:type="dxa"/>
          </w:tcPr>
          <w:p w14:paraId="574E2BDE" w14:textId="77777777" w:rsidR="002F7250" w:rsidRPr="00E83C5E" w:rsidRDefault="002F7250" w:rsidP="00101B0A">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20"/>
                <w:szCs w:val="24"/>
              </w:rPr>
            </w:pPr>
            <w:r w:rsidRPr="00E83C5E">
              <w:rPr>
                <w:rFonts w:ascii="Garamond" w:eastAsia="Arial" w:hAnsi="Garamond" w:cs="Times New Roman"/>
                <w:sz w:val="20"/>
                <w:szCs w:val="24"/>
              </w:rPr>
              <w:t>Përmes AKR sigurohen fonde për rritjen e prezencës së Shqipërisë në proceset e politikëbërjes rinore si në nivel rajonal, evropian dhe global.</w:t>
            </w:r>
          </w:p>
        </w:tc>
      </w:tr>
      <w:tr w:rsidR="002F7250" w:rsidRPr="00E83C5E" w14:paraId="574E2BE2" w14:textId="77777777" w:rsidTr="00BC2136">
        <w:trPr>
          <w:trHeight w:val="653"/>
        </w:trPr>
        <w:tc>
          <w:tcPr>
            <w:cnfStyle w:val="001000000000" w:firstRow="0" w:lastRow="0" w:firstColumn="1" w:lastColumn="0" w:oddVBand="0" w:evenVBand="0" w:oddHBand="0" w:evenHBand="0" w:firstRowFirstColumn="0" w:firstRowLastColumn="0" w:lastRowFirstColumn="0" w:lastRowLastColumn="0"/>
            <w:tcW w:w="840" w:type="dxa"/>
            <w:hideMark/>
          </w:tcPr>
          <w:p w14:paraId="574E2BE0" w14:textId="77777777" w:rsidR="002F7250" w:rsidRPr="00E83C5E" w:rsidRDefault="002F7250" w:rsidP="00101B0A">
            <w:pPr>
              <w:jc w:val="both"/>
              <w:rPr>
                <w:rFonts w:ascii="Garamond" w:eastAsia="Times New Roman" w:hAnsi="Garamond" w:cs="Times New Roman"/>
                <w:b w:val="0"/>
                <w:bCs w:val="0"/>
                <w:color w:val="000000"/>
                <w:sz w:val="20"/>
                <w:szCs w:val="24"/>
              </w:rPr>
            </w:pPr>
            <w:r w:rsidRPr="00E83C5E">
              <w:rPr>
                <w:rFonts w:ascii="Garamond" w:eastAsia="Times New Roman" w:hAnsi="Garamond" w:cs="Times New Roman"/>
                <w:color w:val="000000"/>
                <w:sz w:val="20"/>
                <w:szCs w:val="24"/>
              </w:rPr>
              <w:t>1.2.3</w:t>
            </w:r>
          </w:p>
        </w:tc>
        <w:tc>
          <w:tcPr>
            <w:tcW w:w="8232" w:type="dxa"/>
          </w:tcPr>
          <w:p w14:paraId="574E2BE1" w14:textId="4EE6BBCA" w:rsidR="002F7250" w:rsidRPr="00E83C5E" w:rsidRDefault="002F7250" w:rsidP="00101B0A">
            <w:pPr>
              <w:tabs>
                <w:tab w:val="right" w:pos="3022"/>
              </w:tabs>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sz w:val="20"/>
                <w:szCs w:val="24"/>
              </w:rPr>
            </w:pPr>
            <w:r w:rsidRPr="00E83C5E">
              <w:rPr>
                <w:rFonts w:ascii="Garamond" w:eastAsia="Arial" w:hAnsi="Garamond" w:cs="Times New Roman"/>
                <w:sz w:val="20"/>
                <w:szCs w:val="24"/>
              </w:rPr>
              <w:t xml:space="preserve">Bazuar në konceptin </w:t>
            </w:r>
            <w:r w:rsidR="00D540B0" w:rsidRPr="00E83C5E">
              <w:rPr>
                <w:rFonts w:ascii="Garamond" w:eastAsia="Arial" w:hAnsi="Garamond" w:cs="Times New Roman"/>
                <w:sz w:val="20"/>
                <w:szCs w:val="24"/>
              </w:rPr>
              <w:t>“</w:t>
            </w:r>
            <w:r w:rsidRPr="00E83C5E">
              <w:rPr>
                <w:rFonts w:ascii="Garamond" w:eastAsia="Arial" w:hAnsi="Garamond" w:cs="Times New Roman"/>
                <w:sz w:val="20"/>
                <w:szCs w:val="24"/>
              </w:rPr>
              <w:t>Të rinjtë për të rinjtë</w:t>
            </w:r>
            <w:r w:rsidR="00D540B0" w:rsidRPr="00E83C5E">
              <w:rPr>
                <w:rFonts w:ascii="Garamond" w:eastAsia="Arial" w:hAnsi="Garamond" w:cs="Times New Roman"/>
                <w:sz w:val="20"/>
                <w:szCs w:val="24"/>
              </w:rPr>
              <w:t>”</w:t>
            </w:r>
            <w:r w:rsidRPr="00E83C5E">
              <w:rPr>
                <w:rFonts w:ascii="Garamond" w:eastAsia="Arial" w:hAnsi="Garamond" w:cs="Times New Roman"/>
                <w:sz w:val="20"/>
                <w:szCs w:val="24"/>
              </w:rPr>
              <w:t xml:space="preserve"> zhvillohen dhe aplikohen shërbime mbështetëse dhe të informacionit për të rinjtë dhe rininë. Në këtë portal</w:t>
            </w:r>
            <w:r w:rsidR="00233C37" w:rsidRPr="00E83C5E">
              <w:rPr>
                <w:rFonts w:ascii="Garamond" w:eastAsia="Arial" w:hAnsi="Garamond" w:cs="Times New Roman"/>
                <w:sz w:val="20"/>
                <w:szCs w:val="24"/>
              </w:rPr>
              <w:t xml:space="preserve"> </w:t>
            </w:r>
            <w:r w:rsidRPr="00E83C5E">
              <w:rPr>
                <w:rFonts w:ascii="Garamond" w:eastAsia="Arial" w:hAnsi="Garamond" w:cs="Times New Roman"/>
                <w:sz w:val="20"/>
                <w:szCs w:val="24"/>
              </w:rPr>
              <w:t>krijohet një platformë informimi dhe shërbimesh për të rinjtë dhe organizatat rinore dhe/ose për të rinjtë që do të mbështesë formimin, punësimin, edukimin, mirëqenien, zhvillimin dhe aktivizimin e tyre.</w:t>
            </w:r>
          </w:p>
        </w:tc>
      </w:tr>
      <w:tr w:rsidR="002F7250" w:rsidRPr="00E83C5E" w14:paraId="574E2BE5" w14:textId="77777777" w:rsidTr="00BC2136">
        <w:trPr>
          <w:trHeight w:val="279"/>
        </w:trPr>
        <w:tc>
          <w:tcPr>
            <w:cnfStyle w:val="001000000000" w:firstRow="0" w:lastRow="0" w:firstColumn="1" w:lastColumn="0" w:oddVBand="0" w:evenVBand="0" w:oddHBand="0" w:evenHBand="0" w:firstRowFirstColumn="0" w:firstRowLastColumn="0" w:lastRowFirstColumn="0" w:lastRowLastColumn="0"/>
            <w:tcW w:w="840" w:type="dxa"/>
            <w:hideMark/>
          </w:tcPr>
          <w:p w14:paraId="574E2BE3" w14:textId="77777777" w:rsidR="002F7250" w:rsidRPr="00E83C5E" w:rsidRDefault="002F7250" w:rsidP="00101B0A">
            <w:pPr>
              <w:jc w:val="both"/>
              <w:rPr>
                <w:rFonts w:ascii="Garamond" w:eastAsia="Times New Roman" w:hAnsi="Garamond" w:cs="Times New Roman"/>
                <w:b w:val="0"/>
                <w:bCs w:val="0"/>
                <w:color w:val="000000"/>
                <w:sz w:val="20"/>
                <w:szCs w:val="24"/>
              </w:rPr>
            </w:pPr>
            <w:r w:rsidRPr="00E83C5E">
              <w:rPr>
                <w:rFonts w:ascii="Garamond" w:eastAsia="Times New Roman" w:hAnsi="Garamond" w:cs="Times New Roman"/>
                <w:color w:val="000000"/>
                <w:sz w:val="20"/>
                <w:szCs w:val="24"/>
              </w:rPr>
              <w:t>1.2.4</w:t>
            </w:r>
          </w:p>
        </w:tc>
        <w:tc>
          <w:tcPr>
            <w:tcW w:w="8232" w:type="dxa"/>
          </w:tcPr>
          <w:p w14:paraId="574E2BE4" w14:textId="6806A660" w:rsidR="002F7250" w:rsidRPr="00E83C5E" w:rsidRDefault="002F7250" w:rsidP="004A51E8">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20"/>
                <w:szCs w:val="24"/>
              </w:rPr>
            </w:pPr>
            <w:r w:rsidRPr="00E83C5E">
              <w:rPr>
                <w:rFonts w:ascii="Garamond" w:eastAsia="Arial" w:hAnsi="Garamond" w:cs="Times New Roman"/>
                <w:sz w:val="20"/>
                <w:szCs w:val="24"/>
              </w:rPr>
              <w:t>Fuqizohen kapacitetet e politikëbërësve dhe nëpunësve civilë në fushën e rinisë dhe zbatimin e politikave rinore bazuar në konceptin e shërbimeve miqësore dhe të pranueshme nga të rejat dhe të rinjtë dhe forcohet bashkëpunimi rajonal dhe ndërkombëtar në fushën e politikave rinore</w:t>
            </w:r>
          </w:p>
        </w:tc>
      </w:tr>
    </w:tbl>
    <w:p w14:paraId="574E2BE6" w14:textId="77777777" w:rsidR="002F7250" w:rsidRPr="00E83C5E" w:rsidRDefault="002F7250" w:rsidP="002F7250">
      <w:pPr>
        <w:shd w:val="clear" w:color="auto" w:fill="FFFFFF" w:themeFill="background1"/>
        <w:spacing w:after="0" w:line="240" w:lineRule="auto"/>
        <w:ind w:firstLine="284"/>
        <w:jc w:val="both"/>
        <w:rPr>
          <w:rFonts w:ascii="Garamond" w:hAnsi="Garamond" w:cs="Times New Roman"/>
          <w:sz w:val="24"/>
          <w:szCs w:val="24"/>
        </w:rPr>
      </w:pPr>
    </w:p>
    <w:p w14:paraId="574E2BE7" w14:textId="4EC67D65" w:rsidR="002F7250" w:rsidRPr="00E83C5E" w:rsidRDefault="002F7250" w:rsidP="00101B0A">
      <w:pPr>
        <w:pStyle w:val="TEKSTIII"/>
        <w:rPr>
          <w:b/>
        </w:rPr>
      </w:pPr>
      <w:r w:rsidRPr="00E83C5E">
        <w:rPr>
          <w:b/>
        </w:rPr>
        <w:t xml:space="preserve">Objektivi </w:t>
      </w:r>
      <w:r w:rsidR="00BF04DE" w:rsidRPr="00E83C5E">
        <w:rPr>
          <w:b/>
        </w:rPr>
        <w:t>s</w:t>
      </w:r>
      <w:r w:rsidRPr="00E83C5E">
        <w:rPr>
          <w:b/>
        </w:rPr>
        <w:t xml:space="preserve">pecifik 1.3: </w:t>
      </w:r>
    </w:p>
    <w:p w14:paraId="574E2BE8" w14:textId="77777777" w:rsidR="002F7250" w:rsidRPr="00E83C5E" w:rsidRDefault="002F7250" w:rsidP="00101B0A">
      <w:pPr>
        <w:pStyle w:val="TEKSTIII"/>
        <w:rPr>
          <w:rFonts w:eastAsia="Arial"/>
          <w:b/>
        </w:rPr>
      </w:pPr>
      <w:r w:rsidRPr="00E83C5E">
        <w:rPr>
          <w:rFonts w:eastAsia="Arial"/>
          <w:b/>
        </w:rPr>
        <w:t>Studimet rinore dhe të dhënat për rininë nxiten të zhvillohen dhe të bëhen pjesë e programeve të studimit në institucionet e arsimit të lartë dhe referenca për zhvillimet e mëtejshme në fushën e rinisë.</w:t>
      </w:r>
    </w:p>
    <w:p w14:paraId="574E2BE9" w14:textId="43C93916" w:rsidR="002F7250" w:rsidRPr="00E83C5E" w:rsidRDefault="002F7250" w:rsidP="00101B0A">
      <w:pPr>
        <w:pStyle w:val="TEKSTIII"/>
        <w:rPr>
          <w:b/>
          <w:color w:val="000000" w:themeColor="text1"/>
        </w:rPr>
      </w:pPr>
      <w:r w:rsidRPr="00E83C5E">
        <w:rPr>
          <w:b/>
          <w:color w:val="000000" w:themeColor="text1"/>
        </w:rPr>
        <w:t xml:space="preserve">Analiza e </w:t>
      </w:r>
      <w:r w:rsidR="00BF04DE" w:rsidRPr="00E83C5E">
        <w:rPr>
          <w:b/>
          <w:color w:val="000000" w:themeColor="text1"/>
        </w:rPr>
        <w:t>situatës dhe sfidat</w:t>
      </w:r>
    </w:p>
    <w:p w14:paraId="574E2BEA" w14:textId="10CC7EB3" w:rsidR="002F7250" w:rsidRPr="00E83C5E" w:rsidRDefault="002F7250" w:rsidP="00101B0A">
      <w:pPr>
        <w:pStyle w:val="TEKSTIII"/>
      </w:pPr>
      <w:r w:rsidRPr="00E83C5E">
        <w:t>Mbetet sfidë në vete nxjerrja e të dhënave statistikore të sakta për rininë të cilat nuk japin të dhëna vetën në rang vendi</w:t>
      </w:r>
      <w:r w:rsidR="000E6125">
        <w:t>,</w:t>
      </w:r>
      <w:r w:rsidRPr="00E83C5E">
        <w:t xml:space="preserve"> por të zbërthyera (disagreguara) për çështje të ndryshme që lidhen me rininë në nivel qarku apo bashkie. Edhe mungesave e databazave për organizatat rinore që kërkohet nga ligji për rininë shton paqartësinë e të dhënave. </w:t>
      </w:r>
    </w:p>
    <w:p w14:paraId="574E2BEB" w14:textId="10254A42" w:rsidR="002F7250" w:rsidRPr="00E83C5E" w:rsidRDefault="002F7250" w:rsidP="00101B0A">
      <w:pPr>
        <w:pStyle w:val="TEKSTIII"/>
      </w:pPr>
      <w:r w:rsidRPr="00E83C5E">
        <w:t>Në kuadër të punës kërkimore për këtë strategji u vu re mungesa e studimeve rinore si njësi akademike në kërkimin shkencor dhe në IAL. Procesi i kërkimit për rininë dhe problemet e të rejave dhe të rinjve nuk mungojnë</w:t>
      </w:r>
      <w:r w:rsidR="000E6125">
        <w:t>,</w:t>
      </w:r>
      <w:r w:rsidRPr="00E83C5E">
        <w:t xml:space="preserve"> por ato janë të shpërndara dhe jo të orientuara për të nxitur </w:t>
      </w:r>
      <w:r w:rsidR="00053B5D" w:rsidRPr="00E83C5E">
        <w:t>vendim</w:t>
      </w:r>
      <w:r w:rsidRPr="00E83C5E">
        <w:t xml:space="preserve">marrje specifike. Procesi i kërkimit shkencor për rininë bëhet nga organizata rinore që </w:t>
      </w:r>
      <w:r w:rsidRPr="00E83C5E">
        <w:lastRenderedPageBreak/>
        <w:t xml:space="preserve">mbështeten nga donatorë të ndryshëm. Studimet rinore janë të shpërndara kryesisht në degët e studimit të shkencave sociale dhe nuk i paraprijnë </w:t>
      </w:r>
      <w:r w:rsidR="0002048B" w:rsidRPr="00E83C5E">
        <w:t>proceseve</w:t>
      </w:r>
      <w:r w:rsidRPr="00E83C5E">
        <w:t xml:space="preserve"> politikëbërëse. </w:t>
      </w:r>
    </w:p>
    <w:p w14:paraId="574E2BEC" w14:textId="77777777" w:rsidR="002F7250" w:rsidRPr="00E83C5E" w:rsidRDefault="002F7250" w:rsidP="00101B0A">
      <w:pPr>
        <w:pStyle w:val="TEKSTIII"/>
      </w:pPr>
      <w:r w:rsidRPr="00E83C5E">
        <w:t>Edhe zhvillimi profesional i burimeve njerëzore që merren me rininë nuk është i rregulluar apo i orientuar drejt IAL-ve, ku sipas të dhënave, në institucionet e arsimit të lartë publik ekziston vetëm një program masteri ekzekutiv që ka në qendër përgatitjen e këshilluesve për karrierë</w:t>
      </w:r>
      <w:r w:rsidRPr="00E83C5E">
        <w:rPr>
          <w:rStyle w:val="FootnoteReference"/>
          <w:rFonts w:cs="Times New Roman"/>
        </w:rPr>
        <w:footnoteReference w:id="20"/>
      </w:r>
      <w:r w:rsidRPr="00E83C5E">
        <w:t xml:space="preserve">. </w:t>
      </w:r>
    </w:p>
    <w:p w14:paraId="574E2BED" w14:textId="27ADC3E6" w:rsidR="002F7250" w:rsidRPr="00E83C5E" w:rsidRDefault="002F7250" w:rsidP="002F7250">
      <w:pPr>
        <w:spacing w:after="0" w:line="240" w:lineRule="auto"/>
        <w:ind w:firstLine="284"/>
        <w:jc w:val="both"/>
        <w:rPr>
          <w:rFonts w:ascii="Garamond" w:eastAsia="Times New Roman" w:hAnsi="Garamond" w:cs="Times New Roman"/>
          <w:b/>
          <w:sz w:val="24"/>
          <w:szCs w:val="24"/>
        </w:rPr>
      </w:pPr>
      <w:r w:rsidRPr="00E83C5E">
        <w:rPr>
          <w:rFonts w:ascii="Garamond" w:eastAsia="Times New Roman" w:hAnsi="Garamond" w:cs="Times New Roman"/>
          <w:b/>
          <w:sz w:val="24"/>
          <w:szCs w:val="24"/>
        </w:rPr>
        <w:t xml:space="preserve">Institucionet </w:t>
      </w:r>
      <w:r w:rsidR="00BC220E" w:rsidRPr="00E83C5E">
        <w:rPr>
          <w:rFonts w:ascii="Garamond" w:eastAsia="Times New Roman" w:hAnsi="Garamond" w:cs="Times New Roman"/>
          <w:b/>
          <w:sz w:val="24"/>
          <w:szCs w:val="24"/>
        </w:rPr>
        <w:t>d</w:t>
      </w:r>
      <w:r w:rsidRPr="00E83C5E">
        <w:rPr>
          <w:rFonts w:ascii="Garamond" w:eastAsia="Times New Roman" w:hAnsi="Garamond" w:cs="Times New Roman"/>
          <w:b/>
          <w:sz w:val="24"/>
          <w:szCs w:val="24"/>
        </w:rPr>
        <w:t>rejtuese</w:t>
      </w:r>
    </w:p>
    <w:p w14:paraId="574E2BEE" w14:textId="5544F3D1" w:rsidR="002F7250" w:rsidRPr="00E83C5E" w:rsidRDefault="00D92565" w:rsidP="00D92565">
      <w:pPr>
        <w:pStyle w:val="TEKSTIII"/>
      </w:pPr>
      <w:r w:rsidRPr="00E83C5E">
        <w:t>-</w:t>
      </w:r>
      <w:r w:rsidR="00B229EC" w:rsidRPr="00E83C5E">
        <w:t xml:space="preserve"> </w:t>
      </w:r>
      <w:r w:rsidR="002F7250" w:rsidRPr="00E83C5E">
        <w:t>MSHRF, AKR</w:t>
      </w:r>
    </w:p>
    <w:p w14:paraId="574E2BEF" w14:textId="019E866B" w:rsidR="002F7250" w:rsidRPr="00E83C5E" w:rsidRDefault="002F7250" w:rsidP="002F7250">
      <w:pPr>
        <w:shd w:val="clear" w:color="auto" w:fill="FFFFFF"/>
        <w:spacing w:after="0" w:line="240" w:lineRule="auto"/>
        <w:ind w:firstLine="284"/>
        <w:jc w:val="both"/>
        <w:rPr>
          <w:rFonts w:ascii="Garamond" w:eastAsia="Times New Roman" w:hAnsi="Garamond" w:cs="Times New Roman"/>
          <w:b/>
          <w:sz w:val="24"/>
          <w:szCs w:val="24"/>
        </w:rPr>
      </w:pPr>
      <w:r w:rsidRPr="00E83C5E">
        <w:rPr>
          <w:rFonts w:ascii="Garamond" w:eastAsia="Times New Roman" w:hAnsi="Garamond" w:cs="Times New Roman"/>
          <w:b/>
          <w:sz w:val="24"/>
          <w:szCs w:val="24"/>
        </w:rPr>
        <w:t xml:space="preserve">Institucionet </w:t>
      </w:r>
      <w:r w:rsidR="00BC220E" w:rsidRPr="00E83C5E">
        <w:rPr>
          <w:rFonts w:ascii="Garamond" w:eastAsia="Times New Roman" w:hAnsi="Garamond" w:cs="Times New Roman"/>
          <w:b/>
          <w:sz w:val="24"/>
          <w:szCs w:val="24"/>
        </w:rPr>
        <w:t>p</w:t>
      </w:r>
      <w:r w:rsidRPr="00E83C5E">
        <w:rPr>
          <w:rFonts w:ascii="Garamond" w:eastAsia="Times New Roman" w:hAnsi="Garamond" w:cs="Times New Roman"/>
          <w:b/>
          <w:sz w:val="24"/>
          <w:szCs w:val="24"/>
        </w:rPr>
        <w:t>jesëmarrës</w:t>
      </w:r>
      <w:r w:rsidR="000E6125">
        <w:rPr>
          <w:rFonts w:ascii="Garamond" w:eastAsia="Times New Roman" w:hAnsi="Garamond" w:cs="Times New Roman"/>
          <w:b/>
          <w:sz w:val="24"/>
          <w:szCs w:val="24"/>
        </w:rPr>
        <w:t>e</w:t>
      </w:r>
    </w:p>
    <w:p w14:paraId="574E2BF0" w14:textId="69AE9183" w:rsidR="002F7250" w:rsidRPr="00E83C5E" w:rsidRDefault="00D92565" w:rsidP="00D92565">
      <w:pPr>
        <w:pStyle w:val="TEKSTIII"/>
      </w:pPr>
      <w:r w:rsidRPr="00E83C5E">
        <w:t>-</w:t>
      </w:r>
      <w:r w:rsidR="00B229EC" w:rsidRPr="00E83C5E">
        <w:t xml:space="preserve"> </w:t>
      </w:r>
      <w:r w:rsidR="002F7250" w:rsidRPr="00E83C5E">
        <w:t>MiSHMS, INSTAT</w:t>
      </w:r>
    </w:p>
    <w:p w14:paraId="574E2BF1" w14:textId="315D8933" w:rsidR="002F7250" w:rsidRPr="00E83C5E" w:rsidRDefault="002F7250" w:rsidP="002F7250">
      <w:pPr>
        <w:shd w:val="clear" w:color="auto" w:fill="FFFFFF" w:themeFill="background1"/>
        <w:spacing w:after="0" w:line="240" w:lineRule="auto"/>
        <w:ind w:firstLine="284"/>
        <w:jc w:val="both"/>
        <w:rPr>
          <w:rFonts w:ascii="Garamond" w:eastAsia="Calibri" w:hAnsi="Garamond" w:cs="Times New Roman"/>
          <w:sz w:val="24"/>
          <w:szCs w:val="24"/>
        </w:rPr>
      </w:pPr>
      <w:r w:rsidRPr="00E83C5E">
        <w:rPr>
          <w:rFonts w:ascii="Garamond" w:eastAsia="Calibri" w:hAnsi="Garamond" w:cs="Times New Roman"/>
          <w:sz w:val="24"/>
          <w:szCs w:val="24"/>
        </w:rPr>
        <w:t>Masat dhe buxhetet e ndërlidhura për të arritur rezultatet</w:t>
      </w:r>
      <w:r w:rsidR="00233C37" w:rsidRPr="00E83C5E">
        <w:rPr>
          <w:rFonts w:ascii="Garamond" w:eastAsia="Calibri" w:hAnsi="Garamond" w:cs="Times New Roman"/>
          <w:sz w:val="24"/>
          <w:szCs w:val="24"/>
        </w:rPr>
        <w:t xml:space="preserve"> </w:t>
      </w:r>
      <w:r w:rsidRPr="00E83C5E">
        <w:rPr>
          <w:rFonts w:ascii="Garamond" w:eastAsia="Calibri" w:hAnsi="Garamond" w:cs="Times New Roman"/>
          <w:sz w:val="24"/>
          <w:szCs w:val="24"/>
        </w:rPr>
        <w:t>specifike janë përshkruar në planin e veprimit të dokumentit strategjik q</w:t>
      </w:r>
      <w:r w:rsidRPr="00E83C5E">
        <w:rPr>
          <w:rFonts w:ascii="Garamond" w:hAnsi="Garamond" w:cs="Times New Roman"/>
          <w:sz w:val="24"/>
          <w:szCs w:val="24"/>
        </w:rPr>
        <w:t>ë</w:t>
      </w:r>
      <w:r w:rsidRPr="00E83C5E">
        <w:rPr>
          <w:rFonts w:ascii="Garamond" w:eastAsia="Calibri" w:hAnsi="Garamond" w:cs="Times New Roman"/>
          <w:sz w:val="24"/>
          <w:szCs w:val="24"/>
        </w:rPr>
        <w:t xml:space="preserve"> do të ngarkohet në IPSIS.</w:t>
      </w:r>
    </w:p>
    <w:p w14:paraId="574E2BF2" w14:textId="76E01CF7" w:rsidR="002F7250" w:rsidRPr="00E83C5E" w:rsidRDefault="002F7250" w:rsidP="00D92565">
      <w:pPr>
        <w:pStyle w:val="TEKSTIII"/>
        <w:rPr>
          <w:b/>
        </w:rPr>
      </w:pPr>
      <w:r w:rsidRPr="00E83C5E">
        <w:rPr>
          <w:b/>
        </w:rPr>
        <w:t xml:space="preserve">Lidhja e objektivit specifik me Marrëveshjen e Stabilizim-Asociimit </w:t>
      </w:r>
    </w:p>
    <w:p w14:paraId="574E2BF3" w14:textId="15A3200A" w:rsidR="002F7250" w:rsidRPr="00E83C5E" w:rsidRDefault="002F7250" w:rsidP="002F7250">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Objektivi </w:t>
      </w:r>
      <w:r w:rsidR="00BC220E" w:rsidRPr="00E83C5E">
        <w:rPr>
          <w:rFonts w:ascii="Garamond" w:hAnsi="Garamond" w:cs="Times New Roman"/>
          <w:sz w:val="24"/>
          <w:szCs w:val="24"/>
        </w:rPr>
        <w:t>s</w:t>
      </w:r>
      <w:r w:rsidRPr="00E83C5E">
        <w:rPr>
          <w:rFonts w:ascii="Garamond" w:hAnsi="Garamond" w:cs="Times New Roman"/>
          <w:sz w:val="24"/>
          <w:szCs w:val="24"/>
        </w:rPr>
        <w:t xml:space="preserve">pecifik 1.3 synon fuqizimin dhe konsolidimin e të dhënave dhe studimeve për rininë për të realizuar </w:t>
      </w:r>
      <w:r w:rsidR="00053B5D" w:rsidRPr="00E83C5E">
        <w:rPr>
          <w:rFonts w:ascii="Garamond" w:hAnsi="Garamond" w:cs="Times New Roman"/>
          <w:sz w:val="24"/>
          <w:szCs w:val="24"/>
        </w:rPr>
        <w:t>vendim</w:t>
      </w:r>
      <w:r w:rsidRPr="00E83C5E">
        <w:rPr>
          <w:rFonts w:ascii="Garamond" w:hAnsi="Garamond" w:cs="Times New Roman"/>
          <w:sz w:val="24"/>
          <w:szCs w:val="24"/>
        </w:rPr>
        <w:t xml:space="preserve">marrje të informuar dhe të lidhur me zhvillimin e rinisë si në nivelin qendror ashtu edhe në në atë vendor. Ky objektiv lidhet me </w:t>
      </w:r>
      <w:r w:rsidR="00152A89" w:rsidRPr="00E83C5E">
        <w:rPr>
          <w:rFonts w:ascii="Garamond" w:hAnsi="Garamond" w:cs="Times New Roman"/>
          <w:sz w:val="24"/>
          <w:szCs w:val="24"/>
        </w:rPr>
        <w:t>t</w:t>
      </w:r>
      <w:r w:rsidRPr="00E83C5E">
        <w:rPr>
          <w:rFonts w:ascii="Garamond" w:hAnsi="Garamond" w:cs="Times New Roman"/>
          <w:sz w:val="24"/>
          <w:szCs w:val="24"/>
        </w:rPr>
        <w:t xml:space="preserve">itullin VIII të MSA-së që trajton politikat e bashkëpunimit dhe më specifikisht me nenin 109 që trajton çështjet e bashkëpunimit në kërkimin shkencor. Nxitja e zhvillimit të </w:t>
      </w:r>
      <w:r w:rsidR="00D540B0" w:rsidRPr="00E83C5E">
        <w:rPr>
          <w:rFonts w:ascii="Garamond" w:hAnsi="Garamond" w:cs="Times New Roman"/>
          <w:sz w:val="24"/>
          <w:szCs w:val="24"/>
        </w:rPr>
        <w:t>“</w:t>
      </w:r>
      <w:r w:rsidRPr="00E83C5E">
        <w:rPr>
          <w:rFonts w:ascii="Garamond" w:hAnsi="Garamond" w:cs="Times New Roman"/>
          <w:sz w:val="24"/>
          <w:szCs w:val="24"/>
        </w:rPr>
        <w:t>studimeve rinore</w:t>
      </w:r>
      <w:r w:rsidR="00D540B0" w:rsidRPr="00E83C5E">
        <w:rPr>
          <w:rFonts w:ascii="Garamond" w:hAnsi="Garamond" w:cs="Times New Roman"/>
          <w:sz w:val="24"/>
          <w:szCs w:val="24"/>
        </w:rPr>
        <w:t>”</w:t>
      </w:r>
      <w:r w:rsidRPr="00E83C5E">
        <w:rPr>
          <w:rFonts w:ascii="Garamond" w:hAnsi="Garamond" w:cs="Times New Roman"/>
          <w:sz w:val="24"/>
          <w:szCs w:val="24"/>
        </w:rPr>
        <w:t xml:space="preserve"> sipas masave të këtij objektivi do të kërkojë bashkëpunim të institucioneve kërkimore dhe shkencore në vend, si edhe bashkëpunim në nivel evropian përmes programeve </w:t>
      </w:r>
      <w:r w:rsidR="00BC220E" w:rsidRPr="00E83C5E">
        <w:rPr>
          <w:rFonts w:ascii="Garamond" w:hAnsi="Garamond" w:cs="Times New Roman"/>
          <w:sz w:val="24"/>
          <w:szCs w:val="24"/>
        </w:rPr>
        <w:t>“</w:t>
      </w:r>
      <w:r w:rsidRPr="00E83C5E">
        <w:rPr>
          <w:rFonts w:ascii="Garamond" w:hAnsi="Garamond" w:cs="Times New Roman"/>
          <w:sz w:val="24"/>
          <w:szCs w:val="24"/>
        </w:rPr>
        <w:t>Horizon</w:t>
      </w:r>
      <w:r w:rsidR="00BC220E" w:rsidRPr="00E83C5E">
        <w:rPr>
          <w:rFonts w:ascii="Garamond" w:hAnsi="Garamond" w:cs="Times New Roman"/>
          <w:sz w:val="24"/>
          <w:szCs w:val="24"/>
        </w:rPr>
        <w:t>”</w:t>
      </w:r>
      <w:r w:rsidRPr="00E83C5E">
        <w:rPr>
          <w:rFonts w:ascii="Garamond" w:hAnsi="Garamond" w:cs="Times New Roman"/>
          <w:sz w:val="24"/>
          <w:szCs w:val="24"/>
        </w:rPr>
        <w:t xml:space="preserve"> dhe </w:t>
      </w:r>
      <w:r w:rsidR="00BC220E" w:rsidRPr="00E83C5E">
        <w:rPr>
          <w:rFonts w:ascii="Garamond" w:hAnsi="Garamond" w:cs="Times New Roman"/>
          <w:sz w:val="24"/>
          <w:szCs w:val="24"/>
        </w:rPr>
        <w:t>“</w:t>
      </w:r>
      <w:r w:rsidRPr="00E83C5E">
        <w:rPr>
          <w:rFonts w:ascii="Garamond" w:hAnsi="Garamond" w:cs="Times New Roman"/>
          <w:sz w:val="24"/>
          <w:szCs w:val="24"/>
        </w:rPr>
        <w:t>Erasmus</w:t>
      </w:r>
      <w:r w:rsidR="00BC220E" w:rsidRPr="00E83C5E">
        <w:rPr>
          <w:rFonts w:ascii="Garamond" w:hAnsi="Garamond" w:cs="Times New Roman"/>
          <w:sz w:val="24"/>
          <w:szCs w:val="24"/>
        </w:rPr>
        <w:t>”</w:t>
      </w:r>
      <w:r w:rsidRPr="00E83C5E">
        <w:rPr>
          <w:rFonts w:ascii="Garamond" w:hAnsi="Garamond" w:cs="Times New Roman"/>
          <w:sz w:val="24"/>
          <w:szCs w:val="24"/>
        </w:rPr>
        <w:t xml:space="preserve"> për të kontribuuar në zhvillimin e kapaciteteve në këtë fushë. Për më tej ky objektiv lidhet edhe me nenin 88 të </w:t>
      </w:r>
      <w:r w:rsidR="00152A89" w:rsidRPr="00E83C5E">
        <w:rPr>
          <w:rFonts w:ascii="Garamond" w:hAnsi="Garamond" w:cs="Times New Roman"/>
          <w:sz w:val="24"/>
          <w:szCs w:val="24"/>
        </w:rPr>
        <w:t>t</w:t>
      </w:r>
      <w:r w:rsidRPr="00E83C5E">
        <w:rPr>
          <w:rFonts w:ascii="Garamond" w:hAnsi="Garamond" w:cs="Times New Roman"/>
          <w:sz w:val="24"/>
          <w:szCs w:val="24"/>
        </w:rPr>
        <w:t xml:space="preserve">itullit VIII që ka të bëjë me bashkëpunimin statistikor. Zhvillimi i statistikave rinore dhe mundësitë për t’i zbërthyer ato në bazë të çështjeve themelore të studimeve rinore parashikohen si masa brenda këtij objektivi. </w:t>
      </w:r>
    </w:p>
    <w:p w14:paraId="574E2BF5" w14:textId="77777777" w:rsidR="002F7250" w:rsidRPr="00E83C5E" w:rsidRDefault="002F7250" w:rsidP="00D92565">
      <w:pPr>
        <w:pStyle w:val="TEKSTIII"/>
        <w:rPr>
          <w:b/>
        </w:rPr>
      </w:pPr>
      <w:r w:rsidRPr="00E83C5E">
        <w:rPr>
          <w:b/>
        </w:rPr>
        <w:t>Treguesit kryesorë të rezultateve</w:t>
      </w:r>
    </w:p>
    <w:p w14:paraId="574E2BF7" w14:textId="5ED7BE0F" w:rsidR="002F7250" w:rsidRPr="00E83C5E" w:rsidRDefault="002F7250" w:rsidP="002F7250">
      <w:pPr>
        <w:pStyle w:val="Caption"/>
        <w:keepNext/>
        <w:spacing w:after="0"/>
        <w:ind w:firstLine="284"/>
        <w:rPr>
          <w:rFonts w:ascii="Garamond" w:hAnsi="Garamond"/>
          <w:color w:val="000000" w:themeColor="text1"/>
          <w:sz w:val="24"/>
          <w:szCs w:val="24"/>
        </w:rPr>
      </w:pPr>
      <w:r w:rsidRPr="00E83C5E">
        <w:rPr>
          <w:rFonts w:ascii="Garamond" w:hAnsi="Garamond"/>
          <w:color w:val="000000" w:themeColor="text1"/>
          <w:sz w:val="24"/>
          <w:szCs w:val="24"/>
        </w:rPr>
        <w:t xml:space="preserve">Tabela </w:t>
      </w:r>
      <w:r w:rsidRPr="00E83C5E">
        <w:rPr>
          <w:rFonts w:ascii="Garamond" w:hAnsi="Garamond"/>
          <w:color w:val="000000" w:themeColor="text1"/>
          <w:sz w:val="24"/>
          <w:szCs w:val="24"/>
        </w:rPr>
        <w:fldChar w:fldCharType="begin"/>
      </w:r>
      <w:r w:rsidRPr="00E83C5E">
        <w:rPr>
          <w:rFonts w:ascii="Garamond" w:hAnsi="Garamond"/>
          <w:color w:val="000000" w:themeColor="text1"/>
          <w:sz w:val="24"/>
          <w:szCs w:val="24"/>
        </w:rPr>
        <w:instrText xml:space="preserve"> SEQ Tabela \* ARABIC </w:instrText>
      </w:r>
      <w:r w:rsidRPr="00E83C5E">
        <w:rPr>
          <w:rFonts w:ascii="Garamond" w:hAnsi="Garamond"/>
          <w:color w:val="000000" w:themeColor="text1"/>
          <w:sz w:val="24"/>
          <w:szCs w:val="24"/>
        </w:rPr>
        <w:fldChar w:fldCharType="separate"/>
      </w:r>
      <w:r w:rsidRPr="00E83C5E">
        <w:rPr>
          <w:rFonts w:ascii="Garamond" w:hAnsi="Garamond"/>
          <w:color w:val="000000" w:themeColor="text1"/>
          <w:sz w:val="24"/>
          <w:szCs w:val="24"/>
        </w:rPr>
        <w:t>7</w:t>
      </w:r>
      <w:r w:rsidRPr="00E83C5E">
        <w:rPr>
          <w:rFonts w:ascii="Garamond" w:hAnsi="Garamond"/>
          <w:color w:val="000000" w:themeColor="text1"/>
          <w:sz w:val="24"/>
          <w:szCs w:val="24"/>
        </w:rPr>
        <w:fldChar w:fldCharType="end"/>
      </w:r>
      <w:r w:rsidRPr="00E83C5E">
        <w:rPr>
          <w:rFonts w:ascii="Garamond" w:hAnsi="Garamond"/>
          <w:color w:val="000000" w:themeColor="text1"/>
          <w:sz w:val="24"/>
          <w:szCs w:val="24"/>
        </w:rPr>
        <w:t>:</w:t>
      </w:r>
      <w:r w:rsidR="0002048B" w:rsidRPr="00E83C5E">
        <w:rPr>
          <w:rFonts w:ascii="Garamond" w:hAnsi="Garamond"/>
          <w:color w:val="000000" w:themeColor="text1"/>
          <w:sz w:val="24"/>
          <w:szCs w:val="24"/>
        </w:rPr>
        <w:t xml:space="preserve"> </w:t>
      </w:r>
      <w:r w:rsidRPr="00E83C5E">
        <w:rPr>
          <w:rFonts w:ascii="Garamond" w:hAnsi="Garamond"/>
          <w:color w:val="000000" w:themeColor="text1"/>
          <w:sz w:val="24"/>
          <w:szCs w:val="24"/>
        </w:rPr>
        <w:t xml:space="preserve">Treguesit </w:t>
      </w:r>
      <w:r w:rsidR="0002048B" w:rsidRPr="00E83C5E">
        <w:rPr>
          <w:rFonts w:ascii="Garamond" w:hAnsi="Garamond"/>
          <w:color w:val="000000" w:themeColor="text1"/>
          <w:sz w:val="24"/>
          <w:szCs w:val="24"/>
        </w:rPr>
        <w:t xml:space="preserve">kyç të performancës në </w:t>
      </w:r>
      <w:r w:rsidRPr="00E83C5E">
        <w:rPr>
          <w:rFonts w:ascii="Garamond" w:hAnsi="Garamond"/>
          <w:color w:val="000000" w:themeColor="text1"/>
          <w:sz w:val="24"/>
          <w:szCs w:val="24"/>
        </w:rPr>
        <w:t xml:space="preserve">lidhje me </w:t>
      </w:r>
      <w:r w:rsidR="00152A89" w:rsidRPr="00E83C5E">
        <w:rPr>
          <w:rFonts w:ascii="Garamond" w:hAnsi="Garamond"/>
          <w:color w:val="000000" w:themeColor="text1"/>
          <w:sz w:val="24"/>
          <w:szCs w:val="24"/>
        </w:rPr>
        <w:t xml:space="preserve">objektivin </w:t>
      </w:r>
      <w:r w:rsidRPr="00E83C5E">
        <w:rPr>
          <w:rFonts w:ascii="Garamond" w:hAnsi="Garamond"/>
          <w:color w:val="000000" w:themeColor="text1"/>
          <w:sz w:val="24"/>
          <w:szCs w:val="24"/>
        </w:rPr>
        <w:t>specifik 1.3</w:t>
      </w:r>
    </w:p>
    <w:tbl>
      <w:tblPr>
        <w:tblStyle w:val="GridTable1Light-Accent11"/>
        <w:tblW w:w="9419" w:type="dxa"/>
        <w:tblLayout w:type="fixed"/>
        <w:tblLook w:val="04A0" w:firstRow="1" w:lastRow="0" w:firstColumn="1" w:lastColumn="0" w:noHBand="0" w:noVBand="1"/>
      </w:tblPr>
      <w:tblGrid>
        <w:gridCol w:w="1255"/>
        <w:gridCol w:w="2000"/>
        <w:gridCol w:w="2342"/>
        <w:gridCol w:w="2516"/>
        <w:gridCol w:w="1306"/>
      </w:tblGrid>
      <w:tr w:rsidR="002F7250" w:rsidRPr="00E83C5E" w14:paraId="574E2BFE" w14:textId="77777777" w:rsidTr="00E63F88">
        <w:trPr>
          <w:cnfStyle w:val="100000000000" w:firstRow="1" w:lastRow="0" w:firstColumn="0" w:lastColumn="0" w:oddVBand="0" w:evenVBand="0" w:oddHBand="0" w:evenHBand="0" w:firstRowFirstColumn="0" w:firstRowLastColumn="0" w:lastRowFirstColumn="0" w:lastRowLastColumn="0"/>
          <w:trHeight w:val="47"/>
        </w:trPr>
        <w:tc>
          <w:tcPr>
            <w:cnfStyle w:val="001000000000" w:firstRow="0" w:lastRow="0" w:firstColumn="1" w:lastColumn="0" w:oddVBand="0" w:evenVBand="0" w:oddHBand="0" w:evenHBand="0" w:firstRowFirstColumn="0" w:firstRowLastColumn="0" w:lastRowFirstColumn="0" w:lastRowLastColumn="0"/>
            <w:tcW w:w="1255" w:type="dxa"/>
          </w:tcPr>
          <w:p w14:paraId="574E2BF8" w14:textId="77777777" w:rsidR="002F7250" w:rsidRPr="00E83C5E" w:rsidRDefault="002F7250" w:rsidP="00D92565">
            <w:pPr>
              <w:jc w:val="center"/>
              <w:rPr>
                <w:rFonts w:ascii="Garamond" w:hAnsi="Garamond" w:cs="Times New Roman"/>
                <w:b w:val="0"/>
                <w:color w:val="000000" w:themeColor="text1"/>
                <w:sz w:val="20"/>
                <w:szCs w:val="24"/>
                <w:lang w:eastAsia="en-GB"/>
              </w:rPr>
            </w:pPr>
            <w:r w:rsidRPr="00E83C5E">
              <w:rPr>
                <w:rFonts w:ascii="Garamond" w:hAnsi="Garamond" w:cs="Times New Roman"/>
                <w:color w:val="000000" w:themeColor="text1"/>
                <w:sz w:val="20"/>
                <w:szCs w:val="24"/>
                <w:lang w:eastAsia="en-GB"/>
              </w:rPr>
              <w:t>Lloji i treguesit</w:t>
            </w:r>
          </w:p>
        </w:tc>
        <w:tc>
          <w:tcPr>
            <w:tcW w:w="2000" w:type="dxa"/>
          </w:tcPr>
          <w:p w14:paraId="574E2BF9" w14:textId="106059EA" w:rsidR="002F7250" w:rsidRPr="00E83C5E" w:rsidRDefault="002F7250" w:rsidP="0002048B">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color w:val="000000" w:themeColor="text1"/>
                <w:sz w:val="20"/>
                <w:szCs w:val="24"/>
                <w:lang w:eastAsia="en-GB"/>
              </w:rPr>
            </w:pPr>
            <w:r w:rsidRPr="00E83C5E">
              <w:rPr>
                <w:rFonts w:ascii="Garamond" w:hAnsi="Garamond" w:cs="Times New Roman"/>
                <w:color w:val="000000" w:themeColor="text1"/>
                <w:sz w:val="20"/>
                <w:szCs w:val="24"/>
              </w:rPr>
              <w:t xml:space="preserve">Emërtimi i </w:t>
            </w:r>
            <w:r w:rsidR="00152A89" w:rsidRPr="00E83C5E">
              <w:rPr>
                <w:rFonts w:ascii="Garamond" w:hAnsi="Garamond" w:cs="Times New Roman"/>
                <w:color w:val="000000" w:themeColor="text1"/>
                <w:sz w:val="20"/>
                <w:szCs w:val="24"/>
              </w:rPr>
              <w:t>treguesit të p</w:t>
            </w:r>
            <w:r w:rsidR="0002048B" w:rsidRPr="00E83C5E">
              <w:rPr>
                <w:rFonts w:ascii="Garamond" w:hAnsi="Garamond" w:cs="Times New Roman"/>
                <w:color w:val="000000" w:themeColor="text1"/>
                <w:sz w:val="20"/>
                <w:szCs w:val="24"/>
              </w:rPr>
              <w:t>e</w:t>
            </w:r>
            <w:r w:rsidR="00152A89" w:rsidRPr="00E83C5E">
              <w:rPr>
                <w:rFonts w:ascii="Garamond" w:hAnsi="Garamond" w:cs="Times New Roman"/>
                <w:color w:val="000000" w:themeColor="text1"/>
                <w:sz w:val="20"/>
                <w:szCs w:val="24"/>
              </w:rPr>
              <w:t>rformancës</w:t>
            </w:r>
          </w:p>
        </w:tc>
        <w:tc>
          <w:tcPr>
            <w:tcW w:w="2342" w:type="dxa"/>
          </w:tcPr>
          <w:p w14:paraId="574E2BFA" w14:textId="7D145D83" w:rsidR="002F7250" w:rsidRPr="00E83C5E" w:rsidRDefault="002F7250" w:rsidP="00D92565">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sz w:val="20"/>
                <w:szCs w:val="24"/>
                <w:lang w:eastAsia="en-GB"/>
              </w:rPr>
            </w:pPr>
            <w:r w:rsidRPr="00E83C5E">
              <w:rPr>
                <w:rFonts w:ascii="Garamond" w:hAnsi="Garamond" w:cs="Times New Roman"/>
                <w:sz w:val="20"/>
                <w:szCs w:val="24"/>
                <w:lang w:eastAsia="en-GB"/>
              </w:rPr>
              <w:t xml:space="preserve">Lidhja me </w:t>
            </w:r>
            <w:r w:rsidR="00152A89" w:rsidRPr="00E83C5E">
              <w:rPr>
                <w:rFonts w:ascii="Garamond" w:hAnsi="Garamond" w:cs="Times New Roman"/>
                <w:sz w:val="20"/>
                <w:szCs w:val="24"/>
                <w:lang w:eastAsia="en-GB"/>
              </w:rPr>
              <w:t>qëllimin e politikës</w:t>
            </w:r>
          </w:p>
        </w:tc>
        <w:tc>
          <w:tcPr>
            <w:tcW w:w="2516" w:type="dxa"/>
          </w:tcPr>
          <w:p w14:paraId="574E2BFB" w14:textId="71681B2F" w:rsidR="002F7250" w:rsidRPr="00E83C5E" w:rsidRDefault="002F7250" w:rsidP="00D92565">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sz w:val="20"/>
                <w:szCs w:val="24"/>
                <w:lang w:eastAsia="en-GB"/>
              </w:rPr>
            </w:pPr>
            <w:r w:rsidRPr="00E83C5E">
              <w:rPr>
                <w:rFonts w:ascii="Garamond" w:hAnsi="Garamond" w:cs="Times New Roman"/>
                <w:sz w:val="20"/>
                <w:szCs w:val="24"/>
                <w:lang w:eastAsia="en-GB"/>
              </w:rPr>
              <w:t xml:space="preserve">Lidhja me </w:t>
            </w:r>
            <w:r w:rsidR="00152A89" w:rsidRPr="00E83C5E">
              <w:rPr>
                <w:rFonts w:ascii="Garamond" w:hAnsi="Garamond" w:cs="Times New Roman"/>
                <w:sz w:val="20"/>
                <w:szCs w:val="24"/>
                <w:lang w:eastAsia="en-GB"/>
              </w:rPr>
              <w:t>objektivin specifik</w:t>
            </w:r>
          </w:p>
        </w:tc>
        <w:tc>
          <w:tcPr>
            <w:tcW w:w="1306" w:type="dxa"/>
          </w:tcPr>
          <w:p w14:paraId="574E2BFD" w14:textId="32617283" w:rsidR="002F7250" w:rsidRPr="00E83C5E" w:rsidRDefault="002F7250" w:rsidP="00E63F88">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sz w:val="20"/>
                <w:szCs w:val="24"/>
                <w:lang w:eastAsia="en-GB"/>
              </w:rPr>
            </w:pPr>
            <w:r w:rsidRPr="00E83C5E">
              <w:rPr>
                <w:rFonts w:ascii="Garamond" w:hAnsi="Garamond" w:cs="Times New Roman"/>
                <w:sz w:val="20"/>
                <w:szCs w:val="24"/>
                <w:lang w:eastAsia="en-GB"/>
              </w:rPr>
              <w:t xml:space="preserve">Institucioni </w:t>
            </w:r>
            <w:r w:rsidR="00152A89" w:rsidRPr="00E83C5E">
              <w:rPr>
                <w:rFonts w:ascii="Garamond" w:hAnsi="Garamond" w:cs="Times New Roman"/>
                <w:sz w:val="20"/>
                <w:szCs w:val="24"/>
                <w:lang w:eastAsia="en-GB"/>
              </w:rPr>
              <w:t>përg</w:t>
            </w:r>
            <w:r w:rsidRPr="00E83C5E">
              <w:rPr>
                <w:rFonts w:ascii="Garamond" w:hAnsi="Garamond" w:cs="Times New Roman"/>
                <w:sz w:val="20"/>
                <w:szCs w:val="24"/>
                <w:lang w:eastAsia="en-GB"/>
              </w:rPr>
              <w:t>jegjës</w:t>
            </w:r>
          </w:p>
        </w:tc>
      </w:tr>
      <w:tr w:rsidR="002F7250" w:rsidRPr="00E83C5E" w14:paraId="574E2C05" w14:textId="77777777" w:rsidTr="00364633">
        <w:trPr>
          <w:trHeight w:val="181"/>
        </w:trPr>
        <w:tc>
          <w:tcPr>
            <w:cnfStyle w:val="001000000000" w:firstRow="0" w:lastRow="0" w:firstColumn="1" w:lastColumn="0" w:oddVBand="0" w:evenVBand="0" w:oddHBand="0" w:evenHBand="0" w:firstRowFirstColumn="0" w:firstRowLastColumn="0" w:lastRowFirstColumn="0" w:lastRowLastColumn="0"/>
            <w:tcW w:w="1255" w:type="dxa"/>
          </w:tcPr>
          <w:p w14:paraId="574E2BFF" w14:textId="77777777" w:rsidR="002F7250" w:rsidRPr="00E83C5E" w:rsidRDefault="002F7250" w:rsidP="00D92565">
            <w:pPr>
              <w:jc w:val="both"/>
              <w:rPr>
                <w:rFonts w:ascii="Garamond" w:hAnsi="Garamond" w:cs="Times New Roman"/>
                <w:sz w:val="20"/>
                <w:szCs w:val="24"/>
                <w:lang w:eastAsia="en-GB"/>
              </w:rPr>
            </w:pPr>
            <w:r w:rsidRPr="00E83C5E">
              <w:rPr>
                <w:rFonts w:ascii="Garamond" w:hAnsi="Garamond" w:cs="Times New Roman"/>
                <w:sz w:val="20"/>
                <w:szCs w:val="24"/>
                <w:lang w:eastAsia="en-GB"/>
              </w:rPr>
              <w:t>Rezultati</w:t>
            </w:r>
          </w:p>
        </w:tc>
        <w:tc>
          <w:tcPr>
            <w:tcW w:w="2000" w:type="dxa"/>
          </w:tcPr>
          <w:p w14:paraId="574E2C00" w14:textId="77777777" w:rsidR="002F7250" w:rsidRPr="00E83C5E" w:rsidRDefault="002F7250" w:rsidP="00D92565">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Politikat zhvillimore rinore të hartuara bazuar në analizë</w:t>
            </w:r>
          </w:p>
        </w:tc>
        <w:tc>
          <w:tcPr>
            <w:tcW w:w="2342" w:type="dxa"/>
          </w:tcPr>
          <w:p w14:paraId="574E2C01" w14:textId="77777777"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Fuqizimi organizimit rinor dhe rritja e pjesëmarrjes rinore</w:t>
            </w:r>
          </w:p>
          <w:p w14:paraId="574E2C02" w14:textId="538F1ED0" w:rsidR="002F7250" w:rsidRPr="00E83C5E" w:rsidRDefault="002F7250" w:rsidP="00364633">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Të rejat dhe të rinjtë marrin pjesë aktivisht në shoqëri dhe ndihen të fuqizuar për t’u shprehur me zërin e tyre. Politikat ndërsektoriale rinore janë të koordinuara, të bazuara në analiza, me mekanizma të mirëfinancuar</w:t>
            </w:r>
          </w:p>
        </w:tc>
        <w:tc>
          <w:tcPr>
            <w:tcW w:w="2516" w:type="dxa"/>
          </w:tcPr>
          <w:p w14:paraId="574E2C03" w14:textId="77777777" w:rsidR="002F7250" w:rsidRPr="00E83C5E" w:rsidRDefault="002F7250" w:rsidP="00D92565">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 xml:space="preserve"> Studimet rinore dhe të dhënat për rininë nxiten të zhvillohen dhe të bëhen pjesë e programeve të studimit në institucionet e arsimit të lartë dhe referenca për zhvillimet e mëtejshme në fushën e rinisë.</w:t>
            </w:r>
          </w:p>
        </w:tc>
        <w:tc>
          <w:tcPr>
            <w:tcW w:w="1306" w:type="dxa"/>
          </w:tcPr>
          <w:p w14:paraId="574E2C04" w14:textId="77777777"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MSHRF/ AKR</w:t>
            </w:r>
          </w:p>
        </w:tc>
      </w:tr>
    </w:tbl>
    <w:p w14:paraId="574E2C07" w14:textId="77777777" w:rsidR="002F7250" w:rsidRPr="00E83C5E" w:rsidRDefault="002F7250" w:rsidP="00D92565">
      <w:pPr>
        <w:pStyle w:val="TEKSTIII"/>
        <w:rPr>
          <w:b/>
        </w:rPr>
      </w:pPr>
      <w:r w:rsidRPr="00E83C5E">
        <w:rPr>
          <w:b/>
        </w:rPr>
        <w:t>Lista e masave të nevojshme për arritjen e objektivit specifik 1.3</w:t>
      </w:r>
    </w:p>
    <w:tbl>
      <w:tblPr>
        <w:tblStyle w:val="GridTable1Light-Accent11"/>
        <w:tblW w:w="9214" w:type="dxa"/>
        <w:tblLook w:val="04A0" w:firstRow="1" w:lastRow="0" w:firstColumn="1" w:lastColumn="0" w:noHBand="0" w:noVBand="1"/>
      </w:tblPr>
      <w:tblGrid>
        <w:gridCol w:w="715"/>
        <w:gridCol w:w="8499"/>
      </w:tblGrid>
      <w:tr w:rsidR="002F7250" w:rsidRPr="00E83C5E" w14:paraId="574E2C0A" w14:textId="77777777" w:rsidTr="00152A89">
        <w:trPr>
          <w:cnfStyle w:val="100000000000" w:firstRow="1" w:lastRow="0" w:firstColumn="0" w:lastColumn="0" w:oddVBand="0" w:evenVBand="0" w:oddHBand="0"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715" w:type="dxa"/>
            <w:hideMark/>
          </w:tcPr>
          <w:p w14:paraId="574E2C08" w14:textId="21C81DD4" w:rsidR="002F7250" w:rsidRPr="00E83C5E" w:rsidRDefault="002F7250" w:rsidP="00D92565">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 Nr</w:t>
            </w:r>
            <w:r w:rsidR="00152A89" w:rsidRPr="00E83C5E">
              <w:rPr>
                <w:rFonts w:ascii="Garamond" w:eastAsia="Times New Roman" w:hAnsi="Garamond" w:cs="Times New Roman"/>
                <w:color w:val="000000"/>
                <w:sz w:val="20"/>
                <w:szCs w:val="24"/>
              </w:rPr>
              <w:t>.</w:t>
            </w:r>
          </w:p>
        </w:tc>
        <w:tc>
          <w:tcPr>
            <w:tcW w:w="8499" w:type="dxa"/>
            <w:hideMark/>
          </w:tcPr>
          <w:p w14:paraId="574E2C09" w14:textId="77777777" w:rsidR="002F7250" w:rsidRPr="00E83C5E" w:rsidRDefault="002F7250" w:rsidP="00D92565">
            <w:pPr>
              <w:jc w:val="both"/>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color w:val="0066CC"/>
                <w:sz w:val="20"/>
                <w:szCs w:val="24"/>
              </w:rPr>
            </w:pPr>
            <w:r w:rsidRPr="00E83C5E">
              <w:rPr>
                <w:rFonts w:ascii="Garamond" w:eastAsia="Times New Roman" w:hAnsi="Garamond" w:cs="Times New Roman"/>
                <w:sz w:val="20"/>
                <w:szCs w:val="24"/>
              </w:rPr>
              <w:t>Lista e masave sipas objektivit specifik</w:t>
            </w:r>
          </w:p>
        </w:tc>
      </w:tr>
      <w:tr w:rsidR="002F7250" w:rsidRPr="00E83C5E" w14:paraId="574E2C0D" w14:textId="77777777" w:rsidTr="00152A89">
        <w:trPr>
          <w:trHeight w:val="30"/>
        </w:trPr>
        <w:tc>
          <w:tcPr>
            <w:cnfStyle w:val="001000000000" w:firstRow="0" w:lastRow="0" w:firstColumn="1" w:lastColumn="0" w:oddVBand="0" w:evenVBand="0" w:oddHBand="0" w:evenHBand="0" w:firstRowFirstColumn="0" w:firstRowLastColumn="0" w:lastRowFirstColumn="0" w:lastRowLastColumn="0"/>
            <w:tcW w:w="715" w:type="dxa"/>
            <w:hideMark/>
          </w:tcPr>
          <w:p w14:paraId="574E2C0B" w14:textId="77777777" w:rsidR="002F7250" w:rsidRPr="00E83C5E" w:rsidRDefault="002F7250" w:rsidP="00D92565">
            <w:pPr>
              <w:jc w:val="both"/>
              <w:rPr>
                <w:rFonts w:ascii="Garamond" w:eastAsia="Times New Roman" w:hAnsi="Garamond" w:cs="Times New Roman"/>
                <w:b w:val="0"/>
                <w:bCs w:val="0"/>
                <w:color w:val="000000"/>
                <w:sz w:val="20"/>
                <w:szCs w:val="24"/>
              </w:rPr>
            </w:pPr>
            <w:r w:rsidRPr="00E83C5E">
              <w:rPr>
                <w:rFonts w:ascii="Garamond" w:eastAsia="Times New Roman" w:hAnsi="Garamond" w:cs="Times New Roman"/>
                <w:color w:val="000000"/>
                <w:sz w:val="20"/>
                <w:szCs w:val="24"/>
              </w:rPr>
              <w:t>1.3.1</w:t>
            </w:r>
          </w:p>
        </w:tc>
        <w:tc>
          <w:tcPr>
            <w:tcW w:w="8499" w:type="dxa"/>
          </w:tcPr>
          <w:p w14:paraId="574E2C0C" w14:textId="6F258F91"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20"/>
                <w:szCs w:val="24"/>
              </w:rPr>
            </w:pPr>
            <w:r w:rsidRPr="00E83C5E">
              <w:rPr>
                <w:rFonts w:ascii="Garamond" w:eastAsia="Arial" w:hAnsi="Garamond" w:cs="Times New Roman"/>
                <w:sz w:val="20"/>
                <w:szCs w:val="24"/>
              </w:rPr>
              <w:t>Krijohen baza të dhënash statistikore dhe studimore për rininë në Shqipëri përmes forcimit të kërkimit shkencor rreth rinisë si në nivel kombëtar dhe ndërkombëtar dhe fuqizohet studimi i rinisë si fushë akademike dhe shkencore</w:t>
            </w:r>
            <w:r w:rsidR="00152A89" w:rsidRPr="00E83C5E">
              <w:rPr>
                <w:rFonts w:ascii="Garamond" w:eastAsia="Arial" w:hAnsi="Garamond" w:cs="Times New Roman"/>
                <w:sz w:val="20"/>
                <w:szCs w:val="24"/>
              </w:rPr>
              <w:t>.</w:t>
            </w:r>
          </w:p>
        </w:tc>
      </w:tr>
      <w:tr w:rsidR="002F7250" w:rsidRPr="00E83C5E" w14:paraId="574E2C10" w14:textId="77777777" w:rsidTr="00152A89">
        <w:trPr>
          <w:trHeight w:val="50"/>
        </w:trPr>
        <w:tc>
          <w:tcPr>
            <w:cnfStyle w:val="001000000000" w:firstRow="0" w:lastRow="0" w:firstColumn="1" w:lastColumn="0" w:oddVBand="0" w:evenVBand="0" w:oddHBand="0" w:evenHBand="0" w:firstRowFirstColumn="0" w:firstRowLastColumn="0" w:lastRowFirstColumn="0" w:lastRowLastColumn="0"/>
            <w:tcW w:w="715" w:type="dxa"/>
            <w:hideMark/>
          </w:tcPr>
          <w:p w14:paraId="574E2C0E" w14:textId="77777777" w:rsidR="002F7250" w:rsidRPr="00E83C5E" w:rsidRDefault="002F7250" w:rsidP="00D92565">
            <w:pPr>
              <w:jc w:val="both"/>
              <w:rPr>
                <w:rFonts w:ascii="Garamond" w:eastAsia="Times New Roman" w:hAnsi="Garamond" w:cs="Times New Roman"/>
                <w:b w:val="0"/>
                <w:bCs w:val="0"/>
                <w:color w:val="000000"/>
                <w:sz w:val="20"/>
                <w:szCs w:val="24"/>
              </w:rPr>
            </w:pPr>
            <w:r w:rsidRPr="00E83C5E">
              <w:rPr>
                <w:rFonts w:ascii="Garamond" w:eastAsia="Times New Roman" w:hAnsi="Garamond" w:cs="Times New Roman"/>
                <w:color w:val="000000"/>
                <w:sz w:val="20"/>
                <w:szCs w:val="24"/>
              </w:rPr>
              <w:t>1.3.2</w:t>
            </w:r>
          </w:p>
        </w:tc>
        <w:tc>
          <w:tcPr>
            <w:tcW w:w="8499" w:type="dxa"/>
          </w:tcPr>
          <w:p w14:paraId="574E2C0F" w14:textId="710886BA"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4"/>
              </w:rPr>
            </w:pPr>
            <w:r w:rsidRPr="00E83C5E">
              <w:rPr>
                <w:rFonts w:ascii="Garamond" w:eastAsia="Arial" w:hAnsi="Garamond" w:cs="Times New Roman"/>
                <w:sz w:val="20"/>
                <w:szCs w:val="24"/>
              </w:rPr>
              <w:t>Politikat zhvillimore rinore ndërtohen mbi analiza faktike dhe dokumentare</w:t>
            </w:r>
            <w:r w:rsidR="00152A89" w:rsidRPr="00E83C5E">
              <w:rPr>
                <w:rFonts w:ascii="Garamond" w:eastAsia="Arial" w:hAnsi="Garamond" w:cs="Times New Roman"/>
                <w:sz w:val="20"/>
                <w:szCs w:val="24"/>
              </w:rPr>
              <w:t>.</w:t>
            </w:r>
          </w:p>
        </w:tc>
      </w:tr>
      <w:tr w:rsidR="002F7250" w:rsidRPr="00E83C5E" w14:paraId="574E2C13" w14:textId="77777777" w:rsidTr="00152A89">
        <w:trPr>
          <w:trHeight w:val="50"/>
        </w:trPr>
        <w:tc>
          <w:tcPr>
            <w:cnfStyle w:val="001000000000" w:firstRow="0" w:lastRow="0" w:firstColumn="1" w:lastColumn="0" w:oddVBand="0" w:evenVBand="0" w:oddHBand="0" w:evenHBand="0" w:firstRowFirstColumn="0" w:firstRowLastColumn="0" w:lastRowFirstColumn="0" w:lastRowLastColumn="0"/>
            <w:tcW w:w="715" w:type="dxa"/>
            <w:hideMark/>
          </w:tcPr>
          <w:p w14:paraId="574E2C11" w14:textId="77777777" w:rsidR="002F7250" w:rsidRPr="00E83C5E" w:rsidRDefault="002F7250" w:rsidP="00D92565">
            <w:pPr>
              <w:jc w:val="both"/>
              <w:rPr>
                <w:rFonts w:ascii="Garamond" w:eastAsia="Times New Roman" w:hAnsi="Garamond" w:cs="Times New Roman"/>
                <w:b w:val="0"/>
                <w:bCs w:val="0"/>
                <w:color w:val="000000"/>
                <w:sz w:val="20"/>
                <w:szCs w:val="24"/>
              </w:rPr>
            </w:pPr>
            <w:r w:rsidRPr="00E83C5E">
              <w:rPr>
                <w:rFonts w:ascii="Garamond" w:eastAsia="Times New Roman" w:hAnsi="Garamond" w:cs="Times New Roman"/>
                <w:color w:val="000000"/>
                <w:sz w:val="20"/>
                <w:szCs w:val="24"/>
              </w:rPr>
              <w:t>1.3.3</w:t>
            </w:r>
          </w:p>
        </w:tc>
        <w:tc>
          <w:tcPr>
            <w:tcW w:w="8499" w:type="dxa"/>
          </w:tcPr>
          <w:p w14:paraId="574E2C12" w14:textId="6CF7947E" w:rsidR="002F7250" w:rsidRPr="00E83C5E" w:rsidRDefault="002F7250" w:rsidP="00D92565">
            <w:pPr>
              <w:keepNext/>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sz w:val="20"/>
                <w:szCs w:val="24"/>
              </w:rPr>
            </w:pPr>
            <w:r w:rsidRPr="00E83C5E">
              <w:rPr>
                <w:rFonts w:ascii="Garamond" w:eastAsia="Arial" w:hAnsi="Garamond" w:cs="Times New Roman"/>
                <w:sz w:val="20"/>
                <w:szCs w:val="24"/>
              </w:rPr>
              <w:t xml:space="preserve">Në përputhje me </w:t>
            </w:r>
            <w:r w:rsidR="00152A89" w:rsidRPr="00E83C5E">
              <w:rPr>
                <w:rFonts w:ascii="Garamond" w:eastAsia="Arial" w:hAnsi="Garamond" w:cs="Times New Roman"/>
                <w:sz w:val="20"/>
                <w:szCs w:val="24"/>
              </w:rPr>
              <w:t xml:space="preserve">ligjin për rininë </w:t>
            </w:r>
            <w:r w:rsidRPr="00E83C5E">
              <w:rPr>
                <w:rFonts w:ascii="Garamond" w:eastAsia="Arial" w:hAnsi="Garamond" w:cs="Times New Roman"/>
                <w:sz w:val="20"/>
                <w:szCs w:val="24"/>
              </w:rPr>
              <w:t xml:space="preserve">dhe VKM-të zhvillohet baza e të dhënave për organizatat rinore dhe për rininë duke përfituar edhe nga proceset e digjitalizimit të shërbimeve publike. </w:t>
            </w:r>
          </w:p>
        </w:tc>
      </w:tr>
    </w:tbl>
    <w:p w14:paraId="574E2C15" w14:textId="0F01B393" w:rsidR="00D92565" w:rsidRPr="00E83C5E" w:rsidRDefault="002F7250" w:rsidP="002F7250">
      <w:pPr>
        <w:pStyle w:val="Caption"/>
        <w:spacing w:after="0"/>
        <w:ind w:firstLine="284"/>
        <w:rPr>
          <w:rFonts w:ascii="Garamond" w:hAnsi="Garamond"/>
          <w:color w:val="000000" w:themeColor="text1"/>
          <w:sz w:val="24"/>
          <w:szCs w:val="24"/>
        </w:rPr>
      </w:pPr>
      <w:r w:rsidRPr="00E83C5E">
        <w:rPr>
          <w:rFonts w:ascii="Garamond" w:hAnsi="Garamond"/>
          <w:color w:val="000000" w:themeColor="text1"/>
          <w:sz w:val="24"/>
          <w:szCs w:val="24"/>
        </w:rPr>
        <w:t xml:space="preserve">Tabela </w:t>
      </w:r>
      <w:r w:rsidRPr="00E83C5E">
        <w:rPr>
          <w:rFonts w:ascii="Garamond" w:hAnsi="Garamond"/>
          <w:color w:val="000000" w:themeColor="text1"/>
          <w:sz w:val="24"/>
          <w:szCs w:val="24"/>
        </w:rPr>
        <w:fldChar w:fldCharType="begin"/>
      </w:r>
      <w:r w:rsidRPr="00E83C5E">
        <w:rPr>
          <w:rFonts w:ascii="Garamond" w:hAnsi="Garamond"/>
          <w:color w:val="000000" w:themeColor="text1"/>
          <w:sz w:val="24"/>
          <w:szCs w:val="24"/>
        </w:rPr>
        <w:instrText xml:space="preserve"> SEQ Tabela \* ARABIC </w:instrText>
      </w:r>
      <w:r w:rsidRPr="00E83C5E">
        <w:rPr>
          <w:rFonts w:ascii="Garamond" w:hAnsi="Garamond"/>
          <w:color w:val="000000" w:themeColor="text1"/>
          <w:sz w:val="24"/>
          <w:szCs w:val="24"/>
        </w:rPr>
        <w:fldChar w:fldCharType="separate"/>
      </w:r>
      <w:r w:rsidRPr="00E83C5E">
        <w:rPr>
          <w:rFonts w:ascii="Garamond" w:hAnsi="Garamond"/>
          <w:color w:val="000000" w:themeColor="text1"/>
          <w:sz w:val="24"/>
          <w:szCs w:val="24"/>
        </w:rPr>
        <w:t>8</w:t>
      </w:r>
      <w:r w:rsidRPr="00E83C5E">
        <w:rPr>
          <w:rFonts w:ascii="Garamond" w:hAnsi="Garamond"/>
          <w:color w:val="000000" w:themeColor="text1"/>
          <w:sz w:val="24"/>
          <w:szCs w:val="24"/>
        </w:rPr>
        <w:fldChar w:fldCharType="end"/>
      </w:r>
      <w:r w:rsidRPr="00E83C5E">
        <w:rPr>
          <w:rFonts w:ascii="Garamond" w:hAnsi="Garamond"/>
          <w:color w:val="000000" w:themeColor="text1"/>
          <w:sz w:val="24"/>
          <w:szCs w:val="24"/>
        </w:rPr>
        <w:t>:</w:t>
      </w:r>
      <w:r w:rsidR="00152A89" w:rsidRPr="00E83C5E">
        <w:rPr>
          <w:rFonts w:ascii="Garamond" w:hAnsi="Garamond"/>
          <w:color w:val="000000" w:themeColor="text1"/>
          <w:sz w:val="24"/>
          <w:szCs w:val="24"/>
        </w:rPr>
        <w:t xml:space="preserve"> </w:t>
      </w:r>
      <w:r w:rsidRPr="00E83C5E">
        <w:rPr>
          <w:rFonts w:ascii="Garamond" w:hAnsi="Garamond"/>
          <w:color w:val="000000" w:themeColor="text1"/>
          <w:sz w:val="24"/>
          <w:szCs w:val="24"/>
        </w:rPr>
        <w:t>Lista e masave për zbatimin e objektivit specifik 1.3</w:t>
      </w:r>
    </w:p>
    <w:p w14:paraId="574E2C16" w14:textId="384E7F19" w:rsidR="002F7250" w:rsidRPr="00E83C5E" w:rsidRDefault="002F7250" w:rsidP="00D92565">
      <w:pPr>
        <w:pStyle w:val="TEKSTIII"/>
        <w:rPr>
          <w:b/>
        </w:rPr>
      </w:pPr>
      <w:r w:rsidRPr="00E83C5E">
        <w:rPr>
          <w:b/>
        </w:rPr>
        <w:t xml:space="preserve">Qëllimi i </w:t>
      </w:r>
      <w:r w:rsidR="00152A89" w:rsidRPr="00E83C5E">
        <w:rPr>
          <w:b/>
        </w:rPr>
        <w:t>p</w:t>
      </w:r>
      <w:r w:rsidRPr="00E83C5E">
        <w:rPr>
          <w:b/>
        </w:rPr>
        <w:t>olitikës 2:</w:t>
      </w:r>
    </w:p>
    <w:p w14:paraId="574E2C17" w14:textId="77777777" w:rsidR="002F7250" w:rsidRPr="00E83C5E" w:rsidRDefault="002F7250" w:rsidP="00D92565">
      <w:pPr>
        <w:pStyle w:val="TEKSTIII"/>
        <w:rPr>
          <w:bCs/>
        </w:rPr>
      </w:pPr>
      <w:r w:rsidRPr="00E83C5E">
        <w:rPr>
          <w:b/>
          <w:bCs/>
        </w:rPr>
        <w:lastRenderedPageBreak/>
        <w:t>Mbështetet dhe nxitet novacioni rinor dhe rritja e aftësive dhe profesionalizmit të të rejave dhe të rinjve përmes edukimit cilësor në TIK dhe fusha të tjera të zhvillimit digjital</w:t>
      </w:r>
      <w:r w:rsidRPr="00E83C5E">
        <w:rPr>
          <w:bCs/>
        </w:rPr>
        <w:t xml:space="preserve"> duke rritur dhe përmirësuar kështu mundësitë për të hyrë në tregun e punës.</w:t>
      </w:r>
    </w:p>
    <w:p w14:paraId="574E2C18" w14:textId="77777777" w:rsidR="002F7250" w:rsidRPr="00E83C5E" w:rsidRDefault="002F7250" w:rsidP="002F7250">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Ky qëllim politik synon të arrijë novacionin, edukimin, autonominë, dhe barazinë e drejtë për të rejat dhe të rinjtë përmes objektivave të mëposhtëm:</w:t>
      </w:r>
    </w:p>
    <w:p w14:paraId="574E2C19" w14:textId="34585BFD" w:rsidR="002F7250" w:rsidRPr="00E83C5E" w:rsidRDefault="002F7250" w:rsidP="002F7250">
      <w:pPr>
        <w:spacing w:after="0" w:line="240" w:lineRule="auto"/>
        <w:ind w:firstLine="284"/>
        <w:jc w:val="both"/>
        <w:rPr>
          <w:rFonts w:ascii="Garamond" w:hAnsi="Garamond" w:cs="Times New Roman"/>
          <w:sz w:val="24"/>
          <w:szCs w:val="24"/>
        </w:rPr>
      </w:pPr>
      <w:r w:rsidRPr="00E83C5E">
        <w:rPr>
          <w:rFonts w:ascii="Garamond" w:hAnsi="Garamond" w:cs="Times New Roman"/>
          <w:b/>
          <w:bCs/>
          <w:sz w:val="24"/>
          <w:szCs w:val="24"/>
        </w:rPr>
        <w:t xml:space="preserve">Objektivi </w:t>
      </w:r>
      <w:r w:rsidR="00152A89" w:rsidRPr="00E83C5E">
        <w:rPr>
          <w:rFonts w:ascii="Garamond" w:hAnsi="Garamond" w:cs="Times New Roman"/>
          <w:b/>
          <w:bCs/>
          <w:sz w:val="24"/>
          <w:szCs w:val="24"/>
        </w:rPr>
        <w:t xml:space="preserve">specifik </w:t>
      </w:r>
      <w:r w:rsidRPr="00E83C5E">
        <w:rPr>
          <w:rFonts w:ascii="Garamond" w:hAnsi="Garamond" w:cs="Times New Roman"/>
          <w:b/>
          <w:bCs/>
          <w:sz w:val="24"/>
          <w:szCs w:val="24"/>
        </w:rPr>
        <w:t>2.1:</w:t>
      </w:r>
      <w:r w:rsidRPr="00E83C5E">
        <w:rPr>
          <w:rFonts w:ascii="Garamond" w:hAnsi="Garamond" w:cs="Times New Roman"/>
          <w:sz w:val="24"/>
          <w:szCs w:val="24"/>
        </w:rPr>
        <w:t xml:space="preserve"> </w:t>
      </w:r>
      <w:r w:rsidRPr="00E83C5E">
        <w:rPr>
          <w:rFonts w:ascii="Garamond" w:eastAsia="Arial" w:hAnsi="Garamond" w:cs="Times New Roman"/>
          <w:sz w:val="24"/>
          <w:szCs w:val="24"/>
        </w:rPr>
        <w:t>Të rinjtë janë të aftësuar, të mirinformuar në lidhje me mundësitë për punësim dhe në gjendje të bëjnë zgjedhje autonome kur i bashkohen popullsisë ekonomikisht aktive</w:t>
      </w:r>
    </w:p>
    <w:p w14:paraId="574E2C1A" w14:textId="48CB6A01" w:rsidR="002F7250" w:rsidRPr="00E83C5E" w:rsidRDefault="002F7250" w:rsidP="002F7250">
      <w:pPr>
        <w:spacing w:after="0" w:line="240" w:lineRule="auto"/>
        <w:ind w:firstLine="284"/>
        <w:jc w:val="both"/>
        <w:rPr>
          <w:rFonts w:ascii="Garamond" w:hAnsi="Garamond" w:cs="Times New Roman"/>
          <w:sz w:val="24"/>
          <w:szCs w:val="24"/>
        </w:rPr>
      </w:pPr>
      <w:r w:rsidRPr="00E83C5E">
        <w:rPr>
          <w:rFonts w:ascii="Garamond" w:hAnsi="Garamond" w:cs="Times New Roman"/>
          <w:b/>
          <w:bCs/>
          <w:sz w:val="24"/>
          <w:szCs w:val="24"/>
        </w:rPr>
        <w:t xml:space="preserve">Objektivi </w:t>
      </w:r>
      <w:r w:rsidR="00152A89" w:rsidRPr="00E83C5E">
        <w:rPr>
          <w:rFonts w:ascii="Garamond" w:hAnsi="Garamond" w:cs="Times New Roman"/>
          <w:b/>
          <w:bCs/>
          <w:sz w:val="24"/>
          <w:szCs w:val="24"/>
        </w:rPr>
        <w:t xml:space="preserve">specifik </w:t>
      </w:r>
      <w:r w:rsidRPr="00E83C5E">
        <w:rPr>
          <w:rFonts w:ascii="Garamond" w:hAnsi="Garamond" w:cs="Times New Roman"/>
          <w:b/>
          <w:bCs/>
          <w:sz w:val="24"/>
          <w:szCs w:val="24"/>
        </w:rPr>
        <w:t xml:space="preserve">2.2: </w:t>
      </w:r>
      <w:r w:rsidRPr="00E83C5E">
        <w:rPr>
          <w:rFonts w:ascii="Garamond" w:eastAsia="Arial" w:hAnsi="Garamond" w:cs="Times New Roman"/>
          <w:sz w:val="24"/>
          <w:szCs w:val="24"/>
        </w:rPr>
        <w:t>Të rinjtë janë të informuar mirë për mundësitë arsimore të lidhura me tregun e punës dhe</w:t>
      </w:r>
      <w:r w:rsidR="00233C37" w:rsidRPr="00E83C5E">
        <w:rPr>
          <w:rFonts w:ascii="Garamond" w:eastAsia="Arial" w:hAnsi="Garamond" w:cs="Times New Roman"/>
          <w:sz w:val="24"/>
          <w:szCs w:val="24"/>
        </w:rPr>
        <w:t xml:space="preserve"> </w:t>
      </w:r>
      <w:r w:rsidRPr="00E83C5E">
        <w:rPr>
          <w:rFonts w:ascii="Garamond" w:eastAsia="Arial" w:hAnsi="Garamond" w:cs="Times New Roman"/>
          <w:sz w:val="24"/>
          <w:szCs w:val="24"/>
        </w:rPr>
        <w:t>ju mundësohet i mësuari cilësor si në arsimin formal ashtu edhe në atë joformal duke kontribuar në zhvillimin e</w:t>
      </w:r>
      <w:r w:rsidR="00233C37" w:rsidRPr="00E83C5E">
        <w:rPr>
          <w:rFonts w:ascii="Garamond" w:eastAsia="Arial" w:hAnsi="Garamond" w:cs="Times New Roman"/>
          <w:sz w:val="24"/>
          <w:szCs w:val="24"/>
        </w:rPr>
        <w:t xml:space="preserve"> </w:t>
      </w:r>
      <w:r w:rsidRPr="00E83C5E">
        <w:rPr>
          <w:rFonts w:ascii="Garamond" w:eastAsia="Arial" w:hAnsi="Garamond" w:cs="Times New Roman"/>
          <w:sz w:val="24"/>
          <w:szCs w:val="24"/>
        </w:rPr>
        <w:t>kompetencave, aftësive dhe virtyteve të tyre.</w:t>
      </w:r>
    </w:p>
    <w:p w14:paraId="574E2C1B" w14:textId="74B821DC" w:rsidR="002F7250" w:rsidRPr="00E83C5E" w:rsidRDefault="002F7250" w:rsidP="002F7250">
      <w:pPr>
        <w:spacing w:after="0" w:line="240" w:lineRule="auto"/>
        <w:ind w:firstLine="284"/>
        <w:jc w:val="both"/>
        <w:rPr>
          <w:rFonts w:ascii="Garamond" w:hAnsi="Garamond" w:cs="Times New Roman"/>
          <w:sz w:val="24"/>
          <w:szCs w:val="24"/>
        </w:rPr>
      </w:pPr>
      <w:r w:rsidRPr="00E83C5E">
        <w:rPr>
          <w:rFonts w:ascii="Garamond" w:hAnsi="Garamond" w:cs="Times New Roman"/>
          <w:b/>
          <w:bCs/>
          <w:sz w:val="24"/>
          <w:szCs w:val="24"/>
        </w:rPr>
        <w:t xml:space="preserve">Objektivi </w:t>
      </w:r>
      <w:r w:rsidR="00152A89" w:rsidRPr="00E83C5E">
        <w:rPr>
          <w:rFonts w:ascii="Garamond" w:hAnsi="Garamond" w:cs="Times New Roman"/>
          <w:b/>
          <w:bCs/>
          <w:sz w:val="24"/>
          <w:szCs w:val="24"/>
        </w:rPr>
        <w:t xml:space="preserve">specifik </w:t>
      </w:r>
      <w:r w:rsidRPr="00E83C5E">
        <w:rPr>
          <w:rFonts w:ascii="Garamond" w:hAnsi="Garamond" w:cs="Times New Roman"/>
          <w:b/>
          <w:bCs/>
          <w:sz w:val="24"/>
          <w:szCs w:val="24"/>
        </w:rPr>
        <w:t>2.3:</w:t>
      </w:r>
      <w:r w:rsidRPr="00E83C5E">
        <w:rPr>
          <w:rFonts w:ascii="Garamond" w:hAnsi="Garamond" w:cs="Times New Roman"/>
          <w:sz w:val="24"/>
          <w:szCs w:val="24"/>
        </w:rPr>
        <w:t xml:space="preserve"> </w:t>
      </w:r>
      <w:r w:rsidRPr="00E83C5E">
        <w:rPr>
          <w:rFonts w:ascii="Garamond" w:eastAsia="Arial" w:hAnsi="Garamond" w:cs="Times New Roman"/>
          <w:sz w:val="24"/>
          <w:szCs w:val="24"/>
        </w:rPr>
        <w:t>Të rinjtë, në të gjitha kushtet dhe situatat, përfaqësojnë një fokus të veçantë në aftësim, punësimin, sipërmarrje dhe politika punësimi që ofrojnë një shumëllojshmëri të modaliteteve specifike rinore për rritjen e mbështetjes për ta në tranzicionin nga sistemit arsimor drejt tregut të punës dhe moshës madhore.</w:t>
      </w:r>
    </w:p>
    <w:p w14:paraId="574E2C1C" w14:textId="1D062217" w:rsidR="002F7250" w:rsidRPr="00E83C5E" w:rsidRDefault="002F7250" w:rsidP="00D92565">
      <w:pPr>
        <w:pStyle w:val="TEKSTIII"/>
      </w:pPr>
      <w:r w:rsidRPr="00E83C5E">
        <w:t>Institucionet përgjegjëse drejtuese janë</w:t>
      </w:r>
      <w:r w:rsidR="0002048B" w:rsidRPr="00E83C5E">
        <w:t>”</w:t>
      </w:r>
      <w:r w:rsidRPr="00E83C5E">
        <w:t xml:space="preserve"> MSHRF, AKPA, AKR. </w:t>
      </w:r>
    </w:p>
    <w:p w14:paraId="574E2C1D" w14:textId="517A387F" w:rsidR="002F7250" w:rsidRPr="00E83C5E" w:rsidRDefault="002F7250" w:rsidP="00D92565">
      <w:pPr>
        <w:pStyle w:val="TEKSTIII"/>
      </w:pPr>
      <w:r w:rsidRPr="00E83C5E">
        <w:t>Ndërkohë institucionet kryesore pjesëmarrëse janë</w:t>
      </w:r>
      <w:r w:rsidR="0002048B" w:rsidRPr="00E83C5E">
        <w:t>:</w:t>
      </w:r>
      <w:r w:rsidRPr="00E83C5E">
        <w:t xml:space="preserve"> MAS, MiSHMS, MFE, AKSHI, RASH, AKCESK dhe AKAPFK</w:t>
      </w:r>
      <w:r w:rsidR="002A649E">
        <w:t>.</w:t>
      </w:r>
    </w:p>
    <w:p w14:paraId="574E2C1E" w14:textId="33914EF2" w:rsidR="002F7250" w:rsidRPr="00E83C5E" w:rsidRDefault="002F7250" w:rsidP="00D92565">
      <w:pPr>
        <w:pStyle w:val="TEKSTIII"/>
      </w:pPr>
      <w:r w:rsidRPr="00E83C5E">
        <w:t>Masat dhe buxhetet e ndërlidhura për të arritur objektivat e specifikuar janë përshkruar në planin e veprimit të ngarkuara në IPSIS.</w:t>
      </w:r>
    </w:p>
    <w:p w14:paraId="574E2C1F" w14:textId="4D550AA3" w:rsidR="002F7250" w:rsidRPr="00E83C5E" w:rsidRDefault="002F7250" w:rsidP="00D92565">
      <w:pPr>
        <w:pStyle w:val="TEKSTIII"/>
        <w:rPr>
          <w:b/>
          <w:lang w:eastAsia="en-GB"/>
        </w:rPr>
      </w:pPr>
      <w:r w:rsidRPr="00E83C5E">
        <w:rPr>
          <w:b/>
          <w:lang w:eastAsia="en-GB"/>
        </w:rPr>
        <w:t xml:space="preserve">Lidhja midis qëllimit të politikës dhe </w:t>
      </w:r>
      <w:r w:rsidR="00152A89" w:rsidRPr="00E83C5E">
        <w:rPr>
          <w:b/>
          <w:lang w:eastAsia="en-GB"/>
        </w:rPr>
        <w:t xml:space="preserve">objektivave të zhvillimit të qëndrueshëm </w:t>
      </w:r>
      <w:r w:rsidRPr="00E83C5E">
        <w:rPr>
          <w:b/>
          <w:lang w:eastAsia="en-GB"/>
        </w:rPr>
        <w:t>(OZHQ)</w:t>
      </w:r>
    </w:p>
    <w:p w14:paraId="574E2C20" w14:textId="0780BCE1" w:rsidR="002F7250" w:rsidRPr="00E83C5E" w:rsidRDefault="002F7250" w:rsidP="002F7250">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Qëllimi i </w:t>
      </w:r>
      <w:r w:rsidR="00F5401F" w:rsidRPr="00E83C5E">
        <w:rPr>
          <w:rFonts w:ascii="Garamond" w:hAnsi="Garamond" w:cs="Times New Roman"/>
          <w:sz w:val="24"/>
          <w:szCs w:val="24"/>
        </w:rPr>
        <w:t>p</w:t>
      </w:r>
      <w:r w:rsidRPr="00E83C5E">
        <w:rPr>
          <w:rFonts w:ascii="Garamond" w:hAnsi="Garamond" w:cs="Times New Roman"/>
          <w:sz w:val="24"/>
          <w:szCs w:val="24"/>
        </w:rPr>
        <w:t xml:space="preserve">olitikës 2 përcaktohet në kushtet që të rejat dhe të rinjtë duhet të kenë në një vend si Shqipëria për t’u angazhuar dhe zhvilluar me anë të novacionit dhe arsimit cilësor e </w:t>
      </w:r>
      <w:r w:rsidR="0002048B" w:rsidRPr="00E83C5E">
        <w:rPr>
          <w:rFonts w:ascii="Garamond" w:hAnsi="Garamond" w:cs="Times New Roman"/>
          <w:sz w:val="24"/>
          <w:szCs w:val="24"/>
        </w:rPr>
        <w:t>për</w:t>
      </w:r>
      <w:r w:rsidRPr="00E83C5E">
        <w:rPr>
          <w:rFonts w:ascii="Garamond" w:hAnsi="Garamond" w:cs="Times New Roman"/>
          <w:sz w:val="24"/>
          <w:szCs w:val="24"/>
        </w:rPr>
        <w:t xml:space="preserve"> pasojë edhe duke e rritur profesionalizmin dhe cilësinë e punësimit të tyre. Kjo politikë adreson autonominë rinore dhe dhënien e mundësive përtej shanseve të barabarta për të mënjanuar pabarazitë dhe mënjanimin sociale. Nga kjo pikë vështrimi, ky objektiv specifik lidhet ngushtë me OZHQ-të 4 dhe 8</w:t>
      </w:r>
      <w:r w:rsidR="00F5401F" w:rsidRPr="00E83C5E">
        <w:rPr>
          <w:rFonts w:ascii="Garamond" w:hAnsi="Garamond" w:cs="Times New Roman"/>
          <w:sz w:val="24"/>
          <w:szCs w:val="24"/>
        </w:rPr>
        <w:t>,</w:t>
      </w:r>
      <w:r w:rsidRPr="00E83C5E">
        <w:rPr>
          <w:rFonts w:ascii="Garamond" w:hAnsi="Garamond" w:cs="Times New Roman"/>
          <w:sz w:val="24"/>
          <w:szCs w:val="24"/>
        </w:rPr>
        <w:t xml:space="preserve"> të cilat kanë të bëjnë respektivisht me arsimin cilësor dhe punësimin e denjë. Të dhënat parapandemike dhe para tërmetit të vitit 2019 tregojnë se ka shumë për të bërë në lidhje me fuqizimin e cilësisë në arsim e në veçanti në lidhje me proceset e këshillimit për punësim dhe karrierë. </w:t>
      </w:r>
    </w:p>
    <w:p w14:paraId="574E2C22" w14:textId="77777777" w:rsidR="002F7250" w:rsidRPr="00E83C5E" w:rsidRDefault="002F7250" w:rsidP="00D92565">
      <w:pPr>
        <w:keepNext/>
        <w:spacing w:after="0" w:line="240" w:lineRule="auto"/>
        <w:ind w:firstLine="284"/>
        <w:jc w:val="center"/>
        <w:rPr>
          <w:rFonts w:ascii="Garamond" w:hAnsi="Garamond"/>
          <w:sz w:val="24"/>
          <w:szCs w:val="24"/>
        </w:rPr>
      </w:pPr>
      <w:r w:rsidRPr="00E83C5E">
        <w:rPr>
          <w:rFonts w:ascii="Garamond" w:hAnsi="Garamond" w:cs="Times New Roman"/>
          <w:noProof/>
          <w:sz w:val="24"/>
          <w:szCs w:val="24"/>
          <w:lang w:val="en-US"/>
        </w:rPr>
        <w:lastRenderedPageBreak/>
        <w:drawing>
          <wp:inline distT="0" distB="0" distL="0" distR="0" wp14:anchorId="574E355A" wp14:editId="7783A963">
            <wp:extent cx="5746750" cy="3340735"/>
            <wp:effectExtent l="0" t="0" r="6350" b="0"/>
            <wp:docPr id="11" name="Picture 1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able&#10;&#10;Description automatically generated"/>
                    <pic:cNvPicPr/>
                  </pic:nvPicPr>
                  <pic:blipFill>
                    <a:blip r:embed="rId14"/>
                    <a:stretch>
                      <a:fillRect/>
                    </a:stretch>
                  </pic:blipFill>
                  <pic:spPr>
                    <a:xfrm>
                      <a:off x="0" y="0"/>
                      <a:ext cx="5746750" cy="3340735"/>
                    </a:xfrm>
                    <a:prstGeom prst="rect">
                      <a:avLst/>
                    </a:prstGeom>
                  </pic:spPr>
                </pic:pic>
              </a:graphicData>
            </a:graphic>
          </wp:inline>
        </w:drawing>
      </w:r>
    </w:p>
    <w:p w14:paraId="574E2C23" w14:textId="307C3EEB" w:rsidR="002F7250" w:rsidRPr="00E83C5E" w:rsidRDefault="002F7250" w:rsidP="002F7250">
      <w:pPr>
        <w:pStyle w:val="Caption"/>
        <w:spacing w:after="0"/>
        <w:ind w:firstLine="284"/>
        <w:jc w:val="both"/>
        <w:rPr>
          <w:rFonts w:ascii="Garamond" w:hAnsi="Garamond"/>
          <w:color w:val="000000" w:themeColor="text1"/>
          <w:sz w:val="24"/>
          <w:szCs w:val="24"/>
        </w:rPr>
      </w:pPr>
      <w:r w:rsidRPr="00E83C5E">
        <w:rPr>
          <w:rFonts w:ascii="Garamond" w:hAnsi="Garamond"/>
          <w:color w:val="000000" w:themeColor="text1"/>
          <w:sz w:val="24"/>
          <w:szCs w:val="24"/>
        </w:rPr>
        <w:t xml:space="preserve">Figura </w:t>
      </w:r>
      <w:r w:rsidRPr="00E83C5E">
        <w:rPr>
          <w:rFonts w:ascii="Garamond" w:hAnsi="Garamond"/>
          <w:color w:val="000000" w:themeColor="text1"/>
          <w:sz w:val="24"/>
          <w:szCs w:val="24"/>
        </w:rPr>
        <w:fldChar w:fldCharType="begin"/>
      </w:r>
      <w:r w:rsidRPr="00E83C5E">
        <w:rPr>
          <w:rFonts w:ascii="Garamond" w:hAnsi="Garamond"/>
          <w:color w:val="000000" w:themeColor="text1"/>
          <w:sz w:val="24"/>
          <w:szCs w:val="24"/>
        </w:rPr>
        <w:instrText xml:space="preserve"> SEQ Figura \* ARABIC </w:instrText>
      </w:r>
      <w:r w:rsidRPr="00E83C5E">
        <w:rPr>
          <w:rFonts w:ascii="Garamond" w:hAnsi="Garamond"/>
          <w:color w:val="000000" w:themeColor="text1"/>
          <w:sz w:val="24"/>
          <w:szCs w:val="24"/>
        </w:rPr>
        <w:fldChar w:fldCharType="separate"/>
      </w:r>
      <w:r w:rsidRPr="00E83C5E">
        <w:rPr>
          <w:rFonts w:ascii="Garamond" w:hAnsi="Garamond"/>
          <w:color w:val="000000" w:themeColor="text1"/>
          <w:sz w:val="24"/>
          <w:szCs w:val="24"/>
        </w:rPr>
        <w:t>3</w:t>
      </w:r>
      <w:r w:rsidRPr="00E83C5E">
        <w:rPr>
          <w:rFonts w:ascii="Garamond" w:hAnsi="Garamond"/>
          <w:color w:val="000000" w:themeColor="text1"/>
          <w:sz w:val="24"/>
          <w:szCs w:val="24"/>
        </w:rPr>
        <w:fldChar w:fldCharType="end"/>
      </w:r>
      <w:r w:rsidRPr="00E83C5E">
        <w:rPr>
          <w:rFonts w:ascii="Garamond" w:hAnsi="Garamond"/>
          <w:color w:val="000000" w:themeColor="text1"/>
          <w:sz w:val="24"/>
          <w:szCs w:val="24"/>
        </w:rPr>
        <w:t>: Të dhënat për edukim cilësor sipas botimit të UNICEF</w:t>
      </w:r>
      <w:r w:rsidR="00BB6900" w:rsidRPr="00E83C5E">
        <w:rPr>
          <w:rFonts w:ascii="Garamond" w:hAnsi="Garamond"/>
          <w:color w:val="000000" w:themeColor="text1"/>
          <w:sz w:val="24"/>
          <w:szCs w:val="24"/>
        </w:rPr>
        <w:t>-it</w:t>
      </w:r>
      <w:r w:rsidRPr="00E83C5E">
        <w:rPr>
          <w:rFonts w:ascii="Garamond" w:hAnsi="Garamond"/>
          <w:color w:val="000000" w:themeColor="text1"/>
          <w:sz w:val="24"/>
          <w:szCs w:val="24"/>
        </w:rPr>
        <w:t xml:space="preserve"> dhe INSTAT</w:t>
      </w:r>
      <w:r w:rsidR="00BB6900" w:rsidRPr="00E83C5E">
        <w:rPr>
          <w:rFonts w:ascii="Garamond" w:hAnsi="Garamond"/>
          <w:color w:val="000000" w:themeColor="text1"/>
          <w:sz w:val="24"/>
          <w:szCs w:val="24"/>
        </w:rPr>
        <w:t>-it</w:t>
      </w:r>
      <w:r w:rsidRPr="00E83C5E">
        <w:rPr>
          <w:rFonts w:ascii="Garamond" w:hAnsi="Garamond"/>
          <w:color w:val="000000" w:themeColor="text1"/>
          <w:sz w:val="24"/>
          <w:szCs w:val="24"/>
        </w:rPr>
        <w:t xml:space="preserve"> </w:t>
      </w:r>
      <w:r w:rsidR="00D540B0" w:rsidRPr="00E83C5E">
        <w:rPr>
          <w:rFonts w:ascii="Garamond" w:hAnsi="Garamond"/>
          <w:color w:val="000000" w:themeColor="text1"/>
          <w:sz w:val="24"/>
          <w:szCs w:val="24"/>
        </w:rPr>
        <w:t>“</w:t>
      </w:r>
      <w:r w:rsidRPr="00E83C5E">
        <w:rPr>
          <w:rFonts w:ascii="Garamond" w:hAnsi="Garamond"/>
          <w:color w:val="000000" w:themeColor="text1"/>
          <w:sz w:val="24"/>
          <w:szCs w:val="24"/>
        </w:rPr>
        <w:t xml:space="preserve">Treguesit e </w:t>
      </w:r>
      <w:r w:rsidR="0002048B" w:rsidRPr="00E83C5E">
        <w:rPr>
          <w:rFonts w:ascii="Garamond" w:hAnsi="Garamond"/>
          <w:color w:val="000000" w:themeColor="text1"/>
          <w:sz w:val="24"/>
          <w:szCs w:val="24"/>
        </w:rPr>
        <w:t>mirëqenies</w:t>
      </w:r>
      <w:r w:rsidR="00BB6900" w:rsidRPr="00E83C5E">
        <w:rPr>
          <w:rFonts w:ascii="Garamond" w:hAnsi="Garamond"/>
          <w:color w:val="000000" w:themeColor="text1"/>
          <w:sz w:val="24"/>
          <w:szCs w:val="24"/>
        </w:rPr>
        <w:t xml:space="preserve"> së </w:t>
      </w:r>
      <w:r w:rsidR="0002048B" w:rsidRPr="00E83C5E">
        <w:rPr>
          <w:rFonts w:ascii="Garamond" w:hAnsi="Garamond"/>
          <w:color w:val="000000" w:themeColor="text1"/>
          <w:sz w:val="24"/>
          <w:szCs w:val="24"/>
        </w:rPr>
        <w:t>fëmijëve</w:t>
      </w:r>
      <w:r w:rsidR="00BB6900" w:rsidRPr="00E83C5E">
        <w:rPr>
          <w:rFonts w:ascii="Garamond" w:hAnsi="Garamond"/>
          <w:color w:val="000000" w:themeColor="text1"/>
          <w:sz w:val="24"/>
          <w:szCs w:val="24"/>
        </w:rPr>
        <w:t xml:space="preserve"> dhe adoleshentëve dhe të rinjve në </w:t>
      </w:r>
      <w:r w:rsidR="0002048B" w:rsidRPr="00E83C5E">
        <w:rPr>
          <w:rFonts w:ascii="Garamond" w:hAnsi="Garamond"/>
          <w:color w:val="000000" w:themeColor="text1"/>
          <w:sz w:val="24"/>
          <w:szCs w:val="24"/>
        </w:rPr>
        <w:t>Shqipëri</w:t>
      </w:r>
      <w:r w:rsidR="00BB6900" w:rsidRPr="00E83C5E">
        <w:rPr>
          <w:rFonts w:ascii="Garamond" w:hAnsi="Garamond"/>
          <w:color w:val="000000" w:themeColor="text1"/>
          <w:sz w:val="24"/>
          <w:szCs w:val="24"/>
        </w:rPr>
        <w:t xml:space="preserve"> </w:t>
      </w:r>
      <w:r w:rsidRPr="00E83C5E">
        <w:rPr>
          <w:rFonts w:ascii="Garamond" w:hAnsi="Garamond"/>
          <w:color w:val="000000" w:themeColor="text1"/>
          <w:sz w:val="24"/>
          <w:szCs w:val="24"/>
        </w:rPr>
        <w:t>2016</w:t>
      </w:r>
      <w:r w:rsidR="00573EA2" w:rsidRPr="00E83C5E">
        <w:rPr>
          <w:rFonts w:ascii="Garamond" w:hAnsi="Garamond"/>
          <w:color w:val="000000" w:themeColor="text1"/>
          <w:sz w:val="24"/>
          <w:szCs w:val="24"/>
        </w:rPr>
        <w:t>–</w:t>
      </w:r>
      <w:r w:rsidRPr="00E83C5E">
        <w:rPr>
          <w:rFonts w:ascii="Garamond" w:hAnsi="Garamond"/>
          <w:color w:val="000000" w:themeColor="text1"/>
          <w:sz w:val="24"/>
          <w:szCs w:val="24"/>
        </w:rPr>
        <w:t>19</w:t>
      </w:r>
      <w:r w:rsidR="00D540B0" w:rsidRPr="00E83C5E">
        <w:rPr>
          <w:rFonts w:ascii="Garamond" w:hAnsi="Garamond"/>
          <w:color w:val="000000" w:themeColor="text1"/>
          <w:sz w:val="24"/>
          <w:szCs w:val="24"/>
        </w:rPr>
        <w:t>”</w:t>
      </w:r>
      <w:r w:rsidR="00573EA2" w:rsidRPr="00E83C5E">
        <w:rPr>
          <w:rFonts w:ascii="Garamond" w:hAnsi="Garamond"/>
          <w:color w:val="000000" w:themeColor="text1"/>
          <w:sz w:val="24"/>
          <w:szCs w:val="24"/>
        </w:rPr>
        <w:t>,</w:t>
      </w:r>
      <w:r w:rsidRPr="00E83C5E">
        <w:rPr>
          <w:rFonts w:ascii="Garamond" w:hAnsi="Garamond"/>
          <w:color w:val="000000" w:themeColor="text1"/>
          <w:sz w:val="24"/>
          <w:szCs w:val="24"/>
        </w:rPr>
        <w:t xml:space="preserve"> f. 19</w:t>
      </w:r>
    </w:p>
    <w:p w14:paraId="574E2C25" w14:textId="70A30A20" w:rsidR="002F7250" w:rsidRPr="00E83C5E" w:rsidRDefault="002F7250" w:rsidP="002F7250">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Mungesa e të dhënave të sakta në lidhje me punësimin, siç vihet re edhe në tabelën në vijim, thekson edhe një herë rëndësinë që ka mbledhja e të dhënave të sakta statistikore për çdo fushë që ka të bëjë me rininë dhe zhvillimin e saj. Planet dhe programet që lidhen me </w:t>
      </w:r>
      <w:r w:rsidR="00573EA2" w:rsidRPr="00E83C5E">
        <w:rPr>
          <w:rFonts w:ascii="Garamond" w:hAnsi="Garamond" w:cs="Times New Roman"/>
          <w:sz w:val="24"/>
          <w:szCs w:val="24"/>
        </w:rPr>
        <w:t xml:space="preserve">garancinë rinore </w:t>
      </w:r>
      <w:r w:rsidRPr="00E83C5E">
        <w:rPr>
          <w:rFonts w:ascii="Garamond" w:hAnsi="Garamond" w:cs="Times New Roman"/>
          <w:sz w:val="24"/>
          <w:szCs w:val="24"/>
        </w:rPr>
        <w:t xml:space="preserve">dhe zhvillimi e nxitja e punësimit rinor do të ndikonin </w:t>
      </w:r>
      <w:r w:rsidR="0002048B" w:rsidRPr="00E83C5E">
        <w:rPr>
          <w:rFonts w:ascii="Garamond" w:hAnsi="Garamond" w:cs="Times New Roman"/>
          <w:sz w:val="24"/>
          <w:szCs w:val="24"/>
        </w:rPr>
        <w:t>drejtpërsëdrejti</w:t>
      </w:r>
      <w:r w:rsidRPr="00E83C5E">
        <w:rPr>
          <w:rFonts w:ascii="Garamond" w:hAnsi="Garamond" w:cs="Times New Roman"/>
          <w:sz w:val="24"/>
          <w:szCs w:val="24"/>
        </w:rPr>
        <w:t xml:space="preserve"> në përmirësimin e situatës me OZHQ 8 dhe do të përbënin një bazë të fortë për të ulur migrimin dhe rritur punësimin e të rinjve brenda vendit. </w:t>
      </w:r>
    </w:p>
    <w:p w14:paraId="574E2C26" w14:textId="77777777" w:rsidR="002F7250" w:rsidRPr="00E83C5E" w:rsidRDefault="002F7250" w:rsidP="002F7250">
      <w:pPr>
        <w:keepNext/>
        <w:spacing w:after="0" w:line="240" w:lineRule="auto"/>
        <w:ind w:firstLine="284"/>
        <w:rPr>
          <w:rFonts w:ascii="Garamond" w:hAnsi="Garamond"/>
          <w:sz w:val="24"/>
          <w:szCs w:val="24"/>
        </w:rPr>
      </w:pPr>
      <w:r w:rsidRPr="00E83C5E">
        <w:rPr>
          <w:rFonts w:ascii="Garamond" w:hAnsi="Garamond"/>
          <w:noProof/>
          <w:sz w:val="24"/>
          <w:szCs w:val="24"/>
          <w:lang w:val="en-US"/>
        </w:rPr>
        <w:drawing>
          <wp:inline distT="0" distB="0" distL="0" distR="0" wp14:anchorId="574E355C" wp14:editId="1B120688">
            <wp:extent cx="5746750" cy="1155700"/>
            <wp:effectExtent l="0" t="0" r="6350" b="6350"/>
            <wp:docPr id="16" name="Picture 1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ext&#10;&#10;Description automatically generated"/>
                    <pic:cNvPicPr/>
                  </pic:nvPicPr>
                  <pic:blipFill>
                    <a:blip r:embed="rId15"/>
                    <a:stretch>
                      <a:fillRect/>
                    </a:stretch>
                  </pic:blipFill>
                  <pic:spPr>
                    <a:xfrm>
                      <a:off x="0" y="0"/>
                      <a:ext cx="5746750" cy="1155700"/>
                    </a:xfrm>
                    <a:prstGeom prst="rect">
                      <a:avLst/>
                    </a:prstGeom>
                  </pic:spPr>
                </pic:pic>
              </a:graphicData>
            </a:graphic>
          </wp:inline>
        </w:drawing>
      </w:r>
    </w:p>
    <w:p w14:paraId="574E2C27" w14:textId="779E15A9" w:rsidR="002F7250" w:rsidRPr="00E83C5E" w:rsidRDefault="002F7250" w:rsidP="002F7250">
      <w:pPr>
        <w:pStyle w:val="Caption"/>
        <w:spacing w:after="0"/>
        <w:ind w:firstLine="284"/>
        <w:rPr>
          <w:rFonts w:ascii="Garamond" w:hAnsi="Garamond"/>
          <w:color w:val="000000" w:themeColor="text1"/>
          <w:sz w:val="24"/>
          <w:szCs w:val="24"/>
        </w:rPr>
      </w:pPr>
      <w:r w:rsidRPr="00E83C5E">
        <w:rPr>
          <w:rFonts w:ascii="Garamond" w:hAnsi="Garamond"/>
          <w:color w:val="000000" w:themeColor="text1"/>
          <w:sz w:val="24"/>
          <w:szCs w:val="24"/>
        </w:rPr>
        <w:t xml:space="preserve">Figura </w:t>
      </w:r>
      <w:r w:rsidRPr="00E83C5E">
        <w:rPr>
          <w:rFonts w:ascii="Garamond" w:hAnsi="Garamond"/>
          <w:color w:val="000000" w:themeColor="text1"/>
          <w:sz w:val="24"/>
          <w:szCs w:val="24"/>
        </w:rPr>
        <w:fldChar w:fldCharType="begin"/>
      </w:r>
      <w:r w:rsidRPr="00E83C5E">
        <w:rPr>
          <w:rFonts w:ascii="Garamond" w:hAnsi="Garamond"/>
          <w:color w:val="000000" w:themeColor="text1"/>
          <w:sz w:val="24"/>
          <w:szCs w:val="24"/>
        </w:rPr>
        <w:instrText xml:space="preserve"> SEQ Figura \* ARABIC </w:instrText>
      </w:r>
      <w:r w:rsidRPr="00E83C5E">
        <w:rPr>
          <w:rFonts w:ascii="Garamond" w:hAnsi="Garamond"/>
          <w:color w:val="000000" w:themeColor="text1"/>
          <w:sz w:val="24"/>
          <w:szCs w:val="24"/>
        </w:rPr>
        <w:fldChar w:fldCharType="separate"/>
      </w:r>
      <w:r w:rsidRPr="00E83C5E">
        <w:rPr>
          <w:rFonts w:ascii="Garamond" w:hAnsi="Garamond"/>
          <w:color w:val="000000" w:themeColor="text1"/>
          <w:sz w:val="24"/>
          <w:szCs w:val="24"/>
        </w:rPr>
        <w:t>4</w:t>
      </w:r>
      <w:r w:rsidRPr="00E83C5E">
        <w:rPr>
          <w:rFonts w:ascii="Garamond" w:hAnsi="Garamond"/>
          <w:color w:val="000000" w:themeColor="text1"/>
          <w:sz w:val="24"/>
          <w:szCs w:val="24"/>
        </w:rPr>
        <w:fldChar w:fldCharType="end"/>
      </w:r>
      <w:r w:rsidRPr="00E83C5E">
        <w:rPr>
          <w:rFonts w:ascii="Garamond" w:hAnsi="Garamond"/>
          <w:color w:val="000000" w:themeColor="text1"/>
          <w:sz w:val="24"/>
          <w:szCs w:val="24"/>
        </w:rPr>
        <w:t>: Të dhënat për punën dinjitoze sipas botimit të UNICEF</w:t>
      </w:r>
      <w:r w:rsidR="00573EA2" w:rsidRPr="00E83C5E">
        <w:rPr>
          <w:rFonts w:ascii="Garamond" w:hAnsi="Garamond"/>
          <w:color w:val="000000" w:themeColor="text1"/>
          <w:sz w:val="24"/>
          <w:szCs w:val="24"/>
        </w:rPr>
        <w:t>-it</w:t>
      </w:r>
      <w:r w:rsidRPr="00E83C5E">
        <w:rPr>
          <w:rFonts w:ascii="Garamond" w:hAnsi="Garamond"/>
          <w:color w:val="000000" w:themeColor="text1"/>
          <w:sz w:val="24"/>
          <w:szCs w:val="24"/>
        </w:rPr>
        <w:t xml:space="preserve"> dhe INSTAT</w:t>
      </w:r>
      <w:r w:rsidR="00573EA2" w:rsidRPr="00E83C5E">
        <w:rPr>
          <w:rFonts w:ascii="Garamond" w:hAnsi="Garamond"/>
          <w:color w:val="000000" w:themeColor="text1"/>
          <w:sz w:val="24"/>
          <w:szCs w:val="24"/>
        </w:rPr>
        <w:t>-it</w:t>
      </w:r>
      <w:r w:rsidRPr="00E83C5E">
        <w:rPr>
          <w:rFonts w:ascii="Garamond" w:hAnsi="Garamond"/>
          <w:color w:val="000000" w:themeColor="text1"/>
          <w:sz w:val="24"/>
          <w:szCs w:val="24"/>
        </w:rPr>
        <w:t xml:space="preserve"> </w:t>
      </w:r>
      <w:r w:rsidR="00D540B0" w:rsidRPr="00E83C5E">
        <w:rPr>
          <w:rFonts w:ascii="Garamond" w:hAnsi="Garamond"/>
          <w:color w:val="000000" w:themeColor="text1"/>
          <w:sz w:val="24"/>
          <w:szCs w:val="24"/>
        </w:rPr>
        <w:t>“</w:t>
      </w:r>
      <w:r w:rsidRPr="00E83C5E">
        <w:rPr>
          <w:rFonts w:ascii="Garamond" w:hAnsi="Garamond"/>
          <w:color w:val="000000" w:themeColor="text1"/>
          <w:sz w:val="24"/>
          <w:szCs w:val="24"/>
        </w:rPr>
        <w:t xml:space="preserve">Treguesit e </w:t>
      </w:r>
      <w:r w:rsidR="0002048B" w:rsidRPr="00E83C5E">
        <w:rPr>
          <w:rFonts w:ascii="Garamond" w:hAnsi="Garamond"/>
          <w:color w:val="000000" w:themeColor="text1"/>
          <w:sz w:val="24"/>
          <w:szCs w:val="24"/>
        </w:rPr>
        <w:t>mirëqenies</w:t>
      </w:r>
      <w:r w:rsidR="00573EA2" w:rsidRPr="00E83C5E">
        <w:rPr>
          <w:rFonts w:ascii="Garamond" w:hAnsi="Garamond"/>
          <w:color w:val="000000" w:themeColor="text1"/>
          <w:sz w:val="24"/>
          <w:szCs w:val="24"/>
        </w:rPr>
        <w:t xml:space="preserve"> së </w:t>
      </w:r>
      <w:r w:rsidR="0002048B" w:rsidRPr="00E83C5E">
        <w:rPr>
          <w:rFonts w:ascii="Garamond" w:hAnsi="Garamond"/>
          <w:color w:val="000000" w:themeColor="text1"/>
          <w:sz w:val="24"/>
          <w:szCs w:val="24"/>
        </w:rPr>
        <w:t>fëmijëve</w:t>
      </w:r>
      <w:r w:rsidR="00573EA2" w:rsidRPr="00E83C5E">
        <w:rPr>
          <w:rFonts w:ascii="Garamond" w:hAnsi="Garamond"/>
          <w:color w:val="000000" w:themeColor="text1"/>
          <w:sz w:val="24"/>
          <w:szCs w:val="24"/>
        </w:rPr>
        <w:t xml:space="preserve"> dhe adoleshentëve dhe të rinj</w:t>
      </w:r>
      <w:r w:rsidRPr="00E83C5E">
        <w:rPr>
          <w:rFonts w:ascii="Garamond" w:hAnsi="Garamond"/>
          <w:color w:val="000000" w:themeColor="text1"/>
          <w:sz w:val="24"/>
          <w:szCs w:val="24"/>
        </w:rPr>
        <w:t>ve në Shqipëri 2016</w:t>
      </w:r>
      <w:r w:rsidR="00573EA2" w:rsidRPr="00E83C5E">
        <w:rPr>
          <w:rFonts w:ascii="Garamond" w:hAnsi="Garamond"/>
          <w:color w:val="000000" w:themeColor="text1"/>
          <w:sz w:val="24"/>
          <w:szCs w:val="24"/>
        </w:rPr>
        <w:t>–</w:t>
      </w:r>
      <w:r w:rsidRPr="00E83C5E">
        <w:rPr>
          <w:rFonts w:ascii="Garamond" w:hAnsi="Garamond"/>
          <w:color w:val="000000" w:themeColor="text1"/>
          <w:sz w:val="24"/>
          <w:szCs w:val="24"/>
        </w:rPr>
        <w:t>19</w:t>
      </w:r>
      <w:r w:rsidR="00D540B0" w:rsidRPr="00E83C5E">
        <w:rPr>
          <w:rFonts w:ascii="Garamond" w:hAnsi="Garamond"/>
          <w:color w:val="000000" w:themeColor="text1"/>
          <w:sz w:val="24"/>
          <w:szCs w:val="24"/>
        </w:rPr>
        <w:t>”</w:t>
      </w:r>
      <w:r w:rsidR="00573EA2" w:rsidRPr="00E83C5E">
        <w:rPr>
          <w:rFonts w:ascii="Garamond" w:hAnsi="Garamond"/>
          <w:color w:val="000000" w:themeColor="text1"/>
          <w:sz w:val="24"/>
          <w:szCs w:val="24"/>
        </w:rPr>
        <w:t>,</w:t>
      </w:r>
      <w:r w:rsidRPr="00E83C5E">
        <w:rPr>
          <w:rFonts w:ascii="Garamond" w:hAnsi="Garamond"/>
          <w:color w:val="000000" w:themeColor="text1"/>
          <w:sz w:val="24"/>
          <w:szCs w:val="24"/>
        </w:rPr>
        <w:t xml:space="preserve"> f. 19</w:t>
      </w:r>
    </w:p>
    <w:p w14:paraId="574E2C29" w14:textId="474D1BFE" w:rsidR="002F7250" w:rsidRPr="00E83C5E" w:rsidRDefault="002F7250" w:rsidP="00D92565">
      <w:pPr>
        <w:pStyle w:val="TEKSTIII"/>
        <w:rPr>
          <w:b/>
        </w:rPr>
      </w:pPr>
      <w:r w:rsidRPr="00E83C5E">
        <w:rPr>
          <w:b/>
        </w:rPr>
        <w:t>Lidhja e objektivit specifik me Marrëveshjen e Stabilizim-Asociimit</w:t>
      </w:r>
      <w:r w:rsidR="00233C37" w:rsidRPr="00E83C5E">
        <w:rPr>
          <w:b/>
        </w:rPr>
        <w:t xml:space="preserve"> </w:t>
      </w:r>
    </w:p>
    <w:p w14:paraId="574E2C2A" w14:textId="1175DF4D" w:rsidR="002F7250" w:rsidRPr="00E83C5E" w:rsidRDefault="002F7250" w:rsidP="002F7250">
      <w:pPr>
        <w:spacing w:after="0" w:line="240" w:lineRule="auto"/>
        <w:ind w:firstLine="284"/>
        <w:jc w:val="both"/>
        <w:rPr>
          <w:rFonts w:ascii="Garamond" w:hAnsi="Garamond" w:cs="Times New Roman"/>
          <w:sz w:val="24"/>
          <w:szCs w:val="24"/>
          <w:lang w:eastAsia="en-GB"/>
        </w:rPr>
      </w:pPr>
      <w:r w:rsidRPr="00E83C5E">
        <w:rPr>
          <w:rFonts w:ascii="Garamond" w:hAnsi="Garamond" w:cs="Times New Roman"/>
          <w:sz w:val="24"/>
          <w:szCs w:val="24"/>
        </w:rPr>
        <w:t>Ky q</w:t>
      </w:r>
      <w:r w:rsidRPr="00E83C5E">
        <w:rPr>
          <w:rFonts w:ascii="Garamond" w:hAnsi="Garamond" w:cs="Times New Roman"/>
          <w:sz w:val="24"/>
          <w:szCs w:val="24"/>
          <w:lang w:eastAsia="en-GB"/>
        </w:rPr>
        <w:t>ë</w:t>
      </w:r>
      <w:r w:rsidRPr="00E83C5E">
        <w:rPr>
          <w:rFonts w:ascii="Garamond" w:hAnsi="Garamond" w:cs="Times New Roman"/>
          <w:sz w:val="24"/>
          <w:szCs w:val="24"/>
        </w:rPr>
        <w:t>llim i politik</w:t>
      </w:r>
      <w:r w:rsidRPr="00E83C5E">
        <w:rPr>
          <w:rFonts w:ascii="Garamond" w:hAnsi="Garamond" w:cs="Times New Roman"/>
          <w:sz w:val="24"/>
          <w:szCs w:val="24"/>
          <w:lang w:eastAsia="en-GB"/>
        </w:rPr>
        <w:t>ë</w:t>
      </w:r>
      <w:r w:rsidRPr="00E83C5E">
        <w:rPr>
          <w:rFonts w:ascii="Garamond" w:hAnsi="Garamond" w:cs="Times New Roman"/>
          <w:sz w:val="24"/>
          <w:szCs w:val="24"/>
        </w:rPr>
        <w:t xml:space="preserve">s lidhet me </w:t>
      </w:r>
      <w:r w:rsidR="000B40DF" w:rsidRPr="00E83C5E">
        <w:rPr>
          <w:rFonts w:ascii="Garamond" w:hAnsi="Garamond" w:cs="Times New Roman"/>
          <w:sz w:val="24"/>
          <w:szCs w:val="24"/>
        </w:rPr>
        <w:t>k</w:t>
      </w:r>
      <w:r w:rsidRPr="00E83C5E">
        <w:rPr>
          <w:rFonts w:ascii="Garamond" w:hAnsi="Garamond" w:cs="Times New Roman"/>
          <w:sz w:val="24"/>
          <w:szCs w:val="24"/>
        </w:rPr>
        <w:t>apitullin V të MSA-së dhe titujt VII dhe VIII të saj respektivisht me nenet që kanë të bëjnë fuqizimin e institucioneve, bashkëpunimin social dhe kulturor, shoqërinë e informacionit dhe zhvillimin rajonal e lokal. Qëllimi i dytë i politikës së SKR 2022</w:t>
      </w:r>
      <w:r w:rsidR="000B40DF" w:rsidRPr="00E83C5E">
        <w:rPr>
          <w:rFonts w:ascii="Garamond" w:hAnsi="Garamond" w:cs="Times New Roman"/>
          <w:sz w:val="24"/>
          <w:szCs w:val="24"/>
        </w:rPr>
        <w:t>–</w:t>
      </w:r>
      <w:r w:rsidRPr="00E83C5E">
        <w:rPr>
          <w:rFonts w:ascii="Garamond" w:hAnsi="Garamond" w:cs="Times New Roman"/>
          <w:sz w:val="24"/>
          <w:szCs w:val="24"/>
        </w:rPr>
        <w:t xml:space="preserve">2029 lidhet me kapitullin V dhe nenin 100 </w:t>
      </w:r>
      <w:r w:rsidR="0002048B" w:rsidRPr="00E83C5E">
        <w:rPr>
          <w:rFonts w:ascii="Garamond" w:hAnsi="Garamond" w:cs="Times New Roman"/>
          <w:sz w:val="24"/>
          <w:szCs w:val="24"/>
        </w:rPr>
        <w:t>“</w:t>
      </w:r>
      <w:r w:rsidRPr="00E83C5E">
        <w:rPr>
          <w:rFonts w:ascii="Garamond" w:hAnsi="Garamond" w:cs="Times New Roman"/>
          <w:sz w:val="24"/>
          <w:szCs w:val="24"/>
        </w:rPr>
        <w:t>Arsimi</w:t>
      </w:r>
      <w:r w:rsidR="0002048B" w:rsidRPr="00E83C5E">
        <w:rPr>
          <w:rFonts w:ascii="Garamond" w:hAnsi="Garamond" w:cs="Times New Roman"/>
          <w:sz w:val="24"/>
          <w:szCs w:val="24"/>
        </w:rPr>
        <w:t>”</w:t>
      </w:r>
      <w:r w:rsidRPr="00E83C5E">
        <w:rPr>
          <w:rFonts w:ascii="Garamond" w:hAnsi="Garamond" w:cs="Times New Roman"/>
          <w:sz w:val="24"/>
          <w:szCs w:val="24"/>
        </w:rPr>
        <w:t xml:space="preserve">, neni 109 </w:t>
      </w:r>
      <w:r w:rsidR="0002048B" w:rsidRPr="00E83C5E">
        <w:rPr>
          <w:rFonts w:ascii="Garamond" w:hAnsi="Garamond" w:cs="Times New Roman"/>
          <w:sz w:val="24"/>
          <w:szCs w:val="24"/>
        </w:rPr>
        <w:t>“K</w:t>
      </w:r>
      <w:r w:rsidRPr="00E83C5E">
        <w:rPr>
          <w:rFonts w:ascii="Garamond" w:hAnsi="Garamond" w:cs="Times New Roman"/>
          <w:sz w:val="24"/>
          <w:szCs w:val="24"/>
        </w:rPr>
        <w:t>ërkimi shkencor</w:t>
      </w:r>
      <w:r w:rsidR="0002048B" w:rsidRPr="00E83C5E">
        <w:rPr>
          <w:rFonts w:ascii="Garamond" w:hAnsi="Garamond" w:cs="Times New Roman"/>
          <w:sz w:val="24"/>
          <w:szCs w:val="24"/>
        </w:rPr>
        <w:t>”</w:t>
      </w:r>
      <w:r w:rsidRPr="00E83C5E">
        <w:rPr>
          <w:rFonts w:ascii="Garamond" w:hAnsi="Garamond" w:cs="Times New Roman"/>
          <w:sz w:val="24"/>
          <w:szCs w:val="24"/>
        </w:rPr>
        <w:t xml:space="preserve"> dhe neni</w:t>
      </w:r>
      <w:r w:rsidR="0002048B" w:rsidRPr="00E83C5E">
        <w:rPr>
          <w:rFonts w:ascii="Garamond" w:hAnsi="Garamond" w:cs="Times New Roman"/>
          <w:sz w:val="24"/>
          <w:szCs w:val="24"/>
        </w:rPr>
        <w:t xml:space="preserve"> </w:t>
      </w:r>
      <w:r w:rsidRPr="00E83C5E">
        <w:rPr>
          <w:rFonts w:ascii="Garamond" w:hAnsi="Garamond" w:cs="Times New Roman"/>
          <w:sz w:val="24"/>
          <w:szCs w:val="24"/>
        </w:rPr>
        <w:t xml:space="preserve">103 </w:t>
      </w:r>
      <w:r w:rsidR="0002048B" w:rsidRPr="00E83C5E">
        <w:rPr>
          <w:rFonts w:ascii="Garamond" w:hAnsi="Garamond" w:cs="Times New Roman"/>
          <w:sz w:val="24"/>
          <w:szCs w:val="24"/>
        </w:rPr>
        <w:t>“Shoqëria</w:t>
      </w:r>
      <w:r w:rsidRPr="00E83C5E">
        <w:rPr>
          <w:rFonts w:ascii="Garamond" w:hAnsi="Garamond" w:cs="Times New Roman"/>
          <w:sz w:val="24"/>
          <w:szCs w:val="24"/>
        </w:rPr>
        <w:t xml:space="preserve"> e informacionit</w:t>
      </w:r>
      <w:r w:rsidR="0002048B" w:rsidRPr="00E83C5E">
        <w:rPr>
          <w:rFonts w:ascii="Garamond" w:hAnsi="Garamond" w:cs="Times New Roman"/>
          <w:sz w:val="24"/>
          <w:szCs w:val="24"/>
        </w:rPr>
        <w:t>”</w:t>
      </w:r>
      <w:r w:rsidRPr="00E83C5E">
        <w:rPr>
          <w:rFonts w:ascii="Garamond" w:hAnsi="Garamond" w:cs="Times New Roman"/>
          <w:sz w:val="24"/>
          <w:szCs w:val="24"/>
        </w:rPr>
        <w:t xml:space="preserve">. Po ashtu ai lidhet me nenet 110 dhe 111 që kanë të bëjnë me zhvillimin rajonal dhe administratën publike. </w:t>
      </w:r>
    </w:p>
    <w:p w14:paraId="574E2C2B" w14:textId="600500EE" w:rsidR="002F7250" w:rsidRPr="00E83C5E" w:rsidRDefault="002F7250" w:rsidP="002F7250">
      <w:pPr>
        <w:spacing w:after="0" w:line="240" w:lineRule="auto"/>
        <w:ind w:firstLine="284"/>
        <w:jc w:val="both"/>
        <w:rPr>
          <w:rFonts w:ascii="Garamond" w:hAnsi="Garamond" w:cs="Times New Roman"/>
          <w:sz w:val="24"/>
          <w:szCs w:val="24"/>
        </w:rPr>
      </w:pPr>
      <w:r w:rsidRPr="00E83C5E">
        <w:rPr>
          <w:rStyle w:val="jlqj4b"/>
          <w:rFonts w:ascii="Garamond" w:eastAsiaTheme="majorEastAsia" w:hAnsi="Garamond" w:cs="Times New Roman"/>
          <w:sz w:val="24"/>
          <w:szCs w:val="24"/>
        </w:rPr>
        <w:t>Ky qëllim</w:t>
      </w:r>
      <w:r w:rsidR="000B40DF" w:rsidRPr="00E83C5E">
        <w:rPr>
          <w:rStyle w:val="jlqj4b"/>
          <w:rFonts w:ascii="Garamond" w:eastAsiaTheme="majorEastAsia" w:hAnsi="Garamond" w:cs="Times New Roman"/>
          <w:sz w:val="24"/>
          <w:szCs w:val="24"/>
        </w:rPr>
        <w:t>,</w:t>
      </w:r>
      <w:r w:rsidRPr="00E83C5E">
        <w:rPr>
          <w:rStyle w:val="jlqj4b"/>
          <w:rFonts w:ascii="Garamond" w:eastAsiaTheme="majorEastAsia" w:hAnsi="Garamond" w:cs="Times New Roman"/>
          <w:sz w:val="24"/>
          <w:szCs w:val="24"/>
        </w:rPr>
        <w:t xml:space="preserve"> gjithashtu</w:t>
      </w:r>
      <w:r w:rsidR="000B40DF" w:rsidRPr="00E83C5E">
        <w:rPr>
          <w:rStyle w:val="jlqj4b"/>
          <w:rFonts w:ascii="Garamond" w:eastAsiaTheme="majorEastAsia" w:hAnsi="Garamond" w:cs="Times New Roman"/>
          <w:sz w:val="24"/>
          <w:szCs w:val="24"/>
        </w:rPr>
        <w:t>,</w:t>
      </w:r>
      <w:r w:rsidRPr="00E83C5E">
        <w:rPr>
          <w:rStyle w:val="jlqj4b"/>
          <w:rFonts w:ascii="Garamond" w:eastAsiaTheme="majorEastAsia" w:hAnsi="Garamond" w:cs="Times New Roman"/>
          <w:sz w:val="24"/>
          <w:szCs w:val="24"/>
        </w:rPr>
        <w:t xml:space="preserve"> lidhet me </w:t>
      </w:r>
      <w:r w:rsidRPr="00E83C5E">
        <w:rPr>
          <w:rFonts w:ascii="Garamond" w:hAnsi="Garamond" w:cs="Times New Roman"/>
          <w:sz w:val="24"/>
          <w:szCs w:val="24"/>
        </w:rPr>
        <w:t>Planin Kombëtar për Integrimin Evropian 2021–2023</w:t>
      </w:r>
      <w:r w:rsidRPr="00E83C5E">
        <w:rPr>
          <w:rStyle w:val="FootnoteReference"/>
          <w:rFonts w:ascii="Garamond" w:hAnsi="Garamond" w:cs="Times New Roman"/>
          <w:sz w:val="24"/>
          <w:szCs w:val="24"/>
        </w:rPr>
        <w:footnoteReference w:id="21"/>
      </w:r>
      <w:r w:rsidRPr="00E83C5E">
        <w:rPr>
          <w:rFonts w:ascii="Garamond" w:hAnsi="Garamond" w:cs="Times New Roman"/>
          <w:sz w:val="24"/>
          <w:szCs w:val="24"/>
        </w:rPr>
        <w:t xml:space="preserve"> përmes kapitujve që kanë të bëjnë me të drejtat e njeriut, kapitullin 10 për shoqërinë e informacion</w:t>
      </w:r>
      <w:r w:rsidR="0002048B" w:rsidRPr="00E83C5E">
        <w:rPr>
          <w:rFonts w:ascii="Garamond" w:hAnsi="Garamond" w:cs="Times New Roman"/>
          <w:sz w:val="24"/>
          <w:szCs w:val="24"/>
        </w:rPr>
        <w:t>i</w:t>
      </w:r>
      <w:r w:rsidRPr="00E83C5E">
        <w:rPr>
          <w:rFonts w:ascii="Garamond" w:hAnsi="Garamond" w:cs="Times New Roman"/>
          <w:sz w:val="24"/>
          <w:szCs w:val="24"/>
        </w:rPr>
        <w:t xml:space="preserve">t dhe media, kapitullin 19 në lidhje me politikat sociale, kapitullin 24 që lidhet me </w:t>
      </w:r>
      <w:r w:rsidRPr="00E83C5E">
        <w:rPr>
          <w:rFonts w:ascii="Garamond" w:hAnsi="Garamond" w:cs="Times New Roman"/>
          <w:sz w:val="24"/>
          <w:szCs w:val="24"/>
        </w:rPr>
        <w:lastRenderedPageBreak/>
        <w:t>drejtësinë dhe sigurinë, kapitullin 26 në lidhjen që ka me çështjet e kulturës dhe sporteve</w:t>
      </w:r>
      <w:r w:rsidR="0002048B" w:rsidRPr="00E83C5E">
        <w:rPr>
          <w:rFonts w:ascii="Garamond" w:hAnsi="Garamond" w:cs="Times New Roman"/>
          <w:sz w:val="24"/>
          <w:szCs w:val="24"/>
        </w:rPr>
        <w:t>,</w:t>
      </w:r>
      <w:r w:rsidRPr="00E83C5E">
        <w:rPr>
          <w:rFonts w:ascii="Garamond" w:hAnsi="Garamond" w:cs="Times New Roman"/>
          <w:sz w:val="24"/>
          <w:szCs w:val="24"/>
        </w:rPr>
        <w:t xml:space="preserve"> si edhe me kapitullin 28 në lidhje me mbrojtjen e konsumatorit. </w:t>
      </w:r>
    </w:p>
    <w:p w14:paraId="574E2C2D" w14:textId="7C508D40" w:rsidR="002F7250" w:rsidRPr="00E83C5E" w:rsidRDefault="002F7250" w:rsidP="002F7250">
      <w:pPr>
        <w:pStyle w:val="Caption"/>
        <w:keepNext/>
        <w:spacing w:after="0"/>
        <w:ind w:firstLine="284"/>
        <w:rPr>
          <w:rFonts w:ascii="Garamond" w:hAnsi="Garamond"/>
          <w:color w:val="000000" w:themeColor="text1"/>
          <w:sz w:val="24"/>
          <w:szCs w:val="24"/>
        </w:rPr>
      </w:pPr>
      <w:r w:rsidRPr="00E83C5E">
        <w:rPr>
          <w:rFonts w:ascii="Garamond" w:hAnsi="Garamond"/>
          <w:color w:val="000000" w:themeColor="text1"/>
          <w:sz w:val="24"/>
          <w:szCs w:val="24"/>
        </w:rPr>
        <w:t xml:space="preserve">Tabela </w:t>
      </w:r>
      <w:r w:rsidRPr="00E83C5E">
        <w:rPr>
          <w:rFonts w:ascii="Garamond" w:hAnsi="Garamond"/>
          <w:color w:val="000000" w:themeColor="text1"/>
          <w:sz w:val="24"/>
          <w:szCs w:val="24"/>
        </w:rPr>
        <w:fldChar w:fldCharType="begin"/>
      </w:r>
      <w:r w:rsidRPr="00E83C5E">
        <w:rPr>
          <w:rFonts w:ascii="Garamond" w:hAnsi="Garamond"/>
          <w:color w:val="000000" w:themeColor="text1"/>
          <w:sz w:val="24"/>
          <w:szCs w:val="24"/>
        </w:rPr>
        <w:instrText xml:space="preserve"> SEQ Tabela \* ARABIC </w:instrText>
      </w:r>
      <w:r w:rsidRPr="00E83C5E">
        <w:rPr>
          <w:rFonts w:ascii="Garamond" w:hAnsi="Garamond"/>
          <w:color w:val="000000" w:themeColor="text1"/>
          <w:sz w:val="24"/>
          <w:szCs w:val="24"/>
        </w:rPr>
        <w:fldChar w:fldCharType="separate"/>
      </w:r>
      <w:r w:rsidRPr="00E83C5E">
        <w:rPr>
          <w:rFonts w:ascii="Garamond" w:hAnsi="Garamond"/>
          <w:color w:val="000000" w:themeColor="text1"/>
          <w:sz w:val="24"/>
          <w:szCs w:val="24"/>
        </w:rPr>
        <w:t>9</w:t>
      </w:r>
      <w:r w:rsidRPr="00E83C5E">
        <w:rPr>
          <w:rFonts w:ascii="Garamond" w:hAnsi="Garamond"/>
          <w:color w:val="000000" w:themeColor="text1"/>
          <w:sz w:val="24"/>
          <w:szCs w:val="24"/>
        </w:rPr>
        <w:fldChar w:fldCharType="end"/>
      </w:r>
      <w:r w:rsidRPr="00E83C5E">
        <w:rPr>
          <w:rFonts w:ascii="Garamond" w:hAnsi="Garamond"/>
          <w:color w:val="000000" w:themeColor="text1"/>
          <w:sz w:val="24"/>
          <w:szCs w:val="24"/>
        </w:rPr>
        <w:t xml:space="preserve">: Treguesit e rezultateve të lidhur me </w:t>
      </w:r>
      <w:r w:rsidR="000B40DF" w:rsidRPr="00E83C5E">
        <w:rPr>
          <w:rFonts w:ascii="Garamond" w:hAnsi="Garamond"/>
          <w:color w:val="000000" w:themeColor="text1"/>
          <w:sz w:val="24"/>
          <w:szCs w:val="24"/>
        </w:rPr>
        <w:t xml:space="preserve">qëllimin e politikës </w:t>
      </w:r>
      <w:r w:rsidRPr="00E83C5E">
        <w:rPr>
          <w:rFonts w:ascii="Garamond" w:hAnsi="Garamond"/>
          <w:color w:val="000000" w:themeColor="text1"/>
          <w:sz w:val="24"/>
          <w:szCs w:val="24"/>
        </w:rPr>
        <w:t>2</w:t>
      </w:r>
    </w:p>
    <w:tbl>
      <w:tblPr>
        <w:tblStyle w:val="GridTable1Light-Accent11"/>
        <w:tblW w:w="9895" w:type="dxa"/>
        <w:tblLook w:val="04A0" w:firstRow="1" w:lastRow="0" w:firstColumn="1" w:lastColumn="0" w:noHBand="0" w:noVBand="1"/>
      </w:tblPr>
      <w:tblGrid>
        <w:gridCol w:w="1160"/>
        <w:gridCol w:w="2283"/>
        <w:gridCol w:w="2582"/>
        <w:gridCol w:w="2430"/>
        <w:gridCol w:w="1440"/>
      </w:tblGrid>
      <w:tr w:rsidR="002F7250" w:rsidRPr="00E83C5E" w14:paraId="574E2C34" w14:textId="77777777" w:rsidTr="000B40DF">
        <w:trPr>
          <w:cnfStyle w:val="100000000000" w:firstRow="1" w:lastRow="0" w:firstColumn="0" w:lastColumn="0" w:oddVBand="0" w:evenVBand="0" w:oddHBand="0"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160" w:type="dxa"/>
          </w:tcPr>
          <w:p w14:paraId="574E2C2E" w14:textId="77777777" w:rsidR="002F7250" w:rsidRPr="00E83C5E" w:rsidRDefault="002F7250" w:rsidP="00D92565">
            <w:pPr>
              <w:jc w:val="center"/>
              <w:rPr>
                <w:rFonts w:ascii="Garamond" w:hAnsi="Garamond" w:cs="Times New Roman"/>
                <w:b w:val="0"/>
                <w:color w:val="000000" w:themeColor="text1"/>
                <w:sz w:val="20"/>
                <w:szCs w:val="24"/>
                <w:lang w:eastAsia="en-GB"/>
              </w:rPr>
            </w:pPr>
            <w:bookmarkStart w:id="4" w:name="_Hlk65144663"/>
            <w:r w:rsidRPr="00E83C5E">
              <w:rPr>
                <w:rFonts w:ascii="Garamond" w:hAnsi="Garamond" w:cs="Times New Roman"/>
                <w:color w:val="000000" w:themeColor="text1"/>
                <w:sz w:val="20"/>
                <w:szCs w:val="24"/>
                <w:lang w:eastAsia="en-GB"/>
              </w:rPr>
              <w:t>Lloji i treguesit</w:t>
            </w:r>
          </w:p>
        </w:tc>
        <w:tc>
          <w:tcPr>
            <w:tcW w:w="2283" w:type="dxa"/>
          </w:tcPr>
          <w:p w14:paraId="574E2C2F" w14:textId="77777777" w:rsidR="002F7250" w:rsidRPr="00E83C5E" w:rsidRDefault="002F7250" w:rsidP="00D92565">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color w:val="000000" w:themeColor="text1"/>
                <w:sz w:val="20"/>
                <w:szCs w:val="24"/>
                <w:lang w:eastAsia="en-GB"/>
              </w:rPr>
            </w:pPr>
            <w:r w:rsidRPr="00E83C5E">
              <w:rPr>
                <w:rFonts w:ascii="Garamond" w:hAnsi="Garamond" w:cs="Times New Roman"/>
                <w:color w:val="000000" w:themeColor="text1"/>
                <w:sz w:val="20"/>
                <w:szCs w:val="24"/>
              </w:rPr>
              <w:t>Emërtimi i treguesit</w:t>
            </w:r>
          </w:p>
        </w:tc>
        <w:tc>
          <w:tcPr>
            <w:tcW w:w="2582" w:type="dxa"/>
          </w:tcPr>
          <w:p w14:paraId="574E2C30" w14:textId="161F075C" w:rsidR="002F7250" w:rsidRPr="00E83C5E" w:rsidRDefault="002F7250" w:rsidP="00D92565">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color w:val="000000" w:themeColor="text1"/>
                <w:sz w:val="20"/>
                <w:szCs w:val="24"/>
                <w:lang w:eastAsia="en-GB"/>
              </w:rPr>
            </w:pPr>
            <w:r w:rsidRPr="00E83C5E">
              <w:rPr>
                <w:rFonts w:ascii="Garamond" w:hAnsi="Garamond" w:cs="Times New Roman"/>
                <w:color w:val="000000" w:themeColor="text1"/>
                <w:sz w:val="20"/>
                <w:szCs w:val="24"/>
                <w:lang w:eastAsia="en-GB"/>
              </w:rPr>
              <w:t xml:space="preserve">Lidhja me </w:t>
            </w:r>
            <w:r w:rsidR="000B40DF" w:rsidRPr="00E83C5E">
              <w:rPr>
                <w:rFonts w:ascii="Garamond" w:hAnsi="Garamond" w:cs="Times New Roman"/>
                <w:color w:val="000000" w:themeColor="text1"/>
                <w:sz w:val="20"/>
                <w:szCs w:val="24"/>
                <w:lang w:eastAsia="en-GB"/>
              </w:rPr>
              <w:t>qëllimin e politikës</w:t>
            </w:r>
          </w:p>
        </w:tc>
        <w:tc>
          <w:tcPr>
            <w:tcW w:w="2430" w:type="dxa"/>
          </w:tcPr>
          <w:p w14:paraId="574E2C31" w14:textId="000D7FC9" w:rsidR="002F7250" w:rsidRPr="00E83C5E" w:rsidRDefault="002F7250" w:rsidP="00D92565">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color w:val="000000" w:themeColor="text1"/>
                <w:sz w:val="20"/>
                <w:szCs w:val="24"/>
                <w:lang w:eastAsia="en-GB"/>
              </w:rPr>
            </w:pPr>
            <w:r w:rsidRPr="00E83C5E">
              <w:rPr>
                <w:rFonts w:ascii="Garamond" w:hAnsi="Garamond" w:cs="Times New Roman"/>
                <w:color w:val="000000" w:themeColor="text1"/>
                <w:sz w:val="20"/>
                <w:szCs w:val="24"/>
                <w:lang w:eastAsia="en-GB"/>
              </w:rPr>
              <w:t xml:space="preserve">Lidhja me </w:t>
            </w:r>
            <w:r w:rsidR="000B40DF" w:rsidRPr="00E83C5E">
              <w:rPr>
                <w:rFonts w:ascii="Garamond" w:hAnsi="Garamond" w:cs="Times New Roman"/>
                <w:color w:val="000000" w:themeColor="text1"/>
                <w:sz w:val="20"/>
                <w:szCs w:val="24"/>
                <w:lang w:eastAsia="en-GB"/>
              </w:rPr>
              <w:t>objektivin specifik</w:t>
            </w:r>
          </w:p>
        </w:tc>
        <w:tc>
          <w:tcPr>
            <w:tcW w:w="1440" w:type="dxa"/>
          </w:tcPr>
          <w:p w14:paraId="574E2C33" w14:textId="71B7401F" w:rsidR="002F7250" w:rsidRPr="00E83C5E" w:rsidRDefault="002F7250" w:rsidP="000B40DF">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color w:val="000000" w:themeColor="text1"/>
                <w:sz w:val="20"/>
                <w:szCs w:val="24"/>
                <w:lang w:eastAsia="en-GB"/>
              </w:rPr>
            </w:pPr>
            <w:r w:rsidRPr="00E83C5E">
              <w:rPr>
                <w:rFonts w:ascii="Garamond" w:hAnsi="Garamond" w:cs="Times New Roman"/>
                <w:color w:val="000000" w:themeColor="text1"/>
                <w:sz w:val="20"/>
                <w:szCs w:val="24"/>
                <w:lang w:eastAsia="en-GB"/>
              </w:rPr>
              <w:t xml:space="preserve">Institucioni </w:t>
            </w:r>
            <w:r w:rsidR="000B40DF" w:rsidRPr="00E83C5E">
              <w:rPr>
                <w:rFonts w:ascii="Garamond" w:hAnsi="Garamond" w:cs="Times New Roman"/>
                <w:color w:val="000000" w:themeColor="text1"/>
                <w:sz w:val="20"/>
                <w:szCs w:val="24"/>
                <w:lang w:eastAsia="en-GB"/>
              </w:rPr>
              <w:t>përgjegjës</w:t>
            </w:r>
          </w:p>
        </w:tc>
      </w:tr>
      <w:tr w:rsidR="002F7250" w:rsidRPr="00E83C5E" w14:paraId="574E2C3B" w14:textId="77777777" w:rsidTr="00BC2136">
        <w:trPr>
          <w:trHeight w:val="609"/>
        </w:trPr>
        <w:tc>
          <w:tcPr>
            <w:cnfStyle w:val="001000000000" w:firstRow="0" w:lastRow="0" w:firstColumn="1" w:lastColumn="0" w:oddVBand="0" w:evenVBand="0" w:oddHBand="0" w:evenHBand="0" w:firstRowFirstColumn="0" w:firstRowLastColumn="0" w:lastRowFirstColumn="0" w:lastRowLastColumn="0"/>
            <w:tcW w:w="1160" w:type="dxa"/>
          </w:tcPr>
          <w:p w14:paraId="574E2C35" w14:textId="77777777" w:rsidR="002F7250" w:rsidRPr="00E83C5E" w:rsidRDefault="002F7250" w:rsidP="00D92565">
            <w:pPr>
              <w:jc w:val="both"/>
              <w:rPr>
                <w:rFonts w:ascii="Garamond" w:hAnsi="Garamond" w:cs="Times New Roman"/>
                <w:sz w:val="20"/>
                <w:szCs w:val="24"/>
                <w:lang w:eastAsia="en-GB"/>
              </w:rPr>
            </w:pPr>
            <w:r w:rsidRPr="00E83C5E">
              <w:rPr>
                <w:rFonts w:ascii="Garamond" w:hAnsi="Garamond" w:cs="Times New Roman"/>
                <w:sz w:val="20"/>
                <w:szCs w:val="24"/>
                <w:lang w:eastAsia="en-GB"/>
              </w:rPr>
              <w:t>Rezultati</w:t>
            </w:r>
          </w:p>
        </w:tc>
        <w:tc>
          <w:tcPr>
            <w:tcW w:w="2283" w:type="dxa"/>
          </w:tcPr>
          <w:p w14:paraId="574E2C36" w14:textId="77777777"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Shkalla e papunësisë së të rinjve (%) të ndarë sipas gjinisë</w:t>
            </w:r>
          </w:p>
        </w:tc>
        <w:tc>
          <w:tcPr>
            <w:tcW w:w="2582" w:type="dxa"/>
          </w:tcPr>
          <w:p w14:paraId="574E2C37" w14:textId="77777777"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 xml:space="preserve">Novacioni, edukimi, autonomia, drejtësia si barazi (equity) </w:t>
            </w:r>
          </w:p>
          <w:p w14:paraId="574E2C38" w14:textId="77777777"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Mbështetet dhe nxitet novacioni rinor dhe rritja e aftësive dhe profesionalizmit të të rejave dhe të rinjve përmes edukimit cilësor në TIK dhe fusha të tjera të zhvillimit digjital duke rritur dhe përmirësuar kështu mundësitë për të hyrë në tregun e punës.</w:t>
            </w:r>
          </w:p>
        </w:tc>
        <w:tc>
          <w:tcPr>
            <w:tcW w:w="2430" w:type="dxa"/>
          </w:tcPr>
          <w:p w14:paraId="574E2C39" w14:textId="1BA53E1A"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Të rinjtë, në të gjitha kushtet dhe situatat,</w:t>
            </w:r>
            <w:r w:rsidR="00233C37" w:rsidRPr="00E83C5E">
              <w:rPr>
                <w:rFonts w:ascii="Garamond" w:hAnsi="Garamond" w:cs="Times New Roman"/>
                <w:sz w:val="20"/>
                <w:szCs w:val="24"/>
                <w:lang w:eastAsia="en-GB"/>
              </w:rPr>
              <w:t xml:space="preserve"> </w:t>
            </w:r>
            <w:r w:rsidRPr="00E83C5E">
              <w:rPr>
                <w:rFonts w:ascii="Garamond" w:hAnsi="Garamond" w:cs="Times New Roman"/>
                <w:sz w:val="20"/>
                <w:szCs w:val="24"/>
                <w:lang w:eastAsia="en-GB"/>
              </w:rPr>
              <w:t>përfaqësojnë një fokus të veçantë në aftësim, punësim, sipërmarrje dhe politika punësimi që ofrojnë një shumëllojshmëri të modaliteteve specifike rinore për rritjen e mbështetjes për ta në tranzicionin nga sistemi arsimor drejt tregut të punës dhe moshës madhore.</w:t>
            </w:r>
          </w:p>
        </w:tc>
        <w:tc>
          <w:tcPr>
            <w:tcW w:w="1440" w:type="dxa"/>
          </w:tcPr>
          <w:p w14:paraId="574E2C3A" w14:textId="77777777"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MSHRF/ INSTAT/ AKPA/ MFE</w:t>
            </w:r>
          </w:p>
        </w:tc>
      </w:tr>
      <w:tr w:rsidR="002F7250" w:rsidRPr="00E83C5E" w14:paraId="574E2C42" w14:textId="77777777" w:rsidTr="00BC2136">
        <w:trPr>
          <w:trHeight w:val="539"/>
        </w:trPr>
        <w:tc>
          <w:tcPr>
            <w:cnfStyle w:val="001000000000" w:firstRow="0" w:lastRow="0" w:firstColumn="1" w:lastColumn="0" w:oddVBand="0" w:evenVBand="0" w:oddHBand="0" w:evenHBand="0" w:firstRowFirstColumn="0" w:firstRowLastColumn="0" w:lastRowFirstColumn="0" w:lastRowLastColumn="0"/>
            <w:tcW w:w="1160" w:type="dxa"/>
          </w:tcPr>
          <w:p w14:paraId="574E2C3C" w14:textId="77777777" w:rsidR="002F7250" w:rsidRPr="00E83C5E" w:rsidRDefault="002F7250" w:rsidP="00D92565">
            <w:pPr>
              <w:jc w:val="both"/>
              <w:rPr>
                <w:rFonts w:ascii="Garamond" w:hAnsi="Garamond" w:cs="Times New Roman"/>
                <w:sz w:val="20"/>
                <w:szCs w:val="24"/>
                <w:lang w:eastAsia="en-GB"/>
              </w:rPr>
            </w:pPr>
            <w:r w:rsidRPr="00E83C5E">
              <w:rPr>
                <w:rFonts w:ascii="Garamond" w:hAnsi="Garamond" w:cs="Times New Roman"/>
                <w:sz w:val="20"/>
                <w:szCs w:val="24"/>
                <w:lang w:eastAsia="en-GB"/>
              </w:rPr>
              <w:t>Rezultati</w:t>
            </w:r>
          </w:p>
        </w:tc>
        <w:tc>
          <w:tcPr>
            <w:tcW w:w="2283" w:type="dxa"/>
          </w:tcPr>
          <w:p w14:paraId="574E2C3D" w14:textId="77777777"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Shkalla e pjesëmarrjes së të rinjve në tregun e punës sipas gjinisë</w:t>
            </w:r>
          </w:p>
        </w:tc>
        <w:tc>
          <w:tcPr>
            <w:tcW w:w="2582" w:type="dxa"/>
          </w:tcPr>
          <w:p w14:paraId="574E2C3E" w14:textId="77777777"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 xml:space="preserve">Novacioni, edukimi, autonomia, drejtësia si barazi (equity) </w:t>
            </w:r>
          </w:p>
          <w:p w14:paraId="574E2C3F" w14:textId="77777777"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Mbështetet dhe nxitet novacioni rinor dhe rritja e aftësive dhe profesionalizmit të të rejave dhe të rinjve përmes edukimit cilësor në TIK dhe fusha të tjera të zhvillimit digjital duke rritur dhe përmirësuar kështu mundësitë për të hyrë në tregun e punës.</w:t>
            </w:r>
          </w:p>
        </w:tc>
        <w:tc>
          <w:tcPr>
            <w:tcW w:w="2430" w:type="dxa"/>
          </w:tcPr>
          <w:p w14:paraId="574E2C40" w14:textId="77777777"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Të rinjtë janë të aftësuar, të mirinformuar në lidhje me mundësitë për punësim dhe në gjendje të bëjnë zgjedhje autonome kur i bashkohen popullsisë ekonomikisht aktive.</w:t>
            </w:r>
          </w:p>
        </w:tc>
        <w:tc>
          <w:tcPr>
            <w:tcW w:w="1440" w:type="dxa"/>
          </w:tcPr>
          <w:p w14:paraId="574E2C41" w14:textId="77777777"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MSHRF/ AKPA/ INSTAT/ MFE</w:t>
            </w:r>
          </w:p>
        </w:tc>
      </w:tr>
      <w:tr w:rsidR="002F7250" w:rsidRPr="00E83C5E" w14:paraId="574E2C49" w14:textId="77777777" w:rsidTr="00BC2136">
        <w:trPr>
          <w:trHeight w:val="710"/>
        </w:trPr>
        <w:tc>
          <w:tcPr>
            <w:cnfStyle w:val="001000000000" w:firstRow="0" w:lastRow="0" w:firstColumn="1" w:lastColumn="0" w:oddVBand="0" w:evenVBand="0" w:oddHBand="0" w:evenHBand="0" w:firstRowFirstColumn="0" w:firstRowLastColumn="0" w:lastRowFirstColumn="0" w:lastRowLastColumn="0"/>
            <w:tcW w:w="1160" w:type="dxa"/>
          </w:tcPr>
          <w:p w14:paraId="574E2C43" w14:textId="77777777" w:rsidR="002F7250" w:rsidRPr="00E83C5E" w:rsidRDefault="002F7250" w:rsidP="00D92565">
            <w:pPr>
              <w:jc w:val="both"/>
              <w:rPr>
                <w:rFonts w:ascii="Garamond" w:hAnsi="Garamond" w:cs="Times New Roman"/>
                <w:sz w:val="20"/>
                <w:szCs w:val="24"/>
                <w:lang w:eastAsia="en-GB"/>
              </w:rPr>
            </w:pPr>
            <w:r w:rsidRPr="00E83C5E">
              <w:rPr>
                <w:rFonts w:ascii="Garamond" w:hAnsi="Garamond" w:cs="Times New Roman"/>
                <w:sz w:val="20"/>
                <w:szCs w:val="24"/>
                <w:lang w:eastAsia="en-GB"/>
              </w:rPr>
              <w:t>Rezultati</w:t>
            </w:r>
          </w:p>
        </w:tc>
        <w:tc>
          <w:tcPr>
            <w:tcW w:w="2283" w:type="dxa"/>
          </w:tcPr>
          <w:p w14:paraId="574E2C44" w14:textId="77777777"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 e të rinjve që janë përfshirë në programet e nxitjes së punësimit</w:t>
            </w:r>
          </w:p>
        </w:tc>
        <w:tc>
          <w:tcPr>
            <w:tcW w:w="2582" w:type="dxa"/>
          </w:tcPr>
          <w:p w14:paraId="574E2C45" w14:textId="77777777"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 xml:space="preserve">Novacioni, edukimi, autonomia, drejtësia si barazi (equity) </w:t>
            </w:r>
          </w:p>
          <w:p w14:paraId="574E2C46" w14:textId="77777777"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Mbështetet dhe nxitet novacioni rinor dhe rritja e aftësive dhe profesionalizmit të të rejave dhe të rinjve përmes edukimit cilësor në TIK dhe fusha të tjera të zhvillimit digjital duke rritur dhe përmirësuar kështu mundësitë për të hyrë në tregun e punës.</w:t>
            </w:r>
          </w:p>
        </w:tc>
        <w:tc>
          <w:tcPr>
            <w:tcW w:w="2430" w:type="dxa"/>
          </w:tcPr>
          <w:p w14:paraId="574E2C47" w14:textId="5F1F74D1"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Të rinjtë, në të gjitha kushtet dhe situatat,</w:t>
            </w:r>
            <w:r w:rsidR="00233C37" w:rsidRPr="00E83C5E">
              <w:rPr>
                <w:rFonts w:ascii="Garamond" w:hAnsi="Garamond" w:cs="Times New Roman"/>
                <w:sz w:val="20"/>
                <w:szCs w:val="24"/>
                <w:lang w:eastAsia="en-GB"/>
              </w:rPr>
              <w:t xml:space="preserve"> </w:t>
            </w:r>
            <w:r w:rsidRPr="00E83C5E">
              <w:rPr>
                <w:rFonts w:ascii="Garamond" w:hAnsi="Garamond" w:cs="Times New Roman"/>
                <w:sz w:val="20"/>
                <w:szCs w:val="24"/>
                <w:lang w:eastAsia="en-GB"/>
              </w:rPr>
              <w:t>përfaqësojnë një fokus të veçantë në aftësim, punësim, sipërmarrje dhe politika punësimi që ofrojnë një shumëllojshmëri të modaliteteve specifike rinore për rritjen e mbështetjes për ta në tranzicionin nga sistemi arsimor drejt tregut të punës dhe moshës madhore.</w:t>
            </w:r>
          </w:p>
        </w:tc>
        <w:tc>
          <w:tcPr>
            <w:tcW w:w="1440" w:type="dxa"/>
          </w:tcPr>
          <w:p w14:paraId="574E2C48" w14:textId="77777777"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AKPA/MFE</w:t>
            </w:r>
          </w:p>
        </w:tc>
      </w:tr>
      <w:tr w:rsidR="002F7250" w:rsidRPr="00E83C5E" w14:paraId="574E2C50" w14:textId="77777777" w:rsidTr="00BC2136">
        <w:trPr>
          <w:trHeight w:val="710"/>
        </w:trPr>
        <w:tc>
          <w:tcPr>
            <w:cnfStyle w:val="001000000000" w:firstRow="0" w:lastRow="0" w:firstColumn="1" w:lastColumn="0" w:oddVBand="0" w:evenVBand="0" w:oddHBand="0" w:evenHBand="0" w:firstRowFirstColumn="0" w:firstRowLastColumn="0" w:lastRowFirstColumn="0" w:lastRowLastColumn="0"/>
            <w:tcW w:w="1160" w:type="dxa"/>
          </w:tcPr>
          <w:p w14:paraId="574E2C4A" w14:textId="77777777" w:rsidR="002F7250" w:rsidRPr="00E83C5E" w:rsidRDefault="002F7250" w:rsidP="00D92565">
            <w:pPr>
              <w:jc w:val="both"/>
              <w:rPr>
                <w:rFonts w:ascii="Garamond" w:hAnsi="Garamond" w:cs="Times New Roman"/>
                <w:sz w:val="20"/>
                <w:szCs w:val="24"/>
                <w:lang w:eastAsia="en-GB"/>
              </w:rPr>
            </w:pPr>
            <w:r w:rsidRPr="00E83C5E">
              <w:rPr>
                <w:rFonts w:ascii="Garamond" w:hAnsi="Garamond" w:cs="Times New Roman"/>
                <w:sz w:val="20"/>
                <w:szCs w:val="24"/>
                <w:lang w:eastAsia="en-GB"/>
              </w:rPr>
              <w:t>Rezultati</w:t>
            </w:r>
          </w:p>
        </w:tc>
        <w:tc>
          <w:tcPr>
            <w:tcW w:w="2283" w:type="dxa"/>
          </w:tcPr>
          <w:p w14:paraId="574E2C4B" w14:textId="77777777"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Numri i të rinjve që kanë marrë pjesë në programe shkëmbimi/mobiliteti arsimore</w:t>
            </w:r>
          </w:p>
        </w:tc>
        <w:tc>
          <w:tcPr>
            <w:tcW w:w="2582" w:type="dxa"/>
          </w:tcPr>
          <w:p w14:paraId="574E2C4C" w14:textId="77777777"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 xml:space="preserve">Novacioni, edukimi, autonomia, drejtësia si barazi (equity) </w:t>
            </w:r>
          </w:p>
          <w:p w14:paraId="574E2C4D" w14:textId="77777777"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Mbështetet dhe nxitet novacioni rinor dhe rritja e aftësive dhe profesionalizmit të të rejave dhe të rinjve përmes edukimit cilësor në TIK dhe fusha të tjera të zhvillimit digjital duke rritur dhe përmirësuar kështu mundësitë për të hyrë në tregun e punës.</w:t>
            </w:r>
          </w:p>
        </w:tc>
        <w:tc>
          <w:tcPr>
            <w:tcW w:w="2430" w:type="dxa"/>
          </w:tcPr>
          <w:p w14:paraId="574E2C4E" w14:textId="689BC1FC"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Të rinjtë janë të informuar mirë për mundësitë arsimore të lidhura me tregun e punës dhe</w:t>
            </w:r>
            <w:r w:rsidR="00233C37" w:rsidRPr="00E83C5E">
              <w:rPr>
                <w:rFonts w:ascii="Garamond" w:hAnsi="Garamond" w:cs="Times New Roman"/>
                <w:sz w:val="20"/>
                <w:szCs w:val="24"/>
                <w:lang w:eastAsia="en-GB"/>
              </w:rPr>
              <w:t xml:space="preserve"> </w:t>
            </w:r>
            <w:r w:rsidRPr="00E83C5E">
              <w:rPr>
                <w:rFonts w:ascii="Garamond" w:hAnsi="Garamond" w:cs="Times New Roman"/>
                <w:sz w:val="20"/>
                <w:szCs w:val="24"/>
                <w:lang w:eastAsia="en-GB"/>
              </w:rPr>
              <w:t>ju mundësohet i mësuari cilësor si në arsimin formal ashtu edhe në atë joformal duke kontribuar në zhvillimin e</w:t>
            </w:r>
            <w:r w:rsidR="00233C37" w:rsidRPr="00E83C5E">
              <w:rPr>
                <w:rFonts w:ascii="Garamond" w:hAnsi="Garamond" w:cs="Times New Roman"/>
                <w:sz w:val="20"/>
                <w:szCs w:val="24"/>
                <w:lang w:eastAsia="en-GB"/>
              </w:rPr>
              <w:t xml:space="preserve"> </w:t>
            </w:r>
            <w:r w:rsidRPr="00E83C5E">
              <w:rPr>
                <w:rFonts w:ascii="Garamond" w:hAnsi="Garamond" w:cs="Times New Roman"/>
                <w:sz w:val="20"/>
                <w:szCs w:val="24"/>
                <w:lang w:eastAsia="en-GB"/>
              </w:rPr>
              <w:t>kompetencave, aftësive dhe virtyteve të tyre.</w:t>
            </w:r>
          </w:p>
        </w:tc>
        <w:tc>
          <w:tcPr>
            <w:tcW w:w="1440" w:type="dxa"/>
          </w:tcPr>
          <w:p w14:paraId="574E2C4F" w14:textId="77777777"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MAS, AKKSHI, AKPA</w:t>
            </w:r>
          </w:p>
        </w:tc>
      </w:tr>
      <w:tr w:rsidR="002F7250" w:rsidRPr="00E83C5E" w14:paraId="574E2C57" w14:textId="77777777" w:rsidTr="00BC2136">
        <w:trPr>
          <w:trHeight w:val="710"/>
        </w:trPr>
        <w:tc>
          <w:tcPr>
            <w:cnfStyle w:val="001000000000" w:firstRow="0" w:lastRow="0" w:firstColumn="1" w:lastColumn="0" w:oddVBand="0" w:evenVBand="0" w:oddHBand="0" w:evenHBand="0" w:firstRowFirstColumn="0" w:firstRowLastColumn="0" w:lastRowFirstColumn="0" w:lastRowLastColumn="0"/>
            <w:tcW w:w="1160" w:type="dxa"/>
          </w:tcPr>
          <w:p w14:paraId="574E2C51" w14:textId="77777777" w:rsidR="002F7250" w:rsidRPr="00E83C5E" w:rsidRDefault="002F7250" w:rsidP="00D92565">
            <w:pPr>
              <w:jc w:val="both"/>
              <w:rPr>
                <w:rFonts w:ascii="Garamond" w:hAnsi="Garamond" w:cs="Times New Roman"/>
                <w:sz w:val="20"/>
                <w:szCs w:val="24"/>
                <w:lang w:eastAsia="en-GB"/>
              </w:rPr>
            </w:pPr>
            <w:r w:rsidRPr="00E83C5E">
              <w:rPr>
                <w:rFonts w:ascii="Garamond" w:hAnsi="Garamond" w:cs="Times New Roman"/>
                <w:sz w:val="20"/>
                <w:szCs w:val="24"/>
                <w:lang w:eastAsia="en-GB"/>
              </w:rPr>
              <w:t>Rezultati</w:t>
            </w:r>
          </w:p>
        </w:tc>
        <w:tc>
          <w:tcPr>
            <w:tcW w:w="2283" w:type="dxa"/>
          </w:tcPr>
          <w:p w14:paraId="574E2C52" w14:textId="77777777"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 xml:space="preserve">% e të rinjve që kanë filluar biznesin me mbështetjen financiare të </w:t>
            </w:r>
            <w:r w:rsidRPr="00E83C5E">
              <w:rPr>
                <w:rFonts w:ascii="Garamond" w:hAnsi="Garamond" w:cs="Times New Roman"/>
                <w:sz w:val="20"/>
                <w:szCs w:val="24"/>
                <w:lang w:eastAsia="en-GB"/>
              </w:rPr>
              <w:lastRenderedPageBreak/>
              <w:t>shtetit.</w:t>
            </w:r>
          </w:p>
        </w:tc>
        <w:tc>
          <w:tcPr>
            <w:tcW w:w="2582" w:type="dxa"/>
          </w:tcPr>
          <w:p w14:paraId="574E2C53" w14:textId="77777777"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lastRenderedPageBreak/>
              <w:t xml:space="preserve">Novacioni, edukimi, autonomia, drejtësia si barazi (equity) </w:t>
            </w:r>
          </w:p>
          <w:p w14:paraId="574E2C54" w14:textId="77777777"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lastRenderedPageBreak/>
              <w:t>Mbështetet dhe nxitet novacioni rinor dhe rritja e aftësive dhe profesionalizmit të të rejave dhe të rinjve përmes edukimit cilësor në TIK dhe fusha të tjera të zhvillimit digjital duke rritur dhe përmirësuar kështu mundësitë për të hyrë në tregun e punës.</w:t>
            </w:r>
          </w:p>
        </w:tc>
        <w:tc>
          <w:tcPr>
            <w:tcW w:w="2430" w:type="dxa"/>
          </w:tcPr>
          <w:p w14:paraId="574E2C55" w14:textId="226E2D48"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lastRenderedPageBreak/>
              <w:t>Të rinjtë, në të gjitha kushtet dhe situatat,</w:t>
            </w:r>
            <w:r w:rsidR="00233C37" w:rsidRPr="00E83C5E">
              <w:rPr>
                <w:rFonts w:ascii="Garamond" w:hAnsi="Garamond" w:cs="Times New Roman"/>
                <w:sz w:val="20"/>
                <w:szCs w:val="24"/>
                <w:lang w:eastAsia="en-GB"/>
              </w:rPr>
              <w:t xml:space="preserve"> </w:t>
            </w:r>
            <w:r w:rsidRPr="00E83C5E">
              <w:rPr>
                <w:rFonts w:ascii="Garamond" w:hAnsi="Garamond" w:cs="Times New Roman"/>
                <w:sz w:val="20"/>
                <w:szCs w:val="24"/>
                <w:lang w:eastAsia="en-GB"/>
              </w:rPr>
              <w:t xml:space="preserve">përfaqësojnë një fokus të </w:t>
            </w:r>
            <w:r w:rsidRPr="00E83C5E">
              <w:rPr>
                <w:rFonts w:ascii="Garamond" w:hAnsi="Garamond" w:cs="Times New Roman"/>
                <w:sz w:val="20"/>
                <w:szCs w:val="24"/>
                <w:lang w:eastAsia="en-GB"/>
              </w:rPr>
              <w:lastRenderedPageBreak/>
              <w:t>veçantë në aftësim, punësim, sipërmarrje dhe politika punësimi që ofrojnë një shumëllojshmëri të modaliteteve specifike rinore për rritjen e mbështetjes për ta në tranzicionin nga sistemi arsimor drejt tregut të punës dhe moshës madhore.</w:t>
            </w:r>
          </w:p>
        </w:tc>
        <w:tc>
          <w:tcPr>
            <w:tcW w:w="1440" w:type="dxa"/>
          </w:tcPr>
          <w:p w14:paraId="574E2C56" w14:textId="77777777" w:rsidR="002F7250" w:rsidRPr="00E83C5E" w:rsidRDefault="002F7250" w:rsidP="00D92565">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lastRenderedPageBreak/>
              <w:t>MSHRF/ MFE</w:t>
            </w:r>
          </w:p>
        </w:tc>
      </w:tr>
    </w:tbl>
    <w:p w14:paraId="574E2C59" w14:textId="7248A03A" w:rsidR="002F7250" w:rsidRPr="00E83C5E" w:rsidRDefault="002F7250" w:rsidP="00D92565">
      <w:pPr>
        <w:pStyle w:val="TEKSTIII"/>
        <w:rPr>
          <w:b/>
        </w:rPr>
      </w:pPr>
      <w:r w:rsidRPr="00E83C5E">
        <w:rPr>
          <w:b/>
        </w:rPr>
        <w:lastRenderedPageBreak/>
        <w:t xml:space="preserve">Objektivi </w:t>
      </w:r>
      <w:r w:rsidR="00875380" w:rsidRPr="00E83C5E">
        <w:rPr>
          <w:b/>
        </w:rPr>
        <w:t>s</w:t>
      </w:r>
      <w:r w:rsidRPr="00E83C5E">
        <w:rPr>
          <w:b/>
        </w:rPr>
        <w:t xml:space="preserve">pecifik 2.1: </w:t>
      </w:r>
    </w:p>
    <w:bookmarkEnd w:id="4"/>
    <w:p w14:paraId="574E2C5A" w14:textId="77777777" w:rsidR="002F7250" w:rsidRPr="00E83C5E" w:rsidRDefault="002F7250" w:rsidP="00D92565">
      <w:pPr>
        <w:pStyle w:val="TEKSTIII"/>
        <w:rPr>
          <w:rFonts w:eastAsia="Arial"/>
          <w:b/>
        </w:rPr>
      </w:pPr>
      <w:r w:rsidRPr="00E83C5E">
        <w:rPr>
          <w:rFonts w:eastAsia="Arial"/>
          <w:b/>
        </w:rPr>
        <w:t>Të rinjtë janë të aftësuar, të mirëinformuar në lidhje me mundësitë për punësim dhe në gjendje të bëjnë zgjedhje autonome kur i bashkohen popullsisë ekonomisht aktive.</w:t>
      </w:r>
    </w:p>
    <w:p w14:paraId="5F8BF5FB" w14:textId="7540CFC7" w:rsidR="000B40DF" w:rsidRPr="00E83C5E" w:rsidRDefault="002F7250" w:rsidP="000B40DF">
      <w:pPr>
        <w:pStyle w:val="TEKSTIII"/>
        <w:rPr>
          <w:b/>
          <w:color w:val="000000" w:themeColor="text1"/>
        </w:rPr>
      </w:pPr>
      <w:r w:rsidRPr="00E83C5E">
        <w:rPr>
          <w:b/>
          <w:color w:val="000000" w:themeColor="text1"/>
        </w:rPr>
        <w:t xml:space="preserve">Analiza e </w:t>
      </w:r>
      <w:r w:rsidR="0002048B" w:rsidRPr="00E83C5E">
        <w:rPr>
          <w:b/>
          <w:color w:val="000000" w:themeColor="text1"/>
        </w:rPr>
        <w:t>situatës dhe sfidat</w:t>
      </w:r>
    </w:p>
    <w:p w14:paraId="574E2C5C" w14:textId="58D6387A" w:rsidR="002F7250" w:rsidRPr="00E83C5E" w:rsidRDefault="002F7250" w:rsidP="000B40DF">
      <w:pPr>
        <w:pStyle w:val="TEKSTIII"/>
        <w:rPr>
          <w:rFonts w:cs="Times New Roman"/>
          <w:color w:val="000000"/>
        </w:rPr>
      </w:pPr>
      <w:r w:rsidRPr="00E83C5E">
        <w:rPr>
          <w:rFonts w:cs="Times New Roman"/>
        </w:rPr>
        <w:t>SIPS PKIE 2022–24 (f. 74) sh</w:t>
      </w:r>
      <w:r w:rsidRPr="00E83C5E">
        <w:rPr>
          <w:rFonts w:cs="Times New Roman"/>
          <w:color w:val="000000"/>
        </w:rPr>
        <w:t>kalla e pjesëmarrjes në forcat e punës për të rinjtë e moshës 15</w:t>
      </w:r>
      <w:r w:rsidR="000B40DF" w:rsidRPr="00E83C5E">
        <w:rPr>
          <w:rFonts w:cs="Times New Roman"/>
          <w:color w:val="000000"/>
        </w:rPr>
        <w:t>–29 vjeç, është në nivelet 53–</w:t>
      </w:r>
      <w:r w:rsidRPr="00E83C5E">
        <w:rPr>
          <w:rFonts w:cs="Times New Roman"/>
          <w:color w:val="000000"/>
        </w:rPr>
        <w:t>54%</w:t>
      </w:r>
      <w:r w:rsidR="0002048B" w:rsidRPr="00E83C5E">
        <w:rPr>
          <w:rFonts w:cs="Times New Roman"/>
          <w:color w:val="000000"/>
        </w:rPr>
        <w:t>,</w:t>
      </w:r>
      <w:r w:rsidRPr="00E83C5E">
        <w:rPr>
          <w:rFonts w:cs="Times New Roman"/>
          <w:color w:val="000000"/>
        </w:rPr>
        <w:t xml:space="preserve"> duke pësuar rritje të lehta nga viti në vit. Edhe shkalla e papunësisë së të rinjve rrotullohet mes shifrave 20%</w:t>
      </w:r>
      <w:r w:rsidR="000B40DF" w:rsidRPr="00E83C5E">
        <w:rPr>
          <w:rFonts w:cs="Times New Roman"/>
          <w:color w:val="000000"/>
        </w:rPr>
        <w:t>–</w:t>
      </w:r>
      <w:r w:rsidRPr="00E83C5E">
        <w:rPr>
          <w:rFonts w:cs="Times New Roman"/>
          <w:color w:val="000000"/>
        </w:rPr>
        <w:t xml:space="preserve">21% dhe me ulje të lehta krahasuar në vitet e mëparshme. Shkak për këto ndryshime janë edhe politikat e ndërmarra për nxitjen e punësimit dhe </w:t>
      </w:r>
      <w:r w:rsidR="00875380" w:rsidRPr="00E83C5E">
        <w:rPr>
          <w:rFonts w:cs="Times New Roman"/>
          <w:color w:val="000000"/>
        </w:rPr>
        <w:t xml:space="preserve">zhvillimi </w:t>
      </w:r>
      <w:r w:rsidRPr="00E83C5E">
        <w:rPr>
          <w:rFonts w:cs="Times New Roman"/>
          <w:color w:val="000000"/>
        </w:rPr>
        <w:t>i programeve që fokusohen te punësimi i të rinjve duke përfshirë elemente</w:t>
      </w:r>
      <w:r w:rsidR="00875380" w:rsidRPr="00E83C5E">
        <w:rPr>
          <w:rFonts w:cs="Times New Roman"/>
          <w:color w:val="000000"/>
        </w:rPr>
        <w:t>,</w:t>
      </w:r>
      <w:r w:rsidRPr="00E83C5E">
        <w:rPr>
          <w:rFonts w:cs="Times New Roman"/>
          <w:color w:val="000000"/>
        </w:rPr>
        <w:t xml:space="preserve"> si:</w:t>
      </w:r>
    </w:p>
    <w:p w14:paraId="574E2C5D" w14:textId="2831FF53" w:rsidR="002F7250" w:rsidRPr="00E83C5E" w:rsidRDefault="00D92565" w:rsidP="00D92565">
      <w:pPr>
        <w:pStyle w:val="TEKSTIII"/>
      </w:pPr>
      <w:r w:rsidRPr="00E83C5E">
        <w:t>-</w:t>
      </w:r>
      <w:r w:rsidR="00B229EC" w:rsidRPr="00E83C5E">
        <w:t xml:space="preserve"> </w:t>
      </w:r>
      <w:r w:rsidR="00875380" w:rsidRPr="00E83C5E">
        <w:t xml:space="preserve">punësim </w:t>
      </w:r>
      <w:r w:rsidR="002F7250" w:rsidRPr="00E83C5E">
        <w:t>i subvencionuar për të rinjtë, gratë me fëmijë n</w:t>
      </w:r>
      <w:r w:rsidR="00960B5E" w:rsidRPr="00E83C5E">
        <w:t>ë</w:t>
      </w:r>
      <w:r w:rsidR="002F7250" w:rsidRPr="00E83C5E">
        <w:t xml:space="preserve"> ngarkim, të rinjtë e pakicave, ata me aftësi të kufizuara</w:t>
      </w:r>
      <w:r w:rsidR="00BF003C">
        <w:t>,</w:t>
      </w:r>
      <w:bookmarkStart w:id="5" w:name="_GoBack"/>
      <w:bookmarkEnd w:id="5"/>
      <w:r w:rsidR="002F7250" w:rsidRPr="00E83C5E">
        <w:t xml:space="preserve"> si edhe ata që kthehen nga migrimi; </w:t>
      </w:r>
    </w:p>
    <w:p w14:paraId="574E2C5E" w14:textId="03ED3859" w:rsidR="002F7250" w:rsidRPr="00E83C5E" w:rsidRDefault="00D92565" w:rsidP="00D92565">
      <w:pPr>
        <w:pStyle w:val="TEKSTIII"/>
      </w:pPr>
      <w:r w:rsidRPr="00E83C5E">
        <w:t>-</w:t>
      </w:r>
      <w:r w:rsidR="00B229EC" w:rsidRPr="00E83C5E">
        <w:t xml:space="preserve"> </w:t>
      </w:r>
      <w:r w:rsidR="00875380" w:rsidRPr="00E83C5E">
        <w:t xml:space="preserve">trajnimi </w:t>
      </w:r>
      <w:r w:rsidR="002F7250" w:rsidRPr="00E83C5E">
        <w:t xml:space="preserve">nëpërmjet punës; </w:t>
      </w:r>
    </w:p>
    <w:p w14:paraId="574E2C5F" w14:textId="0B4E6BE3" w:rsidR="002F7250" w:rsidRPr="00E83C5E" w:rsidRDefault="00D92565" w:rsidP="00D92565">
      <w:pPr>
        <w:pStyle w:val="TEKSTIII"/>
      </w:pPr>
      <w:r w:rsidRPr="00E83C5E">
        <w:t>-</w:t>
      </w:r>
      <w:r w:rsidR="00B229EC" w:rsidRPr="00E83C5E">
        <w:t xml:space="preserve"> </w:t>
      </w:r>
      <w:r w:rsidR="00875380" w:rsidRPr="00E83C5E">
        <w:t xml:space="preserve">praktika </w:t>
      </w:r>
      <w:r w:rsidR="002F7250" w:rsidRPr="00E83C5E">
        <w:t xml:space="preserve">profesionale; </w:t>
      </w:r>
    </w:p>
    <w:p w14:paraId="574E2C60" w14:textId="4ED5D35A" w:rsidR="002F7250" w:rsidRPr="00E83C5E" w:rsidRDefault="00D92565" w:rsidP="00D92565">
      <w:pPr>
        <w:pStyle w:val="TEKSTIII"/>
      </w:pPr>
      <w:r w:rsidRPr="00E83C5E">
        <w:t>-</w:t>
      </w:r>
      <w:r w:rsidR="00B229EC" w:rsidRPr="00E83C5E">
        <w:t xml:space="preserve"> </w:t>
      </w:r>
      <w:r w:rsidR="00875380" w:rsidRPr="00E83C5E">
        <w:t xml:space="preserve">puna </w:t>
      </w:r>
      <w:r w:rsidR="002F7250" w:rsidRPr="00E83C5E">
        <w:t>publike në komunitet</w:t>
      </w:r>
      <w:r w:rsidR="00875380" w:rsidRPr="00E83C5E">
        <w:t>;</w:t>
      </w:r>
      <w:r w:rsidR="002F7250" w:rsidRPr="00E83C5E">
        <w:t xml:space="preserve"> </w:t>
      </w:r>
    </w:p>
    <w:p w14:paraId="574E2C61" w14:textId="2CDA178A" w:rsidR="002F7250" w:rsidRPr="00E83C5E" w:rsidRDefault="00D92565" w:rsidP="00D92565">
      <w:pPr>
        <w:pStyle w:val="TEKSTIII"/>
      </w:pPr>
      <w:r w:rsidRPr="00E83C5E">
        <w:t>-</w:t>
      </w:r>
      <w:r w:rsidR="00B229EC" w:rsidRPr="00E83C5E">
        <w:t xml:space="preserve"> </w:t>
      </w:r>
      <w:r w:rsidR="00875380" w:rsidRPr="00E83C5E">
        <w:t>vetëpunësimi</w:t>
      </w:r>
      <w:r w:rsidR="002F7250" w:rsidRPr="00E83C5E">
        <w:t xml:space="preserve">. </w:t>
      </w:r>
    </w:p>
    <w:p w14:paraId="574E2C62" w14:textId="7FB08B93" w:rsidR="002F7250" w:rsidRPr="00E83C5E" w:rsidRDefault="002F7250" w:rsidP="00D92565">
      <w:pPr>
        <w:pStyle w:val="TEKSTIII"/>
      </w:pPr>
      <w:r w:rsidRPr="00E83C5E">
        <w:t>Dinamika e tregut të punës po përmirësohet vazhdimisht duke reflektuar efektivitetin e politikave të ndërmarra nga qeveria që shkon në favor të zhvillimit të qëndrueshëm ekonomik dhe nxitjes së punësimit. Në kuadër të analizave dhe studimeve të bëra për këtë strategji, u vu re që nuk ka rritje të papunësisë mes të rinjve dhe shifrat e papunësisë janë stabilizuar. Nga ana tjetër mesatarja vjetore e të rinjve që janë larguar nga vendi për periudhën 2016</w:t>
      </w:r>
      <w:r w:rsidR="00D909BE" w:rsidRPr="00E83C5E">
        <w:rPr>
          <w:rFonts w:cs="Times New Roman"/>
          <w:color w:val="000000"/>
        </w:rPr>
        <w:t>–</w:t>
      </w:r>
      <w:r w:rsidRPr="00E83C5E">
        <w:t>2021 është 36,813 sipas INSTAT</w:t>
      </w:r>
      <w:r w:rsidR="00BC2C86" w:rsidRPr="00E83C5E">
        <w:t>-it</w:t>
      </w:r>
      <w:r w:rsidRPr="00E83C5E">
        <w:rPr>
          <w:rStyle w:val="FootnoteReference"/>
          <w:rFonts w:cs="Times New Roman"/>
        </w:rPr>
        <w:footnoteReference w:id="22"/>
      </w:r>
      <w:r w:rsidRPr="00E83C5E">
        <w:t>. Ekziston rreziku i largimit të të rinjve nga Shqipëria për shkak të liberalizimit të politikave të punësimit në Evropë dhe plakjes së popullsisë evropi</w:t>
      </w:r>
      <w:r w:rsidR="0002048B" w:rsidRPr="00E83C5E">
        <w:t>a</w:t>
      </w:r>
      <w:r w:rsidRPr="00E83C5E">
        <w:t>ne, për rrjedhojë kërkohen politika shumë më aktive për nxitjen e punësimit mes të rinjve dhe zhvillimin e një kulture të bërjes së të ardhmes brenda vendit.</w:t>
      </w:r>
    </w:p>
    <w:p w14:paraId="574E2C63" w14:textId="77777777" w:rsidR="002F7250" w:rsidRPr="00E83C5E" w:rsidRDefault="002F7250" w:rsidP="002F7250">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Zhvillimet e fundit që ka ndërmarrë qeveria në lidhje me nxitjen e inovacionit përmes </w:t>
      </w:r>
      <w:r w:rsidRPr="00E83C5E">
        <w:rPr>
          <w:rFonts w:ascii="Garamond" w:hAnsi="Garamond" w:cs="Times New Roman"/>
          <w:i/>
          <w:sz w:val="24"/>
          <w:szCs w:val="24"/>
        </w:rPr>
        <w:t>startup</w:t>
      </w:r>
      <w:r w:rsidRPr="00E83C5E">
        <w:rPr>
          <w:rFonts w:ascii="Garamond" w:hAnsi="Garamond" w:cs="Times New Roman"/>
          <w:sz w:val="24"/>
          <w:szCs w:val="24"/>
        </w:rPr>
        <w:t xml:space="preserve">-eve, digjitalizimit të shërbimeve dhe zhvillimin e lëndëve të kodimit tregojnë për seriozitetin e masave për t’u përballuar me këto fenomene dhe rëndësinë që i kushtohet punësimit të të rejave dhe të rinjve. Ky proces duhet të shkojë krah për krah me një proces reformimi të shërbimit të këshillimit për karrierë që i ofrohet ose nuk i ofrohet të rinjve në shkolla apo institucionet e formimit profesional. Mungon edhe veprimi në nivel vendor për të nxitur dhe zhvilluar punësimin rinor. </w:t>
      </w:r>
    </w:p>
    <w:p w14:paraId="574E2C64" w14:textId="39977271" w:rsidR="002F7250" w:rsidRPr="00E83C5E" w:rsidRDefault="002F7250" w:rsidP="002F7250">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Bazuar në mendimet dhe idetë e të rinjve këto shërbime jo vetëm duhen modernizuar dhe digjitalizuar</w:t>
      </w:r>
      <w:r w:rsidR="000E6125">
        <w:rPr>
          <w:rFonts w:ascii="Garamond" w:hAnsi="Garamond" w:cs="Times New Roman"/>
          <w:sz w:val="24"/>
          <w:szCs w:val="24"/>
        </w:rPr>
        <w:t>,</w:t>
      </w:r>
      <w:r w:rsidRPr="00E83C5E">
        <w:rPr>
          <w:rFonts w:ascii="Garamond" w:hAnsi="Garamond" w:cs="Times New Roman"/>
          <w:sz w:val="24"/>
          <w:szCs w:val="24"/>
        </w:rPr>
        <w:t xml:space="preserve"> por në të njëjtën kohë duhet të përshtaten me kërkesat e të rinjve, t’i kuptojnë më mirë ata dhe nevojat e tyre, dhe t’i paraprijnë zhvillimeve të tregut të punës. Këto përmirësime së bashku me mbështetjen që kërkojnë të rinjtë për të rritur shkallën e tyre të lëvizshmërisë brenda vendit dhe në rajon do të sillnin ndryshime në mënyrën se si të rejat dhe të rinjtë marrin vendimet e tyre për të ardhmen dhe bërjen e vetes aktiv në tregun e punës.</w:t>
      </w:r>
    </w:p>
    <w:p w14:paraId="574E2C65" w14:textId="77777777" w:rsidR="002F7250" w:rsidRPr="00E83C5E" w:rsidRDefault="002F7250" w:rsidP="002F7250">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SFIDA</w:t>
      </w:r>
    </w:p>
    <w:p w14:paraId="574E2C66" w14:textId="3FEA21A8" w:rsidR="002F7250" w:rsidRPr="00E83C5E" w:rsidRDefault="00B229EC" w:rsidP="00FB3187">
      <w:pPr>
        <w:pStyle w:val="TEKSTIII"/>
      </w:pPr>
      <w:r w:rsidRPr="00E83C5E">
        <w:lastRenderedPageBreak/>
        <w:t>-</w:t>
      </w:r>
      <w:r w:rsidR="00FB3187" w:rsidRPr="00E83C5E">
        <w:t xml:space="preserve"> </w:t>
      </w:r>
      <w:r w:rsidR="002F7250" w:rsidRPr="00E83C5E">
        <w:t xml:space="preserve">Forcimin e mëtejshëm të mekanizmave për kërkimin dhe aksesin në punë, investimin në shërbime profesionale dhe zhvillimi i aftësive punëkërkuese brenda një mjedisi lejues dhe mundësues për zhvillimin e vetëpunësimit dhe të aftësive sipërmarrëse. </w:t>
      </w:r>
    </w:p>
    <w:p w14:paraId="574E2C67" w14:textId="7BF10280" w:rsidR="002F7250" w:rsidRPr="00E83C5E" w:rsidRDefault="00B229EC" w:rsidP="00FB3187">
      <w:pPr>
        <w:pStyle w:val="TEKSTIII"/>
      </w:pPr>
      <w:r w:rsidRPr="00E83C5E">
        <w:t>-</w:t>
      </w:r>
      <w:r w:rsidR="00FB3187" w:rsidRPr="00E83C5E">
        <w:t xml:space="preserve"> </w:t>
      </w:r>
      <w:r w:rsidR="002F7250" w:rsidRPr="00E83C5E">
        <w:t xml:space="preserve">Lehtësim të aksesit në kredi dhe mbështetje të shtuar qeveritare për krijimin e fondeve për </w:t>
      </w:r>
      <w:r w:rsidR="00081887" w:rsidRPr="00E83C5E">
        <w:rPr>
          <w:i/>
        </w:rPr>
        <w:t>start-up</w:t>
      </w:r>
      <w:r w:rsidR="002F7250" w:rsidRPr="00E83C5E">
        <w:t xml:space="preserve"> duke i kushtuar shumë rëndësi edhe promovimit të këtyre skemave në çdo bashki si për popullatën rinore të bashkisë por edhe për ata që kthehen nga migrimi. </w:t>
      </w:r>
    </w:p>
    <w:p w14:paraId="574E2C68" w14:textId="221121CD" w:rsidR="002F7250" w:rsidRPr="00E83C5E" w:rsidRDefault="00B229EC" w:rsidP="00FB3187">
      <w:pPr>
        <w:pStyle w:val="TEKSTIII"/>
      </w:pPr>
      <w:r w:rsidRPr="00E83C5E">
        <w:t>-</w:t>
      </w:r>
      <w:r w:rsidR="00FB3187" w:rsidRPr="00E83C5E">
        <w:t xml:space="preserve"> </w:t>
      </w:r>
      <w:r w:rsidR="002F7250" w:rsidRPr="00E83C5E">
        <w:t xml:space="preserve">Punë të zgjeruar për përhapjen e ndërmarrjeve sociale bazuar edhe në </w:t>
      </w:r>
      <w:r w:rsidR="006A76BE" w:rsidRPr="00E83C5E">
        <w:t>udhëzuesit</w:t>
      </w:r>
      <w:r w:rsidR="002F7250" w:rsidRPr="00E83C5E">
        <w:t xml:space="preserve"> e hartuar në lidhje me këtë formë të biznesit social. </w:t>
      </w:r>
    </w:p>
    <w:p w14:paraId="574E2C69" w14:textId="62C7AD15" w:rsidR="002F7250" w:rsidRPr="00E83C5E" w:rsidRDefault="00B229EC" w:rsidP="00FB3187">
      <w:pPr>
        <w:pStyle w:val="TEKSTIII"/>
      </w:pPr>
      <w:r w:rsidRPr="00E83C5E">
        <w:t>-</w:t>
      </w:r>
      <w:r w:rsidR="00FB3187" w:rsidRPr="00E83C5E">
        <w:t xml:space="preserve"> </w:t>
      </w:r>
      <w:r w:rsidR="002F7250" w:rsidRPr="00E83C5E">
        <w:t>Krijimin e</w:t>
      </w:r>
      <w:r w:rsidR="00233C37" w:rsidRPr="00E83C5E">
        <w:t xml:space="preserve"> </w:t>
      </w:r>
      <w:r w:rsidR="002F7250" w:rsidRPr="00E83C5E">
        <w:t xml:space="preserve">kushteve mbështetëse për gratë e reja me qëllim shpërndarjen më të drejtë të punëve në aspektin gjinor vazhdon të mbetet sfidë veçanërisht në tregun e punës. </w:t>
      </w:r>
    </w:p>
    <w:p w14:paraId="574E2C6A" w14:textId="6F0BC710" w:rsidR="002F7250" w:rsidRPr="00E83C5E" w:rsidRDefault="00B229EC" w:rsidP="00FB3187">
      <w:pPr>
        <w:pStyle w:val="TEKSTIII"/>
      </w:pPr>
      <w:r w:rsidRPr="00E83C5E">
        <w:t>-</w:t>
      </w:r>
      <w:r w:rsidR="00FB3187" w:rsidRPr="00E83C5E">
        <w:t xml:space="preserve"> </w:t>
      </w:r>
      <w:r w:rsidR="002F7250" w:rsidRPr="00E83C5E">
        <w:t xml:space="preserve">Gjurmimin e nxënësve dhe studentëve pasi përfundojnë studimet duhet të realizohet për të kuptuar lidhjet me tregun e punës, evidentuar APAA dhe për të kuptuar diferencën mes regjistrimeve dhe diplomimeve në arsim të lartë. </w:t>
      </w:r>
    </w:p>
    <w:p w14:paraId="574E2C6B" w14:textId="436B5CF0" w:rsidR="002F7250" w:rsidRPr="00E83C5E" w:rsidRDefault="00B229EC" w:rsidP="00FB3187">
      <w:pPr>
        <w:pStyle w:val="TEKSTIII"/>
      </w:pPr>
      <w:r w:rsidRPr="00E83C5E">
        <w:t>-</w:t>
      </w:r>
      <w:r w:rsidR="00FB3187" w:rsidRPr="00E83C5E">
        <w:t xml:space="preserve"> </w:t>
      </w:r>
      <w:r w:rsidR="002F7250" w:rsidRPr="00E83C5E">
        <w:t>Krijimin e alternativave të trajnimit dhe arsimit profesional si një mundësi alternative për arsimin dhe riaftësim.</w:t>
      </w:r>
    </w:p>
    <w:p w14:paraId="574E2C6C" w14:textId="31850D9A" w:rsidR="002F7250" w:rsidRPr="00E83C5E" w:rsidRDefault="002F7250" w:rsidP="002F7250">
      <w:pPr>
        <w:spacing w:after="0" w:line="240" w:lineRule="auto"/>
        <w:ind w:firstLine="284"/>
        <w:jc w:val="both"/>
        <w:rPr>
          <w:rFonts w:ascii="Garamond" w:eastAsia="Times New Roman" w:hAnsi="Garamond" w:cs="Times New Roman"/>
          <w:b/>
          <w:sz w:val="24"/>
          <w:szCs w:val="24"/>
        </w:rPr>
      </w:pPr>
      <w:r w:rsidRPr="00E83C5E">
        <w:rPr>
          <w:rFonts w:ascii="Garamond" w:eastAsia="Times New Roman" w:hAnsi="Garamond" w:cs="Times New Roman"/>
          <w:b/>
          <w:sz w:val="24"/>
          <w:szCs w:val="24"/>
        </w:rPr>
        <w:t xml:space="preserve">Institucionet </w:t>
      </w:r>
      <w:r w:rsidR="003A280A" w:rsidRPr="00E83C5E">
        <w:rPr>
          <w:rFonts w:ascii="Garamond" w:eastAsia="Times New Roman" w:hAnsi="Garamond" w:cs="Times New Roman"/>
          <w:b/>
          <w:sz w:val="24"/>
          <w:szCs w:val="24"/>
        </w:rPr>
        <w:t>d</w:t>
      </w:r>
      <w:r w:rsidRPr="00E83C5E">
        <w:rPr>
          <w:rFonts w:ascii="Garamond" w:eastAsia="Times New Roman" w:hAnsi="Garamond" w:cs="Times New Roman"/>
          <w:b/>
          <w:sz w:val="24"/>
          <w:szCs w:val="24"/>
        </w:rPr>
        <w:t>rejtuese:</w:t>
      </w:r>
    </w:p>
    <w:p w14:paraId="574E2C6D" w14:textId="77777777" w:rsidR="002F7250" w:rsidRPr="00E83C5E" w:rsidRDefault="002F7250" w:rsidP="002F7250">
      <w:pPr>
        <w:spacing w:after="0" w:line="240" w:lineRule="auto"/>
        <w:ind w:firstLine="284"/>
        <w:jc w:val="both"/>
        <w:rPr>
          <w:rFonts w:ascii="Garamond" w:eastAsia="Times New Roman" w:hAnsi="Garamond" w:cs="Times New Roman"/>
          <w:sz w:val="24"/>
          <w:szCs w:val="24"/>
        </w:rPr>
      </w:pPr>
      <w:r w:rsidRPr="00E83C5E">
        <w:rPr>
          <w:rFonts w:ascii="Garamond" w:eastAsia="Times New Roman" w:hAnsi="Garamond" w:cs="Times New Roman"/>
          <w:sz w:val="24"/>
          <w:szCs w:val="24"/>
        </w:rPr>
        <w:t>MSHRF, MFE, AKPA, AKR</w:t>
      </w:r>
    </w:p>
    <w:p w14:paraId="574E2C6E" w14:textId="1B5E19E6" w:rsidR="002F7250" w:rsidRPr="00E83C5E" w:rsidRDefault="002F7250" w:rsidP="002F7250">
      <w:pPr>
        <w:shd w:val="clear" w:color="auto" w:fill="FFFFFF"/>
        <w:spacing w:after="0" w:line="240" w:lineRule="auto"/>
        <w:ind w:firstLine="284"/>
        <w:jc w:val="both"/>
        <w:rPr>
          <w:rFonts w:ascii="Garamond" w:eastAsia="Times New Roman" w:hAnsi="Garamond" w:cs="Times New Roman"/>
          <w:b/>
          <w:sz w:val="24"/>
          <w:szCs w:val="24"/>
        </w:rPr>
      </w:pPr>
      <w:r w:rsidRPr="00E83C5E">
        <w:rPr>
          <w:rFonts w:ascii="Garamond" w:eastAsia="Times New Roman" w:hAnsi="Garamond" w:cs="Times New Roman"/>
          <w:b/>
          <w:sz w:val="24"/>
          <w:szCs w:val="24"/>
        </w:rPr>
        <w:t>I</w:t>
      </w:r>
      <w:r w:rsidR="00025BB7">
        <w:rPr>
          <w:rFonts w:ascii="Garamond" w:eastAsia="Times New Roman" w:hAnsi="Garamond" w:cs="Times New Roman"/>
          <w:b/>
          <w:sz w:val="24"/>
          <w:szCs w:val="24"/>
        </w:rPr>
        <w:t>nstitucionet pjesëmarrëse:</w:t>
      </w:r>
    </w:p>
    <w:p w14:paraId="574E2C6F" w14:textId="77777777" w:rsidR="002F7250" w:rsidRPr="00E83C5E" w:rsidRDefault="002F7250" w:rsidP="002F7250">
      <w:pPr>
        <w:shd w:val="clear" w:color="auto" w:fill="FFFFFF"/>
        <w:spacing w:after="0" w:line="240" w:lineRule="auto"/>
        <w:ind w:firstLine="284"/>
        <w:jc w:val="both"/>
        <w:rPr>
          <w:rFonts w:ascii="Garamond" w:eastAsia="Times New Roman" w:hAnsi="Garamond" w:cs="Times New Roman"/>
          <w:sz w:val="24"/>
          <w:szCs w:val="24"/>
        </w:rPr>
      </w:pPr>
      <w:r w:rsidRPr="00E83C5E">
        <w:rPr>
          <w:rFonts w:ascii="Garamond" w:eastAsia="Times New Roman" w:hAnsi="Garamond" w:cs="Times New Roman"/>
          <w:sz w:val="24"/>
          <w:szCs w:val="24"/>
        </w:rPr>
        <w:t>MAS, MiSHMS</w:t>
      </w:r>
    </w:p>
    <w:p w14:paraId="574E2C70" w14:textId="62A19EF6" w:rsidR="002F7250" w:rsidRPr="00E83C5E" w:rsidRDefault="002F7250" w:rsidP="002F7250">
      <w:pPr>
        <w:shd w:val="clear" w:color="auto" w:fill="FFFFFF" w:themeFill="background1"/>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Masat dhe buxhetet e ndërlidhura për të arritur objektivat e specifikuar janë përshkruar në planin e veprimit të ngarkuara në IPSIS.</w:t>
      </w:r>
    </w:p>
    <w:p w14:paraId="574E2C71" w14:textId="77777777" w:rsidR="002F7250" w:rsidRPr="00E83C5E" w:rsidRDefault="002F7250" w:rsidP="00FB3187">
      <w:pPr>
        <w:pStyle w:val="TEKSTIII"/>
        <w:rPr>
          <w:b/>
        </w:rPr>
      </w:pPr>
      <w:r w:rsidRPr="00E83C5E">
        <w:rPr>
          <w:b/>
        </w:rPr>
        <w:t xml:space="preserve">Lidhja e objektivit specifik me Marrëveshjen e Stabilizim-Asociimit. </w:t>
      </w:r>
    </w:p>
    <w:p w14:paraId="574E2C72" w14:textId="79C697C1" w:rsidR="002F7250" w:rsidRPr="00E83C5E" w:rsidRDefault="002F7250" w:rsidP="002F7250">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Objektivi </w:t>
      </w:r>
      <w:r w:rsidR="006A76BE" w:rsidRPr="00E83C5E">
        <w:rPr>
          <w:rFonts w:ascii="Garamond" w:hAnsi="Garamond" w:cs="Times New Roman"/>
          <w:sz w:val="24"/>
          <w:szCs w:val="24"/>
        </w:rPr>
        <w:t>s</w:t>
      </w:r>
      <w:r w:rsidRPr="00E83C5E">
        <w:rPr>
          <w:rFonts w:ascii="Garamond" w:hAnsi="Garamond" w:cs="Times New Roman"/>
          <w:sz w:val="24"/>
          <w:szCs w:val="24"/>
        </w:rPr>
        <w:t>pecifik 2.1 synon nxitjen dhe rritjen e punësimit për të rinjtë</w:t>
      </w:r>
      <w:r w:rsidR="006A76BE" w:rsidRPr="00E83C5E">
        <w:rPr>
          <w:rFonts w:ascii="Garamond" w:hAnsi="Garamond" w:cs="Times New Roman"/>
          <w:sz w:val="24"/>
          <w:szCs w:val="24"/>
        </w:rPr>
        <w:t>,</w:t>
      </w:r>
      <w:r w:rsidRPr="00E83C5E">
        <w:rPr>
          <w:rFonts w:ascii="Garamond" w:hAnsi="Garamond" w:cs="Times New Roman"/>
          <w:sz w:val="24"/>
          <w:szCs w:val="24"/>
        </w:rPr>
        <w:t xml:space="preserve"> si edhe zhvillimin dhe përmirësimin e programeve që kanë të bëjnë me këshillimin për karrierë. Për pasojë ky objektiv lidhet ngushtë me OZHQ-të 8 (punësimi dinjitoze) dhe OZHQ 4 (arsimi cilësor). </w:t>
      </w:r>
    </w:p>
    <w:p w14:paraId="574E2C73" w14:textId="3812F70A" w:rsidR="002F7250" w:rsidRPr="00E83C5E" w:rsidRDefault="002F7250" w:rsidP="002F7250">
      <w:pPr>
        <w:spacing w:after="0" w:line="240" w:lineRule="auto"/>
        <w:ind w:firstLine="284"/>
        <w:jc w:val="both"/>
        <w:rPr>
          <w:rFonts w:ascii="Garamond" w:hAnsi="Garamond" w:cs="Times New Roman"/>
          <w:sz w:val="24"/>
          <w:szCs w:val="24"/>
        </w:rPr>
      </w:pPr>
      <w:r w:rsidRPr="00E83C5E">
        <w:rPr>
          <w:rFonts w:ascii="Garamond" w:hAnsi="Garamond" w:cs="Times New Roman"/>
          <w:color w:val="000000" w:themeColor="text1"/>
          <w:sz w:val="24"/>
          <w:szCs w:val="24"/>
        </w:rPr>
        <w:t>Objektivi l</w:t>
      </w:r>
      <w:r w:rsidRPr="00E83C5E">
        <w:rPr>
          <w:rFonts w:ascii="Garamond" w:eastAsiaTheme="majorEastAsia" w:hAnsi="Garamond" w:cs="Times New Roman"/>
          <w:color w:val="000000" w:themeColor="text1"/>
          <w:sz w:val="24"/>
          <w:szCs w:val="24"/>
        </w:rPr>
        <w:t xml:space="preserve">idhet me </w:t>
      </w:r>
      <w:r w:rsidR="0088732E" w:rsidRPr="00E83C5E">
        <w:rPr>
          <w:rFonts w:ascii="Garamond" w:hAnsi="Garamond" w:cs="Times New Roman"/>
          <w:color w:val="000000" w:themeColor="text1"/>
          <w:sz w:val="24"/>
          <w:szCs w:val="24"/>
        </w:rPr>
        <w:t>k</w:t>
      </w:r>
      <w:r w:rsidRPr="00E83C5E">
        <w:rPr>
          <w:rFonts w:ascii="Garamond" w:hAnsi="Garamond" w:cs="Times New Roman"/>
          <w:color w:val="000000" w:themeColor="text1"/>
          <w:sz w:val="24"/>
          <w:szCs w:val="24"/>
        </w:rPr>
        <w:t xml:space="preserve">apitullin </w:t>
      </w:r>
      <w:r w:rsidRPr="00E83C5E">
        <w:rPr>
          <w:rFonts w:ascii="Garamond" w:hAnsi="Garamond" w:cs="Times New Roman"/>
          <w:sz w:val="24"/>
          <w:szCs w:val="24"/>
        </w:rPr>
        <w:t>V të MSA, nenin 77, që lidhet me kushtet e punës mundësitë e barabarta</w:t>
      </w:r>
      <w:r w:rsidR="006A76BE" w:rsidRPr="00E83C5E">
        <w:rPr>
          <w:rFonts w:ascii="Garamond" w:hAnsi="Garamond" w:cs="Times New Roman"/>
          <w:sz w:val="24"/>
          <w:szCs w:val="24"/>
        </w:rPr>
        <w:t>,</w:t>
      </w:r>
      <w:r w:rsidRPr="00E83C5E">
        <w:rPr>
          <w:rFonts w:ascii="Garamond" w:hAnsi="Garamond" w:cs="Times New Roman"/>
          <w:sz w:val="24"/>
          <w:szCs w:val="24"/>
        </w:rPr>
        <w:t xml:space="preserve"> si edhe me titullin VIII të MSA me nenin 100 të saj. </w:t>
      </w:r>
    </w:p>
    <w:p w14:paraId="574E2C75" w14:textId="77777777" w:rsidR="002F7250" w:rsidRPr="00E83C5E" w:rsidRDefault="002F7250" w:rsidP="00FB3187">
      <w:pPr>
        <w:pStyle w:val="TEKSTIII"/>
        <w:rPr>
          <w:b/>
        </w:rPr>
      </w:pPr>
      <w:r w:rsidRPr="00E83C5E">
        <w:rPr>
          <w:b/>
        </w:rPr>
        <w:t>Treguesit kryesorë të rezultateve</w:t>
      </w:r>
    </w:p>
    <w:p w14:paraId="574E2C77" w14:textId="77777777" w:rsidR="002F7250" w:rsidRPr="00E83C5E" w:rsidRDefault="002F7250" w:rsidP="002F7250">
      <w:pPr>
        <w:pStyle w:val="Caption"/>
        <w:keepNext/>
        <w:spacing w:after="0"/>
        <w:ind w:firstLine="284"/>
        <w:rPr>
          <w:rFonts w:ascii="Garamond" w:hAnsi="Garamond"/>
          <w:color w:val="000000" w:themeColor="text1"/>
          <w:sz w:val="24"/>
          <w:szCs w:val="24"/>
        </w:rPr>
      </w:pPr>
      <w:r w:rsidRPr="00E83C5E">
        <w:rPr>
          <w:rFonts w:ascii="Garamond" w:hAnsi="Garamond"/>
          <w:color w:val="000000" w:themeColor="text1"/>
          <w:sz w:val="24"/>
          <w:szCs w:val="24"/>
        </w:rPr>
        <w:t xml:space="preserve">Tabela </w:t>
      </w:r>
      <w:r w:rsidRPr="00E83C5E">
        <w:rPr>
          <w:rFonts w:ascii="Garamond" w:hAnsi="Garamond"/>
          <w:color w:val="000000" w:themeColor="text1"/>
          <w:sz w:val="24"/>
          <w:szCs w:val="24"/>
        </w:rPr>
        <w:fldChar w:fldCharType="begin"/>
      </w:r>
      <w:r w:rsidRPr="00E83C5E">
        <w:rPr>
          <w:rFonts w:ascii="Garamond" w:hAnsi="Garamond"/>
          <w:color w:val="000000" w:themeColor="text1"/>
          <w:sz w:val="24"/>
          <w:szCs w:val="24"/>
        </w:rPr>
        <w:instrText xml:space="preserve"> SEQ Tabela \* ARABIC </w:instrText>
      </w:r>
      <w:r w:rsidRPr="00E83C5E">
        <w:rPr>
          <w:rFonts w:ascii="Garamond" w:hAnsi="Garamond"/>
          <w:color w:val="000000" w:themeColor="text1"/>
          <w:sz w:val="24"/>
          <w:szCs w:val="24"/>
        </w:rPr>
        <w:fldChar w:fldCharType="separate"/>
      </w:r>
      <w:r w:rsidRPr="00E83C5E">
        <w:rPr>
          <w:rFonts w:ascii="Garamond" w:hAnsi="Garamond"/>
          <w:color w:val="000000" w:themeColor="text1"/>
          <w:sz w:val="24"/>
          <w:szCs w:val="24"/>
        </w:rPr>
        <w:t>10</w:t>
      </w:r>
      <w:r w:rsidRPr="00E83C5E">
        <w:rPr>
          <w:rFonts w:ascii="Garamond" w:hAnsi="Garamond"/>
          <w:color w:val="000000" w:themeColor="text1"/>
          <w:sz w:val="24"/>
          <w:szCs w:val="24"/>
        </w:rPr>
        <w:fldChar w:fldCharType="end"/>
      </w:r>
      <w:r w:rsidRPr="00E83C5E">
        <w:rPr>
          <w:rFonts w:ascii="Garamond" w:hAnsi="Garamond"/>
          <w:color w:val="000000" w:themeColor="text1"/>
          <w:sz w:val="24"/>
          <w:szCs w:val="24"/>
        </w:rPr>
        <w:t>: Lista e treguesve kyç të performancës lidhur me objektivin specifik 2.1</w:t>
      </w:r>
    </w:p>
    <w:tbl>
      <w:tblPr>
        <w:tblStyle w:val="GridTable1Light-Accent11"/>
        <w:tblW w:w="9625" w:type="dxa"/>
        <w:tblLook w:val="04A0" w:firstRow="1" w:lastRow="0" w:firstColumn="1" w:lastColumn="0" w:noHBand="0" w:noVBand="1"/>
      </w:tblPr>
      <w:tblGrid>
        <w:gridCol w:w="1393"/>
        <w:gridCol w:w="2283"/>
        <w:gridCol w:w="2462"/>
        <w:gridCol w:w="2049"/>
        <w:gridCol w:w="1438"/>
      </w:tblGrid>
      <w:tr w:rsidR="002F7250" w:rsidRPr="00E83C5E" w14:paraId="574E2C7E" w14:textId="77777777" w:rsidTr="006A76BE">
        <w:trPr>
          <w:cnfStyle w:val="100000000000" w:firstRow="1" w:lastRow="0" w:firstColumn="0" w:lastColumn="0" w:oddVBand="0" w:evenVBand="0" w:oddHBand="0"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393" w:type="dxa"/>
          </w:tcPr>
          <w:p w14:paraId="574E2C78" w14:textId="77777777" w:rsidR="002F7250" w:rsidRPr="00E83C5E" w:rsidRDefault="002F7250" w:rsidP="00FB3187">
            <w:pPr>
              <w:jc w:val="center"/>
              <w:rPr>
                <w:rFonts w:ascii="Garamond" w:hAnsi="Garamond" w:cs="Times New Roman"/>
                <w:b w:val="0"/>
                <w:color w:val="000000" w:themeColor="text1"/>
                <w:sz w:val="20"/>
                <w:szCs w:val="24"/>
                <w:lang w:eastAsia="en-GB"/>
              </w:rPr>
            </w:pPr>
            <w:r w:rsidRPr="00E83C5E">
              <w:rPr>
                <w:rFonts w:ascii="Garamond" w:hAnsi="Garamond" w:cs="Times New Roman"/>
                <w:color w:val="000000" w:themeColor="text1"/>
                <w:sz w:val="20"/>
                <w:szCs w:val="24"/>
                <w:lang w:eastAsia="en-GB"/>
              </w:rPr>
              <w:t>Lloji i treguesit</w:t>
            </w:r>
          </w:p>
        </w:tc>
        <w:tc>
          <w:tcPr>
            <w:tcW w:w="2283" w:type="dxa"/>
          </w:tcPr>
          <w:p w14:paraId="574E2C79" w14:textId="77777777" w:rsidR="002F7250" w:rsidRPr="00E83C5E" w:rsidRDefault="002F7250" w:rsidP="00FB3187">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color w:val="000000" w:themeColor="text1"/>
                <w:sz w:val="20"/>
                <w:szCs w:val="24"/>
                <w:lang w:eastAsia="en-GB"/>
              </w:rPr>
            </w:pPr>
            <w:r w:rsidRPr="00E83C5E">
              <w:rPr>
                <w:rFonts w:ascii="Garamond" w:hAnsi="Garamond" w:cs="Times New Roman"/>
                <w:color w:val="000000" w:themeColor="text1"/>
                <w:sz w:val="20"/>
                <w:szCs w:val="24"/>
              </w:rPr>
              <w:t>Emërtimi i treguesit</w:t>
            </w:r>
          </w:p>
        </w:tc>
        <w:tc>
          <w:tcPr>
            <w:tcW w:w="2462" w:type="dxa"/>
          </w:tcPr>
          <w:p w14:paraId="574E2C7A" w14:textId="302E50F0" w:rsidR="002F7250" w:rsidRPr="00E83C5E" w:rsidRDefault="002F7250" w:rsidP="00FB3187">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color w:val="000000" w:themeColor="text1"/>
                <w:sz w:val="20"/>
                <w:szCs w:val="24"/>
                <w:lang w:eastAsia="en-GB"/>
              </w:rPr>
            </w:pPr>
            <w:r w:rsidRPr="00E83C5E">
              <w:rPr>
                <w:rFonts w:ascii="Garamond" w:hAnsi="Garamond" w:cs="Times New Roman"/>
                <w:color w:val="000000" w:themeColor="text1"/>
                <w:sz w:val="20"/>
                <w:szCs w:val="24"/>
                <w:lang w:eastAsia="en-GB"/>
              </w:rPr>
              <w:t xml:space="preserve">Lidhja me </w:t>
            </w:r>
            <w:r w:rsidR="003A280A" w:rsidRPr="00E83C5E">
              <w:rPr>
                <w:rFonts w:ascii="Garamond" w:hAnsi="Garamond" w:cs="Times New Roman"/>
                <w:color w:val="000000" w:themeColor="text1"/>
                <w:sz w:val="20"/>
                <w:szCs w:val="24"/>
                <w:lang w:eastAsia="en-GB"/>
              </w:rPr>
              <w:t>qëllimin e politikës</w:t>
            </w:r>
          </w:p>
        </w:tc>
        <w:tc>
          <w:tcPr>
            <w:tcW w:w="2049" w:type="dxa"/>
          </w:tcPr>
          <w:p w14:paraId="574E2C7B" w14:textId="75211818" w:rsidR="002F7250" w:rsidRPr="00E83C5E" w:rsidRDefault="002F7250" w:rsidP="00FB3187">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color w:val="000000" w:themeColor="text1"/>
                <w:sz w:val="20"/>
                <w:szCs w:val="24"/>
                <w:lang w:eastAsia="en-GB"/>
              </w:rPr>
            </w:pPr>
            <w:r w:rsidRPr="00E83C5E">
              <w:rPr>
                <w:rFonts w:ascii="Garamond" w:hAnsi="Garamond" w:cs="Times New Roman"/>
                <w:color w:val="000000" w:themeColor="text1"/>
                <w:sz w:val="20"/>
                <w:szCs w:val="24"/>
                <w:lang w:eastAsia="en-GB"/>
              </w:rPr>
              <w:t xml:space="preserve">Lidhja me </w:t>
            </w:r>
            <w:r w:rsidR="003A280A" w:rsidRPr="00E83C5E">
              <w:rPr>
                <w:rFonts w:ascii="Garamond" w:hAnsi="Garamond" w:cs="Times New Roman"/>
                <w:color w:val="000000" w:themeColor="text1"/>
                <w:sz w:val="20"/>
                <w:szCs w:val="24"/>
                <w:lang w:eastAsia="en-GB"/>
              </w:rPr>
              <w:t>objektivin specifik</w:t>
            </w:r>
          </w:p>
        </w:tc>
        <w:tc>
          <w:tcPr>
            <w:tcW w:w="1438" w:type="dxa"/>
          </w:tcPr>
          <w:p w14:paraId="574E2C7D" w14:textId="727C6BB3" w:rsidR="002F7250" w:rsidRPr="00E83C5E" w:rsidRDefault="002F7250" w:rsidP="003A280A">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color w:val="000000" w:themeColor="text1"/>
                <w:sz w:val="20"/>
                <w:szCs w:val="24"/>
                <w:lang w:eastAsia="en-GB"/>
              </w:rPr>
            </w:pPr>
            <w:r w:rsidRPr="00E83C5E">
              <w:rPr>
                <w:rFonts w:ascii="Garamond" w:hAnsi="Garamond" w:cs="Times New Roman"/>
                <w:color w:val="000000" w:themeColor="text1"/>
                <w:sz w:val="20"/>
                <w:szCs w:val="24"/>
                <w:lang w:eastAsia="en-GB"/>
              </w:rPr>
              <w:t xml:space="preserve">Institucioni </w:t>
            </w:r>
            <w:r w:rsidR="003A280A" w:rsidRPr="00E83C5E">
              <w:rPr>
                <w:rFonts w:ascii="Garamond" w:hAnsi="Garamond" w:cs="Times New Roman"/>
                <w:color w:val="000000" w:themeColor="text1"/>
                <w:sz w:val="20"/>
                <w:szCs w:val="24"/>
                <w:lang w:eastAsia="en-GB"/>
              </w:rPr>
              <w:t>përgjegjës</w:t>
            </w:r>
          </w:p>
        </w:tc>
      </w:tr>
      <w:tr w:rsidR="002F7250" w:rsidRPr="00E83C5E" w14:paraId="574E2C85" w14:textId="77777777" w:rsidTr="006A76BE">
        <w:trPr>
          <w:trHeight w:val="539"/>
        </w:trPr>
        <w:tc>
          <w:tcPr>
            <w:cnfStyle w:val="001000000000" w:firstRow="0" w:lastRow="0" w:firstColumn="1" w:lastColumn="0" w:oddVBand="0" w:evenVBand="0" w:oddHBand="0" w:evenHBand="0" w:firstRowFirstColumn="0" w:firstRowLastColumn="0" w:lastRowFirstColumn="0" w:lastRowLastColumn="0"/>
            <w:tcW w:w="1393" w:type="dxa"/>
          </w:tcPr>
          <w:p w14:paraId="574E2C7F" w14:textId="77777777" w:rsidR="002F7250" w:rsidRPr="00E83C5E" w:rsidRDefault="002F7250" w:rsidP="00FB3187">
            <w:pPr>
              <w:jc w:val="both"/>
              <w:rPr>
                <w:rFonts w:ascii="Garamond" w:hAnsi="Garamond" w:cs="Times New Roman"/>
                <w:sz w:val="20"/>
                <w:szCs w:val="24"/>
                <w:lang w:eastAsia="en-GB"/>
              </w:rPr>
            </w:pPr>
            <w:r w:rsidRPr="00E83C5E">
              <w:rPr>
                <w:rFonts w:ascii="Garamond" w:hAnsi="Garamond" w:cs="Times New Roman"/>
                <w:sz w:val="20"/>
                <w:szCs w:val="24"/>
                <w:lang w:eastAsia="en-GB"/>
              </w:rPr>
              <w:t>Rezultati</w:t>
            </w:r>
          </w:p>
        </w:tc>
        <w:tc>
          <w:tcPr>
            <w:tcW w:w="2283" w:type="dxa"/>
          </w:tcPr>
          <w:p w14:paraId="574E2C80" w14:textId="77777777" w:rsidR="002F7250" w:rsidRPr="00E83C5E" w:rsidRDefault="002F7250" w:rsidP="00FB3187">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Shkalla e pjesëmarrjes së të rinjve në tregun e punës sipas gjinisë</w:t>
            </w:r>
          </w:p>
        </w:tc>
        <w:tc>
          <w:tcPr>
            <w:tcW w:w="2462" w:type="dxa"/>
          </w:tcPr>
          <w:p w14:paraId="574E2C81" w14:textId="77777777" w:rsidR="002F7250" w:rsidRPr="00E83C5E" w:rsidRDefault="002F7250" w:rsidP="00FB3187">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 xml:space="preserve">Novacioni, edukimi, autonomia, drejtësia si barazi (equity) </w:t>
            </w:r>
          </w:p>
          <w:p w14:paraId="574E2C82" w14:textId="77777777" w:rsidR="002F7250" w:rsidRPr="00E83C5E" w:rsidRDefault="002F7250" w:rsidP="00FB3187">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Mbështetet dhe nxitet novacioni rinor dhe rritja e aftësive dhe profesionalizmit të të rejave dhe të rinjve përmes edukimit cilësor në TIK dhe fusha të tjera të zhvillimit digjital duke rritur dhe përmirësuar kështu mundësitë për të hyrë në tregun e punës.</w:t>
            </w:r>
          </w:p>
        </w:tc>
        <w:tc>
          <w:tcPr>
            <w:tcW w:w="2049" w:type="dxa"/>
          </w:tcPr>
          <w:p w14:paraId="574E2C83" w14:textId="77777777" w:rsidR="002F7250" w:rsidRPr="00E83C5E" w:rsidRDefault="002F7250" w:rsidP="00FB3187">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Të rinjtë janë të aftësuar, të mirinformuar në lidhje me mundësitë për punësim dhe në gjendje të bëjnë zgjedhje autonome kur i bashkohen popullsisë ekonomikisht aktive.</w:t>
            </w:r>
          </w:p>
        </w:tc>
        <w:tc>
          <w:tcPr>
            <w:tcW w:w="1438" w:type="dxa"/>
          </w:tcPr>
          <w:p w14:paraId="574E2C84" w14:textId="77777777" w:rsidR="002F7250" w:rsidRPr="00E83C5E" w:rsidRDefault="002F7250" w:rsidP="00FB3187">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MSHRF/ AKPA/ INSTAT/ MFE</w:t>
            </w:r>
          </w:p>
        </w:tc>
      </w:tr>
    </w:tbl>
    <w:p w14:paraId="574E2C88" w14:textId="03DBD4C8" w:rsidR="00FB3187" w:rsidRPr="00E83C5E" w:rsidRDefault="002F7250" w:rsidP="00025BB7">
      <w:pPr>
        <w:pStyle w:val="TEKSTIII"/>
        <w:rPr>
          <w:color w:val="000000" w:themeColor="text1"/>
        </w:rPr>
      </w:pPr>
      <w:r w:rsidRPr="00E83C5E">
        <w:t>Lista e plotë e masave në planin e veprimit.</w:t>
      </w:r>
    </w:p>
    <w:p w14:paraId="574E2C89" w14:textId="5C4A3666" w:rsidR="002F7250" w:rsidRPr="00E83C5E" w:rsidRDefault="002F7250" w:rsidP="002F7250">
      <w:pPr>
        <w:pStyle w:val="Caption"/>
        <w:keepNext/>
        <w:spacing w:after="0"/>
        <w:ind w:firstLine="284"/>
        <w:rPr>
          <w:rFonts w:ascii="Garamond" w:hAnsi="Garamond"/>
          <w:sz w:val="24"/>
          <w:szCs w:val="24"/>
        </w:rPr>
      </w:pPr>
      <w:r w:rsidRPr="00E83C5E">
        <w:rPr>
          <w:rFonts w:ascii="Garamond" w:hAnsi="Garamond"/>
          <w:color w:val="000000" w:themeColor="text1"/>
          <w:sz w:val="24"/>
          <w:szCs w:val="24"/>
        </w:rPr>
        <w:t xml:space="preserve">Tabela </w:t>
      </w:r>
      <w:r w:rsidRPr="00E83C5E">
        <w:rPr>
          <w:rFonts w:ascii="Garamond" w:hAnsi="Garamond"/>
          <w:color w:val="000000" w:themeColor="text1"/>
          <w:sz w:val="24"/>
          <w:szCs w:val="24"/>
        </w:rPr>
        <w:fldChar w:fldCharType="begin"/>
      </w:r>
      <w:r w:rsidRPr="00E83C5E">
        <w:rPr>
          <w:rFonts w:ascii="Garamond" w:hAnsi="Garamond"/>
          <w:color w:val="000000" w:themeColor="text1"/>
          <w:sz w:val="24"/>
          <w:szCs w:val="24"/>
        </w:rPr>
        <w:instrText xml:space="preserve"> SEQ Tabela \* ARABIC </w:instrText>
      </w:r>
      <w:r w:rsidRPr="00E83C5E">
        <w:rPr>
          <w:rFonts w:ascii="Garamond" w:hAnsi="Garamond"/>
          <w:color w:val="000000" w:themeColor="text1"/>
          <w:sz w:val="24"/>
          <w:szCs w:val="24"/>
        </w:rPr>
        <w:fldChar w:fldCharType="separate"/>
      </w:r>
      <w:r w:rsidRPr="00E83C5E">
        <w:rPr>
          <w:rFonts w:ascii="Garamond" w:hAnsi="Garamond"/>
          <w:color w:val="000000" w:themeColor="text1"/>
          <w:sz w:val="24"/>
          <w:szCs w:val="24"/>
        </w:rPr>
        <w:t>11</w:t>
      </w:r>
      <w:r w:rsidRPr="00E83C5E">
        <w:rPr>
          <w:rFonts w:ascii="Garamond" w:hAnsi="Garamond"/>
          <w:color w:val="000000" w:themeColor="text1"/>
          <w:sz w:val="24"/>
          <w:szCs w:val="24"/>
        </w:rPr>
        <w:fldChar w:fldCharType="end"/>
      </w:r>
      <w:r w:rsidRPr="00E83C5E">
        <w:rPr>
          <w:rFonts w:ascii="Garamond" w:hAnsi="Garamond"/>
          <w:color w:val="000000" w:themeColor="text1"/>
          <w:sz w:val="24"/>
          <w:szCs w:val="24"/>
        </w:rPr>
        <w:t xml:space="preserve">: Lista e masave për arritjen e </w:t>
      </w:r>
      <w:r w:rsidR="006A76BE" w:rsidRPr="00E83C5E">
        <w:rPr>
          <w:rFonts w:ascii="Garamond" w:hAnsi="Garamond"/>
          <w:color w:val="000000" w:themeColor="text1"/>
          <w:sz w:val="24"/>
          <w:szCs w:val="24"/>
        </w:rPr>
        <w:t>o</w:t>
      </w:r>
      <w:r w:rsidRPr="00E83C5E">
        <w:rPr>
          <w:rFonts w:ascii="Garamond" w:hAnsi="Garamond"/>
          <w:color w:val="000000" w:themeColor="text1"/>
          <w:sz w:val="24"/>
          <w:szCs w:val="24"/>
        </w:rPr>
        <w:t>bjektivit specifik 2</w:t>
      </w:r>
      <w:r w:rsidRPr="00E83C5E">
        <w:rPr>
          <w:rFonts w:ascii="Garamond" w:hAnsi="Garamond"/>
          <w:sz w:val="24"/>
          <w:szCs w:val="24"/>
        </w:rPr>
        <w:t>.1</w:t>
      </w:r>
    </w:p>
    <w:tbl>
      <w:tblPr>
        <w:tblStyle w:val="GridTable1Light-Accent11"/>
        <w:tblW w:w="8931" w:type="dxa"/>
        <w:tblLook w:val="04A0" w:firstRow="1" w:lastRow="0" w:firstColumn="1" w:lastColumn="0" w:noHBand="0" w:noVBand="1"/>
      </w:tblPr>
      <w:tblGrid>
        <w:gridCol w:w="940"/>
        <w:gridCol w:w="7991"/>
      </w:tblGrid>
      <w:tr w:rsidR="002F7250" w:rsidRPr="00E83C5E" w14:paraId="574E2C8C" w14:textId="77777777" w:rsidTr="006A76BE">
        <w:trPr>
          <w:cnfStyle w:val="100000000000" w:firstRow="1" w:lastRow="0" w:firstColumn="0" w:lastColumn="0" w:oddVBand="0" w:evenVBand="0" w:oddHBand="0" w:evenHBand="0" w:firstRowFirstColumn="0" w:firstRowLastColumn="0" w:lastRowFirstColumn="0" w:lastRowLastColumn="0"/>
          <w:trHeight w:val="47"/>
        </w:trPr>
        <w:tc>
          <w:tcPr>
            <w:cnfStyle w:val="001000000000" w:firstRow="0" w:lastRow="0" w:firstColumn="1" w:lastColumn="0" w:oddVBand="0" w:evenVBand="0" w:oddHBand="0" w:evenHBand="0" w:firstRowFirstColumn="0" w:firstRowLastColumn="0" w:lastRowFirstColumn="0" w:lastRowLastColumn="0"/>
            <w:tcW w:w="940" w:type="dxa"/>
            <w:hideMark/>
          </w:tcPr>
          <w:p w14:paraId="574E2C8A" w14:textId="1F1B2121" w:rsidR="002F7250" w:rsidRPr="00E83C5E" w:rsidRDefault="002F7250" w:rsidP="00FB3187">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Nr</w:t>
            </w:r>
            <w:r w:rsidR="006A76BE" w:rsidRPr="00E83C5E">
              <w:rPr>
                <w:rFonts w:ascii="Garamond" w:eastAsia="Times New Roman" w:hAnsi="Garamond" w:cs="Times New Roman"/>
                <w:color w:val="000000"/>
                <w:sz w:val="20"/>
                <w:szCs w:val="24"/>
              </w:rPr>
              <w:t>.</w:t>
            </w:r>
            <w:r w:rsidRPr="00E83C5E">
              <w:rPr>
                <w:rFonts w:ascii="Garamond" w:eastAsia="Times New Roman" w:hAnsi="Garamond" w:cs="Times New Roman"/>
                <w:color w:val="000000"/>
                <w:sz w:val="20"/>
                <w:szCs w:val="24"/>
              </w:rPr>
              <w:t> </w:t>
            </w:r>
          </w:p>
        </w:tc>
        <w:tc>
          <w:tcPr>
            <w:tcW w:w="7991" w:type="dxa"/>
            <w:hideMark/>
          </w:tcPr>
          <w:p w14:paraId="574E2C8B" w14:textId="6570EC6C" w:rsidR="002F7250" w:rsidRPr="00E83C5E" w:rsidRDefault="002F7250" w:rsidP="006A76BE">
            <w:pPr>
              <w:jc w:val="both"/>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 w:val="0"/>
                <w:bCs w:val="0"/>
                <w:i/>
                <w:iCs/>
                <w:color w:val="0066CC"/>
                <w:sz w:val="20"/>
                <w:szCs w:val="24"/>
              </w:rPr>
            </w:pPr>
            <w:r w:rsidRPr="00E83C5E">
              <w:rPr>
                <w:rFonts w:ascii="Garamond" w:eastAsia="Times New Roman" w:hAnsi="Garamond" w:cs="Times New Roman"/>
                <w:i/>
                <w:iCs/>
                <w:sz w:val="20"/>
                <w:szCs w:val="24"/>
              </w:rPr>
              <w:t xml:space="preserve">Masat sipas </w:t>
            </w:r>
            <w:r w:rsidR="006A76BE" w:rsidRPr="00E83C5E">
              <w:rPr>
                <w:rFonts w:ascii="Garamond" w:eastAsia="Times New Roman" w:hAnsi="Garamond" w:cs="Times New Roman"/>
                <w:i/>
                <w:iCs/>
                <w:sz w:val="20"/>
                <w:szCs w:val="24"/>
              </w:rPr>
              <w:t xml:space="preserve">objektivit </w:t>
            </w:r>
            <w:r w:rsidRPr="00E83C5E">
              <w:rPr>
                <w:rFonts w:ascii="Garamond" w:eastAsia="Times New Roman" w:hAnsi="Garamond" w:cs="Times New Roman"/>
                <w:i/>
                <w:iCs/>
                <w:sz w:val="20"/>
                <w:szCs w:val="24"/>
              </w:rPr>
              <w:t>specifik 2.1:</w:t>
            </w:r>
          </w:p>
        </w:tc>
      </w:tr>
      <w:tr w:rsidR="002F7250" w:rsidRPr="00E83C5E" w14:paraId="574E2C8F" w14:textId="77777777" w:rsidTr="00BC2136">
        <w:trPr>
          <w:trHeight w:val="588"/>
        </w:trPr>
        <w:tc>
          <w:tcPr>
            <w:cnfStyle w:val="001000000000" w:firstRow="0" w:lastRow="0" w:firstColumn="1" w:lastColumn="0" w:oddVBand="0" w:evenVBand="0" w:oddHBand="0" w:evenHBand="0" w:firstRowFirstColumn="0" w:firstRowLastColumn="0" w:lastRowFirstColumn="0" w:lastRowLastColumn="0"/>
            <w:tcW w:w="940" w:type="dxa"/>
            <w:hideMark/>
          </w:tcPr>
          <w:p w14:paraId="574E2C8D" w14:textId="77777777" w:rsidR="002F7250" w:rsidRPr="00E83C5E" w:rsidRDefault="002F7250" w:rsidP="00FB3187">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2.1.1</w:t>
            </w:r>
          </w:p>
        </w:tc>
        <w:tc>
          <w:tcPr>
            <w:tcW w:w="7991" w:type="dxa"/>
          </w:tcPr>
          <w:p w14:paraId="574E2C8E" w14:textId="77777777" w:rsidR="002F7250" w:rsidRPr="00E83C5E" w:rsidRDefault="002F7250" w:rsidP="00FB3187">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4"/>
              </w:rPr>
            </w:pPr>
            <w:r w:rsidRPr="00E83C5E">
              <w:rPr>
                <w:rFonts w:ascii="Garamond" w:eastAsia="Arial" w:hAnsi="Garamond" w:cs="Times New Roman"/>
                <w:sz w:val="20"/>
                <w:szCs w:val="24"/>
              </w:rPr>
              <w:t xml:space="preserve">Bashkërendohet Politika Kombëtare e Punësimit dhe Aftësive me masat e propozuara në Strategjinë Kombëtare të Rinisë duke rritur nivelin e punësimit dhe sipërmarrjen e të rinjve përmes angazhimit dhe ndërveprimit të këshillave vendorë rinorë, ndërmarrjeve dhe </w:t>
            </w:r>
            <w:r w:rsidRPr="00E83C5E">
              <w:rPr>
                <w:rFonts w:ascii="Garamond" w:eastAsia="Arial" w:hAnsi="Garamond" w:cs="Times New Roman"/>
                <w:i/>
                <w:sz w:val="20"/>
                <w:szCs w:val="24"/>
              </w:rPr>
              <w:t>startup</w:t>
            </w:r>
            <w:r w:rsidRPr="00E83C5E">
              <w:rPr>
                <w:rFonts w:ascii="Garamond" w:eastAsia="Arial" w:hAnsi="Garamond" w:cs="Times New Roman"/>
                <w:sz w:val="20"/>
                <w:szCs w:val="24"/>
              </w:rPr>
              <w:t>-eve.</w:t>
            </w:r>
          </w:p>
        </w:tc>
      </w:tr>
      <w:tr w:rsidR="002F7250" w:rsidRPr="00E83C5E" w14:paraId="574E2C92" w14:textId="77777777" w:rsidTr="00BC2136">
        <w:trPr>
          <w:trHeight w:val="710"/>
        </w:trPr>
        <w:tc>
          <w:tcPr>
            <w:cnfStyle w:val="001000000000" w:firstRow="0" w:lastRow="0" w:firstColumn="1" w:lastColumn="0" w:oddVBand="0" w:evenVBand="0" w:oddHBand="0" w:evenHBand="0" w:firstRowFirstColumn="0" w:firstRowLastColumn="0" w:lastRowFirstColumn="0" w:lastRowLastColumn="0"/>
            <w:tcW w:w="940" w:type="dxa"/>
            <w:noWrap/>
            <w:hideMark/>
          </w:tcPr>
          <w:p w14:paraId="574E2C90" w14:textId="77777777" w:rsidR="002F7250" w:rsidRPr="00E83C5E" w:rsidRDefault="002F7250" w:rsidP="00FB3187">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2.1.2</w:t>
            </w:r>
          </w:p>
        </w:tc>
        <w:tc>
          <w:tcPr>
            <w:tcW w:w="7991" w:type="dxa"/>
          </w:tcPr>
          <w:p w14:paraId="574E2C91" w14:textId="77777777" w:rsidR="002F7250" w:rsidRPr="00E83C5E" w:rsidRDefault="002F7250" w:rsidP="00FB3187">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4"/>
              </w:rPr>
            </w:pPr>
            <w:r w:rsidRPr="00E83C5E">
              <w:rPr>
                <w:rFonts w:ascii="Garamond" w:eastAsia="Arial" w:hAnsi="Garamond" w:cs="Times New Roman"/>
                <w:bCs/>
                <w:iCs/>
                <w:sz w:val="20"/>
                <w:szCs w:val="24"/>
              </w:rPr>
              <w:t>Nxitet dhe forcohet punësimi rinor në fushën e TIK dhe digjitalizimit përmes zhvillimit të programeve të aftësimit në kodim, TIK dhe digjitalizim bazuar në studimet e tregut dhe zhvillimit të punësimit në këtë fushë si në Shqipëri dhe me gjerë.</w:t>
            </w:r>
          </w:p>
        </w:tc>
      </w:tr>
      <w:tr w:rsidR="002F7250" w:rsidRPr="00E83C5E" w14:paraId="574E2C95" w14:textId="77777777" w:rsidTr="00BC2136">
        <w:trPr>
          <w:trHeight w:val="536"/>
        </w:trPr>
        <w:tc>
          <w:tcPr>
            <w:cnfStyle w:val="001000000000" w:firstRow="0" w:lastRow="0" w:firstColumn="1" w:lastColumn="0" w:oddVBand="0" w:evenVBand="0" w:oddHBand="0" w:evenHBand="0" w:firstRowFirstColumn="0" w:firstRowLastColumn="0" w:lastRowFirstColumn="0" w:lastRowLastColumn="0"/>
            <w:tcW w:w="940" w:type="dxa"/>
            <w:hideMark/>
          </w:tcPr>
          <w:p w14:paraId="574E2C93" w14:textId="77777777" w:rsidR="002F7250" w:rsidRPr="00E83C5E" w:rsidRDefault="002F7250" w:rsidP="00FB3187">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lastRenderedPageBreak/>
              <w:t>2.1.3</w:t>
            </w:r>
          </w:p>
        </w:tc>
        <w:tc>
          <w:tcPr>
            <w:tcW w:w="7991" w:type="dxa"/>
          </w:tcPr>
          <w:p w14:paraId="574E2C94" w14:textId="07C358FE" w:rsidR="002F7250" w:rsidRPr="00E83C5E" w:rsidRDefault="002F7250" w:rsidP="00FB3187">
            <w:pPr>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sz w:val="20"/>
                <w:szCs w:val="24"/>
              </w:rPr>
            </w:pPr>
            <w:r w:rsidRPr="00E83C5E">
              <w:rPr>
                <w:rFonts w:ascii="Garamond" w:eastAsia="Arial" w:hAnsi="Garamond" w:cs="Times New Roman"/>
                <w:sz w:val="20"/>
                <w:szCs w:val="24"/>
              </w:rPr>
              <w:t>Pranë institucioneve arsimore dhe aftësuese zhvillohen shërbime inovative dhe digjitale të</w:t>
            </w:r>
            <w:r w:rsidR="00233C37" w:rsidRPr="00E83C5E">
              <w:rPr>
                <w:rFonts w:ascii="Garamond" w:eastAsia="Arial" w:hAnsi="Garamond" w:cs="Times New Roman"/>
                <w:sz w:val="20"/>
                <w:szCs w:val="24"/>
              </w:rPr>
              <w:t xml:space="preserve"> </w:t>
            </w:r>
            <w:r w:rsidRPr="00E83C5E">
              <w:rPr>
                <w:rFonts w:ascii="Garamond" w:eastAsia="Arial" w:hAnsi="Garamond" w:cs="Times New Roman"/>
                <w:sz w:val="20"/>
                <w:szCs w:val="24"/>
              </w:rPr>
              <w:t>këshillimit për punësim dhe orientim në karrierë, miqësore për të rejat dhe rinjtë, dhe</w:t>
            </w:r>
            <w:r w:rsidR="00233C37" w:rsidRPr="00E83C5E">
              <w:rPr>
                <w:rFonts w:ascii="Garamond" w:eastAsia="Arial" w:hAnsi="Garamond" w:cs="Times New Roman"/>
                <w:sz w:val="20"/>
                <w:szCs w:val="24"/>
              </w:rPr>
              <w:t xml:space="preserve"> </w:t>
            </w:r>
            <w:r w:rsidRPr="00E83C5E">
              <w:rPr>
                <w:rFonts w:ascii="Garamond" w:eastAsia="Arial" w:hAnsi="Garamond" w:cs="Times New Roman"/>
                <w:sz w:val="20"/>
                <w:szCs w:val="24"/>
              </w:rPr>
              <w:t>në respektim të</w:t>
            </w:r>
            <w:r w:rsidR="00233C37" w:rsidRPr="00E83C5E">
              <w:rPr>
                <w:rFonts w:ascii="Garamond" w:eastAsia="Arial" w:hAnsi="Garamond" w:cs="Times New Roman"/>
                <w:sz w:val="20"/>
                <w:szCs w:val="24"/>
              </w:rPr>
              <w:t xml:space="preserve"> </w:t>
            </w:r>
            <w:r w:rsidRPr="00E83C5E">
              <w:rPr>
                <w:rFonts w:ascii="Garamond" w:eastAsia="Arial" w:hAnsi="Garamond" w:cs="Times New Roman"/>
                <w:sz w:val="20"/>
                <w:szCs w:val="24"/>
              </w:rPr>
              <w:t>shanseve të drejta dhe të barabarta për të arritur potencialin e plotë rinor.</w:t>
            </w:r>
          </w:p>
        </w:tc>
      </w:tr>
      <w:tr w:rsidR="002F7250" w:rsidRPr="00E83C5E" w14:paraId="574E2C98" w14:textId="77777777" w:rsidTr="00BC2136">
        <w:trPr>
          <w:trHeight w:val="430"/>
        </w:trPr>
        <w:tc>
          <w:tcPr>
            <w:cnfStyle w:val="001000000000" w:firstRow="0" w:lastRow="0" w:firstColumn="1" w:lastColumn="0" w:oddVBand="0" w:evenVBand="0" w:oddHBand="0" w:evenHBand="0" w:firstRowFirstColumn="0" w:firstRowLastColumn="0" w:lastRowFirstColumn="0" w:lastRowLastColumn="0"/>
            <w:tcW w:w="940" w:type="dxa"/>
            <w:hideMark/>
          </w:tcPr>
          <w:p w14:paraId="574E2C96" w14:textId="77777777" w:rsidR="002F7250" w:rsidRPr="00E83C5E" w:rsidRDefault="002F7250" w:rsidP="00FB3187">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2.1.4</w:t>
            </w:r>
          </w:p>
        </w:tc>
        <w:tc>
          <w:tcPr>
            <w:tcW w:w="7991" w:type="dxa"/>
          </w:tcPr>
          <w:p w14:paraId="574E2C97" w14:textId="6B0C3F8E" w:rsidR="002F7250" w:rsidRPr="00E83C5E" w:rsidRDefault="002F7250" w:rsidP="00FB3187">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4"/>
              </w:rPr>
            </w:pPr>
            <w:r w:rsidRPr="00E83C5E">
              <w:rPr>
                <w:rFonts w:ascii="Garamond" w:eastAsia="Arial" w:hAnsi="Garamond" w:cs="Times New Roman"/>
                <w:sz w:val="20"/>
                <w:szCs w:val="24"/>
              </w:rPr>
              <w:t xml:space="preserve">Nxitet dhe forcohet novacioni përmes sipërmarrjeve rinore dhe nga të rinjtë duke e vënë novacionin rinor në fokus të kuadrit ligjor dhe politikave publike të </w:t>
            </w:r>
            <w:r w:rsidR="008B63B6" w:rsidRPr="00E83C5E">
              <w:rPr>
                <w:rFonts w:ascii="Garamond" w:eastAsia="Arial" w:hAnsi="Garamond" w:cs="Times New Roman"/>
                <w:i/>
                <w:sz w:val="20"/>
                <w:szCs w:val="24"/>
              </w:rPr>
              <w:t>start up</w:t>
            </w:r>
            <w:r w:rsidRPr="00E83C5E">
              <w:rPr>
                <w:rFonts w:ascii="Garamond" w:eastAsia="Arial" w:hAnsi="Garamond" w:cs="Times New Roman"/>
                <w:sz w:val="20"/>
                <w:szCs w:val="24"/>
              </w:rPr>
              <w:t>-eve,</w:t>
            </w:r>
            <w:r w:rsidR="00233C37" w:rsidRPr="00E83C5E">
              <w:rPr>
                <w:rFonts w:ascii="Garamond" w:eastAsia="Arial" w:hAnsi="Garamond" w:cs="Times New Roman"/>
                <w:sz w:val="20"/>
                <w:szCs w:val="24"/>
              </w:rPr>
              <w:t xml:space="preserve"> </w:t>
            </w:r>
            <w:r w:rsidRPr="00E83C5E">
              <w:rPr>
                <w:rFonts w:ascii="Garamond" w:eastAsia="Arial" w:hAnsi="Garamond" w:cs="Times New Roman"/>
                <w:sz w:val="20"/>
                <w:szCs w:val="24"/>
              </w:rPr>
              <w:t xml:space="preserve">politikave të punësimit dhe mbështetjes së nismave si </w:t>
            </w:r>
            <w:r w:rsidRPr="00E83C5E">
              <w:rPr>
                <w:rFonts w:ascii="Garamond" w:eastAsia="Arial" w:hAnsi="Garamond" w:cs="Times New Roman"/>
                <w:i/>
                <w:iCs/>
                <w:sz w:val="20"/>
                <w:szCs w:val="24"/>
              </w:rPr>
              <w:t xml:space="preserve">hapësirat e përbashkëta për punë </w:t>
            </w:r>
            <w:r w:rsidRPr="00E83C5E">
              <w:rPr>
                <w:rFonts w:ascii="Garamond" w:eastAsia="Arial" w:hAnsi="Garamond" w:cs="Times New Roman"/>
                <w:iCs/>
                <w:sz w:val="20"/>
                <w:szCs w:val="24"/>
              </w:rPr>
              <w:t>(</w:t>
            </w:r>
            <w:r w:rsidRPr="00613E75">
              <w:rPr>
                <w:rFonts w:ascii="Garamond" w:eastAsia="Arial" w:hAnsi="Garamond" w:cs="Times New Roman"/>
                <w:i/>
                <w:sz w:val="20"/>
                <w:szCs w:val="24"/>
              </w:rPr>
              <w:t>co-working spaces</w:t>
            </w:r>
            <w:r w:rsidRPr="00E83C5E">
              <w:rPr>
                <w:rFonts w:ascii="Garamond" w:eastAsia="Arial" w:hAnsi="Garamond" w:cs="Times New Roman"/>
                <w:sz w:val="20"/>
                <w:szCs w:val="24"/>
              </w:rPr>
              <w:t>)</w:t>
            </w:r>
            <w:r w:rsidRPr="00E83C5E">
              <w:rPr>
                <w:rFonts w:ascii="Garamond" w:eastAsia="Arial" w:hAnsi="Garamond" w:cs="Times New Roman"/>
                <w:i/>
                <w:sz w:val="20"/>
                <w:szCs w:val="24"/>
              </w:rPr>
              <w:t>.</w:t>
            </w:r>
          </w:p>
        </w:tc>
      </w:tr>
      <w:tr w:rsidR="002F7250" w:rsidRPr="00E83C5E" w14:paraId="574E2C9B" w14:textId="77777777" w:rsidTr="00BC2136">
        <w:trPr>
          <w:trHeight w:val="409"/>
        </w:trPr>
        <w:tc>
          <w:tcPr>
            <w:cnfStyle w:val="001000000000" w:firstRow="0" w:lastRow="0" w:firstColumn="1" w:lastColumn="0" w:oddVBand="0" w:evenVBand="0" w:oddHBand="0" w:evenHBand="0" w:firstRowFirstColumn="0" w:firstRowLastColumn="0" w:lastRowFirstColumn="0" w:lastRowLastColumn="0"/>
            <w:tcW w:w="940" w:type="dxa"/>
            <w:hideMark/>
          </w:tcPr>
          <w:p w14:paraId="574E2C99" w14:textId="77777777" w:rsidR="002F7250" w:rsidRPr="00E83C5E" w:rsidRDefault="002F7250" w:rsidP="00FB3187">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2.1.5</w:t>
            </w:r>
          </w:p>
        </w:tc>
        <w:tc>
          <w:tcPr>
            <w:tcW w:w="7991" w:type="dxa"/>
          </w:tcPr>
          <w:p w14:paraId="574E2C9A" w14:textId="77777777" w:rsidR="002F7250" w:rsidRPr="00E83C5E" w:rsidRDefault="002F7250" w:rsidP="00FB3187">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4"/>
              </w:rPr>
            </w:pPr>
            <w:r w:rsidRPr="00E83C5E">
              <w:rPr>
                <w:rFonts w:ascii="Garamond" w:eastAsia="Arial" w:hAnsi="Garamond" w:cs="Times New Roman"/>
                <w:sz w:val="20"/>
                <w:szCs w:val="24"/>
              </w:rPr>
              <w:t>Përmirësohen programet dhe shërbimet që ofrojnë mbështetje për lëvizshmërinë e të rinjve, dhe bashkëpunimin mes tyre brenda vendit e më gjerë</w:t>
            </w:r>
            <w:r w:rsidRPr="00E83C5E">
              <w:rPr>
                <w:rFonts w:ascii="Garamond" w:eastAsia="Arial" w:hAnsi="Garamond" w:cs="Times New Roman"/>
                <w:i/>
                <w:sz w:val="20"/>
                <w:szCs w:val="24"/>
              </w:rPr>
              <w:t>.</w:t>
            </w:r>
          </w:p>
        </w:tc>
      </w:tr>
      <w:tr w:rsidR="002F7250" w:rsidRPr="00E83C5E" w14:paraId="574E2C9E" w14:textId="77777777" w:rsidTr="006A76BE">
        <w:trPr>
          <w:trHeight w:val="47"/>
        </w:trPr>
        <w:tc>
          <w:tcPr>
            <w:cnfStyle w:val="001000000000" w:firstRow="0" w:lastRow="0" w:firstColumn="1" w:lastColumn="0" w:oddVBand="0" w:evenVBand="0" w:oddHBand="0" w:evenHBand="0" w:firstRowFirstColumn="0" w:firstRowLastColumn="0" w:lastRowFirstColumn="0" w:lastRowLastColumn="0"/>
            <w:tcW w:w="940" w:type="dxa"/>
            <w:hideMark/>
          </w:tcPr>
          <w:p w14:paraId="574E2C9C" w14:textId="77777777" w:rsidR="002F7250" w:rsidRPr="00E83C5E" w:rsidRDefault="002F7250" w:rsidP="00FB3187">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2.1.6</w:t>
            </w:r>
          </w:p>
        </w:tc>
        <w:tc>
          <w:tcPr>
            <w:tcW w:w="7991" w:type="dxa"/>
          </w:tcPr>
          <w:p w14:paraId="574E2C9D" w14:textId="08DEF04B" w:rsidR="002F7250" w:rsidRPr="00E83C5E" w:rsidRDefault="002F7250" w:rsidP="00FB3187">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4"/>
              </w:rPr>
            </w:pPr>
            <w:r w:rsidRPr="00E83C5E">
              <w:rPr>
                <w:rFonts w:ascii="Garamond" w:eastAsia="Arial" w:hAnsi="Garamond" w:cs="Times New Roman"/>
                <w:iCs/>
                <w:sz w:val="20"/>
                <w:szCs w:val="24"/>
              </w:rPr>
              <w:t>Lehtësohet</w:t>
            </w:r>
            <w:r w:rsidRPr="00E83C5E">
              <w:rPr>
                <w:rFonts w:ascii="Garamond" w:eastAsia="Arial" w:hAnsi="Garamond" w:cs="Times New Roman"/>
                <w:b/>
                <w:iCs/>
                <w:sz w:val="20"/>
                <w:szCs w:val="24"/>
              </w:rPr>
              <w:t xml:space="preserve"> transporti publik </w:t>
            </w:r>
            <w:r w:rsidR="008B63B6" w:rsidRPr="00E83C5E">
              <w:rPr>
                <w:rFonts w:ascii="Garamond" w:eastAsia="Arial" w:hAnsi="Garamond" w:cs="Times New Roman"/>
                <w:b/>
                <w:iCs/>
                <w:sz w:val="20"/>
                <w:szCs w:val="24"/>
              </w:rPr>
              <w:t>ndër</w:t>
            </w:r>
            <w:r w:rsidRPr="00E83C5E">
              <w:rPr>
                <w:rFonts w:ascii="Garamond" w:eastAsia="Arial" w:hAnsi="Garamond" w:cs="Times New Roman"/>
                <w:b/>
                <w:iCs/>
                <w:sz w:val="20"/>
                <w:szCs w:val="24"/>
              </w:rPr>
              <w:t>qytetas për të rinjtë</w:t>
            </w:r>
            <w:r w:rsidRPr="00E83C5E">
              <w:rPr>
                <w:rFonts w:ascii="Garamond" w:eastAsia="Arial" w:hAnsi="Garamond" w:cs="Times New Roman"/>
                <w:iCs/>
                <w:sz w:val="20"/>
                <w:szCs w:val="24"/>
              </w:rPr>
              <w:t>, duke rritur lëvizshmërinë e tyre në qarqe.</w:t>
            </w:r>
          </w:p>
        </w:tc>
      </w:tr>
    </w:tbl>
    <w:p w14:paraId="574E2C9F" w14:textId="77777777" w:rsidR="002F7250" w:rsidRPr="00E83C5E" w:rsidRDefault="002F7250" w:rsidP="00FB3187">
      <w:pPr>
        <w:pStyle w:val="TEKSTIII"/>
        <w:rPr>
          <w:b/>
        </w:rPr>
      </w:pPr>
    </w:p>
    <w:p w14:paraId="574E2CA0" w14:textId="328342F1" w:rsidR="002F7250" w:rsidRPr="00E83C5E" w:rsidRDefault="002F7250" w:rsidP="00FB3187">
      <w:pPr>
        <w:pStyle w:val="TEKSTIII"/>
        <w:rPr>
          <w:b/>
        </w:rPr>
      </w:pPr>
      <w:r w:rsidRPr="00E83C5E">
        <w:rPr>
          <w:b/>
        </w:rPr>
        <w:t xml:space="preserve">Objektivi </w:t>
      </w:r>
      <w:r w:rsidR="00081887" w:rsidRPr="00E83C5E">
        <w:rPr>
          <w:b/>
        </w:rPr>
        <w:t>s</w:t>
      </w:r>
      <w:r w:rsidRPr="00E83C5E">
        <w:rPr>
          <w:b/>
        </w:rPr>
        <w:t>pecifik 2.2:</w:t>
      </w:r>
    </w:p>
    <w:p w14:paraId="574E2CA1" w14:textId="1B22FB7A" w:rsidR="002F7250" w:rsidRPr="00E83C5E" w:rsidRDefault="002F7250" w:rsidP="00FB3187">
      <w:pPr>
        <w:pStyle w:val="TEKSTIII"/>
        <w:rPr>
          <w:b/>
        </w:rPr>
      </w:pPr>
      <w:r w:rsidRPr="00E83C5E">
        <w:rPr>
          <w:rFonts w:eastAsia="Arial"/>
          <w:b/>
        </w:rPr>
        <w:t>Të rinjtë janë të informuar mirë për mundësitë arsimore të lidhura me tregun e punës dhe ju mundësohet i mësuari cilësor si në arsimin formal ashtu edhe në atë joformal duke kontribuar në zhvillimin e</w:t>
      </w:r>
      <w:r w:rsidR="00233C37" w:rsidRPr="00E83C5E">
        <w:rPr>
          <w:rFonts w:eastAsia="Arial"/>
          <w:b/>
        </w:rPr>
        <w:t xml:space="preserve"> </w:t>
      </w:r>
      <w:r w:rsidRPr="00E83C5E">
        <w:rPr>
          <w:rFonts w:eastAsia="Arial"/>
          <w:b/>
        </w:rPr>
        <w:t>kompetencave, aftësive dhe virtyteve të tyre.</w:t>
      </w:r>
    </w:p>
    <w:p w14:paraId="574E2CA2" w14:textId="635E3F4E" w:rsidR="002F7250" w:rsidRPr="00E83C5E" w:rsidRDefault="002F7250" w:rsidP="00FB3187">
      <w:pPr>
        <w:pStyle w:val="TEKSTIII"/>
        <w:rPr>
          <w:b/>
          <w:color w:val="000000" w:themeColor="text1"/>
        </w:rPr>
      </w:pPr>
      <w:r w:rsidRPr="00E83C5E">
        <w:rPr>
          <w:b/>
          <w:color w:val="000000" w:themeColor="text1"/>
        </w:rPr>
        <w:t xml:space="preserve">Analiza e </w:t>
      </w:r>
      <w:r w:rsidR="00081887" w:rsidRPr="00E83C5E">
        <w:rPr>
          <w:b/>
          <w:color w:val="000000" w:themeColor="text1"/>
        </w:rPr>
        <w:t>situatës dhe sfidat</w:t>
      </w:r>
    </w:p>
    <w:p w14:paraId="574E2CA3" w14:textId="2214CD9F" w:rsidR="002F7250" w:rsidRPr="00E83C5E" w:rsidRDefault="002F7250" w:rsidP="002F7250">
      <w:pPr>
        <w:shd w:val="clear" w:color="auto" w:fill="FFFFFF" w:themeFill="background1"/>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Konceptet për punësimin në Shqipëri lidhen ngushtë me degën e studimit që një e re apo i ri merr në institucionet e arsimit të lartë (IAL) dhe me shanset për t’u punësuar në administratë publike apo </w:t>
      </w:r>
      <w:r w:rsidR="00D540B0" w:rsidRPr="00E83C5E">
        <w:rPr>
          <w:rFonts w:ascii="Garamond" w:hAnsi="Garamond" w:cs="Times New Roman"/>
          <w:sz w:val="24"/>
          <w:szCs w:val="24"/>
        </w:rPr>
        <w:t>“</w:t>
      </w:r>
      <w:r w:rsidRPr="00E83C5E">
        <w:rPr>
          <w:rFonts w:ascii="Garamond" w:hAnsi="Garamond" w:cs="Times New Roman"/>
          <w:sz w:val="24"/>
          <w:szCs w:val="24"/>
        </w:rPr>
        <w:t>shtet</w:t>
      </w:r>
      <w:r w:rsidR="00D540B0" w:rsidRPr="00E83C5E">
        <w:rPr>
          <w:rFonts w:ascii="Garamond" w:hAnsi="Garamond" w:cs="Times New Roman"/>
          <w:sz w:val="24"/>
          <w:szCs w:val="24"/>
        </w:rPr>
        <w:t>”</w:t>
      </w:r>
      <w:r w:rsidRPr="00E83C5E">
        <w:rPr>
          <w:rFonts w:ascii="Garamond" w:hAnsi="Garamond" w:cs="Times New Roman"/>
          <w:sz w:val="24"/>
          <w:szCs w:val="24"/>
        </w:rPr>
        <w:t xml:space="preserve"> duke kërkuar kështu një hyrje të sigurt në tregun e punës. Edhe pse këto lloj konceptesh po sfidohen nga rritja e numrit të të rinjve sipërmarrës dhe të angazhuar në nisma </w:t>
      </w:r>
      <w:r w:rsidR="00081887" w:rsidRPr="00E83C5E">
        <w:rPr>
          <w:rFonts w:ascii="Garamond" w:hAnsi="Garamond" w:cs="Times New Roman"/>
          <w:i/>
          <w:sz w:val="24"/>
          <w:szCs w:val="24"/>
        </w:rPr>
        <w:t>start-up</w:t>
      </w:r>
      <w:r w:rsidR="00081887" w:rsidRPr="00E83C5E">
        <w:rPr>
          <w:rFonts w:ascii="Garamond" w:hAnsi="Garamond" w:cs="Times New Roman"/>
          <w:sz w:val="24"/>
          <w:szCs w:val="24"/>
        </w:rPr>
        <w:t>,</w:t>
      </w:r>
      <w:r w:rsidRPr="00E83C5E">
        <w:rPr>
          <w:rFonts w:ascii="Garamond" w:hAnsi="Garamond" w:cs="Times New Roman"/>
          <w:sz w:val="24"/>
          <w:szCs w:val="24"/>
        </w:rPr>
        <w:t xml:space="preserve"> si dhe nga numri në rritje i të rinjve në arsimin profesional, në Shqipëri karriera vazhdon të jetë e lidhur ngushtë me mbarimin e studimeve të larta dhe gjetjen e një pune të sigurt. </w:t>
      </w:r>
    </w:p>
    <w:p w14:paraId="574E2CA4" w14:textId="6B83E6D9" w:rsidR="002F7250" w:rsidRPr="00E83C5E" w:rsidRDefault="002F7250" w:rsidP="002F7250">
      <w:pPr>
        <w:shd w:val="clear" w:color="auto" w:fill="FFFFFF" w:themeFill="background1"/>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Shumë të rinj e shohin si problem e jo si mundësi të re faktin që ata punësohen në një fushë q</w:t>
      </w:r>
      <w:r w:rsidR="00081887" w:rsidRPr="00E83C5E">
        <w:rPr>
          <w:rFonts w:ascii="Garamond" w:hAnsi="Garamond" w:cs="Times New Roman"/>
          <w:sz w:val="24"/>
          <w:szCs w:val="24"/>
        </w:rPr>
        <w:t>ë</w:t>
      </w:r>
      <w:r w:rsidRPr="00E83C5E">
        <w:rPr>
          <w:rFonts w:ascii="Garamond" w:hAnsi="Garamond" w:cs="Times New Roman"/>
          <w:sz w:val="24"/>
          <w:szCs w:val="24"/>
        </w:rPr>
        <w:t xml:space="preserve"> nuk lidhet </w:t>
      </w:r>
      <w:r w:rsidR="006A76BE" w:rsidRPr="00E83C5E">
        <w:rPr>
          <w:rFonts w:ascii="Garamond" w:hAnsi="Garamond" w:cs="Times New Roman"/>
          <w:sz w:val="24"/>
          <w:szCs w:val="24"/>
        </w:rPr>
        <w:t>drejtpërsëdrejti</w:t>
      </w:r>
      <w:r w:rsidRPr="00E83C5E">
        <w:rPr>
          <w:rFonts w:ascii="Garamond" w:hAnsi="Garamond" w:cs="Times New Roman"/>
          <w:sz w:val="24"/>
          <w:szCs w:val="24"/>
        </w:rPr>
        <w:t xml:space="preserve"> me studimet e tyre universitare. Kultura e gjetjes së vendit të punës bazuar në njohuritë e marra në </w:t>
      </w:r>
      <w:r w:rsidR="006A76BE" w:rsidRPr="00E83C5E">
        <w:rPr>
          <w:rFonts w:ascii="Garamond" w:hAnsi="Garamond" w:cs="Times New Roman"/>
          <w:sz w:val="24"/>
          <w:szCs w:val="24"/>
        </w:rPr>
        <w:t>mënyrë</w:t>
      </w:r>
      <w:r w:rsidRPr="00E83C5E">
        <w:rPr>
          <w:rFonts w:ascii="Garamond" w:hAnsi="Garamond" w:cs="Times New Roman"/>
          <w:sz w:val="24"/>
          <w:szCs w:val="24"/>
        </w:rPr>
        <w:t xml:space="preserve"> informale dhe joformale nuk ka fituar terrenin e duhur edhe pse tashmë janë miratuar vendimet qeveritare që e mundësojnë njohjen e përvojave të tilla, të cilat i shërbejnë të rinjve për t’u punësuar jashtë fushës së tyre të studimeve. </w:t>
      </w:r>
    </w:p>
    <w:p w14:paraId="574E2CA5" w14:textId="08D94DF7" w:rsidR="002F7250" w:rsidRPr="00E83C5E" w:rsidRDefault="002F7250" w:rsidP="002F7250">
      <w:pPr>
        <w:shd w:val="clear" w:color="auto" w:fill="FFFFFF" w:themeFill="background1"/>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Zhvillimi i sektorit të ndërmjetësimit profesional apo shërbimit të karrierës si përmes zyrave të punës dhe në sistemin arsimor është një tjetër sfidë që kërkon zgjidhje të menjëhershme duke plotësuar edhe kërkesën më kryesore të të rinjve në takimet konsultuese në çdo nivel. </w:t>
      </w:r>
    </w:p>
    <w:p w14:paraId="574E2CA6" w14:textId="77777777" w:rsidR="002F7250" w:rsidRPr="00E83C5E" w:rsidRDefault="002F7250" w:rsidP="002F7250">
      <w:pPr>
        <w:shd w:val="clear" w:color="auto" w:fill="FFFFFF" w:themeFill="background1"/>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Së fundi sigurimi dhe nxitja e punësimit në vend dhe angazhimi i të rinjve në punësim të qëndrueshëm kërkon politika edhe më të forta nga ana e qeverisë për t’u përballuar efektivisht me fenomenin e largimit të rinisë nga vendi. Kjo strategji synon në këtë pjesë të ndryshojë perceptimet për punësimin në vend. </w:t>
      </w:r>
    </w:p>
    <w:p w14:paraId="574E2CA7" w14:textId="77777777" w:rsidR="002F7250" w:rsidRPr="00E83C5E" w:rsidRDefault="002F7250" w:rsidP="002F7250">
      <w:pPr>
        <w:shd w:val="clear" w:color="auto" w:fill="FFFFFF" w:themeFill="background1"/>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Mbetet shumë për të bërë për të kuptuar dhe studiuar më thellë zhvillimet në arsimin profesional dhe lidhjet që disa nga institucionet kanë krijuar me tregun e punës. Kuptimi më i mirë i të dhënave të zbërthyera në nivel qarku apo bashkie do të siguronte një shpërndarje më të mirë të degëve të studimit duke i orientuar ato fuqishëm nga tregu i punës e duke zhvilluar programe studimi që lidhen me digjitalizimin dhe automatizimin e proceseve. </w:t>
      </w:r>
    </w:p>
    <w:p w14:paraId="574E2CA8" w14:textId="1C40D43C" w:rsidR="002F7250" w:rsidRPr="00E83C5E" w:rsidRDefault="002F7250" w:rsidP="002F7250">
      <w:pPr>
        <w:shd w:val="clear" w:color="auto" w:fill="FFFFFF" w:themeFill="background1"/>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Zbërthimi i të dhënave statistikore do mundësonte edhe të </w:t>
      </w:r>
      <w:r w:rsidR="006A76BE" w:rsidRPr="00E83C5E">
        <w:rPr>
          <w:rFonts w:ascii="Garamond" w:hAnsi="Garamond" w:cs="Times New Roman"/>
          <w:sz w:val="24"/>
          <w:szCs w:val="24"/>
        </w:rPr>
        <w:t>kuptuarin</w:t>
      </w:r>
      <w:r w:rsidRPr="00E83C5E">
        <w:rPr>
          <w:rFonts w:ascii="Garamond" w:hAnsi="Garamond" w:cs="Times New Roman"/>
          <w:sz w:val="24"/>
          <w:szCs w:val="24"/>
        </w:rPr>
        <w:t xml:space="preserve"> e të rinjve në aktivitetet jashtë shkollore dhe jetën e tyre virtuale duke hapur kështu mundësitë për të bërë realitet planet për digjitalizimin e proceseve arsimore. Sfida në këtë proces mbetet sigurimi i furnizimit me shërbime të qëndrueshme dhe të sigurta interneti në shkolla dhe mjedise të tjera rinore.</w:t>
      </w:r>
    </w:p>
    <w:p w14:paraId="574E2CA9" w14:textId="2E7DD229" w:rsidR="002F7250" w:rsidRPr="00E83C5E" w:rsidRDefault="002F7250" w:rsidP="002F7250">
      <w:pPr>
        <w:spacing w:after="0" w:line="240" w:lineRule="auto"/>
        <w:ind w:firstLine="284"/>
        <w:jc w:val="both"/>
        <w:rPr>
          <w:rFonts w:ascii="Garamond" w:eastAsia="Times New Roman" w:hAnsi="Garamond" w:cs="Times New Roman"/>
          <w:b/>
          <w:bCs/>
          <w:sz w:val="24"/>
          <w:szCs w:val="24"/>
        </w:rPr>
      </w:pPr>
      <w:r w:rsidRPr="00E83C5E">
        <w:rPr>
          <w:rFonts w:ascii="Garamond" w:eastAsia="Times New Roman" w:hAnsi="Garamond" w:cs="Times New Roman"/>
          <w:b/>
          <w:bCs/>
          <w:sz w:val="24"/>
          <w:szCs w:val="24"/>
        </w:rPr>
        <w:t xml:space="preserve">Institucionet </w:t>
      </w:r>
      <w:r w:rsidR="006A76BE" w:rsidRPr="00E83C5E">
        <w:rPr>
          <w:rFonts w:ascii="Garamond" w:eastAsia="Times New Roman" w:hAnsi="Garamond" w:cs="Times New Roman"/>
          <w:b/>
          <w:bCs/>
          <w:sz w:val="24"/>
          <w:szCs w:val="24"/>
        </w:rPr>
        <w:t>d</w:t>
      </w:r>
      <w:r w:rsidRPr="00E83C5E">
        <w:rPr>
          <w:rFonts w:ascii="Garamond" w:eastAsia="Times New Roman" w:hAnsi="Garamond" w:cs="Times New Roman"/>
          <w:b/>
          <w:bCs/>
          <w:sz w:val="24"/>
          <w:szCs w:val="24"/>
        </w:rPr>
        <w:t>rejtues</w:t>
      </w:r>
    </w:p>
    <w:p w14:paraId="574E2CAA" w14:textId="77777777" w:rsidR="002F7250" w:rsidRPr="00E83C5E" w:rsidRDefault="002F7250" w:rsidP="002F7250">
      <w:pPr>
        <w:pStyle w:val="ListParagraph"/>
        <w:spacing w:line="240" w:lineRule="auto"/>
        <w:ind w:left="0" w:firstLine="284"/>
        <w:rPr>
          <w:rFonts w:ascii="Garamond" w:eastAsia="Times New Roman" w:hAnsi="Garamond" w:cs="Times New Roman"/>
          <w:szCs w:val="24"/>
          <w:lang w:val="sq-AL"/>
        </w:rPr>
      </w:pPr>
      <w:r w:rsidRPr="00E83C5E">
        <w:rPr>
          <w:rFonts w:ascii="Garamond" w:eastAsia="Times New Roman" w:hAnsi="Garamond" w:cs="Times New Roman"/>
          <w:szCs w:val="24"/>
          <w:lang w:val="sq-AL"/>
        </w:rPr>
        <w:t>MSHRF, MAS, AKR</w:t>
      </w:r>
    </w:p>
    <w:p w14:paraId="574E2CAB" w14:textId="556C07E8" w:rsidR="002F7250" w:rsidRPr="00E83C5E" w:rsidRDefault="002F7250" w:rsidP="002F7250">
      <w:pPr>
        <w:shd w:val="clear" w:color="auto" w:fill="FFFFFF"/>
        <w:spacing w:after="0" w:line="240" w:lineRule="auto"/>
        <w:ind w:firstLine="284"/>
        <w:rPr>
          <w:rFonts w:ascii="Garamond" w:eastAsia="Times New Roman" w:hAnsi="Garamond" w:cs="Times New Roman"/>
          <w:b/>
          <w:bCs/>
          <w:sz w:val="24"/>
          <w:szCs w:val="24"/>
        </w:rPr>
      </w:pPr>
      <w:r w:rsidRPr="00E83C5E">
        <w:rPr>
          <w:rFonts w:ascii="Garamond" w:eastAsia="Times New Roman" w:hAnsi="Garamond" w:cs="Times New Roman"/>
          <w:b/>
          <w:bCs/>
          <w:sz w:val="24"/>
          <w:szCs w:val="24"/>
        </w:rPr>
        <w:t xml:space="preserve">Institucionet </w:t>
      </w:r>
      <w:r w:rsidR="006A76BE" w:rsidRPr="00E83C5E">
        <w:rPr>
          <w:rFonts w:ascii="Garamond" w:eastAsia="Times New Roman" w:hAnsi="Garamond" w:cs="Times New Roman"/>
          <w:b/>
          <w:bCs/>
          <w:sz w:val="24"/>
          <w:szCs w:val="24"/>
        </w:rPr>
        <w:t>p</w:t>
      </w:r>
      <w:r w:rsidRPr="00E83C5E">
        <w:rPr>
          <w:rFonts w:ascii="Garamond" w:eastAsia="Times New Roman" w:hAnsi="Garamond" w:cs="Times New Roman"/>
          <w:b/>
          <w:bCs/>
          <w:sz w:val="24"/>
          <w:szCs w:val="24"/>
        </w:rPr>
        <w:t>jesëmarrës</w:t>
      </w:r>
    </w:p>
    <w:p w14:paraId="574E2CAC" w14:textId="77777777" w:rsidR="002F7250" w:rsidRPr="00E83C5E" w:rsidRDefault="002F7250" w:rsidP="002F7250">
      <w:pPr>
        <w:shd w:val="clear" w:color="auto" w:fill="FFFFFF" w:themeFill="background1"/>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MEF, AKPA, AKSHI, RASH, AKCESK </w:t>
      </w:r>
    </w:p>
    <w:p w14:paraId="574E2CAD" w14:textId="6D5C2A9E" w:rsidR="002F7250" w:rsidRPr="00E83C5E" w:rsidRDefault="002F7250" w:rsidP="002F7250">
      <w:pPr>
        <w:shd w:val="clear" w:color="auto" w:fill="FFFFFF" w:themeFill="background1"/>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Masat dhe buxhetet e ndërlidhura për të arritur objektivat e specifikuar janë përshkruar në planin e veprimit të ngarkuara në IPSIS.</w:t>
      </w:r>
    </w:p>
    <w:p w14:paraId="574E2CAE" w14:textId="77777777" w:rsidR="002F7250" w:rsidRPr="00E83C5E" w:rsidRDefault="002F7250" w:rsidP="00FB3187">
      <w:pPr>
        <w:pStyle w:val="TEKSTIII"/>
        <w:rPr>
          <w:b/>
          <w:iCs/>
        </w:rPr>
      </w:pPr>
      <w:r w:rsidRPr="00E83C5E">
        <w:rPr>
          <w:b/>
          <w:iCs/>
        </w:rPr>
        <w:t xml:space="preserve">Lidhja e objektivit specifik me Marrëveshjen e Stabilizim-Asociimit. </w:t>
      </w:r>
    </w:p>
    <w:p w14:paraId="574E2CAF" w14:textId="6F92773A" w:rsidR="002F7250" w:rsidRPr="00E83C5E" w:rsidRDefault="002F7250" w:rsidP="002F7250">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Objektivi </w:t>
      </w:r>
      <w:r w:rsidR="006A76BE" w:rsidRPr="00E83C5E">
        <w:rPr>
          <w:rFonts w:ascii="Garamond" w:hAnsi="Garamond" w:cs="Times New Roman"/>
          <w:sz w:val="24"/>
          <w:szCs w:val="24"/>
        </w:rPr>
        <w:t>s</w:t>
      </w:r>
      <w:r w:rsidRPr="00E83C5E">
        <w:rPr>
          <w:rFonts w:ascii="Garamond" w:hAnsi="Garamond" w:cs="Times New Roman"/>
          <w:sz w:val="24"/>
          <w:szCs w:val="24"/>
        </w:rPr>
        <w:t xml:space="preserve">pecifik 2.2 synon të fuqizojë informacionet që marrin të rinjtë në lidhje me tregun e punës dhe zgjedhjes më të mirë të përvojës së tyre arsimore që t’i shërbejë punësimit. </w:t>
      </w:r>
    </w:p>
    <w:p w14:paraId="574E2CB0" w14:textId="3D088A12" w:rsidR="002F7250" w:rsidRPr="00E83C5E" w:rsidRDefault="002F7250" w:rsidP="002F7250">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lastRenderedPageBreak/>
        <w:t xml:space="preserve">Ky objektiv lidhet me </w:t>
      </w:r>
      <w:r w:rsidR="006A76BE" w:rsidRPr="00E83C5E">
        <w:rPr>
          <w:rFonts w:ascii="Garamond" w:hAnsi="Garamond" w:cs="Times New Roman"/>
          <w:sz w:val="24"/>
          <w:szCs w:val="24"/>
        </w:rPr>
        <w:t>k</w:t>
      </w:r>
      <w:r w:rsidRPr="00E83C5E">
        <w:rPr>
          <w:rFonts w:ascii="Garamond" w:hAnsi="Garamond" w:cs="Times New Roman"/>
          <w:sz w:val="24"/>
          <w:szCs w:val="24"/>
        </w:rPr>
        <w:t>apitullin V të MSA, nenin 77, që specifikon kushtet e punës mundësitë e barabarta si edhe me titullin VIII të MSA me nenin 100 të saj për arsimin dhe trajnim cilësor.</w:t>
      </w:r>
    </w:p>
    <w:p w14:paraId="574E2CB1" w14:textId="77777777" w:rsidR="002F7250" w:rsidRPr="00E83C5E" w:rsidRDefault="002F7250" w:rsidP="002F7250">
      <w:pPr>
        <w:spacing w:after="0" w:line="240" w:lineRule="auto"/>
        <w:ind w:firstLine="284"/>
        <w:jc w:val="both"/>
        <w:rPr>
          <w:rFonts w:ascii="Garamond" w:hAnsi="Garamond" w:cs="Times New Roman"/>
          <w:sz w:val="24"/>
          <w:szCs w:val="24"/>
        </w:rPr>
      </w:pPr>
      <w:r w:rsidRPr="00E83C5E">
        <w:rPr>
          <w:rStyle w:val="jlqj4b"/>
          <w:rFonts w:ascii="Garamond" w:eastAsiaTheme="majorEastAsia" w:hAnsi="Garamond" w:cs="Times New Roman"/>
          <w:sz w:val="24"/>
          <w:szCs w:val="24"/>
        </w:rPr>
        <w:t xml:space="preserve">Ky qëllim gjithashtu lidhet me </w:t>
      </w:r>
      <w:r w:rsidRPr="00E83C5E">
        <w:rPr>
          <w:rFonts w:ascii="Garamond" w:hAnsi="Garamond" w:cs="Times New Roman"/>
          <w:sz w:val="24"/>
          <w:szCs w:val="24"/>
        </w:rPr>
        <w:t>Planin Kombëtar për Integrimin Evropian 2021–2023</w:t>
      </w:r>
      <w:r w:rsidRPr="00E83C5E">
        <w:rPr>
          <w:rStyle w:val="FootnoteReference"/>
          <w:rFonts w:ascii="Garamond" w:hAnsi="Garamond" w:cs="Times New Roman"/>
          <w:sz w:val="24"/>
          <w:szCs w:val="24"/>
        </w:rPr>
        <w:footnoteReference w:id="23"/>
      </w:r>
      <w:r w:rsidRPr="00E83C5E">
        <w:rPr>
          <w:rFonts w:ascii="Garamond" w:hAnsi="Garamond" w:cs="Times New Roman"/>
          <w:sz w:val="24"/>
          <w:szCs w:val="24"/>
        </w:rPr>
        <w:t xml:space="preserve">, me kapitullin 2 për lëvizjen e lirë të punëtorëve, kapitullin 19 për politikat sociale të punësimit dhe kapitullin 26 për arsimin dhe kulturën. </w:t>
      </w:r>
    </w:p>
    <w:p w14:paraId="574E2CB2" w14:textId="77777777" w:rsidR="002F7250" w:rsidRPr="00E83C5E" w:rsidRDefault="002F7250" w:rsidP="002F7250">
      <w:pPr>
        <w:spacing w:after="0" w:line="240" w:lineRule="auto"/>
        <w:ind w:firstLine="284"/>
        <w:jc w:val="both"/>
        <w:rPr>
          <w:rFonts w:ascii="Garamond" w:eastAsiaTheme="majorEastAsia" w:hAnsi="Garamond" w:cs="Times New Roman"/>
          <w:sz w:val="24"/>
          <w:szCs w:val="24"/>
        </w:rPr>
      </w:pPr>
      <w:r w:rsidRPr="00E83C5E">
        <w:rPr>
          <w:rFonts w:ascii="Garamond" w:hAnsi="Garamond" w:cs="Times New Roman"/>
          <w:bCs/>
          <w:sz w:val="24"/>
          <w:szCs w:val="24"/>
        </w:rPr>
        <w:t xml:space="preserve">Ky objektiv specifik lidhet me </w:t>
      </w:r>
      <w:r w:rsidRPr="00E83C5E">
        <w:rPr>
          <w:rFonts w:ascii="Garamond" w:eastAsiaTheme="majorEastAsia" w:hAnsi="Garamond" w:cs="Times New Roman"/>
          <w:color w:val="000000" w:themeColor="text1"/>
          <w:sz w:val="24"/>
          <w:szCs w:val="24"/>
        </w:rPr>
        <w:t xml:space="preserve">OZHQ 8 </w:t>
      </w:r>
      <w:r w:rsidRPr="00E83C5E">
        <w:rPr>
          <w:rFonts w:ascii="Garamond" w:hAnsi="Garamond" w:cs="Times New Roman"/>
          <w:sz w:val="24"/>
          <w:szCs w:val="24"/>
        </w:rPr>
        <w:t>(punësimi dinjitoz) dhe OZHQ 4 (arsimi cilësor</w:t>
      </w:r>
      <w:r w:rsidRPr="00E83C5E">
        <w:rPr>
          <w:rStyle w:val="jlqj4b"/>
          <w:rFonts w:ascii="Garamond" w:eastAsiaTheme="majorEastAsia" w:hAnsi="Garamond" w:cs="Times New Roman"/>
          <w:sz w:val="24"/>
          <w:szCs w:val="24"/>
        </w:rPr>
        <w:t>)</w:t>
      </w:r>
      <w:r w:rsidRPr="00E83C5E">
        <w:rPr>
          <w:rFonts w:ascii="Garamond" w:hAnsi="Garamond" w:cs="Times New Roman"/>
          <w:sz w:val="24"/>
          <w:szCs w:val="24"/>
        </w:rPr>
        <w:t xml:space="preserve"> por edhe me OZHQ 10 (zvogëlimi i pabarazive) dhe 17 (partneritet për qëllimet). </w:t>
      </w:r>
    </w:p>
    <w:p w14:paraId="574E2CB5" w14:textId="2D35C537" w:rsidR="00FB3187" w:rsidRPr="00E83C5E" w:rsidRDefault="002F7250" w:rsidP="006A76BE">
      <w:pPr>
        <w:pStyle w:val="TEKSTIII"/>
        <w:rPr>
          <w:color w:val="000000" w:themeColor="text1"/>
        </w:rPr>
      </w:pPr>
      <w:r w:rsidRPr="00E83C5E">
        <w:rPr>
          <w:b/>
        </w:rPr>
        <w:t>Treguesit kryesorë të rezultateve</w:t>
      </w:r>
    </w:p>
    <w:p w14:paraId="574E2CB6" w14:textId="77777777" w:rsidR="002F7250" w:rsidRPr="00E83C5E" w:rsidRDefault="002F7250" w:rsidP="002F7250">
      <w:pPr>
        <w:pStyle w:val="Caption"/>
        <w:keepNext/>
        <w:spacing w:after="0"/>
        <w:ind w:firstLine="284"/>
        <w:rPr>
          <w:rFonts w:ascii="Garamond" w:hAnsi="Garamond"/>
          <w:color w:val="000000" w:themeColor="text1"/>
          <w:sz w:val="24"/>
          <w:szCs w:val="24"/>
        </w:rPr>
      </w:pPr>
      <w:r w:rsidRPr="00E83C5E">
        <w:rPr>
          <w:rFonts w:ascii="Garamond" w:hAnsi="Garamond"/>
          <w:color w:val="000000" w:themeColor="text1"/>
          <w:sz w:val="24"/>
          <w:szCs w:val="24"/>
        </w:rPr>
        <w:t xml:space="preserve">Tabela </w:t>
      </w:r>
      <w:r w:rsidRPr="00E83C5E">
        <w:rPr>
          <w:rFonts w:ascii="Garamond" w:hAnsi="Garamond"/>
          <w:color w:val="000000" w:themeColor="text1"/>
          <w:sz w:val="24"/>
          <w:szCs w:val="24"/>
        </w:rPr>
        <w:fldChar w:fldCharType="begin"/>
      </w:r>
      <w:r w:rsidRPr="00E83C5E">
        <w:rPr>
          <w:rFonts w:ascii="Garamond" w:hAnsi="Garamond"/>
          <w:color w:val="000000" w:themeColor="text1"/>
          <w:sz w:val="24"/>
          <w:szCs w:val="24"/>
        </w:rPr>
        <w:instrText xml:space="preserve"> SEQ Tabela \* ARABIC </w:instrText>
      </w:r>
      <w:r w:rsidRPr="00E83C5E">
        <w:rPr>
          <w:rFonts w:ascii="Garamond" w:hAnsi="Garamond"/>
          <w:color w:val="000000" w:themeColor="text1"/>
          <w:sz w:val="24"/>
          <w:szCs w:val="24"/>
        </w:rPr>
        <w:fldChar w:fldCharType="separate"/>
      </w:r>
      <w:r w:rsidRPr="00E83C5E">
        <w:rPr>
          <w:rFonts w:ascii="Garamond" w:hAnsi="Garamond"/>
          <w:color w:val="000000" w:themeColor="text1"/>
          <w:sz w:val="24"/>
          <w:szCs w:val="24"/>
        </w:rPr>
        <w:t>12</w:t>
      </w:r>
      <w:r w:rsidRPr="00E83C5E">
        <w:rPr>
          <w:rFonts w:ascii="Garamond" w:hAnsi="Garamond"/>
          <w:color w:val="000000" w:themeColor="text1"/>
          <w:sz w:val="24"/>
          <w:szCs w:val="24"/>
        </w:rPr>
        <w:fldChar w:fldCharType="end"/>
      </w:r>
      <w:r w:rsidRPr="00E83C5E">
        <w:rPr>
          <w:rFonts w:ascii="Garamond" w:hAnsi="Garamond"/>
          <w:color w:val="000000" w:themeColor="text1"/>
          <w:sz w:val="24"/>
          <w:szCs w:val="24"/>
        </w:rPr>
        <w:t>: Lista e treguesve kyç të performancës lidhur me objektivin specifik 2.2</w:t>
      </w:r>
    </w:p>
    <w:tbl>
      <w:tblPr>
        <w:tblStyle w:val="GridTable1Light-Accent11"/>
        <w:tblW w:w="9535" w:type="dxa"/>
        <w:tblLook w:val="04A0" w:firstRow="1" w:lastRow="0" w:firstColumn="1" w:lastColumn="0" w:noHBand="0" w:noVBand="1"/>
      </w:tblPr>
      <w:tblGrid>
        <w:gridCol w:w="1156"/>
        <w:gridCol w:w="1912"/>
        <w:gridCol w:w="2689"/>
        <w:gridCol w:w="2389"/>
        <w:gridCol w:w="1389"/>
      </w:tblGrid>
      <w:tr w:rsidR="002F7250" w:rsidRPr="00E83C5E" w14:paraId="574E2CBD" w14:textId="77777777" w:rsidTr="006A76BE">
        <w:trPr>
          <w:cnfStyle w:val="100000000000" w:firstRow="1" w:lastRow="0" w:firstColumn="0" w:lastColumn="0" w:oddVBand="0" w:evenVBand="0" w:oddHBand="0"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1157" w:type="dxa"/>
          </w:tcPr>
          <w:p w14:paraId="574E2CB7" w14:textId="77777777" w:rsidR="002F7250" w:rsidRPr="00E83C5E" w:rsidRDefault="002F7250" w:rsidP="00FB3187">
            <w:pPr>
              <w:jc w:val="center"/>
              <w:rPr>
                <w:rFonts w:ascii="Garamond" w:hAnsi="Garamond" w:cs="Times New Roman"/>
                <w:b w:val="0"/>
                <w:color w:val="000000" w:themeColor="text1"/>
                <w:sz w:val="20"/>
                <w:szCs w:val="24"/>
                <w:lang w:eastAsia="en-GB"/>
              </w:rPr>
            </w:pPr>
            <w:r w:rsidRPr="00E83C5E">
              <w:rPr>
                <w:rFonts w:ascii="Garamond" w:hAnsi="Garamond" w:cs="Times New Roman"/>
                <w:color w:val="000000" w:themeColor="text1"/>
                <w:sz w:val="20"/>
                <w:szCs w:val="24"/>
                <w:lang w:eastAsia="en-GB"/>
              </w:rPr>
              <w:t>Lloji i treguesit</w:t>
            </w:r>
          </w:p>
        </w:tc>
        <w:tc>
          <w:tcPr>
            <w:tcW w:w="1898" w:type="dxa"/>
          </w:tcPr>
          <w:p w14:paraId="574E2CB8" w14:textId="77777777" w:rsidR="002F7250" w:rsidRPr="00E83C5E" w:rsidRDefault="002F7250" w:rsidP="00FB3187">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color w:val="000000" w:themeColor="text1"/>
                <w:sz w:val="20"/>
                <w:szCs w:val="24"/>
                <w:lang w:eastAsia="en-GB"/>
              </w:rPr>
            </w:pPr>
            <w:r w:rsidRPr="00E83C5E">
              <w:rPr>
                <w:rFonts w:ascii="Garamond" w:hAnsi="Garamond" w:cs="Times New Roman"/>
                <w:color w:val="000000" w:themeColor="text1"/>
                <w:sz w:val="20"/>
                <w:szCs w:val="24"/>
              </w:rPr>
              <w:t>Emërtimi i treguesit</w:t>
            </w:r>
          </w:p>
        </w:tc>
        <w:tc>
          <w:tcPr>
            <w:tcW w:w="2696" w:type="dxa"/>
          </w:tcPr>
          <w:p w14:paraId="574E2CB9" w14:textId="02A5C9A7" w:rsidR="002F7250" w:rsidRPr="00E83C5E" w:rsidRDefault="002F7250" w:rsidP="00FB3187">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color w:val="000000" w:themeColor="text1"/>
                <w:sz w:val="20"/>
                <w:szCs w:val="24"/>
                <w:lang w:eastAsia="en-GB"/>
              </w:rPr>
            </w:pPr>
            <w:r w:rsidRPr="00E83C5E">
              <w:rPr>
                <w:rFonts w:ascii="Garamond" w:hAnsi="Garamond" w:cs="Times New Roman"/>
                <w:color w:val="000000" w:themeColor="text1"/>
                <w:sz w:val="20"/>
                <w:szCs w:val="24"/>
                <w:lang w:eastAsia="en-GB"/>
              </w:rPr>
              <w:t xml:space="preserve">Lidhja me </w:t>
            </w:r>
            <w:r w:rsidR="006A76BE" w:rsidRPr="00E83C5E">
              <w:rPr>
                <w:rFonts w:ascii="Garamond" w:hAnsi="Garamond" w:cs="Times New Roman"/>
                <w:color w:val="000000" w:themeColor="text1"/>
                <w:sz w:val="20"/>
                <w:szCs w:val="24"/>
                <w:lang w:eastAsia="en-GB"/>
              </w:rPr>
              <w:t>qëllimin e politikës</w:t>
            </w:r>
          </w:p>
        </w:tc>
        <w:tc>
          <w:tcPr>
            <w:tcW w:w="2394" w:type="dxa"/>
          </w:tcPr>
          <w:p w14:paraId="574E2CBA" w14:textId="24CEAA96" w:rsidR="002F7250" w:rsidRPr="00E83C5E" w:rsidRDefault="002F7250" w:rsidP="00FB3187">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color w:val="000000" w:themeColor="text1"/>
                <w:sz w:val="20"/>
                <w:szCs w:val="24"/>
                <w:lang w:eastAsia="en-GB"/>
              </w:rPr>
            </w:pPr>
            <w:r w:rsidRPr="00E83C5E">
              <w:rPr>
                <w:rFonts w:ascii="Garamond" w:hAnsi="Garamond" w:cs="Times New Roman"/>
                <w:color w:val="000000" w:themeColor="text1"/>
                <w:sz w:val="20"/>
                <w:szCs w:val="24"/>
                <w:lang w:eastAsia="en-GB"/>
              </w:rPr>
              <w:t xml:space="preserve">Lidhja me </w:t>
            </w:r>
            <w:r w:rsidR="006A76BE" w:rsidRPr="00E83C5E">
              <w:rPr>
                <w:rFonts w:ascii="Garamond" w:hAnsi="Garamond" w:cs="Times New Roman"/>
                <w:color w:val="000000" w:themeColor="text1"/>
                <w:sz w:val="20"/>
                <w:szCs w:val="24"/>
                <w:lang w:eastAsia="en-GB"/>
              </w:rPr>
              <w:t>objektivin specifik</w:t>
            </w:r>
          </w:p>
        </w:tc>
        <w:tc>
          <w:tcPr>
            <w:tcW w:w="1390" w:type="dxa"/>
          </w:tcPr>
          <w:p w14:paraId="574E2CBC" w14:textId="3ADF24B1" w:rsidR="002F7250" w:rsidRPr="00E83C5E" w:rsidRDefault="002F7250" w:rsidP="006A76BE">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color w:val="000000" w:themeColor="text1"/>
                <w:sz w:val="20"/>
                <w:szCs w:val="24"/>
                <w:lang w:eastAsia="en-GB"/>
              </w:rPr>
            </w:pPr>
            <w:r w:rsidRPr="00E83C5E">
              <w:rPr>
                <w:rFonts w:ascii="Garamond" w:hAnsi="Garamond" w:cs="Times New Roman"/>
                <w:color w:val="000000" w:themeColor="text1"/>
                <w:sz w:val="20"/>
                <w:szCs w:val="24"/>
                <w:lang w:eastAsia="en-GB"/>
              </w:rPr>
              <w:t xml:space="preserve">Institucioni </w:t>
            </w:r>
            <w:r w:rsidR="006A76BE" w:rsidRPr="00E83C5E">
              <w:rPr>
                <w:rFonts w:ascii="Garamond" w:hAnsi="Garamond" w:cs="Times New Roman"/>
                <w:color w:val="000000" w:themeColor="text1"/>
                <w:sz w:val="20"/>
                <w:szCs w:val="24"/>
                <w:lang w:eastAsia="en-GB"/>
              </w:rPr>
              <w:t>përgjegjës</w:t>
            </w:r>
          </w:p>
        </w:tc>
      </w:tr>
      <w:tr w:rsidR="002F7250" w:rsidRPr="00E83C5E" w14:paraId="574E2CC4" w14:textId="77777777" w:rsidTr="00BC2136">
        <w:trPr>
          <w:trHeight w:val="710"/>
        </w:trPr>
        <w:tc>
          <w:tcPr>
            <w:cnfStyle w:val="001000000000" w:firstRow="0" w:lastRow="0" w:firstColumn="1" w:lastColumn="0" w:oddVBand="0" w:evenVBand="0" w:oddHBand="0" w:evenHBand="0" w:firstRowFirstColumn="0" w:firstRowLastColumn="0" w:lastRowFirstColumn="0" w:lastRowLastColumn="0"/>
            <w:tcW w:w="1157" w:type="dxa"/>
          </w:tcPr>
          <w:p w14:paraId="574E2CBE" w14:textId="77777777" w:rsidR="002F7250" w:rsidRPr="00E83C5E" w:rsidRDefault="002F7250" w:rsidP="00FB3187">
            <w:pPr>
              <w:jc w:val="both"/>
              <w:rPr>
                <w:rFonts w:ascii="Garamond" w:hAnsi="Garamond" w:cs="Times New Roman"/>
                <w:sz w:val="20"/>
                <w:szCs w:val="24"/>
                <w:lang w:eastAsia="en-GB"/>
              </w:rPr>
            </w:pPr>
            <w:r w:rsidRPr="00E83C5E">
              <w:rPr>
                <w:rFonts w:ascii="Garamond" w:hAnsi="Garamond" w:cs="Times New Roman"/>
                <w:sz w:val="20"/>
                <w:szCs w:val="24"/>
                <w:lang w:eastAsia="en-GB"/>
              </w:rPr>
              <w:t>Rezultati</w:t>
            </w:r>
          </w:p>
        </w:tc>
        <w:tc>
          <w:tcPr>
            <w:tcW w:w="1898" w:type="dxa"/>
          </w:tcPr>
          <w:p w14:paraId="574E2CBF" w14:textId="77777777" w:rsidR="002F7250" w:rsidRPr="00E83C5E" w:rsidRDefault="002F7250" w:rsidP="00FB3187">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Numri i të rinjve që kanë marrë pjesë në programe shkëmbimi/mobiliteti arsimore</w:t>
            </w:r>
          </w:p>
        </w:tc>
        <w:tc>
          <w:tcPr>
            <w:tcW w:w="2696" w:type="dxa"/>
          </w:tcPr>
          <w:p w14:paraId="574E2CC0" w14:textId="77777777" w:rsidR="002F7250" w:rsidRPr="00E83C5E" w:rsidRDefault="002F7250" w:rsidP="00FB3187">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 xml:space="preserve">Novacioni, edukimi, autonomia, drejtësia si barazi (equity) </w:t>
            </w:r>
          </w:p>
          <w:p w14:paraId="574E2CC1" w14:textId="77777777" w:rsidR="002F7250" w:rsidRPr="00E83C5E" w:rsidRDefault="002F7250" w:rsidP="00FB3187">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Mbështetet dhe nxitet novacioni rinor dhe rritja e aftësive dhe profesionalizmit të të rejave dhe të rinjve përmes edukimit cilësor në TIK dhe fusha të tjera të zhvillimit digjital duke rritur dhe përmirësuar kështu mundësitë për të hyrë në tregun e punës.</w:t>
            </w:r>
          </w:p>
        </w:tc>
        <w:tc>
          <w:tcPr>
            <w:tcW w:w="2394" w:type="dxa"/>
          </w:tcPr>
          <w:p w14:paraId="574E2CC2" w14:textId="11BE9CB0" w:rsidR="002F7250" w:rsidRPr="00E83C5E" w:rsidRDefault="002F7250" w:rsidP="00FB3187">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Të rinjtë janë të informuar mirë për mundësitë arsimore të lidhura me tregun e punës dhe</w:t>
            </w:r>
            <w:r w:rsidR="00233C37" w:rsidRPr="00E83C5E">
              <w:rPr>
                <w:rFonts w:ascii="Garamond" w:hAnsi="Garamond" w:cs="Times New Roman"/>
                <w:sz w:val="20"/>
                <w:szCs w:val="24"/>
                <w:lang w:eastAsia="en-GB"/>
              </w:rPr>
              <w:t xml:space="preserve"> </w:t>
            </w:r>
            <w:r w:rsidRPr="00E83C5E">
              <w:rPr>
                <w:rFonts w:ascii="Garamond" w:hAnsi="Garamond" w:cs="Times New Roman"/>
                <w:sz w:val="20"/>
                <w:szCs w:val="24"/>
                <w:lang w:eastAsia="en-GB"/>
              </w:rPr>
              <w:t>ju mundësohet i mësuari cilësor si në arsimin formal ashtu edhe në atë joformal duke kontribuar në zhvillimin e</w:t>
            </w:r>
            <w:r w:rsidR="00233C37" w:rsidRPr="00E83C5E">
              <w:rPr>
                <w:rFonts w:ascii="Garamond" w:hAnsi="Garamond" w:cs="Times New Roman"/>
                <w:sz w:val="20"/>
                <w:szCs w:val="24"/>
                <w:lang w:eastAsia="en-GB"/>
              </w:rPr>
              <w:t xml:space="preserve"> </w:t>
            </w:r>
            <w:r w:rsidRPr="00E83C5E">
              <w:rPr>
                <w:rFonts w:ascii="Garamond" w:hAnsi="Garamond" w:cs="Times New Roman"/>
                <w:sz w:val="20"/>
                <w:szCs w:val="24"/>
                <w:lang w:eastAsia="en-GB"/>
              </w:rPr>
              <w:t>kompetencave, aftësive dhe virtyteve të tyre.</w:t>
            </w:r>
          </w:p>
        </w:tc>
        <w:tc>
          <w:tcPr>
            <w:tcW w:w="1390" w:type="dxa"/>
          </w:tcPr>
          <w:p w14:paraId="574E2CC3" w14:textId="77777777" w:rsidR="002F7250" w:rsidRPr="00E83C5E" w:rsidRDefault="002F7250" w:rsidP="00FB3187">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MAS, AKKSHI, AKPA</w:t>
            </w:r>
          </w:p>
        </w:tc>
      </w:tr>
    </w:tbl>
    <w:p w14:paraId="574E2CC7" w14:textId="1CF0D76E" w:rsidR="00FB3187" w:rsidRPr="00E83C5E" w:rsidRDefault="002F7250" w:rsidP="006A76BE">
      <w:pPr>
        <w:shd w:val="clear" w:color="auto" w:fill="FFFFFF" w:themeFill="background1"/>
        <w:spacing w:after="0" w:line="240" w:lineRule="auto"/>
        <w:ind w:firstLine="284"/>
        <w:jc w:val="both"/>
        <w:rPr>
          <w:rFonts w:ascii="Garamond" w:hAnsi="Garamond"/>
          <w:sz w:val="24"/>
          <w:szCs w:val="24"/>
        </w:rPr>
      </w:pPr>
      <w:r w:rsidRPr="00E83C5E">
        <w:rPr>
          <w:rFonts w:ascii="Garamond" w:hAnsi="Garamond" w:cs="Times New Roman"/>
          <w:sz w:val="24"/>
          <w:szCs w:val="24"/>
        </w:rPr>
        <w:t>Lista e plotë e masave në planin e veprimit:</w:t>
      </w:r>
    </w:p>
    <w:p w14:paraId="574E2CC8" w14:textId="77777777" w:rsidR="002F7250" w:rsidRPr="00E83C5E" w:rsidRDefault="002F7250" w:rsidP="002F7250">
      <w:pPr>
        <w:pStyle w:val="Caption"/>
        <w:keepNext/>
        <w:spacing w:after="0"/>
        <w:ind w:firstLine="284"/>
        <w:rPr>
          <w:rFonts w:ascii="Garamond" w:hAnsi="Garamond"/>
          <w:color w:val="000000" w:themeColor="text1"/>
          <w:sz w:val="24"/>
          <w:szCs w:val="24"/>
        </w:rPr>
      </w:pPr>
      <w:r w:rsidRPr="00E83C5E">
        <w:rPr>
          <w:rFonts w:ascii="Garamond" w:hAnsi="Garamond"/>
          <w:color w:val="000000" w:themeColor="text1"/>
          <w:sz w:val="24"/>
          <w:szCs w:val="24"/>
        </w:rPr>
        <w:t xml:space="preserve">Tabela </w:t>
      </w:r>
      <w:r w:rsidRPr="00E83C5E">
        <w:rPr>
          <w:rFonts w:ascii="Garamond" w:hAnsi="Garamond"/>
          <w:color w:val="000000" w:themeColor="text1"/>
          <w:sz w:val="24"/>
          <w:szCs w:val="24"/>
        </w:rPr>
        <w:fldChar w:fldCharType="begin"/>
      </w:r>
      <w:r w:rsidRPr="00E83C5E">
        <w:rPr>
          <w:rFonts w:ascii="Garamond" w:hAnsi="Garamond"/>
          <w:color w:val="000000" w:themeColor="text1"/>
          <w:sz w:val="24"/>
          <w:szCs w:val="24"/>
        </w:rPr>
        <w:instrText xml:space="preserve"> SEQ Tabela \* ARABIC </w:instrText>
      </w:r>
      <w:r w:rsidRPr="00E83C5E">
        <w:rPr>
          <w:rFonts w:ascii="Garamond" w:hAnsi="Garamond"/>
          <w:color w:val="000000" w:themeColor="text1"/>
          <w:sz w:val="24"/>
          <w:szCs w:val="24"/>
        </w:rPr>
        <w:fldChar w:fldCharType="separate"/>
      </w:r>
      <w:r w:rsidRPr="00E83C5E">
        <w:rPr>
          <w:rFonts w:ascii="Garamond" w:hAnsi="Garamond"/>
          <w:color w:val="000000" w:themeColor="text1"/>
          <w:sz w:val="24"/>
          <w:szCs w:val="24"/>
        </w:rPr>
        <w:t>13</w:t>
      </w:r>
      <w:r w:rsidRPr="00E83C5E">
        <w:rPr>
          <w:rFonts w:ascii="Garamond" w:hAnsi="Garamond"/>
          <w:color w:val="000000" w:themeColor="text1"/>
          <w:sz w:val="24"/>
          <w:szCs w:val="24"/>
        </w:rPr>
        <w:fldChar w:fldCharType="end"/>
      </w:r>
      <w:r w:rsidRPr="00E83C5E">
        <w:rPr>
          <w:rFonts w:ascii="Garamond" w:hAnsi="Garamond"/>
          <w:color w:val="000000" w:themeColor="text1"/>
          <w:sz w:val="24"/>
          <w:szCs w:val="24"/>
        </w:rPr>
        <w:t>: Lista e masave për arritjen e objektivit specifik 2.2</w:t>
      </w:r>
    </w:p>
    <w:tbl>
      <w:tblPr>
        <w:tblStyle w:val="GridTable1Light-Accent11"/>
        <w:tblW w:w="9072" w:type="dxa"/>
        <w:tblLook w:val="04A0" w:firstRow="1" w:lastRow="0" w:firstColumn="1" w:lastColumn="0" w:noHBand="0" w:noVBand="1"/>
      </w:tblPr>
      <w:tblGrid>
        <w:gridCol w:w="850"/>
        <w:gridCol w:w="8222"/>
      </w:tblGrid>
      <w:tr w:rsidR="002F7250" w:rsidRPr="00E83C5E" w14:paraId="574E2CCB" w14:textId="77777777" w:rsidTr="00BC2136">
        <w:trPr>
          <w:cnfStyle w:val="100000000000" w:firstRow="1" w:lastRow="0" w:firstColumn="0" w:lastColumn="0" w:oddVBand="0" w:evenVBand="0" w:oddHBand="0"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850" w:type="dxa"/>
            <w:noWrap/>
            <w:hideMark/>
          </w:tcPr>
          <w:p w14:paraId="574E2CC9" w14:textId="77777777" w:rsidR="002F7250" w:rsidRPr="00E83C5E" w:rsidRDefault="002F7250" w:rsidP="00FB3187">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Nr. i masës </w:t>
            </w:r>
          </w:p>
        </w:tc>
        <w:tc>
          <w:tcPr>
            <w:tcW w:w="8222" w:type="dxa"/>
            <w:hideMark/>
          </w:tcPr>
          <w:p w14:paraId="574E2CCA" w14:textId="77777777" w:rsidR="002F7250" w:rsidRPr="00E83C5E" w:rsidRDefault="002F7250" w:rsidP="00FB3187">
            <w:pPr>
              <w:jc w:val="both"/>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 w:val="0"/>
                <w:bCs w:val="0"/>
                <w:i/>
                <w:iCs/>
                <w:color w:val="0066CC"/>
                <w:sz w:val="20"/>
                <w:szCs w:val="24"/>
              </w:rPr>
            </w:pPr>
            <w:r w:rsidRPr="00E83C5E">
              <w:rPr>
                <w:rFonts w:ascii="Garamond" w:eastAsia="Times New Roman" w:hAnsi="Garamond" w:cs="Times New Roman"/>
                <w:i/>
                <w:iCs/>
                <w:sz w:val="20"/>
                <w:szCs w:val="24"/>
              </w:rPr>
              <w:t>Masat sipas objektivit specifik 2.2</w:t>
            </w:r>
          </w:p>
        </w:tc>
      </w:tr>
      <w:tr w:rsidR="002F7250" w:rsidRPr="00E83C5E" w14:paraId="574E2CCE" w14:textId="77777777" w:rsidTr="00BC2136">
        <w:trPr>
          <w:trHeight w:val="524"/>
        </w:trPr>
        <w:tc>
          <w:tcPr>
            <w:cnfStyle w:val="001000000000" w:firstRow="0" w:lastRow="0" w:firstColumn="1" w:lastColumn="0" w:oddVBand="0" w:evenVBand="0" w:oddHBand="0" w:evenHBand="0" w:firstRowFirstColumn="0" w:firstRowLastColumn="0" w:lastRowFirstColumn="0" w:lastRowLastColumn="0"/>
            <w:tcW w:w="850" w:type="dxa"/>
            <w:noWrap/>
            <w:hideMark/>
          </w:tcPr>
          <w:p w14:paraId="574E2CCC" w14:textId="77777777" w:rsidR="002F7250" w:rsidRPr="00E83C5E" w:rsidRDefault="002F7250" w:rsidP="00FB3187">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2.2.1</w:t>
            </w:r>
          </w:p>
        </w:tc>
        <w:tc>
          <w:tcPr>
            <w:tcW w:w="8222" w:type="dxa"/>
          </w:tcPr>
          <w:p w14:paraId="574E2CCD" w14:textId="0DF20D16" w:rsidR="002F7250" w:rsidRPr="00E83C5E" w:rsidRDefault="002F7250" w:rsidP="006B014A">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4"/>
              </w:rPr>
            </w:pPr>
            <w:r w:rsidRPr="00E83C5E">
              <w:rPr>
                <w:rFonts w:ascii="Garamond" w:eastAsia="Arial" w:hAnsi="Garamond" w:cs="Times New Roman"/>
                <w:sz w:val="20"/>
                <w:szCs w:val="24"/>
              </w:rPr>
              <w:t>Mbështeten të rejat dhe të rinjtë në pikat kritike të zhvillimit si kalimi në shkollën e mesme të lartë dhe kalimi nga shkolla në tregun e punës ose në studimet e nivelit universitar me këshillim dhe informacione që lidhin përzgjedhjen e fushës së arsimimit me mundësitë në tregun e punës në bashkërendim me masat e parashikuara në</w:t>
            </w:r>
            <w:r w:rsidR="00233C37" w:rsidRPr="00E83C5E">
              <w:rPr>
                <w:rFonts w:ascii="Garamond" w:eastAsia="Arial" w:hAnsi="Garamond" w:cs="Times New Roman"/>
                <w:sz w:val="20"/>
                <w:szCs w:val="24"/>
              </w:rPr>
              <w:t xml:space="preserve"> </w:t>
            </w:r>
            <w:r w:rsidRPr="00E83C5E">
              <w:rPr>
                <w:rFonts w:ascii="Garamond" w:eastAsia="Arial" w:hAnsi="Garamond" w:cs="Times New Roman"/>
                <w:sz w:val="20"/>
                <w:szCs w:val="24"/>
              </w:rPr>
              <w:t xml:space="preserve">Strategjinë Kombëtare të Arsimit 2021–26 dhe në </w:t>
            </w:r>
            <w:r w:rsidR="006B014A" w:rsidRPr="00E83C5E">
              <w:rPr>
                <w:rFonts w:ascii="Garamond" w:eastAsia="Arial" w:hAnsi="Garamond" w:cs="Times New Roman"/>
                <w:sz w:val="20"/>
                <w:szCs w:val="24"/>
              </w:rPr>
              <w:t>Strategjinë</w:t>
            </w:r>
            <w:r w:rsidRPr="00E83C5E">
              <w:rPr>
                <w:rFonts w:ascii="Garamond" w:eastAsia="Arial" w:hAnsi="Garamond" w:cs="Times New Roman"/>
                <w:sz w:val="20"/>
                <w:szCs w:val="24"/>
              </w:rPr>
              <w:t xml:space="preserve"> Kombëtare për Punësimin dhe Aftësitë</w:t>
            </w:r>
          </w:p>
        </w:tc>
      </w:tr>
      <w:tr w:rsidR="002F7250" w:rsidRPr="00E83C5E" w14:paraId="574E2CD1" w14:textId="77777777" w:rsidTr="00BC2136">
        <w:trPr>
          <w:trHeight w:val="696"/>
        </w:trPr>
        <w:tc>
          <w:tcPr>
            <w:cnfStyle w:val="001000000000" w:firstRow="0" w:lastRow="0" w:firstColumn="1" w:lastColumn="0" w:oddVBand="0" w:evenVBand="0" w:oddHBand="0" w:evenHBand="0" w:firstRowFirstColumn="0" w:firstRowLastColumn="0" w:lastRowFirstColumn="0" w:lastRowLastColumn="0"/>
            <w:tcW w:w="850" w:type="dxa"/>
            <w:noWrap/>
            <w:hideMark/>
          </w:tcPr>
          <w:p w14:paraId="574E2CCF" w14:textId="77777777" w:rsidR="002F7250" w:rsidRPr="00E83C5E" w:rsidRDefault="002F7250" w:rsidP="00FB3187">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2.2.2</w:t>
            </w:r>
          </w:p>
        </w:tc>
        <w:tc>
          <w:tcPr>
            <w:tcW w:w="8222" w:type="dxa"/>
          </w:tcPr>
          <w:p w14:paraId="574E2CD0" w14:textId="7DA90724" w:rsidR="002F7250" w:rsidRPr="00E83C5E" w:rsidRDefault="002F7250" w:rsidP="00FB3187">
            <w:pPr>
              <w:jc w:val="both"/>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sz w:val="20"/>
                <w:szCs w:val="24"/>
              </w:rPr>
            </w:pPr>
            <w:r w:rsidRPr="00E83C5E">
              <w:rPr>
                <w:rFonts w:ascii="Garamond" w:eastAsia="Arial" w:hAnsi="Garamond" w:cs="Times New Roman"/>
                <w:sz w:val="20"/>
                <w:szCs w:val="24"/>
              </w:rPr>
              <w:t xml:space="preserve">Promovohet përdorimi i sigurt i teknologjive të reja dhe mbështetet përvetësimi i aftësive dhe kompetencave digjitale të shekullit të 21-të për të rinjtë si në sistemin arsimor të përgjithshëm dhe atë profesional ashtu edhe në sistemin e trajnimeve formale dhe </w:t>
            </w:r>
            <w:r w:rsidR="003B428A" w:rsidRPr="00E83C5E">
              <w:rPr>
                <w:rFonts w:ascii="Garamond" w:eastAsia="Arial" w:hAnsi="Garamond" w:cs="Times New Roman"/>
                <w:sz w:val="20"/>
                <w:szCs w:val="24"/>
              </w:rPr>
              <w:t>jo</w:t>
            </w:r>
            <w:r w:rsidRPr="00E83C5E">
              <w:rPr>
                <w:rFonts w:ascii="Garamond" w:eastAsia="Arial" w:hAnsi="Garamond" w:cs="Times New Roman"/>
                <w:sz w:val="20"/>
                <w:szCs w:val="24"/>
              </w:rPr>
              <w:t xml:space="preserve">formale. </w:t>
            </w:r>
          </w:p>
        </w:tc>
      </w:tr>
      <w:tr w:rsidR="002F7250" w:rsidRPr="00E83C5E" w14:paraId="574E2CD4" w14:textId="77777777" w:rsidTr="00BC2136">
        <w:trPr>
          <w:trHeight w:val="313"/>
        </w:trPr>
        <w:tc>
          <w:tcPr>
            <w:cnfStyle w:val="001000000000" w:firstRow="0" w:lastRow="0" w:firstColumn="1" w:lastColumn="0" w:oddVBand="0" w:evenVBand="0" w:oddHBand="0" w:evenHBand="0" w:firstRowFirstColumn="0" w:firstRowLastColumn="0" w:lastRowFirstColumn="0" w:lastRowLastColumn="0"/>
            <w:tcW w:w="850" w:type="dxa"/>
            <w:noWrap/>
            <w:hideMark/>
          </w:tcPr>
          <w:p w14:paraId="574E2CD2" w14:textId="77777777" w:rsidR="002F7250" w:rsidRPr="00E83C5E" w:rsidRDefault="002F7250" w:rsidP="00FB3187">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2.2.3</w:t>
            </w:r>
          </w:p>
        </w:tc>
        <w:tc>
          <w:tcPr>
            <w:tcW w:w="8222" w:type="dxa"/>
          </w:tcPr>
          <w:p w14:paraId="574E2CD3" w14:textId="336638E8" w:rsidR="002F7250" w:rsidRPr="00E83C5E" w:rsidRDefault="002F7250" w:rsidP="006B014A">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4"/>
              </w:rPr>
            </w:pPr>
            <w:r w:rsidRPr="00E83C5E">
              <w:rPr>
                <w:rFonts w:ascii="Garamond" w:eastAsia="Arial" w:hAnsi="Garamond" w:cs="Times New Roman"/>
                <w:sz w:val="20"/>
                <w:szCs w:val="24"/>
              </w:rPr>
              <w:t xml:space="preserve">Mbështeten dhe zhvillohen programe të seksioneve sportive amatore, arteve, artizanatit dhe aktiviteteve të tjera jashtëkurrikulare që synojnë zhvillimin e aftësive për jetë të shëndetshme, me fokus të veçantë tek të rejat. </w:t>
            </w:r>
          </w:p>
        </w:tc>
      </w:tr>
    </w:tbl>
    <w:p w14:paraId="574E2CD5" w14:textId="77777777" w:rsidR="002F7250" w:rsidRPr="00E83C5E" w:rsidRDefault="002F7250" w:rsidP="00FB3187">
      <w:pPr>
        <w:pStyle w:val="TEKSTIII"/>
        <w:rPr>
          <w:b/>
        </w:rPr>
      </w:pPr>
    </w:p>
    <w:p w14:paraId="574E2CD6" w14:textId="0D4A55E2" w:rsidR="002F7250" w:rsidRPr="00E83C5E" w:rsidRDefault="002F7250" w:rsidP="00FB3187">
      <w:pPr>
        <w:pStyle w:val="TEKSTIII"/>
        <w:rPr>
          <w:b/>
        </w:rPr>
      </w:pPr>
      <w:r w:rsidRPr="00E83C5E">
        <w:rPr>
          <w:b/>
        </w:rPr>
        <w:t xml:space="preserve">Objektivi </w:t>
      </w:r>
      <w:r w:rsidR="00962755" w:rsidRPr="00E83C5E">
        <w:rPr>
          <w:b/>
        </w:rPr>
        <w:t xml:space="preserve">specifik </w:t>
      </w:r>
      <w:r w:rsidRPr="00E83C5E">
        <w:rPr>
          <w:b/>
        </w:rPr>
        <w:t xml:space="preserve">2.3: </w:t>
      </w:r>
    </w:p>
    <w:p w14:paraId="574E2CD7" w14:textId="1211E96E" w:rsidR="002F7250" w:rsidRPr="00E83C5E" w:rsidRDefault="002F7250" w:rsidP="00FB3187">
      <w:pPr>
        <w:pStyle w:val="TEKSTIII"/>
        <w:rPr>
          <w:rFonts w:eastAsia="Arial"/>
          <w:b/>
        </w:rPr>
      </w:pPr>
      <w:r w:rsidRPr="00E83C5E">
        <w:rPr>
          <w:rFonts w:eastAsia="Arial"/>
          <w:b/>
        </w:rPr>
        <w:t>Të rinjtë, në të gjitha kushtet dhe situatat,</w:t>
      </w:r>
      <w:r w:rsidR="00233C37" w:rsidRPr="00E83C5E">
        <w:rPr>
          <w:rFonts w:eastAsia="Arial"/>
          <w:b/>
        </w:rPr>
        <w:t xml:space="preserve"> </w:t>
      </w:r>
      <w:r w:rsidRPr="00E83C5E">
        <w:rPr>
          <w:rFonts w:eastAsia="Arial"/>
          <w:b/>
        </w:rPr>
        <w:t>përfaqësojnë një fokus të veçantë në aftësim, punësim, sipërmarrje dhe politika punësimi që ofrojnë një shumëllojshmëri të modaliteteve specifike rinore për rritjen e mbështetjes për ta në tranzicionin nga sistemit arsimor drejt tregut të punës dhe moshës madhore</w:t>
      </w:r>
    </w:p>
    <w:p w14:paraId="574E2CD8" w14:textId="21CAF141" w:rsidR="002F7250" w:rsidRPr="00E83C5E" w:rsidRDefault="002F7250" w:rsidP="00FB3187">
      <w:pPr>
        <w:pStyle w:val="TEKSTIII"/>
        <w:rPr>
          <w:b/>
          <w:color w:val="000000" w:themeColor="text1"/>
        </w:rPr>
      </w:pPr>
      <w:r w:rsidRPr="00E83C5E">
        <w:rPr>
          <w:b/>
          <w:color w:val="000000" w:themeColor="text1"/>
        </w:rPr>
        <w:t xml:space="preserve">Analiza e </w:t>
      </w:r>
      <w:r w:rsidR="00962755" w:rsidRPr="00E83C5E">
        <w:rPr>
          <w:b/>
          <w:color w:val="000000" w:themeColor="text1"/>
        </w:rPr>
        <w:t>situatës dhe sfidat</w:t>
      </w:r>
    </w:p>
    <w:p w14:paraId="574E2CD9" w14:textId="092A3182" w:rsidR="002F7250" w:rsidRPr="00E83C5E" w:rsidRDefault="002F7250" w:rsidP="00FB3187">
      <w:pPr>
        <w:pStyle w:val="TEKSTIII"/>
      </w:pPr>
      <w:r w:rsidRPr="00E83C5E">
        <w:t xml:space="preserve">Mbetet fakt që shumica e të rinjve gjejnë punësim në sektorin e shërbimeve dhe fasonerisë ku nuk kërkohet ndonjë nivel i lartë i njohurive të specializuara. Sfida në fushën e punësimit është rritja e punësimit të qëndrueshëm, afatgjatë dhe me </w:t>
      </w:r>
      <w:r w:rsidR="00700750" w:rsidRPr="00E83C5E">
        <w:t>standard</w:t>
      </w:r>
      <w:r w:rsidRPr="00E83C5E">
        <w:t xml:space="preserve">e apo siç i referohet OKB në OZHQ 8 si </w:t>
      </w:r>
      <w:r w:rsidR="00D540B0" w:rsidRPr="00E83C5E">
        <w:t>“</w:t>
      </w:r>
      <w:r w:rsidRPr="00E83C5E">
        <w:t>punësim i denjë</w:t>
      </w:r>
      <w:r w:rsidR="00D540B0" w:rsidRPr="00E83C5E">
        <w:t>”</w:t>
      </w:r>
      <w:r w:rsidRPr="00E83C5E">
        <w:t xml:space="preserve">. </w:t>
      </w:r>
    </w:p>
    <w:p w14:paraId="574E2CDA" w14:textId="617B90B0" w:rsidR="002F7250" w:rsidRPr="00E83C5E" w:rsidRDefault="002F7250" w:rsidP="00FB3187">
      <w:pPr>
        <w:pStyle w:val="TEKSTIII"/>
      </w:pPr>
      <w:r w:rsidRPr="00E83C5E">
        <w:t xml:space="preserve">Sfidë tjetër thelbësore është rritja e zbatueshmërisë, kryesisht jashtë Tiranës, i legjislacionit të miratuar për nxitjen e punësimit sipas programeve dhe vendimeve të qeverisë dhe në përputhje </w:t>
      </w:r>
      <w:r w:rsidRPr="00E83C5E">
        <w:lastRenderedPageBreak/>
        <w:t xml:space="preserve">me Strategjinë e Punësimit dhe Aftësive e cila është në proces rinovimi. Në takimet me të rejat dhe të rinjtë në kuadër të kësaj strategjie u vu re jo vetëm mungesa e informacionit për këto programe por edhe mosnjohja e programeve të financimit dhe praktikave të punësimit. Rritja e transparencës në </w:t>
      </w:r>
      <w:r w:rsidR="00053B5D" w:rsidRPr="00E83C5E">
        <w:t>vendim</w:t>
      </w:r>
      <w:r w:rsidRPr="00E83C5E">
        <w:t xml:space="preserve">marrje dhe rritja e </w:t>
      </w:r>
      <w:r w:rsidR="00962755" w:rsidRPr="00E83C5E">
        <w:t>pjesëmarrjes</w:t>
      </w:r>
      <w:r w:rsidRPr="00E83C5E">
        <w:t xml:space="preserve"> së të rejave dhe të rinjve do të rrisnin efektshmërinë e këtyre programeve. </w:t>
      </w:r>
    </w:p>
    <w:p w14:paraId="574E2CDB" w14:textId="2685EAC8" w:rsidR="002F7250" w:rsidRPr="00E83C5E" w:rsidRDefault="002F7250" w:rsidP="00FB3187">
      <w:pPr>
        <w:pStyle w:val="TEKSTIII"/>
      </w:pPr>
      <w:r w:rsidRPr="00E83C5E">
        <w:t xml:space="preserve">Në kuadër të programeve si </w:t>
      </w:r>
      <w:r w:rsidR="006B014A" w:rsidRPr="00E83C5E">
        <w:t xml:space="preserve">garancia rinore </w:t>
      </w:r>
      <w:r w:rsidRPr="00E83C5E">
        <w:t>që do të mbështetet nga BE</w:t>
      </w:r>
      <w:r w:rsidR="00962755" w:rsidRPr="00E83C5E">
        <w:t>-ja</w:t>
      </w:r>
      <w:r w:rsidRPr="00E83C5E">
        <w:t xml:space="preserve"> duhet gjetur rruge e mundësi për të sfiduar burokracinë duke i zvogëluar hapat që një e re ose i ri duhet të ndërmarrë për të fituar nga këto programe, duke i bërë shërbimet për rininë më të orientuara e më miqësore kundrejt tyre.</w:t>
      </w:r>
    </w:p>
    <w:p w14:paraId="574E2CDC" w14:textId="1390A9FD" w:rsidR="002F7250" w:rsidRPr="00E83C5E" w:rsidRDefault="00FB3187" w:rsidP="00FB3187">
      <w:pPr>
        <w:pStyle w:val="TEKSTIII"/>
      </w:pPr>
      <w:r w:rsidRPr="00E83C5E">
        <w:t>-</w:t>
      </w:r>
      <w:r w:rsidR="00B229EC" w:rsidRPr="00E83C5E">
        <w:t xml:space="preserve"> </w:t>
      </w:r>
      <w:r w:rsidR="002F7250" w:rsidRPr="00E83C5E">
        <w:t>Zbutja e papunësisë mes të rinjve duke qenë se papunësia është një nga shkaqet kryesore për përjashtimin social.</w:t>
      </w:r>
    </w:p>
    <w:p w14:paraId="574E2CDD" w14:textId="2FD61DA9" w:rsidR="002F7250" w:rsidRPr="00E83C5E" w:rsidRDefault="00FB3187" w:rsidP="00FB3187">
      <w:pPr>
        <w:pStyle w:val="TEKSTIII"/>
      </w:pPr>
      <w:r w:rsidRPr="00E83C5E">
        <w:t>-</w:t>
      </w:r>
      <w:r w:rsidR="00B229EC" w:rsidRPr="00E83C5E">
        <w:t xml:space="preserve"> </w:t>
      </w:r>
      <w:r w:rsidR="002F7250" w:rsidRPr="00E83C5E">
        <w:t xml:space="preserve">Rritjen e nivelit arsimor për të ulur papunësisë dhe diskriminim për shkak të mungesës së arsimit. </w:t>
      </w:r>
    </w:p>
    <w:p w14:paraId="574E2CDE" w14:textId="7FF6FFBA" w:rsidR="002F7250" w:rsidRPr="00E83C5E" w:rsidRDefault="002F7250" w:rsidP="002F7250">
      <w:pPr>
        <w:spacing w:after="0" w:line="240" w:lineRule="auto"/>
        <w:ind w:firstLine="284"/>
        <w:rPr>
          <w:rFonts w:ascii="Garamond" w:eastAsia="Times New Roman" w:hAnsi="Garamond" w:cs="Times New Roman"/>
          <w:b/>
          <w:sz w:val="24"/>
          <w:szCs w:val="24"/>
        </w:rPr>
      </w:pPr>
      <w:r w:rsidRPr="00E83C5E">
        <w:rPr>
          <w:rFonts w:ascii="Garamond" w:eastAsia="Times New Roman" w:hAnsi="Garamond" w:cs="Times New Roman"/>
          <w:b/>
          <w:sz w:val="24"/>
          <w:szCs w:val="24"/>
        </w:rPr>
        <w:t xml:space="preserve">Institucionet </w:t>
      </w:r>
      <w:r w:rsidR="00613E75">
        <w:rPr>
          <w:rFonts w:ascii="Garamond" w:eastAsia="Times New Roman" w:hAnsi="Garamond" w:cs="Times New Roman"/>
          <w:b/>
          <w:sz w:val="24"/>
          <w:szCs w:val="24"/>
        </w:rPr>
        <w:t>d</w:t>
      </w:r>
      <w:r w:rsidRPr="00E83C5E">
        <w:rPr>
          <w:rFonts w:ascii="Garamond" w:eastAsia="Times New Roman" w:hAnsi="Garamond" w:cs="Times New Roman"/>
          <w:b/>
          <w:sz w:val="24"/>
          <w:szCs w:val="24"/>
        </w:rPr>
        <w:t>rejtuese:</w:t>
      </w:r>
    </w:p>
    <w:p w14:paraId="574E2CDF" w14:textId="77777777" w:rsidR="002F7250" w:rsidRPr="00E83C5E" w:rsidRDefault="002F7250" w:rsidP="002F7250">
      <w:pPr>
        <w:spacing w:after="0" w:line="240" w:lineRule="auto"/>
        <w:ind w:firstLine="284"/>
        <w:rPr>
          <w:rFonts w:ascii="Garamond" w:eastAsia="Times New Roman" w:hAnsi="Garamond" w:cs="Times New Roman"/>
          <w:bCs/>
          <w:sz w:val="24"/>
          <w:szCs w:val="24"/>
        </w:rPr>
      </w:pPr>
      <w:r w:rsidRPr="00E83C5E">
        <w:rPr>
          <w:rFonts w:ascii="Garamond" w:eastAsia="Times New Roman" w:hAnsi="Garamond" w:cs="Times New Roman"/>
          <w:bCs/>
          <w:sz w:val="24"/>
          <w:szCs w:val="24"/>
        </w:rPr>
        <w:t>MSHR, MFE, MAS</w:t>
      </w:r>
    </w:p>
    <w:p w14:paraId="574E2CE0" w14:textId="1936B594" w:rsidR="002F7250" w:rsidRPr="00E83C5E" w:rsidRDefault="002F7250" w:rsidP="002F7250">
      <w:pPr>
        <w:shd w:val="clear" w:color="auto" w:fill="FFFFFF"/>
        <w:spacing w:after="0" w:line="240" w:lineRule="auto"/>
        <w:ind w:firstLine="284"/>
        <w:rPr>
          <w:rFonts w:ascii="Garamond" w:eastAsia="Times New Roman" w:hAnsi="Garamond" w:cs="Times New Roman"/>
          <w:b/>
          <w:sz w:val="24"/>
          <w:szCs w:val="24"/>
        </w:rPr>
      </w:pPr>
      <w:r w:rsidRPr="00E83C5E">
        <w:rPr>
          <w:rFonts w:ascii="Garamond" w:eastAsia="Times New Roman" w:hAnsi="Garamond" w:cs="Times New Roman"/>
          <w:b/>
          <w:sz w:val="24"/>
          <w:szCs w:val="24"/>
        </w:rPr>
        <w:t>I</w:t>
      </w:r>
      <w:r w:rsidR="00025BB7">
        <w:rPr>
          <w:rFonts w:ascii="Garamond" w:eastAsia="Times New Roman" w:hAnsi="Garamond" w:cs="Times New Roman"/>
          <w:b/>
          <w:sz w:val="24"/>
          <w:szCs w:val="24"/>
        </w:rPr>
        <w:t>nstitucionet pjesëmarrëse:</w:t>
      </w:r>
    </w:p>
    <w:p w14:paraId="574E2CE1" w14:textId="77777777" w:rsidR="002F7250" w:rsidRPr="00E83C5E" w:rsidRDefault="002F7250" w:rsidP="002F7250">
      <w:pPr>
        <w:shd w:val="clear" w:color="auto" w:fill="FFFFFF"/>
        <w:spacing w:after="0" w:line="240" w:lineRule="auto"/>
        <w:ind w:firstLine="284"/>
        <w:rPr>
          <w:rFonts w:ascii="Garamond" w:eastAsia="Times New Roman" w:hAnsi="Garamond" w:cs="Times New Roman"/>
          <w:bCs/>
          <w:sz w:val="24"/>
          <w:szCs w:val="24"/>
        </w:rPr>
      </w:pPr>
      <w:r w:rsidRPr="00E83C5E">
        <w:rPr>
          <w:rFonts w:ascii="Garamond" w:eastAsia="Times New Roman" w:hAnsi="Garamond" w:cs="Times New Roman"/>
          <w:bCs/>
          <w:sz w:val="24"/>
          <w:szCs w:val="24"/>
        </w:rPr>
        <w:t>MiSHMS, AKR, AKPA, AKAPFK,</w:t>
      </w:r>
    </w:p>
    <w:p w14:paraId="574E2CE2" w14:textId="41BD7AD5" w:rsidR="002F7250" w:rsidRPr="00E83C5E" w:rsidRDefault="002F7250" w:rsidP="002F7250">
      <w:pPr>
        <w:shd w:val="clear" w:color="auto" w:fill="FFFFFF" w:themeFill="background1"/>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Masat dhe buxhetet e ndërlidhura për të arritur objektivat e specifikuar janë përshkruar në planin e veprimit të ngarkuara në IPSIS.</w:t>
      </w:r>
    </w:p>
    <w:p w14:paraId="574E2CE4" w14:textId="5FEF3341" w:rsidR="002F7250" w:rsidRPr="00E83C5E" w:rsidRDefault="002F7250" w:rsidP="00FB3187">
      <w:pPr>
        <w:pStyle w:val="TEKSTIII"/>
        <w:rPr>
          <w:b/>
        </w:rPr>
      </w:pPr>
      <w:r w:rsidRPr="00E83C5E">
        <w:rPr>
          <w:b/>
        </w:rPr>
        <w:t>Lidhja e objektivit specifik me nën-kapitullin përkatës të BE-së sipas MSA-së dhe OZHQ-të.</w:t>
      </w:r>
      <w:r w:rsidR="00233C37" w:rsidRPr="00E83C5E">
        <w:rPr>
          <w:b/>
        </w:rPr>
        <w:t xml:space="preserve"> </w:t>
      </w:r>
    </w:p>
    <w:p w14:paraId="574E2CE5" w14:textId="5799A46B" w:rsidR="002F7250" w:rsidRPr="00E83C5E" w:rsidRDefault="002F7250" w:rsidP="002F7250">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Objektivi </w:t>
      </w:r>
      <w:r w:rsidR="00962755" w:rsidRPr="00E83C5E">
        <w:rPr>
          <w:rFonts w:ascii="Garamond" w:hAnsi="Garamond" w:cs="Times New Roman"/>
          <w:sz w:val="24"/>
          <w:szCs w:val="24"/>
        </w:rPr>
        <w:t>s</w:t>
      </w:r>
      <w:r w:rsidRPr="00E83C5E">
        <w:rPr>
          <w:rFonts w:ascii="Garamond" w:hAnsi="Garamond" w:cs="Times New Roman"/>
          <w:sz w:val="24"/>
          <w:szCs w:val="24"/>
        </w:rPr>
        <w:t xml:space="preserve">pecifik 2.2 synon të fuqizojë integrimin e të rejave dhe të rinjve në shoqëri duke rritur autonominë e tyre përmes punësimit dhe kalimit të suksesshëm nga shkolla në punësim. </w:t>
      </w:r>
    </w:p>
    <w:p w14:paraId="574E2CE6" w14:textId="1A3076FD" w:rsidR="002F7250" w:rsidRPr="00E83C5E" w:rsidRDefault="002F7250" w:rsidP="002F7250">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Ky objektiv lidhet me </w:t>
      </w:r>
      <w:r w:rsidR="00962755" w:rsidRPr="00E83C5E">
        <w:rPr>
          <w:rFonts w:ascii="Garamond" w:hAnsi="Garamond" w:cs="Times New Roman"/>
          <w:sz w:val="24"/>
          <w:szCs w:val="24"/>
        </w:rPr>
        <w:t>k</w:t>
      </w:r>
      <w:r w:rsidRPr="00E83C5E">
        <w:rPr>
          <w:rFonts w:ascii="Garamond" w:hAnsi="Garamond" w:cs="Times New Roman"/>
          <w:sz w:val="24"/>
          <w:szCs w:val="24"/>
        </w:rPr>
        <w:t>apitullin V të MSA, nenin 77, që specifikon kushtet e punës dhe mundësitë e barabarta</w:t>
      </w:r>
      <w:r w:rsidR="00962755" w:rsidRPr="00E83C5E">
        <w:rPr>
          <w:rFonts w:ascii="Garamond" w:hAnsi="Garamond" w:cs="Times New Roman"/>
          <w:sz w:val="24"/>
          <w:szCs w:val="24"/>
        </w:rPr>
        <w:t>,</w:t>
      </w:r>
      <w:r w:rsidRPr="00E83C5E">
        <w:rPr>
          <w:rFonts w:ascii="Garamond" w:hAnsi="Garamond" w:cs="Times New Roman"/>
          <w:sz w:val="24"/>
          <w:szCs w:val="24"/>
        </w:rPr>
        <w:t xml:space="preserve"> si edhe me titullin VIII të MSA me nenin 100 të saj për arsimin dhe trajnim cilësor.</w:t>
      </w:r>
    </w:p>
    <w:p w14:paraId="574E2CE7" w14:textId="77777777" w:rsidR="002F7250" w:rsidRPr="00E83C5E" w:rsidRDefault="002F7250" w:rsidP="002F7250">
      <w:pPr>
        <w:spacing w:after="0" w:line="240" w:lineRule="auto"/>
        <w:ind w:firstLine="284"/>
        <w:jc w:val="both"/>
        <w:rPr>
          <w:rFonts w:ascii="Garamond" w:hAnsi="Garamond" w:cs="Times New Roman"/>
          <w:sz w:val="24"/>
          <w:szCs w:val="24"/>
        </w:rPr>
      </w:pPr>
      <w:r w:rsidRPr="00E83C5E">
        <w:rPr>
          <w:rStyle w:val="jlqj4b"/>
          <w:rFonts w:ascii="Garamond" w:eastAsiaTheme="majorEastAsia" w:hAnsi="Garamond" w:cs="Times New Roman"/>
          <w:sz w:val="24"/>
          <w:szCs w:val="24"/>
        </w:rPr>
        <w:t xml:space="preserve">Ky qëllim gjithashtu lidhet me </w:t>
      </w:r>
      <w:r w:rsidRPr="00E83C5E">
        <w:rPr>
          <w:rFonts w:ascii="Garamond" w:hAnsi="Garamond" w:cs="Times New Roman"/>
          <w:sz w:val="24"/>
          <w:szCs w:val="24"/>
        </w:rPr>
        <w:t>Planin Kombëtar për Integrimin Evropian 2021–2023</w:t>
      </w:r>
      <w:r w:rsidRPr="00E83C5E">
        <w:rPr>
          <w:rStyle w:val="FootnoteReference"/>
          <w:rFonts w:ascii="Garamond" w:hAnsi="Garamond" w:cs="Times New Roman"/>
          <w:sz w:val="24"/>
          <w:szCs w:val="24"/>
        </w:rPr>
        <w:footnoteReference w:id="24"/>
      </w:r>
      <w:r w:rsidRPr="00E83C5E">
        <w:rPr>
          <w:rFonts w:ascii="Garamond" w:hAnsi="Garamond" w:cs="Times New Roman"/>
          <w:sz w:val="24"/>
          <w:szCs w:val="24"/>
        </w:rPr>
        <w:t xml:space="preserve">, me kapitullin 2 për lëvizjen e lirë të punëtorëve, kapitullin 19 për politikat sociale të punësimit dhe kapitullin 26 për arsimin dhe kulturën. </w:t>
      </w:r>
    </w:p>
    <w:p w14:paraId="574E2CE8" w14:textId="14874D72" w:rsidR="002F7250" w:rsidRPr="00E83C5E" w:rsidRDefault="002F7250" w:rsidP="002F7250">
      <w:pPr>
        <w:spacing w:after="0" w:line="240" w:lineRule="auto"/>
        <w:ind w:firstLine="284"/>
        <w:jc w:val="both"/>
        <w:rPr>
          <w:rFonts w:ascii="Garamond" w:eastAsiaTheme="majorEastAsia" w:hAnsi="Garamond" w:cs="Times New Roman"/>
          <w:sz w:val="24"/>
          <w:szCs w:val="24"/>
        </w:rPr>
      </w:pPr>
      <w:r w:rsidRPr="00E83C5E">
        <w:rPr>
          <w:rFonts w:ascii="Garamond" w:hAnsi="Garamond" w:cs="Times New Roman"/>
          <w:bCs/>
          <w:sz w:val="24"/>
          <w:szCs w:val="24"/>
        </w:rPr>
        <w:t xml:space="preserve">Ky objektiv specifik lidhet me </w:t>
      </w:r>
      <w:r w:rsidRPr="00E83C5E">
        <w:rPr>
          <w:rFonts w:ascii="Garamond" w:eastAsiaTheme="majorEastAsia" w:hAnsi="Garamond" w:cs="Times New Roman"/>
          <w:color w:val="000000" w:themeColor="text1"/>
          <w:sz w:val="24"/>
          <w:szCs w:val="24"/>
        </w:rPr>
        <w:t xml:space="preserve">OZHQ 8 </w:t>
      </w:r>
      <w:r w:rsidRPr="00E83C5E">
        <w:rPr>
          <w:rFonts w:ascii="Garamond" w:hAnsi="Garamond" w:cs="Times New Roman"/>
          <w:sz w:val="24"/>
          <w:szCs w:val="24"/>
        </w:rPr>
        <w:t>(punësimi dinjitoz) dhe OZHQ 4 (arsimi cilësor</w:t>
      </w:r>
      <w:r w:rsidRPr="00E83C5E">
        <w:rPr>
          <w:rStyle w:val="jlqj4b"/>
          <w:rFonts w:ascii="Garamond" w:eastAsiaTheme="majorEastAsia" w:hAnsi="Garamond" w:cs="Times New Roman"/>
          <w:sz w:val="24"/>
          <w:szCs w:val="24"/>
        </w:rPr>
        <w:t>)</w:t>
      </w:r>
      <w:r w:rsidR="00962755" w:rsidRPr="00E83C5E">
        <w:rPr>
          <w:rStyle w:val="jlqj4b"/>
          <w:rFonts w:ascii="Garamond" w:eastAsiaTheme="majorEastAsia" w:hAnsi="Garamond" w:cs="Times New Roman"/>
          <w:sz w:val="24"/>
          <w:szCs w:val="24"/>
        </w:rPr>
        <w:t>,</w:t>
      </w:r>
      <w:r w:rsidRPr="00E83C5E">
        <w:rPr>
          <w:rFonts w:ascii="Garamond" w:hAnsi="Garamond" w:cs="Times New Roman"/>
          <w:sz w:val="24"/>
          <w:szCs w:val="24"/>
        </w:rPr>
        <w:t xml:space="preserve"> por edhe me OZHQ 10 (zvogëlimi i pabarazive) dhe 17 (partneritet </w:t>
      </w:r>
      <w:r w:rsidR="00962755" w:rsidRPr="00E83C5E">
        <w:rPr>
          <w:rFonts w:ascii="Garamond" w:hAnsi="Garamond" w:cs="Times New Roman"/>
          <w:sz w:val="24"/>
          <w:szCs w:val="24"/>
        </w:rPr>
        <w:t>për</w:t>
      </w:r>
      <w:r w:rsidRPr="00E83C5E">
        <w:rPr>
          <w:rFonts w:ascii="Garamond" w:hAnsi="Garamond" w:cs="Times New Roman"/>
          <w:sz w:val="24"/>
          <w:szCs w:val="24"/>
        </w:rPr>
        <w:t xml:space="preserve"> qëllimet). </w:t>
      </w:r>
    </w:p>
    <w:p w14:paraId="574E2CEB" w14:textId="1F5133F0" w:rsidR="00DD23C1" w:rsidRPr="00E83C5E" w:rsidRDefault="002F7250" w:rsidP="00DD23C1">
      <w:pPr>
        <w:pStyle w:val="TEKSTIII"/>
        <w:rPr>
          <w:b/>
        </w:rPr>
      </w:pPr>
      <w:r w:rsidRPr="00E83C5E">
        <w:rPr>
          <w:b/>
        </w:rPr>
        <w:t>Treguesit kryesorë të rezultateve</w:t>
      </w:r>
    </w:p>
    <w:p w14:paraId="574E2CEC" w14:textId="58DEFB95" w:rsidR="002F7250" w:rsidRPr="00E83C5E" w:rsidRDefault="002F7250" w:rsidP="002F7250">
      <w:pPr>
        <w:pStyle w:val="Caption"/>
        <w:keepNext/>
        <w:spacing w:after="0"/>
        <w:ind w:firstLine="284"/>
        <w:rPr>
          <w:rFonts w:ascii="Garamond" w:hAnsi="Garamond"/>
          <w:color w:val="000000" w:themeColor="text1"/>
          <w:sz w:val="24"/>
          <w:szCs w:val="24"/>
        </w:rPr>
      </w:pPr>
      <w:r w:rsidRPr="00E83C5E">
        <w:rPr>
          <w:rFonts w:ascii="Garamond" w:hAnsi="Garamond"/>
          <w:color w:val="000000" w:themeColor="text1"/>
          <w:sz w:val="24"/>
          <w:szCs w:val="24"/>
        </w:rPr>
        <w:t xml:space="preserve">Tabela </w:t>
      </w:r>
      <w:r w:rsidRPr="00E83C5E">
        <w:rPr>
          <w:rFonts w:ascii="Garamond" w:hAnsi="Garamond"/>
          <w:color w:val="000000" w:themeColor="text1"/>
          <w:sz w:val="24"/>
          <w:szCs w:val="24"/>
        </w:rPr>
        <w:fldChar w:fldCharType="begin"/>
      </w:r>
      <w:r w:rsidRPr="00E83C5E">
        <w:rPr>
          <w:rFonts w:ascii="Garamond" w:hAnsi="Garamond"/>
          <w:color w:val="000000" w:themeColor="text1"/>
          <w:sz w:val="24"/>
          <w:szCs w:val="24"/>
        </w:rPr>
        <w:instrText xml:space="preserve"> SEQ Tabela \* ARABIC </w:instrText>
      </w:r>
      <w:r w:rsidRPr="00E83C5E">
        <w:rPr>
          <w:rFonts w:ascii="Garamond" w:hAnsi="Garamond"/>
          <w:color w:val="000000" w:themeColor="text1"/>
          <w:sz w:val="24"/>
          <w:szCs w:val="24"/>
        </w:rPr>
        <w:fldChar w:fldCharType="separate"/>
      </w:r>
      <w:r w:rsidRPr="00E83C5E">
        <w:rPr>
          <w:rFonts w:ascii="Garamond" w:hAnsi="Garamond"/>
          <w:color w:val="000000" w:themeColor="text1"/>
          <w:sz w:val="24"/>
          <w:szCs w:val="24"/>
        </w:rPr>
        <w:t>14</w:t>
      </w:r>
      <w:r w:rsidRPr="00E83C5E">
        <w:rPr>
          <w:rFonts w:ascii="Garamond" w:hAnsi="Garamond"/>
          <w:color w:val="000000" w:themeColor="text1"/>
          <w:sz w:val="24"/>
          <w:szCs w:val="24"/>
        </w:rPr>
        <w:fldChar w:fldCharType="end"/>
      </w:r>
      <w:r w:rsidRPr="00E83C5E">
        <w:rPr>
          <w:rFonts w:ascii="Garamond" w:hAnsi="Garamond"/>
          <w:color w:val="000000" w:themeColor="text1"/>
          <w:sz w:val="24"/>
          <w:szCs w:val="24"/>
        </w:rPr>
        <w:t>:</w:t>
      </w:r>
      <w:r w:rsidR="00127CA1" w:rsidRPr="00E83C5E">
        <w:rPr>
          <w:rFonts w:ascii="Garamond" w:hAnsi="Garamond"/>
          <w:color w:val="000000" w:themeColor="text1"/>
          <w:sz w:val="24"/>
          <w:szCs w:val="24"/>
        </w:rPr>
        <w:t xml:space="preserve"> </w:t>
      </w:r>
      <w:r w:rsidRPr="00E83C5E">
        <w:rPr>
          <w:rFonts w:ascii="Garamond" w:hAnsi="Garamond"/>
          <w:color w:val="000000" w:themeColor="text1"/>
          <w:sz w:val="24"/>
          <w:szCs w:val="24"/>
        </w:rPr>
        <w:t xml:space="preserve">Treguesit </w:t>
      </w:r>
      <w:r w:rsidR="00127CA1" w:rsidRPr="00E83C5E">
        <w:rPr>
          <w:rFonts w:ascii="Garamond" w:hAnsi="Garamond"/>
          <w:color w:val="000000" w:themeColor="text1"/>
          <w:sz w:val="24"/>
          <w:szCs w:val="24"/>
        </w:rPr>
        <w:t>kyç të p</w:t>
      </w:r>
      <w:r w:rsidR="00962755" w:rsidRPr="00E83C5E">
        <w:rPr>
          <w:rFonts w:ascii="Garamond" w:hAnsi="Garamond"/>
          <w:color w:val="000000" w:themeColor="text1"/>
          <w:sz w:val="24"/>
          <w:szCs w:val="24"/>
        </w:rPr>
        <w:t>e</w:t>
      </w:r>
      <w:r w:rsidR="00127CA1" w:rsidRPr="00E83C5E">
        <w:rPr>
          <w:rFonts w:ascii="Garamond" w:hAnsi="Garamond"/>
          <w:color w:val="000000" w:themeColor="text1"/>
          <w:sz w:val="24"/>
          <w:szCs w:val="24"/>
        </w:rPr>
        <w:t xml:space="preserve">rformancës të lidhur me objektivin specifik </w:t>
      </w:r>
      <w:r w:rsidRPr="00E83C5E">
        <w:rPr>
          <w:rFonts w:ascii="Garamond" w:hAnsi="Garamond"/>
          <w:color w:val="000000" w:themeColor="text1"/>
          <w:sz w:val="24"/>
          <w:szCs w:val="24"/>
        </w:rPr>
        <w:t>2.3</w:t>
      </w:r>
    </w:p>
    <w:tbl>
      <w:tblPr>
        <w:tblStyle w:val="GridTable1Light-Accent11"/>
        <w:tblW w:w="9180" w:type="dxa"/>
        <w:tblLayout w:type="fixed"/>
        <w:tblLook w:val="04A0" w:firstRow="1" w:lastRow="0" w:firstColumn="1" w:lastColumn="0" w:noHBand="0" w:noVBand="1"/>
      </w:tblPr>
      <w:tblGrid>
        <w:gridCol w:w="1156"/>
        <w:gridCol w:w="1597"/>
        <w:gridCol w:w="2462"/>
        <w:gridCol w:w="2430"/>
        <w:gridCol w:w="1535"/>
      </w:tblGrid>
      <w:tr w:rsidR="002F7250" w:rsidRPr="00E83C5E" w14:paraId="574E2CF3" w14:textId="77777777" w:rsidTr="00127CA1">
        <w:trPr>
          <w:cnfStyle w:val="100000000000" w:firstRow="1" w:lastRow="0" w:firstColumn="0" w:lastColumn="0" w:oddVBand="0" w:evenVBand="0" w:oddHBand="0"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156" w:type="dxa"/>
          </w:tcPr>
          <w:p w14:paraId="574E2CED" w14:textId="77777777" w:rsidR="002F7250" w:rsidRPr="00E83C5E" w:rsidRDefault="002F7250" w:rsidP="00DD23C1">
            <w:pPr>
              <w:jc w:val="center"/>
              <w:rPr>
                <w:rFonts w:ascii="Garamond" w:hAnsi="Garamond" w:cs="Times New Roman"/>
                <w:b w:val="0"/>
                <w:color w:val="000000" w:themeColor="text1"/>
                <w:sz w:val="20"/>
                <w:szCs w:val="24"/>
                <w:lang w:eastAsia="en-GB"/>
              </w:rPr>
            </w:pPr>
            <w:r w:rsidRPr="00E83C5E">
              <w:rPr>
                <w:rFonts w:ascii="Garamond" w:hAnsi="Garamond" w:cs="Times New Roman"/>
                <w:color w:val="000000" w:themeColor="text1"/>
                <w:sz w:val="20"/>
                <w:szCs w:val="24"/>
                <w:lang w:eastAsia="en-GB"/>
              </w:rPr>
              <w:t>Lloji i treguesit</w:t>
            </w:r>
          </w:p>
        </w:tc>
        <w:tc>
          <w:tcPr>
            <w:tcW w:w="1597" w:type="dxa"/>
          </w:tcPr>
          <w:p w14:paraId="574E2CEE" w14:textId="77777777" w:rsidR="002F7250" w:rsidRPr="00E83C5E" w:rsidRDefault="002F7250" w:rsidP="00DD23C1">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color w:val="000000" w:themeColor="text1"/>
                <w:sz w:val="20"/>
                <w:szCs w:val="24"/>
                <w:lang w:eastAsia="en-GB"/>
              </w:rPr>
            </w:pPr>
            <w:r w:rsidRPr="00E83C5E">
              <w:rPr>
                <w:rFonts w:ascii="Garamond" w:hAnsi="Garamond" w:cs="Times New Roman"/>
                <w:color w:val="000000" w:themeColor="text1"/>
                <w:sz w:val="20"/>
                <w:szCs w:val="24"/>
              </w:rPr>
              <w:t>Emërtimi i treguesit</w:t>
            </w:r>
          </w:p>
        </w:tc>
        <w:tc>
          <w:tcPr>
            <w:tcW w:w="2462" w:type="dxa"/>
          </w:tcPr>
          <w:p w14:paraId="574E2CEF" w14:textId="65FD714C" w:rsidR="002F7250" w:rsidRPr="00E83C5E" w:rsidRDefault="002F7250" w:rsidP="00DD23C1">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color w:val="000000" w:themeColor="text1"/>
                <w:sz w:val="20"/>
                <w:szCs w:val="24"/>
                <w:lang w:eastAsia="en-GB"/>
              </w:rPr>
            </w:pPr>
            <w:r w:rsidRPr="00E83C5E">
              <w:rPr>
                <w:rFonts w:ascii="Garamond" w:hAnsi="Garamond" w:cs="Times New Roman"/>
                <w:color w:val="000000" w:themeColor="text1"/>
                <w:sz w:val="20"/>
                <w:szCs w:val="24"/>
                <w:lang w:eastAsia="en-GB"/>
              </w:rPr>
              <w:t xml:space="preserve">Lidhja </w:t>
            </w:r>
            <w:r w:rsidR="00127CA1" w:rsidRPr="00E83C5E">
              <w:rPr>
                <w:rFonts w:ascii="Garamond" w:hAnsi="Garamond" w:cs="Times New Roman"/>
                <w:color w:val="000000" w:themeColor="text1"/>
                <w:sz w:val="20"/>
                <w:szCs w:val="24"/>
                <w:lang w:eastAsia="en-GB"/>
              </w:rPr>
              <w:t>me qëllimin e politikës</w:t>
            </w:r>
          </w:p>
        </w:tc>
        <w:tc>
          <w:tcPr>
            <w:tcW w:w="2430" w:type="dxa"/>
          </w:tcPr>
          <w:p w14:paraId="574E2CF0" w14:textId="7DA0DC1F" w:rsidR="002F7250" w:rsidRPr="00E83C5E" w:rsidRDefault="002F7250" w:rsidP="00DD23C1">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color w:val="000000" w:themeColor="text1"/>
                <w:sz w:val="20"/>
                <w:szCs w:val="24"/>
                <w:lang w:eastAsia="en-GB"/>
              </w:rPr>
            </w:pPr>
            <w:r w:rsidRPr="00E83C5E">
              <w:rPr>
                <w:rFonts w:ascii="Garamond" w:hAnsi="Garamond" w:cs="Times New Roman"/>
                <w:color w:val="000000" w:themeColor="text1"/>
                <w:sz w:val="20"/>
                <w:szCs w:val="24"/>
                <w:lang w:eastAsia="en-GB"/>
              </w:rPr>
              <w:t xml:space="preserve">Lidhja me </w:t>
            </w:r>
            <w:r w:rsidR="00127CA1" w:rsidRPr="00E83C5E">
              <w:rPr>
                <w:rFonts w:ascii="Garamond" w:hAnsi="Garamond" w:cs="Times New Roman"/>
                <w:color w:val="000000" w:themeColor="text1"/>
                <w:sz w:val="20"/>
                <w:szCs w:val="24"/>
                <w:lang w:eastAsia="en-GB"/>
              </w:rPr>
              <w:t>objektivin specifik</w:t>
            </w:r>
          </w:p>
        </w:tc>
        <w:tc>
          <w:tcPr>
            <w:tcW w:w="1535" w:type="dxa"/>
          </w:tcPr>
          <w:p w14:paraId="574E2CF2" w14:textId="15997831" w:rsidR="002F7250" w:rsidRPr="00E83C5E" w:rsidRDefault="002F7250" w:rsidP="00127CA1">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color w:val="000000" w:themeColor="text1"/>
                <w:sz w:val="20"/>
                <w:szCs w:val="24"/>
                <w:lang w:eastAsia="en-GB"/>
              </w:rPr>
            </w:pPr>
            <w:r w:rsidRPr="00E83C5E">
              <w:rPr>
                <w:rFonts w:ascii="Garamond" w:hAnsi="Garamond" w:cs="Times New Roman"/>
                <w:color w:val="000000" w:themeColor="text1"/>
                <w:sz w:val="20"/>
                <w:szCs w:val="24"/>
                <w:lang w:eastAsia="en-GB"/>
              </w:rPr>
              <w:t xml:space="preserve">Institucioni </w:t>
            </w:r>
            <w:r w:rsidR="00127CA1" w:rsidRPr="00E83C5E">
              <w:rPr>
                <w:rFonts w:ascii="Garamond" w:hAnsi="Garamond" w:cs="Times New Roman"/>
                <w:color w:val="000000" w:themeColor="text1"/>
                <w:sz w:val="20"/>
                <w:szCs w:val="24"/>
                <w:lang w:eastAsia="en-GB"/>
              </w:rPr>
              <w:t>përgjegjës</w:t>
            </w:r>
          </w:p>
        </w:tc>
      </w:tr>
      <w:tr w:rsidR="002F7250" w:rsidRPr="00E83C5E" w14:paraId="574E2CFA" w14:textId="77777777" w:rsidTr="00DD23C1">
        <w:trPr>
          <w:trHeight w:val="609"/>
        </w:trPr>
        <w:tc>
          <w:tcPr>
            <w:cnfStyle w:val="001000000000" w:firstRow="0" w:lastRow="0" w:firstColumn="1" w:lastColumn="0" w:oddVBand="0" w:evenVBand="0" w:oddHBand="0" w:evenHBand="0" w:firstRowFirstColumn="0" w:firstRowLastColumn="0" w:lastRowFirstColumn="0" w:lastRowLastColumn="0"/>
            <w:tcW w:w="1156" w:type="dxa"/>
          </w:tcPr>
          <w:p w14:paraId="574E2CF4" w14:textId="77777777" w:rsidR="002F7250" w:rsidRPr="00E83C5E" w:rsidRDefault="002F7250" w:rsidP="00DD23C1">
            <w:pPr>
              <w:jc w:val="both"/>
              <w:rPr>
                <w:rFonts w:ascii="Garamond" w:hAnsi="Garamond" w:cs="Times New Roman"/>
                <w:sz w:val="20"/>
                <w:szCs w:val="24"/>
                <w:lang w:eastAsia="en-GB"/>
              </w:rPr>
            </w:pPr>
            <w:r w:rsidRPr="00E83C5E">
              <w:rPr>
                <w:rFonts w:ascii="Garamond" w:hAnsi="Garamond" w:cs="Times New Roman"/>
                <w:sz w:val="20"/>
                <w:szCs w:val="24"/>
                <w:lang w:eastAsia="en-GB"/>
              </w:rPr>
              <w:t>Rezultati</w:t>
            </w:r>
          </w:p>
        </w:tc>
        <w:tc>
          <w:tcPr>
            <w:tcW w:w="1597" w:type="dxa"/>
          </w:tcPr>
          <w:p w14:paraId="574E2CF5" w14:textId="77777777" w:rsidR="002F7250" w:rsidRPr="00E83C5E" w:rsidRDefault="002F7250" w:rsidP="00DD23C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Shkalla e papunësisë së të rinjve (%) të ndarë sipas gjinisë</w:t>
            </w:r>
          </w:p>
        </w:tc>
        <w:tc>
          <w:tcPr>
            <w:tcW w:w="2462" w:type="dxa"/>
          </w:tcPr>
          <w:p w14:paraId="574E2CF6" w14:textId="77777777" w:rsidR="002F7250" w:rsidRPr="00E83C5E" w:rsidRDefault="002F7250" w:rsidP="00DD23C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 xml:space="preserve">Novacioni, edukimi, autonomia, drejtësia si barazi (equity) </w:t>
            </w:r>
          </w:p>
          <w:p w14:paraId="574E2CF7" w14:textId="77777777" w:rsidR="002F7250" w:rsidRPr="00E83C5E" w:rsidRDefault="002F7250" w:rsidP="00DD23C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Mbështetet dhe nxitet novacioni rinor dhe rritja e aftësive dhe profesionalizmit të të rejave dhe të rinjve përmes edukimit cilësor në TIK dhe fusha të tjera të zhvillimit digjital duke rritur dhe përmirësuar kështu mundësitë për të hyrë në tregun e punës.</w:t>
            </w:r>
          </w:p>
        </w:tc>
        <w:tc>
          <w:tcPr>
            <w:tcW w:w="2430" w:type="dxa"/>
          </w:tcPr>
          <w:p w14:paraId="574E2CF8" w14:textId="47696056" w:rsidR="002F7250" w:rsidRPr="00E83C5E" w:rsidRDefault="002F7250" w:rsidP="00DD23C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Të rinjtë, në të gjitha kushtet dhe situatat,</w:t>
            </w:r>
            <w:r w:rsidR="00233C37" w:rsidRPr="00E83C5E">
              <w:rPr>
                <w:rFonts w:ascii="Garamond" w:hAnsi="Garamond" w:cs="Times New Roman"/>
                <w:sz w:val="20"/>
                <w:szCs w:val="24"/>
                <w:lang w:eastAsia="en-GB"/>
              </w:rPr>
              <w:t xml:space="preserve"> </w:t>
            </w:r>
            <w:r w:rsidRPr="00E83C5E">
              <w:rPr>
                <w:rFonts w:ascii="Garamond" w:hAnsi="Garamond" w:cs="Times New Roman"/>
                <w:sz w:val="20"/>
                <w:szCs w:val="24"/>
                <w:lang w:eastAsia="en-GB"/>
              </w:rPr>
              <w:t>përfaqësojnë një fokus të veçantë në aftësim, punësim, sipërmarrje dhe politika punësimi që ofrojnë një shumëllojshmëri të modaliteteve specifike rinore për rritjen e mbështetjes për ta në tranzicionin nga sistemi arsimor drejt tregut të punës dhe moshës madhore.</w:t>
            </w:r>
          </w:p>
        </w:tc>
        <w:tc>
          <w:tcPr>
            <w:tcW w:w="1535" w:type="dxa"/>
          </w:tcPr>
          <w:p w14:paraId="574E2CF9" w14:textId="77777777" w:rsidR="002F7250" w:rsidRPr="00E83C5E" w:rsidRDefault="002F7250" w:rsidP="00DD23C1">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MSHRF/ INSTAT/ AKPA/ MFE</w:t>
            </w:r>
          </w:p>
        </w:tc>
      </w:tr>
      <w:tr w:rsidR="002F7250" w:rsidRPr="00E83C5E" w14:paraId="574E2D01" w14:textId="77777777" w:rsidTr="00DD23C1">
        <w:trPr>
          <w:trHeight w:val="710"/>
        </w:trPr>
        <w:tc>
          <w:tcPr>
            <w:cnfStyle w:val="001000000000" w:firstRow="0" w:lastRow="0" w:firstColumn="1" w:lastColumn="0" w:oddVBand="0" w:evenVBand="0" w:oddHBand="0" w:evenHBand="0" w:firstRowFirstColumn="0" w:firstRowLastColumn="0" w:lastRowFirstColumn="0" w:lastRowLastColumn="0"/>
            <w:tcW w:w="1156" w:type="dxa"/>
          </w:tcPr>
          <w:p w14:paraId="574E2CFB" w14:textId="77777777" w:rsidR="002F7250" w:rsidRPr="00E83C5E" w:rsidRDefault="002F7250" w:rsidP="00DD23C1">
            <w:pPr>
              <w:jc w:val="both"/>
              <w:rPr>
                <w:rFonts w:ascii="Garamond" w:hAnsi="Garamond" w:cs="Times New Roman"/>
                <w:sz w:val="20"/>
                <w:szCs w:val="24"/>
                <w:lang w:eastAsia="en-GB"/>
              </w:rPr>
            </w:pPr>
            <w:r w:rsidRPr="00E83C5E">
              <w:rPr>
                <w:rFonts w:ascii="Garamond" w:hAnsi="Garamond" w:cs="Times New Roman"/>
                <w:sz w:val="20"/>
                <w:szCs w:val="24"/>
                <w:lang w:eastAsia="en-GB"/>
              </w:rPr>
              <w:lastRenderedPageBreak/>
              <w:t>Rezultati</w:t>
            </w:r>
          </w:p>
        </w:tc>
        <w:tc>
          <w:tcPr>
            <w:tcW w:w="1597" w:type="dxa"/>
          </w:tcPr>
          <w:p w14:paraId="574E2CFC" w14:textId="77777777" w:rsidR="002F7250" w:rsidRPr="00E83C5E" w:rsidRDefault="002F7250" w:rsidP="00DD23C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 e të rinjve që janë përfshirë në programet e nxitjes së punësimit</w:t>
            </w:r>
          </w:p>
        </w:tc>
        <w:tc>
          <w:tcPr>
            <w:tcW w:w="2462" w:type="dxa"/>
          </w:tcPr>
          <w:p w14:paraId="574E2CFD" w14:textId="77777777" w:rsidR="002F7250" w:rsidRPr="00E83C5E" w:rsidRDefault="002F7250" w:rsidP="00DD23C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Novacioni, edukimi, autonomia, drejtësia si barazi (</w:t>
            </w:r>
            <w:r w:rsidRPr="00E83C5E">
              <w:rPr>
                <w:rFonts w:ascii="Garamond" w:hAnsi="Garamond" w:cs="Times New Roman"/>
                <w:i/>
                <w:sz w:val="20"/>
                <w:szCs w:val="24"/>
                <w:lang w:eastAsia="en-GB"/>
              </w:rPr>
              <w:t>equity</w:t>
            </w:r>
            <w:r w:rsidRPr="00E83C5E">
              <w:rPr>
                <w:rFonts w:ascii="Garamond" w:hAnsi="Garamond" w:cs="Times New Roman"/>
                <w:sz w:val="20"/>
                <w:szCs w:val="24"/>
                <w:lang w:eastAsia="en-GB"/>
              </w:rPr>
              <w:t xml:space="preserve">) </w:t>
            </w:r>
          </w:p>
          <w:p w14:paraId="574E2CFE" w14:textId="77777777" w:rsidR="002F7250" w:rsidRPr="00E83C5E" w:rsidRDefault="002F7250" w:rsidP="00DD23C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Mbështetet dhe nxitet novacioni rinor dhe rritja e aftësive dhe profesionalizmit të të rejave dhe të rinjve përmes edukimit cilësor në TIK dhe fusha të tjera të zhvillimit digjital duke rritur dhe përmirësuar kështu mundësitë për të hyrë në tregun e punës.</w:t>
            </w:r>
          </w:p>
        </w:tc>
        <w:tc>
          <w:tcPr>
            <w:tcW w:w="2430" w:type="dxa"/>
          </w:tcPr>
          <w:p w14:paraId="574E2CFF" w14:textId="42170BAE" w:rsidR="002F7250" w:rsidRPr="00E83C5E" w:rsidRDefault="002F7250" w:rsidP="00DD23C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Të rinjtë, në të gjitha kushtet dhe situatat,</w:t>
            </w:r>
            <w:r w:rsidR="00233C37" w:rsidRPr="00E83C5E">
              <w:rPr>
                <w:rFonts w:ascii="Garamond" w:hAnsi="Garamond" w:cs="Times New Roman"/>
                <w:sz w:val="20"/>
                <w:szCs w:val="24"/>
                <w:lang w:eastAsia="en-GB"/>
              </w:rPr>
              <w:t xml:space="preserve"> </w:t>
            </w:r>
            <w:r w:rsidRPr="00E83C5E">
              <w:rPr>
                <w:rFonts w:ascii="Garamond" w:hAnsi="Garamond" w:cs="Times New Roman"/>
                <w:sz w:val="20"/>
                <w:szCs w:val="24"/>
                <w:lang w:eastAsia="en-GB"/>
              </w:rPr>
              <w:t>përfaqësojnë një fokus të veçantë në aftësim, punësim, sipërmarrje dhe politika punësimi që ofrojnë një shumëllojshmëri të modaliteteve specifike rinore për rritjen e mbështetjes për ta në tranzicionin nga sistemi arsimor drejt tregut të punës dhe moshës madhore.</w:t>
            </w:r>
          </w:p>
        </w:tc>
        <w:tc>
          <w:tcPr>
            <w:tcW w:w="1535" w:type="dxa"/>
          </w:tcPr>
          <w:p w14:paraId="574E2D00" w14:textId="77777777" w:rsidR="002F7250" w:rsidRPr="00E83C5E" w:rsidRDefault="002F7250" w:rsidP="00DD23C1">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AKPA/MFE</w:t>
            </w:r>
          </w:p>
        </w:tc>
      </w:tr>
      <w:tr w:rsidR="002F7250" w:rsidRPr="00E83C5E" w14:paraId="574E2D08" w14:textId="77777777" w:rsidTr="00DD23C1">
        <w:trPr>
          <w:trHeight w:val="710"/>
        </w:trPr>
        <w:tc>
          <w:tcPr>
            <w:cnfStyle w:val="001000000000" w:firstRow="0" w:lastRow="0" w:firstColumn="1" w:lastColumn="0" w:oddVBand="0" w:evenVBand="0" w:oddHBand="0" w:evenHBand="0" w:firstRowFirstColumn="0" w:firstRowLastColumn="0" w:lastRowFirstColumn="0" w:lastRowLastColumn="0"/>
            <w:tcW w:w="1156" w:type="dxa"/>
          </w:tcPr>
          <w:p w14:paraId="574E2D02" w14:textId="77777777" w:rsidR="002F7250" w:rsidRPr="00E83C5E" w:rsidRDefault="002F7250" w:rsidP="00DD23C1">
            <w:pPr>
              <w:jc w:val="both"/>
              <w:rPr>
                <w:rFonts w:ascii="Garamond" w:hAnsi="Garamond" w:cs="Times New Roman"/>
                <w:sz w:val="20"/>
                <w:szCs w:val="24"/>
                <w:lang w:eastAsia="en-GB"/>
              </w:rPr>
            </w:pPr>
            <w:r w:rsidRPr="00E83C5E">
              <w:rPr>
                <w:rFonts w:ascii="Garamond" w:hAnsi="Garamond" w:cs="Times New Roman"/>
                <w:sz w:val="20"/>
                <w:szCs w:val="24"/>
                <w:lang w:eastAsia="en-GB"/>
              </w:rPr>
              <w:t>Rezultati</w:t>
            </w:r>
          </w:p>
        </w:tc>
        <w:tc>
          <w:tcPr>
            <w:tcW w:w="1597" w:type="dxa"/>
          </w:tcPr>
          <w:p w14:paraId="574E2D03" w14:textId="77777777" w:rsidR="002F7250" w:rsidRPr="00E83C5E" w:rsidRDefault="002F7250" w:rsidP="00DD23C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 e të rinjve që kanë filluar biznesin me mbështetjen financiare të shtetit.</w:t>
            </w:r>
          </w:p>
        </w:tc>
        <w:tc>
          <w:tcPr>
            <w:tcW w:w="2462" w:type="dxa"/>
          </w:tcPr>
          <w:p w14:paraId="574E2D04" w14:textId="77777777" w:rsidR="002F7250" w:rsidRPr="00E83C5E" w:rsidRDefault="002F7250" w:rsidP="00DD23C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 xml:space="preserve">Novacioni, edukimi, autonomia, drejtësia si barazi (equity) </w:t>
            </w:r>
          </w:p>
          <w:p w14:paraId="574E2D05" w14:textId="77777777" w:rsidR="002F7250" w:rsidRPr="00E83C5E" w:rsidRDefault="002F7250" w:rsidP="00DD23C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Mbështetet dhe nxitet novacioni rinor dhe rritja e aftësive dhe profesionalizmit të të rejave dhe të rinjve përmes edukimit cilësor në TIK dhe fusha të tjera të zhvillimit digjital duke rritur dhe përmirësuar kështu mundësitë për të hyrë në tregun e punës.</w:t>
            </w:r>
          </w:p>
        </w:tc>
        <w:tc>
          <w:tcPr>
            <w:tcW w:w="2430" w:type="dxa"/>
          </w:tcPr>
          <w:p w14:paraId="574E2D06" w14:textId="5E21232A" w:rsidR="002F7250" w:rsidRPr="00E83C5E" w:rsidRDefault="002F7250" w:rsidP="00DD23C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Të rinjtë, në të gjitha kushtet dhe situatat,</w:t>
            </w:r>
            <w:r w:rsidR="00233C37" w:rsidRPr="00E83C5E">
              <w:rPr>
                <w:rFonts w:ascii="Garamond" w:hAnsi="Garamond" w:cs="Times New Roman"/>
                <w:sz w:val="20"/>
                <w:szCs w:val="24"/>
                <w:lang w:eastAsia="en-GB"/>
              </w:rPr>
              <w:t xml:space="preserve"> </w:t>
            </w:r>
            <w:r w:rsidRPr="00E83C5E">
              <w:rPr>
                <w:rFonts w:ascii="Garamond" w:hAnsi="Garamond" w:cs="Times New Roman"/>
                <w:sz w:val="20"/>
                <w:szCs w:val="24"/>
                <w:lang w:eastAsia="en-GB"/>
              </w:rPr>
              <w:t>përfaqësojnë një fokus të veçantë në aftësim, punësim, sipërmarrje dhe politika punësimi që ofrojnë një shumëllojshmëri të modaliteteve specifike rinore për rritjen e mbështetjes për ta në tranzicionin nga sistemi arsimor drejt tregut të punës dhe moshës madhore.</w:t>
            </w:r>
          </w:p>
        </w:tc>
        <w:tc>
          <w:tcPr>
            <w:tcW w:w="1535" w:type="dxa"/>
          </w:tcPr>
          <w:p w14:paraId="574E2D07" w14:textId="77777777" w:rsidR="002F7250" w:rsidRPr="00E83C5E" w:rsidRDefault="002F7250" w:rsidP="00DD23C1">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4"/>
                <w:lang w:eastAsia="en-GB"/>
              </w:rPr>
            </w:pPr>
            <w:r w:rsidRPr="00E83C5E">
              <w:rPr>
                <w:rFonts w:ascii="Garamond" w:hAnsi="Garamond" w:cs="Times New Roman"/>
                <w:sz w:val="20"/>
                <w:szCs w:val="24"/>
                <w:lang w:eastAsia="en-GB"/>
              </w:rPr>
              <w:t>MSHRF/ MFE</w:t>
            </w:r>
          </w:p>
        </w:tc>
      </w:tr>
    </w:tbl>
    <w:p w14:paraId="574E2D09" w14:textId="77777777" w:rsidR="002F7250" w:rsidRPr="00E83C5E" w:rsidRDefault="002F7250" w:rsidP="002F7250">
      <w:pPr>
        <w:spacing w:after="0" w:line="240" w:lineRule="auto"/>
        <w:ind w:firstLine="284"/>
        <w:rPr>
          <w:rFonts w:ascii="Garamond" w:hAnsi="Garamond" w:cs="Times New Roman"/>
          <w:sz w:val="24"/>
          <w:szCs w:val="24"/>
        </w:rPr>
      </w:pPr>
      <w:r w:rsidRPr="00E83C5E">
        <w:rPr>
          <w:rFonts w:ascii="Garamond" w:hAnsi="Garamond" w:cs="Times New Roman"/>
          <w:b/>
          <w:sz w:val="24"/>
          <w:szCs w:val="24"/>
        </w:rPr>
        <w:t xml:space="preserve"> </w:t>
      </w:r>
    </w:p>
    <w:p w14:paraId="574E2D0B" w14:textId="3BA4ACCB" w:rsidR="00DD23C1" w:rsidRPr="00E83C5E" w:rsidRDefault="002F7250" w:rsidP="00127CA1">
      <w:pPr>
        <w:shd w:val="clear" w:color="auto" w:fill="FFFFFF" w:themeFill="background1"/>
        <w:spacing w:after="0" w:line="240" w:lineRule="auto"/>
        <w:ind w:firstLine="284"/>
        <w:jc w:val="both"/>
        <w:rPr>
          <w:rFonts w:ascii="Garamond" w:hAnsi="Garamond"/>
          <w:sz w:val="24"/>
          <w:szCs w:val="24"/>
        </w:rPr>
      </w:pPr>
      <w:r w:rsidRPr="00E83C5E">
        <w:rPr>
          <w:rFonts w:ascii="Garamond" w:hAnsi="Garamond" w:cs="Times New Roman"/>
          <w:sz w:val="24"/>
          <w:szCs w:val="24"/>
        </w:rPr>
        <w:t>Lista e plotë e masave në planin e veprimit.</w:t>
      </w:r>
    </w:p>
    <w:p w14:paraId="574E2D0C" w14:textId="3785BC0B" w:rsidR="002F7250" w:rsidRPr="00E83C5E" w:rsidRDefault="002F7250" w:rsidP="002F7250">
      <w:pPr>
        <w:pStyle w:val="Caption"/>
        <w:keepNext/>
        <w:spacing w:after="0"/>
        <w:ind w:firstLine="284"/>
        <w:rPr>
          <w:rFonts w:ascii="Garamond" w:hAnsi="Garamond"/>
          <w:color w:val="000000" w:themeColor="text1"/>
          <w:sz w:val="24"/>
          <w:szCs w:val="24"/>
        </w:rPr>
      </w:pPr>
      <w:r w:rsidRPr="00E83C5E">
        <w:rPr>
          <w:rFonts w:ascii="Garamond" w:hAnsi="Garamond"/>
          <w:color w:val="000000" w:themeColor="text1"/>
          <w:sz w:val="24"/>
          <w:szCs w:val="24"/>
        </w:rPr>
        <w:t xml:space="preserve">Tabela </w:t>
      </w:r>
      <w:r w:rsidRPr="00E83C5E">
        <w:rPr>
          <w:rFonts w:ascii="Garamond" w:hAnsi="Garamond"/>
          <w:color w:val="000000" w:themeColor="text1"/>
          <w:sz w:val="24"/>
          <w:szCs w:val="24"/>
        </w:rPr>
        <w:fldChar w:fldCharType="begin"/>
      </w:r>
      <w:r w:rsidRPr="00E83C5E">
        <w:rPr>
          <w:rFonts w:ascii="Garamond" w:hAnsi="Garamond"/>
          <w:color w:val="000000" w:themeColor="text1"/>
          <w:sz w:val="24"/>
          <w:szCs w:val="24"/>
        </w:rPr>
        <w:instrText xml:space="preserve"> SEQ Tabela \* ARABIC </w:instrText>
      </w:r>
      <w:r w:rsidRPr="00E83C5E">
        <w:rPr>
          <w:rFonts w:ascii="Garamond" w:hAnsi="Garamond"/>
          <w:color w:val="000000" w:themeColor="text1"/>
          <w:sz w:val="24"/>
          <w:szCs w:val="24"/>
        </w:rPr>
        <w:fldChar w:fldCharType="separate"/>
      </w:r>
      <w:r w:rsidRPr="00E83C5E">
        <w:rPr>
          <w:rFonts w:ascii="Garamond" w:hAnsi="Garamond"/>
          <w:color w:val="000000" w:themeColor="text1"/>
          <w:sz w:val="24"/>
          <w:szCs w:val="24"/>
        </w:rPr>
        <w:t>15</w:t>
      </w:r>
      <w:r w:rsidRPr="00E83C5E">
        <w:rPr>
          <w:rFonts w:ascii="Garamond" w:hAnsi="Garamond"/>
          <w:color w:val="000000" w:themeColor="text1"/>
          <w:sz w:val="24"/>
          <w:szCs w:val="24"/>
        </w:rPr>
        <w:fldChar w:fldCharType="end"/>
      </w:r>
      <w:r w:rsidRPr="00E83C5E">
        <w:rPr>
          <w:rFonts w:ascii="Garamond" w:hAnsi="Garamond"/>
          <w:color w:val="000000" w:themeColor="text1"/>
          <w:sz w:val="24"/>
          <w:szCs w:val="24"/>
        </w:rPr>
        <w:t>:</w:t>
      </w:r>
      <w:r w:rsidR="00127CA1" w:rsidRPr="00E83C5E">
        <w:rPr>
          <w:rFonts w:ascii="Garamond" w:hAnsi="Garamond"/>
          <w:color w:val="000000" w:themeColor="text1"/>
          <w:sz w:val="24"/>
          <w:szCs w:val="24"/>
        </w:rPr>
        <w:t xml:space="preserve"> </w:t>
      </w:r>
      <w:r w:rsidRPr="00E83C5E">
        <w:rPr>
          <w:rFonts w:ascii="Garamond" w:hAnsi="Garamond"/>
          <w:color w:val="000000" w:themeColor="text1"/>
          <w:sz w:val="24"/>
          <w:szCs w:val="24"/>
        </w:rPr>
        <w:t>Lista e masave për arritjen e objektivit specifik 2.3</w:t>
      </w:r>
    </w:p>
    <w:tbl>
      <w:tblPr>
        <w:tblStyle w:val="GridTable1Light-Accent11"/>
        <w:tblW w:w="8926" w:type="dxa"/>
        <w:tblLook w:val="04A0" w:firstRow="1" w:lastRow="0" w:firstColumn="1" w:lastColumn="0" w:noHBand="0" w:noVBand="1"/>
      </w:tblPr>
      <w:tblGrid>
        <w:gridCol w:w="890"/>
        <w:gridCol w:w="8036"/>
      </w:tblGrid>
      <w:tr w:rsidR="002F7250" w:rsidRPr="00E83C5E" w14:paraId="574E2D0F" w14:textId="77777777" w:rsidTr="00127CA1">
        <w:trPr>
          <w:cnfStyle w:val="100000000000" w:firstRow="1" w:lastRow="0" w:firstColumn="0" w:lastColumn="0" w:oddVBand="0" w:evenVBand="0" w:oddHBand="0"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890" w:type="dxa"/>
            <w:noWrap/>
            <w:hideMark/>
          </w:tcPr>
          <w:p w14:paraId="574E2D0D" w14:textId="6F7958E7" w:rsidR="002F7250" w:rsidRPr="00E83C5E" w:rsidRDefault="002F7250" w:rsidP="00127CA1">
            <w:pPr>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Nr</w:t>
            </w:r>
            <w:r w:rsidR="00127CA1" w:rsidRPr="00E83C5E">
              <w:rPr>
                <w:rFonts w:ascii="Garamond" w:eastAsia="Times New Roman" w:hAnsi="Garamond" w:cs="Times New Roman"/>
                <w:color w:val="000000"/>
                <w:sz w:val="20"/>
                <w:szCs w:val="24"/>
              </w:rPr>
              <w:t>.</w:t>
            </w:r>
            <w:r w:rsidRPr="00E83C5E">
              <w:rPr>
                <w:rFonts w:ascii="Garamond" w:eastAsia="Times New Roman" w:hAnsi="Garamond" w:cs="Times New Roman"/>
                <w:color w:val="000000"/>
                <w:sz w:val="20"/>
                <w:szCs w:val="24"/>
              </w:rPr>
              <w:t xml:space="preserve"> i masës</w:t>
            </w:r>
          </w:p>
        </w:tc>
        <w:tc>
          <w:tcPr>
            <w:tcW w:w="8036" w:type="dxa"/>
            <w:hideMark/>
          </w:tcPr>
          <w:p w14:paraId="574E2D0E" w14:textId="77777777" w:rsidR="002F7250" w:rsidRPr="00E83C5E" w:rsidRDefault="002F7250" w:rsidP="00DD23C1">
            <w:pPr>
              <w:jc w:val="both"/>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 w:val="0"/>
                <w:bCs w:val="0"/>
                <w:i/>
                <w:iCs/>
                <w:color w:val="0066CC"/>
                <w:sz w:val="20"/>
                <w:szCs w:val="24"/>
              </w:rPr>
            </w:pPr>
            <w:r w:rsidRPr="00E83C5E">
              <w:rPr>
                <w:rFonts w:ascii="Garamond" w:eastAsia="Times New Roman" w:hAnsi="Garamond" w:cs="Times New Roman"/>
                <w:i/>
                <w:iCs/>
                <w:sz w:val="20"/>
                <w:szCs w:val="24"/>
              </w:rPr>
              <w:t>Masat sipas objektivit specifik 2.3</w:t>
            </w:r>
          </w:p>
        </w:tc>
      </w:tr>
      <w:tr w:rsidR="002F7250" w:rsidRPr="00E83C5E" w14:paraId="574E2D12" w14:textId="77777777" w:rsidTr="00BC2136">
        <w:trPr>
          <w:trHeight w:val="412"/>
        </w:trPr>
        <w:tc>
          <w:tcPr>
            <w:cnfStyle w:val="001000000000" w:firstRow="0" w:lastRow="0" w:firstColumn="1" w:lastColumn="0" w:oddVBand="0" w:evenVBand="0" w:oddHBand="0" w:evenHBand="0" w:firstRowFirstColumn="0" w:firstRowLastColumn="0" w:lastRowFirstColumn="0" w:lastRowLastColumn="0"/>
            <w:tcW w:w="890" w:type="dxa"/>
            <w:noWrap/>
            <w:hideMark/>
          </w:tcPr>
          <w:p w14:paraId="574E2D10" w14:textId="77777777" w:rsidR="002F7250" w:rsidRPr="00E83C5E" w:rsidRDefault="002F7250" w:rsidP="00DD23C1">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2.3.1</w:t>
            </w:r>
          </w:p>
        </w:tc>
        <w:tc>
          <w:tcPr>
            <w:tcW w:w="8036" w:type="dxa"/>
          </w:tcPr>
          <w:p w14:paraId="574E2D11" w14:textId="4874CDAE" w:rsidR="002F7250" w:rsidRPr="00E83C5E" w:rsidRDefault="002F7250" w:rsidP="00DD23C1">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4"/>
              </w:rPr>
            </w:pPr>
            <w:r w:rsidRPr="00E83C5E">
              <w:rPr>
                <w:rFonts w:ascii="Garamond" w:eastAsia="Arial" w:hAnsi="Garamond" w:cs="Times New Roman"/>
                <w:sz w:val="20"/>
                <w:szCs w:val="24"/>
              </w:rPr>
              <w:t>Nxiten punët e denja dhe të përshtatshme për të rejat dhe të rinjtë përmes politikave të punësimit, miqësore dhe të orientuara nga të rinjtë, që kontribuojnë në krijimin e vendeve të punës për të rejat dhe të dhe që sigurojnë qasje novative dhe digjitale në informacionet mbi të drejtat dhe përgjegjësitë e punësimit.</w:t>
            </w:r>
            <w:r w:rsidR="00233C37" w:rsidRPr="00E83C5E">
              <w:rPr>
                <w:rFonts w:ascii="Garamond" w:eastAsia="Arial" w:hAnsi="Garamond" w:cs="Times New Roman"/>
                <w:sz w:val="20"/>
                <w:szCs w:val="24"/>
              </w:rPr>
              <w:t xml:space="preserve"> </w:t>
            </w:r>
          </w:p>
        </w:tc>
      </w:tr>
      <w:tr w:rsidR="002F7250" w:rsidRPr="00E83C5E" w14:paraId="574E2D15" w14:textId="77777777" w:rsidTr="00127CA1">
        <w:trPr>
          <w:trHeight w:val="50"/>
        </w:trPr>
        <w:tc>
          <w:tcPr>
            <w:cnfStyle w:val="001000000000" w:firstRow="0" w:lastRow="0" w:firstColumn="1" w:lastColumn="0" w:oddVBand="0" w:evenVBand="0" w:oddHBand="0" w:evenHBand="0" w:firstRowFirstColumn="0" w:firstRowLastColumn="0" w:lastRowFirstColumn="0" w:lastRowLastColumn="0"/>
            <w:tcW w:w="890" w:type="dxa"/>
            <w:noWrap/>
            <w:hideMark/>
          </w:tcPr>
          <w:p w14:paraId="574E2D13" w14:textId="77777777" w:rsidR="002F7250" w:rsidRPr="00E83C5E" w:rsidRDefault="002F7250" w:rsidP="00DD23C1">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2.3.2</w:t>
            </w:r>
          </w:p>
        </w:tc>
        <w:tc>
          <w:tcPr>
            <w:tcW w:w="8036" w:type="dxa"/>
          </w:tcPr>
          <w:p w14:paraId="574E2D14" w14:textId="77777777" w:rsidR="002F7250" w:rsidRPr="00E83C5E" w:rsidRDefault="002F7250" w:rsidP="00DD23C1">
            <w:pPr>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sz w:val="20"/>
                <w:szCs w:val="24"/>
              </w:rPr>
            </w:pPr>
            <w:r w:rsidRPr="00E83C5E">
              <w:rPr>
                <w:rFonts w:ascii="Garamond" w:eastAsia="Arial" w:hAnsi="Garamond" w:cs="Times New Roman"/>
                <w:sz w:val="20"/>
                <w:szCs w:val="24"/>
              </w:rPr>
              <w:t>Sigurohet mbështetje e përshtatshme dhe miqësore për të rinjtë dhe të rejat e në veçanti për ata me aftësi të kufizuara mbi punësueshmërinë e tyre, punësimin dhe sipërmarrjen rinore.</w:t>
            </w:r>
          </w:p>
        </w:tc>
      </w:tr>
      <w:tr w:rsidR="002F7250" w:rsidRPr="00E83C5E" w14:paraId="574E2D18" w14:textId="77777777" w:rsidTr="00127CA1">
        <w:trPr>
          <w:trHeight w:val="50"/>
        </w:trPr>
        <w:tc>
          <w:tcPr>
            <w:cnfStyle w:val="001000000000" w:firstRow="0" w:lastRow="0" w:firstColumn="1" w:lastColumn="0" w:oddVBand="0" w:evenVBand="0" w:oddHBand="0" w:evenHBand="0" w:firstRowFirstColumn="0" w:firstRowLastColumn="0" w:lastRowFirstColumn="0" w:lastRowLastColumn="0"/>
            <w:tcW w:w="890" w:type="dxa"/>
            <w:noWrap/>
            <w:hideMark/>
          </w:tcPr>
          <w:p w14:paraId="574E2D16" w14:textId="77777777" w:rsidR="002F7250" w:rsidRPr="00E83C5E" w:rsidRDefault="002F7250" w:rsidP="00DD23C1">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2.3.3</w:t>
            </w:r>
          </w:p>
        </w:tc>
        <w:tc>
          <w:tcPr>
            <w:tcW w:w="8036" w:type="dxa"/>
          </w:tcPr>
          <w:p w14:paraId="574E2D17" w14:textId="143390CF" w:rsidR="002F7250" w:rsidRPr="00E83C5E" w:rsidRDefault="002F7250" w:rsidP="00962755">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4"/>
              </w:rPr>
            </w:pPr>
            <w:r w:rsidRPr="00E83C5E">
              <w:rPr>
                <w:rFonts w:ascii="Garamond" w:eastAsia="Arial" w:hAnsi="Garamond" w:cs="Times New Roman"/>
                <w:sz w:val="20"/>
                <w:szCs w:val="24"/>
              </w:rPr>
              <w:t>Nxitet dhe promovohet novacioni në tregun e punës për punësimin me kohë të pjesshme të orientuar kryesisht nga të rejat.</w:t>
            </w:r>
          </w:p>
        </w:tc>
      </w:tr>
      <w:tr w:rsidR="002F7250" w:rsidRPr="00E83C5E" w14:paraId="574E2D1B" w14:textId="77777777" w:rsidTr="00127CA1">
        <w:trPr>
          <w:trHeight w:val="50"/>
        </w:trPr>
        <w:tc>
          <w:tcPr>
            <w:cnfStyle w:val="001000000000" w:firstRow="0" w:lastRow="0" w:firstColumn="1" w:lastColumn="0" w:oddVBand="0" w:evenVBand="0" w:oddHBand="0" w:evenHBand="0" w:firstRowFirstColumn="0" w:firstRowLastColumn="0" w:lastRowFirstColumn="0" w:lastRowLastColumn="0"/>
            <w:tcW w:w="890" w:type="dxa"/>
            <w:noWrap/>
            <w:hideMark/>
          </w:tcPr>
          <w:p w14:paraId="574E2D19" w14:textId="77777777" w:rsidR="002F7250" w:rsidRPr="00E83C5E" w:rsidRDefault="002F7250" w:rsidP="00DD23C1">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2.3.4</w:t>
            </w:r>
          </w:p>
        </w:tc>
        <w:tc>
          <w:tcPr>
            <w:tcW w:w="8036" w:type="dxa"/>
          </w:tcPr>
          <w:p w14:paraId="574E2D1A" w14:textId="50C819E5" w:rsidR="002F7250" w:rsidRPr="00E83C5E" w:rsidRDefault="002F7250" w:rsidP="00DD23C1">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4"/>
              </w:rPr>
            </w:pPr>
            <w:r w:rsidRPr="00E83C5E">
              <w:rPr>
                <w:rFonts w:ascii="Garamond" w:eastAsia="Arial" w:hAnsi="Garamond" w:cs="Times New Roman"/>
                <w:sz w:val="20"/>
                <w:szCs w:val="24"/>
              </w:rPr>
              <w:t>Fuqizohen qasjet e integruara për të mbështetur të rinjtë që rrezikojnë</w:t>
            </w:r>
            <w:r w:rsidR="00233C37" w:rsidRPr="00E83C5E">
              <w:rPr>
                <w:rFonts w:ascii="Garamond" w:eastAsia="Arial" w:hAnsi="Garamond" w:cs="Times New Roman"/>
                <w:sz w:val="20"/>
                <w:szCs w:val="24"/>
              </w:rPr>
              <w:t xml:space="preserve"> </w:t>
            </w:r>
            <w:r w:rsidRPr="00E83C5E">
              <w:rPr>
                <w:rFonts w:ascii="Garamond" w:eastAsia="Arial" w:hAnsi="Garamond" w:cs="Times New Roman"/>
                <w:sz w:val="20"/>
                <w:szCs w:val="24"/>
              </w:rPr>
              <w:t xml:space="preserve">lënien e parakohshme të shkollimit dhe pa mbështetje për shkollim në përputhje me Strategjinë Kombëtare të Arsimit </w:t>
            </w:r>
          </w:p>
        </w:tc>
      </w:tr>
    </w:tbl>
    <w:p w14:paraId="574E2D1C" w14:textId="77777777" w:rsidR="002F7250" w:rsidRPr="00E83C5E" w:rsidRDefault="002F7250" w:rsidP="002F7250">
      <w:pPr>
        <w:shd w:val="clear" w:color="auto" w:fill="FFFFFF" w:themeFill="background1"/>
        <w:spacing w:after="0" w:line="240" w:lineRule="auto"/>
        <w:ind w:firstLine="284"/>
        <w:jc w:val="both"/>
        <w:rPr>
          <w:rFonts w:ascii="Garamond" w:hAnsi="Garamond" w:cs="Times New Roman"/>
          <w:sz w:val="24"/>
          <w:szCs w:val="24"/>
        </w:rPr>
      </w:pPr>
    </w:p>
    <w:p w14:paraId="574E2D1D" w14:textId="7F9459AB" w:rsidR="002F7250" w:rsidRPr="00E83C5E" w:rsidRDefault="002F7250" w:rsidP="00DD23C1">
      <w:pPr>
        <w:pStyle w:val="TEKSTIII"/>
        <w:rPr>
          <w:b/>
        </w:rPr>
      </w:pPr>
      <w:r w:rsidRPr="00E83C5E">
        <w:rPr>
          <w:b/>
        </w:rPr>
        <w:t xml:space="preserve">Qëllimi i </w:t>
      </w:r>
      <w:r w:rsidR="00127CA1" w:rsidRPr="00E83C5E">
        <w:rPr>
          <w:b/>
        </w:rPr>
        <w:t>p</w:t>
      </w:r>
      <w:r w:rsidRPr="00E83C5E">
        <w:rPr>
          <w:b/>
        </w:rPr>
        <w:t xml:space="preserve">olitikës 3: </w:t>
      </w:r>
    </w:p>
    <w:p w14:paraId="574E2D1E" w14:textId="77777777" w:rsidR="002F7250" w:rsidRPr="00E83C5E" w:rsidRDefault="002F7250" w:rsidP="00DD23C1">
      <w:pPr>
        <w:pStyle w:val="TEKSTIII"/>
        <w:rPr>
          <w:b/>
          <w:bCs/>
        </w:rPr>
      </w:pPr>
      <w:r w:rsidRPr="00E83C5E">
        <w:rPr>
          <w:rFonts w:eastAsia="Arial"/>
          <w:b/>
          <w:bCs/>
        </w:rPr>
        <w:t>Mirëqenia aktive, e shëndetshme, fizike, sociale dhe mendore e të rejave / rinjve. Siguria, mbrojtja dhe përfshirja e të rejave/ të rinjve/ në të gjithë diversitetin e tyre, veçanërisht për ata të rinj që janë në situatë rreziku apo mënjanimi social (vulnerabiliteti).</w:t>
      </w:r>
    </w:p>
    <w:p w14:paraId="574E2D1F" w14:textId="77777777" w:rsidR="002F7250" w:rsidRPr="00E83C5E" w:rsidRDefault="002F7250" w:rsidP="002F7250">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Qëllimi synon të arrijë objektivat e mëposhtëm:</w:t>
      </w:r>
    </w:p>
    <w:p w14:paraId="574E2D20" w14:textId="3B395C4E" w:rsidR="002F7250" w:rsidRPr="00E83C5E" w:rsidRDefault="00DD23C1" w:rsidP="00DD23C1">
      <w:pPr>
        <w:pStyle w:val="TEKSTIII"/>
      </w:pPr>
      <w:r w:rsidRPr="00E83C5E">
        <w:rPr>
          <w:b/>
          <w:bCs/>
        </w:rPr>
        <w:t>-</w:t>
      </w:r>
      <w:r w:rsidR="00B229EC" w:rsidRPr="00E83C5E">
        <w:rPr>
          <w:b/>
          <w:bCs/>
        </w:rPr>
        <w:t xml:space="preserve"> </w:t>
      </w:r>
      <w:r w:rsidR="002F7250" w:rsidRPr="00E83C5E">
        <w:rPr>
          <w:b/>
          <w:bCs/>
        </w:rPr>
        <w:t xml:space="preserve">Objektivi </w:t>
      </w:r>
      <w:r w:rsidR="0088732E" w:rsidRPr="00E83C5E">
        <w:rPr>
          <w:b/>
          <w:bCs/>
        </w:rPr>
        <w:t>s</w:t>
      </w:r>
      <w:r w:rsidR="002F7250" w:rsidRPr="00E83C5E">
        <w:rPr>
          <w:b/>
          <w:bCs/>
        </w:rPr>
        <w:t>pecifik 3.1</w:t>
      </w:r>
      <w:r w:rsidR="002F7250" w:rsidRPr="00E83C5E">
        <w:rPr>
          <w:b/>
        </w:rPr>
        <w:t xml:space="preserve">: </w:t>
      </w:r>
      <w:r w:rsidR="002F7250" w:rsidRPr="00E83C5E">
        <w:t>Mbrojtja mbështetja dhe siguria e të rejave dhe të rinjve, veçanërisht e atyre në situatë rreziku, në vendin ku jetojnë dhe hapësirën digjitale.</w:t>
      </w:r>
    </w:p>
    <w:p w14:paraId="574E2D21" w14:textId="378BB095" w:rsidR="002F7250" w:rsidRPr="00E83C5E" w:rsidRDefault="00DD23C1" w:rsidP="00DD23C1">
      <w:pPr>
        <w:pStyle w:val="TEKSTIII"/>
      </w:pPr>
      <w:r w:rsidRPr="00E83C5E">
        <w:rPr>
          <w:b/>
          <w:bCs/>
        </w:rPr>
        <w:t>-</w:t>
      </w:r>
      <w:r w:rsidR="00B229EC" w:rsidRPr="00E83C5E">
        <w:rPr>
          <w:b/>
          <w:bCs/>
        </w:rPr>
        <w:t xml:space="preserve"> </w:t>
      </w:r>
      <w:r w:rsidR="002F7250" w:rsidRPr="00E83C5E">
        <w:rPr>
          <w:b/>
          <w:bCs/>
        </w:rPr>
        <w:t xml:space="preserve">Objektivi </w:t>
      </w:r>
      <w:r w:rsidR="0088732E" w:rsidRPr="00E83C5E">
        <w:rPr>
          <w:b/>
          <w:bCs/>
        </w:rPr>
        <w:t>s</w:t>
      </w:r>
      <w:r w:rsidR="002F7250" w:rsidRPr="00E83C5E">
        <w:rPr>
          <w:b/>
          <w:bCs/>
        </w:rPr>
        <w:t xml:space="preserve">pecifik 3.2: </w:t>
      </w:r>
      <w:r w:rsidR="002F7250" w:rsidRPr="00E83C5E">
        <w:t xml:space="preserve">Të rejave dhe të rinjve ju ofrohen shërbime shëndetësore miqësore dhe ata praktikojnë stile jetese të shëndetshme, veçanërisht në lidhje me shëndetin dhe mirëqenien e tyre mendore, sociale, fizike dhe seksuale. </w:t>
      </w:r>
    </w:p>
    <w:p w14:paraId="574E2D22" w14:textId="455CD114" w:rsidR="002F7250" w:rsidRPr="00E83C5E" w:rsidRDefault="00DD23C1" w:rsidP="00DD23C1">
      <w:pPr>
        <w:pStyle w:val="TEKSTIII"/>
      </w:pPr>
      <w:r w:rsidRPr="00E83C5E">
        <w:rPr>
          <w:b/>
          <w:bCs/>
        </w:rPr>
        <w:t>-</w:t>
      </w:r>
      <w:r w:rsidR="00B229EC" w:rsidRPr="00E83C5E">
        <w:rPr>
          <w:b/>
          <w:bCs/>
        </w:rPr>
        <w:t xml:space="preserve"> </w:t>
      </w:r>
      <w:r w:rsidR="002F7250" w:rsidRPr="00E83C5E">
        <w:rPr>
          <w:b/>
          <w:bCs/>
        </w:rPr>
        <w:t xml:space="preserve">Objektivi </w:t>
      </w:r>
      <w:r w:rsidR="0088732E" w:rsidRPr="00E83C5E">
        <w:rPr>
          <w:b/>
          <w:bCs/>
        </w:rPr>
        <w:t>s</w:t>
      </w:r>
      <w:r w:rsidR="002F7250" w:rsidRPr="00E83C5E">
        <w:rPr>
          <w:b/>
          <w:bCs/>
        </w:rPr>
        <w:t xml:space="preserve">pecifik </w:t>
      </w:r>
      <w:r w:rsidR="002F7250" w:rsidRPr="00E83C5E">
        <w:rPr>
          <w:b/>
          <w:bCs/>
          <w:color w:val="000000"/>
        </w:rPr>
        <w:t xml:space="preserve">3.3: </w:t>
      </w:r>
      <w:r w:rsidR="002F7250" w:rsidRPr="00E83C5E">
        <w:t>Të rejat dhe të rinjtë mbështeten në përfshirjen dhe integrimin e tyre në shoqëri duke pasur mundësi për strehim dhe argëtim (në kulturë, art dhe sport).</w:t>
      </w:r>
    </w:p>
    <w:p w14:paraId="574E2D23" w14:textId="66B177B0" w:rsidR="002F7250" w:rsidRPr="00E83C5E" w:rsidRDefault="002F7250" w:rsidP="00DD23C1">
      <w:pPr>
        <w:pStyle w:val="TEKSTIII"/>
      </w:pPr>
      <w:r w:rsidRPr="00E83C5E">
        <w:t>Institucionet përgjegjëse drejtuese</w:t>
      </w:r>
      <w:r w:rsidR="00C36C2F" w:rsidRPr="00E83C5E">
        <w:t>,</w:t>
      </w:r>
      <w:r w:rsidRPr="00E83C5E">
        <w:t xml:space="preserve"> janë</w:t>
      </w:r>
      <w:r w:rsidR="00C36C2F" w:rsidRPr="00E83C5E">
        <w:t>:</w:t>
      </w:r>
      <w:r w:rsidRPr="00E83C5E">
        <w:t xml:space="preserve"> MSHRF</w:t>
      </w:r>
      <w:r w:rsidR="00C36C2F" w:rsidRPr="00E83C5E">
        <w:t>-ja</w:t>
      </w:r>
      <w:r w:rsidRPr="00E83C5E">
        <w:t>, AKR</w:t>
      </w:r>
      <w:r w:rsidR="00C36C2F" w:rsidRPr="00E83C5E">
        <w:t>-ja</w:t>
      </w:r>
      <w:r w:rsidRPr="00E83C5E">
        <w:t xml:space="preserve"> dhe MSHMS</w:t>
      </w:r>
      <w:r w:rsidR="00C36C2F" w:rsidRPr="00E83C5E">
        <w:t>-ja.</w:t>
      </w:r>
      <w:r w:rsidRPr="00E83C5E">
        <w:t xml:space="preserve"> </w:t>
      </w:r>
    </w:p>
    <w:p w14:paraId="574E2D24" w14:textId="1AB49199" w:rsidR="002F7250" w:rsidRPr="00E83C5E" w:rsidRDefault="002F7250" w:rsidP="00DD23C1">
      <w:pPr>
        <w:pStyle w:val="TEKSTIII"/>
      </w:pPr>
      <w:r w:rsidRPr="00E83C5E">
        <w:lastRenderedPageBreak/>
        <w:t>Ndërkohë institucionet kryesore pjesëmarrëse janë</w:t>
      </w:r>
      <w:r w:rsidR="00613E75">
        <w:t>”</w:t>
      </w:r>
      <w:r w:rsidRPr="00E83C5E">
        <w:t xml:space="preserve"> </w:t>
      </w:r>
      <w:r w:rsidRPr="00E83C5E">
        <w:rPr>
          <w:rFonts w:eastAsia="Times New Roman"/>
          <w:color w:val="000000"/>
        </w:rPr>
        <w:t xml:space="preserve">AKSHI, AKCESK, AMA, Agjencia e Mbrojtjes së </w:t>
      </w:r>
      <w:r w:rsidR="00127CA1" w:rsidRPr="00E83C5E">
        <w:rPr>
          <w:rFonts w:eastAsia="Times New Roman"/>
          <w:color w:val="000000"/>
        </w:rPr>
        <w:t>t</w:t>
      </w:r>
      <w:r w:rsidRPr="00E83C5E">
        <w:rPr>
          <w:rFonts w:eastAsia="Times New Roman"/>
          <w:color w:val="000000"/>
        </w:rPr>
        <w:t>ë Drejtave të Fëmijëve, Drejtoria e Përgjithshme e Policisë, Bashkitë, ISHP, AMMV, MB, MD, MIE dhe ASCAP</w:t>
      </w:r>
      <w:r w:rsidR="00613E75">
        <w:rPr>
          <w:rFonts w:eastAsia="Times New Roman"/>
          <w:color w:val="000000"/>
        </w:rPr>
        <w:t>.</w:t>
      </w:r>
    </w:p>
    <w:p w14:paraId="574E2D25" w14:textId="1D1E0563" w:rsidR="002F7250" w:rsidRPr="00E83C5E" w:rsidRDefault="002F7250" w:rsidP="002F7250">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Masat dhe buxhetet e ndërlidhura për të arritur objektivat e specifikuar janë përshkruar në planin e veprimit të ngarkuara në IPSIS.</w:t>
      </w:r>
    </w:p>
    <w:p w14:paraId="574E2D27" w14:textId="4AE9CB34" w:rsidR="002F7250" w:rsidRPr="00E83C5E" w:rsidRDefault="002F7250" w:rsidP="00DD23C1">
      <w:pPr>
        <w:pStyle w:val="TEKSTIII"/>
        <w:rPr>
          <w:b/>
          <w:lang w:eastAsia="en-GB"/>
        </w:rPr>
      </w:pPr>
      <w:r w:rsidRPr="00E83C5E">
        <w:rPr>
          <w:b/>
          <w:lang w:eastAsia="en-GB"/>
        </w:rPr>
        <w:t xml:space="preserve">Lidhja midis qëllimit të politikës dhe </w:t>
      </w:r>
      <w:r w:rsidR="00846A86" w:rsidRPr="00E83C5E">
        <w:rPr>
          <w:b/>
          <w:lang w:eastAsia="en-GB"/>
        </w:rPr>
        <w:t xml:space="preserve">objektivave të zhvillimit të qëndrueshëm </w:t>
      </w:r>
      <w:r w:rsidRPr="00E83C5E">
        <w:rPr>
          <w:b/>
          <w:lang w:eastAsia="en-GB"/>
        </w:rPr>
        <w:t>(OZHQ) dhe MSA-së</w:t>
      </w:r>
    </w:p>
    <w:p w14:paraId="574E2D28" w14:textId="55576110" w:rsidR="002F7250" w:rsidRPr="00E83C5E" w:rsidRDefault="002F7250" w:rsidP="002F7250">
      <w:pPr>
        <w:spacing w:after="0" w:line="240" w:lineRule="auto"/>
        <w:ind w:firstLine="284"/>
        <w:jc w:val="both"/>
        <w:rPr>
          <w:rFonts w:ascii="Garamond" w:hAnsi="Garamond" w:cs="Times New Roman"/>
          <w:sz w:val="24"/>
          <w:szCs w:val="24"/>
          <w:lang w:eastAsia="en-GB"/>
        </w:rPr>
      </w:pPr>
      <w:r w:rsidRPr="00E83C5E">
        <w:rPr>
          <w:rFonts w:ascii="Garamond" w:hAnsi="Garamond" w:cs="Times New Roman"/>
          <w:sz w:val="24"/>
          <w:szCs w:val="24"/>
          <w:lang w:eastAsia="en-GB"/>
        </w:rPr>
        <w:t xml:space="preserve">Qëllimi i </w:t>
      </w:r>
      <w:r w:rsidR="00127CA1" w:rsidRPr="00E83C5E">
        <w:rPr>
          <w:rFonts w:ascii="Garamond" w:hAnsi="Garamond" w:cs="Times New Roman"/>
          <w:sz w:val="24"/>
          <w:szCs w:val="24"/>
          <w:lang w:eastAsia="en-GB"/>
        </w:rPr>
        <w:t>p</w:t>
      </w:r>
      <w:r w:rsidRPr="00E83C5E">
        <w:rPr>
          <w:rFonts w:ascii="Garamond" w:hAnsi="Garamond" w:cs="Times New Roman"/>
          <w:sz w:val="24"/>
          <w:szCs w:val="24"/>
          <w:lang w:eastAsia="en-GB"/>
        </w:rPr>
        <w:t xml:space="preserve">olitikës 3 lidhet me OZHQ 16 në kuadrin e forcimit të institucioneve të drejtësisë dhe </w:t>
      </w:r>
      <w:r w:rsidR="00962755" w:rsidRPr="00E83C5E">
        <w:rPr>
          <w:rFonts w:ascii="Garamond" w:hAnsi="Garamond" w:cs="Times New Roman"/>
          <w:sz w:val="24"/>
          <w:szCs w:val="24"/>
          <w:lang w:eastAsia="en-GB"/>
        </w:rPr>
        <w:t>mbështetjes</w:t>
      </w:r>
      <w:r w:rsidRPr="00E83C5E">
        <w:rPr>
          <w:rFonts w:ascii="Garamond" w:hAnsi="Garamond" w:cs="Times New Roman"/>
          <w:sz w:val="24"/>
          <w:szCs w:val="24"/>
          <w:lang w:eastAsia="en-GB"/>
        </w:rPr>
        <w:t xml:space="preserve"> së t</w:t>
      </w:r>
      <w:r w:rsidR="0088732E" w:rsidRPr="00E83C5E">
        <w:rPr>
          <w:rFonts w:ascii="Garamond" w:hAnsi="Garamond" w:cs="Times New Roman"/>
          <w:sz w:val="24"/>
          <w:szCs w:val="24"/>
          <w:lang w:eastAsia="en-GB"/>
        </w:rPr>
        <w:t>ë</w:t>
      </w:r>
      <w:r w:rsidRPr="00E83C5E">
        <w:rPr>
          <w:rFonts w:ascii="Garamond" w:hAnsi="Garamond" w:cs="Times New Roman"/>
          <w:sz w:val="24"/>
          <w:szCs w:val="24"/>
          <w:lang w:eastAsia="en-GB"/>
        </w:rPr>
        <w:t xml:space="preserve"> drejtave të njeriut, OZHQ 3 në kuadrin e mbështetjes së të rinjve dhe të rejave për mirëqenie dhe shëndet të mirë, OZHQ 5 në kuadër të mbështetjes me masa për përfshirjen sociale, OZHQ 11 në kuadër të mbështetjes që i bën programeve qeveritare për strehimin e çifteve të reja në banesat e tyre dhe OZHQ 10 me synimin për zvogëlimin e pabarazive dhe mbështetjes të aktivite</w:t>
      </w:r>
      <w:r w:rsidR="00962755" w:rsidRPr="00E83C5E">
        <w:rPr>
          <w:rFonts w:ascii="Garamond" w:hAnsi="Garamond" w:cs="Times New Roman"/>
          <w:sz w:val="24"/>
          <w:szCs w:val="24"/>
          <w:lang w:eastAsia="en-GB"/>
        </w:rPr>
        <w:t>te</w:t>
      </w:r>
      <w:r w:rsidRPr="00E83C5E">
        <w:rPr>
          <w:rFonts w:ascii="Garamond" w:hAnsi="Garamond" w:cs="Times New Roman"/>
          <w:sz w:val="24"/>
          <w:szCs w:val="24"/>
          <w:lang w:eastAsia="en-GB"/>
        </w:rPr>
        <w:t xml:space="preserve">ve që minimizojnë mënjanimin social. </w:t>
      </w:r>
    </w:p>
    <w:p w14:paraId="574E2D2A" w14:textId="396E27F4" w:rsidR="00DD23C1" w:rsidRPr="00E83C5E" w:rsidRDefault="002F7250" w:rsidP="00613E75">
      <w:pPr>
        <w:spacing w:after="0" w:line="240" w:lineRule="auto"/>
        <w:ind w:firstLine="284"/>
        <w:jc w:val="both"/>
        <w:rPr>
          <w:rFonts w:ascii="Garamond" w:hAnsi="Garamond"/>
          <w:color w:val="000000" w:themeColor="text1"/>
          <w:sz w:val="24"/>
          <w:szCs w:val="24"/>
        </w:rPr>
      </w:pPr>
      <w:r w:rsidRPr="00E83C5E">
        <w:rPr>
          <w:rFonts w:ascii="Garamond" w:hAnsi="Garamond" w:cs="Times New Roman"/>
          <w:sz w:val="24"/>
          <w:szCs w:val="24"/>
        </w:rPr>
        <w:t>Ky q</w:t>
      </w:r>
      <w:r w:rsidRPr="00E83C5E">
        <w:rPr>
          <w:rFonts w:ascii="Garamond" w:hAnsi="Garamond" w:cs="Times New Roman"/>
          <w:sz w:val="24"/>
          <w:szCs w:val="24"/>
          <w:lang w:eastAsia="en-GB"/>
        </w:rPr>
        <w:t>ë</w:t>
      </w:r>
      <w:r w:rsidRPr="00E83C5E">
        <w:rPr>
          <w:rFonts w:ascii="Garamond" w:hAnsi="Garamond" w:cs="Times New Roman"/>
          <w:sz w:val="24"/>
          <w:szCs w:val="24"/>
        </w:rPr>
        <w:t>llim i politik</w:t>
      </w:r>
      <w:r w:rsidRPr="00E83C5E">
        <w:rPr>
          <w:rFonts w:ascii="Garamond" w:hAnsi="Garamond" w:cs="Times New Roman"/>
          <w:sz w:val="24"/>
          <w:szCs w:val="24"/>
          <w:lang w:eastAsia="en-GB"/>
        </w:rPr>
        <w:t>ë</w:t>
      </w:r>
      <w:r w:rsidRPr="00E83C5E">
        <w:rPr>
          <w:rFonts w:ascii="Garamond" w:hAnsi="Garamond" w:cs="Times New Roman"/>
          <w:sz w:val="24"/>
          <w:szCs w:val="24"/>
        </w:rPr>
        <w:t xml:space="preserve">s lidhet me </w:t>
      </w:r>
      <w:r w:rsidR="00846A86" w:rsidRPr="00E83C5E">
        <w:rPr>
          <w:rFonts w:ascii="Garamond" w:hAnsi="Garamond" w:cs="Times New Roman"/>
          <w:sz w:val="24"/>
          <w:szCs w:val="24"/>
        </w:rPr>
        <w:t>k</w:t>
      </w:r>
      <w:r w:rsidRPr="00E83C5E">
        <w:rPr>
          <w:rFonts w:ascii="Garamond" w:hAnsi="Garamond" w:cs="Times New Roman"/>
          <w:sz w:val="24"/>
          <w:szCs w:val="24"/>
        </w:rPr>
        <w:t xml:space="preserve">apitullin V të MSA-së dhe titujt VII dhe VIII të saj respektivisht me nenet që kanë të bëjnë me fuqizimin e institucioneve, bashkëpunimin social dhe kulturor, shoqërinë e informacionit dhe zhvillimin rajonal e lokal. </w:t>
      </w:r>
      <w:r w:rsidRPr="00E83C5E">
        <w:rPr>
          <w:rStyle w:val="jlqj4b"/>
          <w:rFonts w:ascii="Garamond" w:eastAsiaTheme="majorEastAsia" w:hAnsi="Garamond" w:cs="Times New Roman"/>
          <w:sz w:val="24"/>
          <w:szCs w:val="24"/>
        </w:rPr>
        <w:t xml:space="preserve">Ky qëllim gjithashtu lidhet me </w:t>
      </w:r>
      <w:r w:rsidRPr="00E83C5E">
        <w:rPr>
          <w:rFonts w:ascii="Garamond" w:hAnsi="Garamond" w:cs="Times New Roman"/>
          <w:sz w:val="24"/>
          <w:szCs w:val="24"/>
        </w:rPr>
        <w:t>Planin Kombëtar për Integrimin Evropian 2021–2023</w:t>
      </w:r>
      <w:r w:rsidRPr="00E83C5E">
        <w:rPr>
          <w:rStyle w:val="FootnoteReference"/>
          <w:rFonts w:ascii="Garamond" w:hAnsi="Garamond" w:cs="Times New Roman"/>
          <w:sz w:val="24"/>
          <w:szCs w:val="24"/>
        </w:rPr>
        <w:footnoteReference w:id="25"/>
      </w:r>
      <w:r w:rsidRPr="00E83C5E">
        <w:rPr>
          <w:rFonts w:ascii="Garamond" w:hAnsi="Garamond" w:cs="Times New Roman"/>
          <w:sz w:val="24"/>
          <w:szCs w:val="24"/>
        </w:rPr>
        <w:t xml:space="preserve"> përmes kapitujve që kanë të bëjnë me të drejtat e njeriut, kapitullin 10 për shoqërinë e informacion</w:t>
      </w:r>
      <w:r w:rsidR="00613E75">
        <w:rPr>
          <w:rFonts w:ascii="Garamond" w:hAnsi="Garamond" w:cs="Times New Roman"/>
          <w:sz w:val="24"/>
          <w:szCs w:val="24"/>
        </w:rPr>
        <w:t>i</w:t>
      </w:r>
      <w:r w:rsidRPr="00E83C5E">
        <w:rPr>
          <w:rFonts w:ascii="Garamond" w:hAnsi="Garamond" w:cs="Times New Roman"/>
          <w:sz w:val="24"/>
          <w:szCs w:val="24"/>
        </w:rPr>
        <w:t>t dhe media, kapitullin 19 në lidhje me politikat sociale, kapitullin 24 që lidhet me drejtësinë dhe sigurinë, kapitullin 26 në lidhjen që ka me çështjet e kulturës dhe sporteve</w:t>
      </w:r>
      <w:r w:rsidR="00846A86" w:rsidRPr="00E83C5E">
        <w:rPr>
          <w:rFonts w:ascii="Garamond" w:hAnsi="Garamond" w:cs="Times New Roman"/>
          <w:sz w:val="24"/>
          <w:szCs w:val="24"/>
        </w:rPr>
        <w:t>,</w:t>
      </w:r>
      <w:r w:rsidRPr="00E83C5E">
        <w:rPr>
          <w:rFonts w:ascii="Garamond" w:hAnsi="Garamond" w:cs="Times New Roman"/>
          <w:sz w:val="24"/>
          <w:szCs w:val="24"/>
        </w:rPr>
        <w:t xml:space="preserve"> si edhe me kapitullin 28 në lidhje me mbrojtjen e konsumatorit.</w:t>
      </w:r>
    </w:p>
    <w:p w14:paraId="574E2D2B" w14:textId="1E62E1CC" w:rsidR="00DD23C1" w:rsidRPr="00E83C5E" w:rsidRDefault="00DD23C1" w:rsidP="00DD23C1">
      <w:pPr>
        <w:pStyle w:val="Caption"/>
        <w:keepNext/>
        <w:spacing w:after="0"/>
        <w:ind w:firstLine="284"/>
        <w:rPr>
          <w:rFonts w:ascii="Garamond" w:hAnsi="Garamond"/>
          <w:color w:val="000000" w:themeColor="text1"/>
          <w:sz w:val="24"/>
          <w:szCs w:val="24"/>
        </w:rPr>
      </w:pPr>
      <w:r w:rsidRPr="00E83C5E">
        <w:rPr>
          <w:rFonts w:ascii="Garamond" w:hAnsi="Garamond"/>
          <w:color w:val="000000" w:themeColor="text1"/>
          <w:sz w:val="24"/>
          <w:szCs w:val="24"/>
        </w:rPr>
        <w:t xml:space="preserve">Tabela </w:t>
      </w:r>
      <w:r w:rsidRPr="00E83C5E">
        <w:rPr>
          <w:rFonts w:ascii="Garamond" w:hAnsi="Garamond"/>
          <w:color w:val="000000" w:themeColor="text1"/>
          <w:sz w:val="24"/>
          <w:szCs w:val="24"/>
        </w:rPr>
        <w:fldChar w:fldCharType="begin"/>
      </w:r>
      <w:r w:rsidRPr="00E83C5E">
        <w:rPr>
          <w:rFonts w:ascii="Garamond" w:hAnsi="Garamond"/>
          <w:color w:val="000000" w:themeColor="text1"/>
          <w:sz w:val="24"/>
          <w:szCs w:val="24"/>
        </w:rPr>
        <w:instrText xml:space="preserve"> SEQ Tabela \* ARABIC </w:instrText>
      </w:r>
      <w:r w:rsidRPr="00E83C5E">
        <w:rPr>
          <w:rFonts w:ascii="Garamond" w:hAnsi="Garamond"/>
          <w:color w:val="000000" w:themeColor="text1"/>
          <w:sz w:val="24"/>
          <w:szCs w:val="24"/>
        </w:rPr>
        <w:fldChar w:fldCharType="separate"/>
      </w:r>
      <w:r w:rsidRPr="00E83C5E">
        <w:rPr>
          <w:rFonts w:ascii="Garamond" w:hAnsi="Garamond"/>
          <w:color w:val="000000" w:themeColor="text1"/>
          <w:sz w:val="24"/>
          <w:szCs w:val="24"/>
        </w:rPr>
        <w:t>16</w:t>
      </w:r>
      <w:r w:rsidRPr="00E83C5E">
        <w:rPr>
          <w:rFonts w:ascii="Garamond" w:hAnsi="Garamond"/>
          <w:color w:val="000000" w:themeColor="text1"/>
          <w:sz w:val="24"/>
          <w:szCs w:val="24"/>
        </w:rPr>
        <w:fldChar w:fldCharType="end"/>
      </w:r>
      <w:r w:rsidRPr="00E83C5E">
        <w:rPr>
          <w:rFonts w:ascii="Garamond" w:hAnsi="Garamond"/>
          <w:color w:val="000000" w:themeColor="text1"/>
          <w:sz w:val="24"/>
          <w:szCs w:val="24"/>
        </w:rPr>
        <w:t>: Lista e treguesve kyç të performancës të lidhur me që</w:t>
      </w:r>
      <w:r w:rsidR="00962755" w:rsidRPr="00E83C5E">
        <w:rPr>
          <w:rFonts w:ascii="Garamond" w:hAnsi="Garamond"/>
          <w:color w:val="000000" w:themeColor="text1"/>
          <w:sz w:val="24"/>
          <w:szCs w:val="24"/>
        </w:rPr>
        <w:t>l</w:t>
      </w:r>
      <w:r w:rsidRPr="00E83C5E">
        <w:rPr>
          <w:rFonts w:ascii="Garamond" w:hAnsi="Garamond"/>
          <w:color w:val="000000" w:themeColor="text1"/>
          <w:sz w:val="24"/>
          <w:szCs w:val="24"/>
        </w:rPr>
        <w:t>limin 3</w:t>
      </w:r>
    </w:p>
    <w:p w14:paraId="574E2D2C" w14:textId="77777777" w:rsidR="00DD23C1" w:rsidRPr="00E83C5E" w:rsidRDefault="00DD23C1" w:rsidP="00DD23C1">
      <w:pPr>
        <w:spacing w:after="0" w:line="240" w:lineRule="auto"/>
        <w:jc w:val="center"/>
        <w:rPr>
          <w:rFonts w:ascii="Garamond" w:hAnsi="Garamond" w:cs="Times New Roman"/>
          <w:sz w:val="24"/>
          <w:szCs w:val="24"/>
        </w:rPr>
      </w:pPr>
      <w:r w:rsidRPr="00E83C5E">
        <w:rPr>
          <w:noProof/>
          <w:lang w:val="en-US"/>
        </w:rPr>
        <w:drawing>
          <wp:inline distT="0" distB="0" distL="0" distR="0" wp14:anchorId="574E355E" wp14:editId="7DB1DCCB">
            <wp:extent cx="5505450" cy="3306802"/>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1596"/>
                    <a:stretch/>
                  </pic:blipFill>
                  <pic:spPr bwMode="auto">
                    <a:xfrm>
                      <a:off x="0" y="0"/>
                      <a:ext cx="5537086" cy="3325804"/>
                    </a:xfrm>
                    <a:prstGeom prst="rect">
                      <a:avLst/>
                    </a:prstGeom>
                    <a:noFill/>
                    <a:ln>
                      <a:noFill/>
                    </a:ln>
                    <a:extLst>
                      <a:ext uri="{53640926-AAD7-44D8-BBD7-CCE9431645EC}">
                        <a14:shadowObscured xmlns:a14="http://schemas.microsoft.com/office/drawing/2010/main"/>
                      </a:ext>
                    </a:extLst>
                  </pic:spPr>
                </pic:pic>
              </a:graphicData>
            </a:graphic>
          </wp:inline>
        </w:drawing>
      </w:r>
    </w:p>
    <w:p w14:paraId="574E2D2D" w14:textId="77777777" w:rsidR="002F7250" w:rsidRPr="00E83C5E" w:rsidRDefault="002F7250" w:rsidP="002F7250">
      <w:pPr>
        <w:spacing w:after="0" w:line="240" w:lineRule="auto"/>
        <w:ind w:firstLine="284"/>
        <w:rPr>
          <w:rFonts w:ascii="Garamond" w:hAnsi="Garamond" w:cs="Times New Roman"/>
          <w:b/>
          <w:bCs/>
          <w:sz w:val="24"/>
          <w:szCs w:val="24"/>
        </w:rPr>
      </w:pPr>
    </w:p>
    <w:p w14:paraId="574E2D2E" w14:textId="5A334954" w:rsidR="002F7250" w:rsidRPr="00E83C5E" w:rsidRDefault="002F7250" w:rsidP="00DD23C1">
      <w:pPr>
        <w:pStyle w:val="TEKSTIII"/>
        <w:rPr>
          <w:b/>
        </w:rPr>
      </w:pPr>
      <w:r w:rsidRPr="00E83C5E">
        <w:rPr>
          <w:b/>
        </w:rPr>
        <w:t xml:space="preserve">Objektivi </w:t>
      </w:r>
      <w:r w:rsidR="00846A86" w:rsidRPr="00E83C5E">
        <w:rPr>
          <w:b/>
        </w:rPr>
        <w:t>s</w:t>
      </w:r>
      <w:r w:rsidRPr="00E83C5E">
        <w:rPr>
          <w:b/>
        </w:rPr>
        <w:t>pecifik 3.1:</w:t>
      </w:r>
    </w:p>
    <w:p w14:paraId="574E2D2F" w14:textId="77777777" w:rsidR="002F7250" w:rsidRPr="00E83C5E" w:rsidRDefault="002F7250" w:rsidP="00DD23C1">
      <w:pPr>
        <w:pStyle w:val="TEKSTIII"/>
        <w:rPr>
          <w:b/>
        </w:rPr>
      </w:pPr>
      <w:r w:rsidRPr="00E83C5E">
        <w:rPr>
          <w:b/>
        </w:rPr>
        <w:t>Mbrojtja mbështetja dhe siguria e të rejave dhe të rinjve, veçanërisht e atyre në situatë rreziku, në vendin ku jetojnë dhe hapësirën digjitale.</w:t>
      </w:r>
    </w:p>
    <w:p w14:paraId="574E2D30" w14:textId="3224B0C6" w:rsidR="002F7250" w:rsidRPr="00E83C5E" w:rsidRDefault="002F7250" w:rsidP="00DD23C1">
      <w:pPr>
        <w:pStyle w:val="TEKSTIII"/>
        <w:rPr>
          <w:b/>
        </w:rPr>
      </w:pPr>
      <w:r w:rsidRPr="00E83C5E">
        <w:rPr>
          <w:b/>
        </w:rPr>
        <w:t xml:space="preserve">Analiza e </w:t>
      </w:r>
      <w:r w:rsidR="00846A86" w:rsidRPr="00E83C5E">
        <w:rPr>
          <w:b/>
        </w:rPr>
        <w:t>s</w:t>
      </w:r>
      <w:r w:rsidRPr="00E83C5E">
        <w:rPr>
          <w:b/>
        </w:rPr>
        <w:t xml:space="preserve">ituatës dhe </w:t>
      </w:r>
      <w:r w:rsidR="00846A86" w:rsidRPr="00E83C5E">
        <w:rPr>
          <w:b/>
        </w:rPr>
        <w:t>s</w:t>
      </w:r>
      <w:r w:rsidRPr="00E83C5E">
        <w:rPr>
          <w:b/>
        </w:rPr>
        <w:t>fidat</w:t>
      </w:r>
    </w:p>
    <w:p w14:paraId="574E2D31" w14:textId="3C55CA95" w:rsidR="002F7250" w:rsidRPr="00E83C5E" w:rsidRDefault="002F7250" w:rsidP="002F7250">
      <w:pPr>
        <w:pStyle w:val="NoSpacing"/>
        <w:ind w:firstLine="284"/>
        <w:jc w:val="both"/>
        <w:rPr>
          <w:rFonts w:ascii="Garamond" w:hAnsi="Garamond"/>
          <w:sz w:val="24"/>
          <w:szCs w:val="24"/>
          <w:lang w:val="sq-AL"/>
        </w:rPr>
      </w:pPr>
      <w:r w:rsidRPr="00E83C5E">
        <w:rPr>
          <w:rFonts w:ascii="Garamond" w:hAnsi="Garamond"/>
          <w:sz w:val="24"/>
          <w:szCs w:val="24"/>
          <w:lang w:val="sq-AL"/>
        </w:rPr>
        <w:lastRenderedPageBreak/>
        <w:t xml:space="preserve">Veçanërisht në situatat e krijuara nga tërmetet e vitit 2019 dhe pandemia </w:t>
      </w:r>
      <w:r w:rsidR="0035754B" w:rsidRPr="00E83C5E">
        <w:rPr>
          <w:rFonts w:ascii="Garamond" w:hAnsi="Garamond"/>
          <w:sz w:val="24"/>
          <w:szCs w:val="24"/>
          <w:lang w:val="sq-AL"/>
        </w:rPr>
        <w:t>COVID</w:t>
      </w:r>
      <w:r w:rsidRPr="00E83C5E">
        <w:rPr>
          <w:rFonts w:ascii="Garamond" w:hAnsi="Garamond"/>
          <w:sz w:val="24"/>
          <w:szCs w:val="24"/>
          <w:lang w:val="sq-AL"/>
        </w:rPr>
        <w:t>-19, aspektet e përfshirjes më të madhe rinore dolën më në pah në politikat e ndërmarra nga qeveria. Duke qenë se Shqipëria është pjese e zhvillimeve globale dhe lëvizjet migratore kanë një ndikim të drejtpërdrejtë mbi jetën e të rinjve dhe migrimin e tyre, angazhimi në veprimtari sociale që zhvillojnë komunitetin dhe përmirësojnë kushtet e të rinjve mbetet parësor në çdo qeveri e në politikat zhvillimore që ndërmerr vendi.</w:t>
      </w:r>
    </w:p>
    <w:p w14:paraId="574E2D32" w14:textId="77777777" w:rsidR="002F7250" w:rsidRPr="00E83C5E" w:rsidRDefault="002F7250" w:rsidP="002F7250">
      <w:pPr>
        <w:pStyle w:val="NoSpacing"/>
        <w:ind w:firstLine="284"/>
        <w:jc w:val="both"/>
        <w:rPr>
          <w:rFonts w:ascii="Garamond" w:hAnsi="Garamond"/>
          <w:sz w:val="24"/>
          <w:szCs w:val="24"/>
          <w:lang w:val="sq-AL"/>
        </w:rPr>
      </w:pPr>
      <w:r w:rsidRPr="00E83C5E">
        <w:rPr>
          <w:rFonts w:ascii="Garamond" w:hAnsi="Garamond"/>
          <w:sz w:val="24"/>
          <w:szCs w:val="24"/>
          <w:lang w:val="sq-AL"/>
        </w:rPr>
        <w:t xml:space="preserve">Qeveria i ka kushtuar shumë rëndësi çështjeve të mbrojtjes së fëmijëve dhe parandalimit të krimeve nga të miturit duke zhvilluar programe specifike në këto fusha të cilat edhe shpjegojnë uljen e numrit të të rinjve të dyshuar për vepra penale apo në institucionet e privimit të lirisë sipas tabelave në vijim. </w:t>
      </w:r>
    </w:p>
    <w:p w14:paraId="574E2D33" w14:textId="77777777" w:rsidR="002F7250" w:rsidRPr="00E83C5E" w:rsidRDefault="002F7250" w:rsidP="00DD23C1">
      <w:pPr>
        <w:pStyle w:val="NoSpacing"/>
        <w:jc w:val="center"/>
        <w:rPr>
          <w:rFonts w:ascii="Garamond" w:hAnsi="Garamond"/>
          <w:sz w:val="24"/>
          <w:szCs w:val="24"/>
          <w:lang w:val="sq-AL"/>
        </w:rPr>
      </w:pPr>
      <w:r w:rsidRPr="00E83C5E">
        <w:rPr>
          <w:rFonts w:ascii="Garamond" w:hAnsi="Garamond"/>
          <w:noProof/>
          <w:sz w:val="24"/>
          <w:szCs w:val="24"/>
          <w:lang w:val="en-US"/>
        </w:rPr>
        <w:drawing>
          <wp:inline distT="0" distB="0" distL="0" distR="0" wp14:anchorId="574E3560" wp14:editId="12A18AF5">
            <wp:extent cx="4959350" cy="1506985"/>
            <wp:effectExtent l="0" t="0" r="0" b="0"/>
            <wp:docPr id="3" name="Picture 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ar chart&#10;&#10;Description automatically generated"/>
                    <pic:cNvPicPr/>
                  </pic:nvPicPr>
                  <pic:blipFill>
                    <a:blip r:embed="rId17"/>
                    <a:stretch>
                      <a:fillRect/>
                    </a:stretch>
                  </pic:blipFill>
                  <pic:spPr>
                    <a:xfrm>
                      <a:off x="0" y="0"/>
                      <a:ext cx="5025654" cy="1527133"/>
                    </a:xfrm>
                    <a:prstGeom prst="rect">
                      <a:avLst/>
                    </a:prstGeom>
                  </pic:spPr>
                </pic:pic>
              </a:graphicData>
            </a:graphic>
          </wp:inline>
        </w:drawing>
      </w:r>
    </w:p>
    <w:p w14:paraId="574E2D34" w14:textId="77777777" w:rsidR="002F7250" w:rsidRPr="00E83C5E" w:rsidRDefault="002F7250" w:rsidP="002F7250">
      <w:pPr>
        <w:pStyle w:val="NoSpacing"/>
        <w:ind w:firstLine="284"/>
        <w:jc w:val="both"/>
        <w:rPr>
          <w:rFonts w:ascii="Garamond" w:hAnsi="Garamond"/>
          <w:sz w:val="24"/>
          <w:szCs w:val="24"/>
          <w:lang w:val="sq-AL"/>
        </w:rPr>
      </w:pPr>
    </w:p>
    <w:p w14:paraId="574E2D35" w14:textId="77777777" w:rsidR="002F7250" w:rsidRPr="00E83C5E" w:rsidRDefault="002F7250" w:rsidP="00DD23C1">
      <w:pPr>
        <w:pStyle w:val="NoSpacing"/>
        <w:jc w:val="center"/>
        <w:rPr>
          <w:rFonts w:ascii="Garamond" w:hAnsi="Garamond"/>
          <w:sz w:val="24"/>
          <w:szCs w:val="24"/>
          <w:lang w:val="sq-AL"/>
        </w:rPr>
      </w:pPr>
      <w:r w:rsidRPr="00E83C5E">
        <w:rPr>
          <w:rFonts w:ascii="Garamond" w:hAnsi="Garamond"/>
          <w:noProof/>
          <w:sz w:val="24"/>
          <w:szCs w:val="24"/>
          <w:lang w:val="en-US"/>
        </w:rPr>
        <w:drawing>
          <wp:inline distT="0" distB="0" distL="0" distR="0" wp14:anchorId="574E3562" wp14:editId="1E583FAE">
            <wp:extent cx="4483100" cy="1476203"/>
            <wp:effectExtent l="0" t="0" r="0" b="0"/>
            <wp:docPr id="4" name="Picture 4" descr="Chart,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timeline&#10;&#10;Description automatically generated"/>
                    <pic:cNvPicPr/>
                  </pic:nvPicPr>
                  <pic:blipFill>
                    <a:blip r:embed="rId18"/>
                    <a:stretch>
                      <a:fillRect/>
                    </a:stretch>
                  </pic:blipFill>
                  <pic:spPr>
                    <a:xfrm>
                      <a:off x="0" y="0"/>
                      <a:ext cx="4552205" cy="1498958"/>
                    </a:xfrm>
                    <a:prstGeom prst="rect">
                      <a:avLst/>
                    </a:prstGeom>
                  </pic:spPr>
                </pic:pic>
              </a:graphicData>
            </a:graphic>
          </wp:inline>
        </w:drawing>
      </w:r>
    </w:p>
    <w:p w14:paraId="574E2D37" w14:textId="60E86169" w:rsidR="002F7250" w:rsidRPr="00E83C5E" w:rsidRDefault="002F7250" w:rsidP="00BC2136">
      <w:pPr>
        <w:pStyle w:val="TEKSTIII"/>
      </w:pPr>
      <w:r w:rsidRPr="00E83C5E">
        <w:t>Mbetet gjithsesi shumë për të bërë në lidhje me format e krimit kiberneti</w:t>
      </w:r>
      <w:r w:rsidR="0035754B" w:rsidRPr="00E83C5E">
        <w:t>k</w:t>
      </w:r>
      <w:r w:rsidRPr="00E83C5E">
        <w:t xml:space="preserve"> dhe të bulizimit të të rinjve në formë kibernetike. Po ashtu, nga raporti i vlerësimit të PKVR 2015</w:t>
      </w:r>
      <w:r w:rsidR="00127CA1" w:rsidRPr="00E83C5E">
        <w:t>–</w:t>
      </w:r>
      <w:r w:rsidRPr="00E83C5E">
        <w:t>2020, gjashtë indikatorë (60%) kanë mbetur të parealizuar në</w:t>
      </w:r>
      <w:r w:rsidR="00233C37" w:rsidRPr="00E83C5E">
        <w:t xml:space="preserve"> </w:t>
      </w:r>
      <w:r w:rsidRPr="00E83C5E">
        <w:t xml:space="preserve">çështjet që kanë të bëjnë me </w:t>
      </w:r>
      <w:r w:rsidR="0035754B" w:rsidRPr="00E83C5E">
        <w:t>mbrojtjen</w:t>
      </w:r>
      <w:r w:rsidRPr="00E83C5E">
        <w:t xml:space="preserve"> sociale të të rinjve duke përfshirë edhe çështjet që kanë të bëjnë me zhvillimin e informacioneve mbi dhunën, pabarazinë sociale, dhe trafikimin e qenieve njerëzore. </w:t>
      </w:r>
    </w:p>
    <w:p w14:paraId="574E2D38" w14:textId="7B9450D5" w:rsidR="002F7250" w:rsidRPr="00E83C5E" w:rsidRDefault="00BC2136" w:rsidP="00BC2136">
      <w:pPr>
        <w:pStyle w:val="TEKSTIII"/>
        <w:rPr>
          <w:rFonts w:cs="Times New Roman"/>
        </w:rPr>
      </w:pPr>
      <w:r w:rsidRPr="00E83C5E">
        <w:rPr>
          <w:rFonts w:cs="Times New Roman"/>
        </w:rPr>
        <w:t>-</w:t>
      </w:r>
      <w:r w:rsidR="00B229EC" w:rsidRPr="00E83C5E">
        <w:rPr>
          <w:rFonts w:cs="Times New Roman"/>
        </w:rPr>
        <w:t xml:space="preserve"> </w:t>
      </w:r>
      <w:r w:rsidR="002F7250" w:rsidRPr="00E83C5E">
        <w:rPr>
          <w:rFonts w:cs="Times New Roman"/>
        </w:rPr>
        <w:t xml:space="preserve">Mungesa e mjediseve të përshtatshme dhe të sigurta për lojën dhe aktivitetet fizike në komunitet. </w:t>
      </w:r>
    </w:p>
    <w:p w14:paraId="574E2D39" w14:textId="03EE009B" w:rsidR="002F7250" w:rsidRPr="00E83C5E" w:rsidRDefault="00BC2136" w:rsidP="00BC2136">
      <w:pPr>
        <w:pStyle w:val="TEKSTIII"/>
        <w:rPr>
          <w:rFonts w:cs="Times New Roman"/>
        </w:rPr>
      </w:pPr>
      <w:r w:rsidRPr="00E83C5E">
        <w:rPr>
          <w:rFonts w:cs="Times New Roman"/>
        </w:rPr>
        <w:t>-</w:t>
      </w:r>
      <w:r w:rsidR="00B229EC" w:rsidRPr="00E83C5E">
        <w:rPr>
          <w:rFonts w:cs="Times New Roman"/>
        </w:rPr>
        <w:t xml:space="preserve"> </w:t>
      </w:r>
      <w:r w:rsidR="002F7250" w:rsidRPr="00E83C5E">
        <w:rPr>
          <w:rFonts w:cs="Times New Roman"/>
        </w:rPr>
        <w:t xml:space="preserve">Numër i mjaftueshëm psikologësh dhe punonjësish socialë të specializuar në punën me të rinjtë nëpër gjimnaze të cilët bashkëpunojnë me shërbimet sociale të bashkive dhe zyrat vendore të arsimit parauniversitar dhe drejtoritë rajonale të arsimit parauniversitar. </w:t>
      </w:r>
    </w:p>
    <w:p w14:paraId="574E2D3A" w14:textId="3F0CB7F5" w:rsidR="002F7250" w:rsidRPr="00E83C5E" w:rsidRDefault="002F7250" w:rsidP="00BC2136">
      <w:pPr>
        <w:pStyle w:val="TEKSTIII"/>
        <w:rPr>
          <w:rFonts w:eastAsia="Times New Roman"/>
          <w:b/>
          <w:color w:val="000000" w:themeColor="text1"/>
        </w:rPr>
      </w:pPr>
      <w:r w:rsidRPr="00E83C5E">
        <w:rPr>
          <w:rFonts w:eastAsia="Times New Roman"/>
          <w:b/>
          <w:color w:val="000000" w:themeColor="text1"/>
        </w:rPr>
        <w:t xml:space="preserve">Institucionet </w:t>
      </w:r>
      <w:r w:rsidR="00846A86" w:rsidRPr="00E83C5E">
        <w:rPr>
          <w:rFonts w:eastAsia="Times New Roman"/>
          <w:b/>
          <w:color w:val="000000" w:themeColor="text1"/>
        </w:rPr>
        <w:t>d</w:t>
      </w:r>
      <w:r w:rsidRPr="00E83C5E">
        <w:rPr>
          <w:rFonts w:eastAsia="Times New Roman"/>
          <w:b/>
          <w:color w:val="000000" w:themeColor="text1"/>
        </w:rPr>
        <w:t>rejtuese</w:t>
      </w:r>
    </w:p>
    <w:p w14:paraId="574E2D3B" w14:textId="2554AE86" w:rsidR="002F7250" w:rsidRPr="00E83C5E" w:rsidRDefault="002F7250" w:rsidP="00BC2136">
      <w:pPr>
        <w:pStyle w:val="TEKSTIII"/>
        <w:rPr>
          <w:rFonts w:eastAsia="Times New Roman"/>
          <w:color w:val="000000" w:themeColor="text1"/>
        </w:rPr>
      </w:pPr>
      <w:r w:rsidRPr="00E83C5E">
        <w:rPr>
          <w:rFonts w:eastAsia="Times New Roman"/>
          <w:color w:val="000000" w:themeColor="text1"/>
        </w:rPr>
        <w:t>-</w:t>
      </w:r>
      <w:r w:rsidR="00B229EC" w:rsidRPr="00E83C5E">
        <w:rPr>
          <w:rFonts w:eastAsia="Times New Roman"/>
          <w:color w:val="000000" w:themeColor="text1"/>
        </w:rPr>
        <w:t xml:space="preserve"> </w:t>
      </w:r>
      <w:r w:rsidRPr="00E83C5E">
        <w:rPr>
          <w:rFonts w:eastAsia="Times New Roman"/>
          <w:color w:val="000000" w:themeColor="text1"/>
        </w:rPr>
        <w:t>MSHRF, AKR, MAS, MD dhe MB</w:t>
      </w:r>
    </w:p>
    <w:p w14:paraId="574E2D3C" w14:textId="77777777" w:rsidR="002F7250" w:rsidRPr="00E83C5E" w:rsidRDefault="002F7250" w:rsidP="00BC2136">
      <w:pPr>
        <w:pStyle w:val="TEKSTIII"/>
        <w:rPr>
          <w:rFonts w:eastAsia="Times New Roman"/>
          <w:color w:val="000000" w:themeColor="text1"/>
        </w:rPr>
      </w:pPr>
      <w:r w:rsidRPr="00E83C5E">
        <w:rPr>
          <w:rFonts w:eastAsia="Times New Roman"/>
          <w:color w:val="000000" w:themeColor="text1"/>
        </w:rPr>
        <w:t>Institucionet Pjesëmarrëse</w:t>
      </w:r>
    </w:p>
    <w:p w14:paraId="574E2D3D" w14:textId="4801F140" w:rsidR="002F7250" w:rsidRPr="00E83C5E" w:rsidRDefault="002F7250" w:rsidP="002F7250">
      <w:pPr>
        <w:spacing w:after="0" w:line="240" w:lineRule="auto"/>
        <w:ind w:firstLine="284"/>
        <w:jc w:val="both"/>
        <w:rPr>
          <w:rFonts w:ascii="Garamond" w:eastAsia="Times New Roman" w:hAnsi="Garamond" w:cs="Times New Roman"/>
          <w:color w:val="000000" w:themeColor="text1"/>
          <w:sz w:val="24"/>
          <w:szCs w:val="24"/>
        </w:rPr>
      </w:pPr>
      <w:r w:rsidRPr="00E83C5E">
        <w:rPr>
          <w:rFonts w:ascii="Garamond" w:eastAsia="Times New Roman" w:hAnsi="Garamond" w:cs="Times New Roman"/>
          <w:color w:val="000000" w:themeColor="text1"/>
          <w:sz w:val="24"/>
          <w:szCs w:val="24"/>
        </w:rPr>
        <w:t>-</w:t>
      </w:r>
      <w:r w:rsidR="00B229EC" w:rsidRPr="00E83C5E">
        <w:rPr>
          <w:rFonts w:ascii="Garamond" w:eastAsia="Times New Roman" w:hAnsi="Garamond" w:cs="Times New Roman"/>
          <w:color w:val="000000" w:themeColor="text1"/>
          <w:sz w:val="24"/>
          <w:szCs w:val="24"/>
        </w:rPr>
        <w:t xml:space="preserve"> </w:t>
      </w:r>
      <w:r w:rsidRPr="00E83C5E">
        <w:rPr>
          <w:rFonts w:ascii="Garamond" w:eastAsia="Times New Roman" w:hAnsi="Garamond" w:cs="Times New Roman"/>
          <w:color w:val="000000" w:themeColor="text1"/>
          <w:sz w:val="24"/>
          <w:szCs w:val="24"/>
        </w:rPr>
        <w:t xml:space="preserve">AKSHI, AKCESK, AMA, Agjencia e Shtetërore për të Drejtat dhe Mbrojtjen e Fëmijës, Drejtoria e Përgjithshme e Policisë, </w:t>
      </w:r>
      <w:r w:rsidR="0035754B" w:rsidRPr="00E83C5E">
        <w:rPr>
          <w:rFonts w:ascii="Garamond" w:eastAsia="Times New Roman" w:hAnsi="Garamond" w:cs="Times New Roman"/>
          <w:color w:val="000000" w:themeColor="text1"/>
          <w:sz w:val="24"/>
          <w:szCs w:val="24"/>
        </w:rPr>
        <w:t>n</w:t>
      </w:r>
      <w:r w:rsidRPr="00E83C5E">
        <w:rPr>
          <w:rFonts w:ascii="Garamond" w:eastAsia="Times New Roman" w:hAnsi="Garamond" w:cs="Times New Roman"/>
          <w:color w:val="000000" w:themeColor="text1"/>
          <w:sz w:val="24"/>
          <w:szCs w:val="24"/>
        </w:rPr>
        <w:t>jësitë e vetëqeverisjes vendore</w:t>
      </w:r>
    </w:p>
    <w:p w14:paraId="574E2D3F" w14:textId="2E0CBCF0" w:rsidR="002F7250" w:rsidRPr="00E83C5E" w:rsidRDefault="002F7250" w:rsidP="002F7250">
      <w:pPr>
        <w:shd w:val="clear" w:color="auto" w:fill="FFFFFF" w:themeFill="background1"/>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Masat dhe buxhetet e ndërlidhura për të arritur objektivat e specifikuar janë përshkruar në planin e veprimit të ngarkuara në IPSIS.</w:t>
      </w:r>
    </w:p>
    <w:p w14:paraId="574E2D40" w14:textId="77777777" w:rsidR="002F7250" w:rsidRPr="00E83C5E" w:rsidRDefault="002F7250" w:rsidP="00BC2136">
      <w:pPr>
        <w:pStyle w:val="TEKSTIII"/>
        <w:rPr>
          <w:b/>
        </w:rPr>
      </w:pPr>
      <w:r w:rsidRPr="00E83C5E">
        <w:rPr>
          <w:b/>
        </w:rPr>
        <w:t>Lidhja e objektivit specifik me Marrëveshjen e Stabilizim-Asociimit</w:t>
      </w:r>
      <w:r w:rsidRPr="00E83C5E" w:rsidDel="00D851B0">
        <w:rPr>
          <w:b/>
        </w:rPr>
        <w:t xml:space="preserve"> </w:t>
      </w:r>
      <w:r w:rsidRPr="00E83C5E">
        <w:rPr>
          <w:b/>
        </w:rPr>
        <w:t xml:space="preserve">dhe OZHQ-të. </w:t>
      </w:r>
    </w:p>
    <w:p w14:paraId="574E2D41" w14:textId="4EA31767" w:rsidR="002F7250" w:rsidRPr="00E83C5E" w:rsidRDefault="002F7250" w:rsidP="002F7250">
      <w:pPr>
        <w:spacing w:after="0" w:line="240" w:lineRule="auto"/>
        <w:ind w:firstLine="284"/>
        <w:jc w:val="both"/>
        <w:rPr>
          <w:rFonts w:ascii="Garamond" w:hAnsi="Garamond" w:cs="Times New Roman"/>
          <w:sz w:val="24"/>
          <w:szCs w:val="24"/>
          <w:lang w:eastAsia="en-GB"/>
        </w:rPr>
      </w:pPr>
      <w:r w:rsidRPr="00E83C5E">
        <w:rPr>
          <w:rFonts w:ascii="Garamond" w:hAnsi="Garamond" w:cs="Times New Roman"/>
          <w:sz w:val="24"/>
          <w:szCs w:val="24"/>
        </w:rPr>
        <w:t xml:space="preserve">Objektivi Specifik 3.1 synon rritjen e sigurisë së të rejave dhe të rinjve duke krijuar mundësi për përfshirje dhe evituar mënjanimin social. Ky objektiv lidhet me </w:t>
      </w:r>
      <w:r w:rsidR="0022676F" w:rsidRPr="00E83C5E">
        <w:rPr>
          <w:rFonts w:ascii="Garamond" w:hAnsi="Garamond" w:cs="Times New Roman"/>
          <w:sz w:val="24"/>
          <w:szCs w:val="24"/>
        </w:rPr>
        <w:t>t</w:t>
      </w:r>
      <w:r w:rsidRPr="00E83C5E">
        <w:rPr>
          <w:rFonts w:ascii="Garamond" w:hAnsi="Garamond" w:cs="Times New Roman"/>
          <w:sz w:val="24"/>
          <w:szCs w:val="24"/>
        </w:rPr>
        <w:t>itullin VII të MSA-së dhe nenin 78 të saj që ka të bëjë me forcimin e institucioneve dhe shtetit të së drejtës</w:t>
      </w:r>
      <w:r w:rsidR="0022676F" w:rsidRPr="00E83C5E">
        <w:rPr>
          <w:rFonts w:ascii="Garamond" w:hAnsi="Garamond" w:cs="Times New Roman"/>
          <w:sz w:val="24"/>
          <w:szCs w:val="24"/>
        </w:rPr>
        <w:t>,</w:t>
      </w:r>
      <w:r w:rsidRPr="00E83C5E">
        <w:rPr>
          <w:rFonts w:ascii="Garamond" w:hAnsi="Garamond" w:cs="Times New Roman"/>
          <w:i/>
          <w:sz w:val="24"/>
          <w:szCs w:val="24"/>
        </w:rPr>
        <w:t xml:space="preserve"> si dhe</w:t>
      </w:r>
      <w:r w:rsidR="00233C37" w:rsidRPr="00E83C5E">
        <w:rPr>
          <w:rFonts w:ascii="Garamond" w:hAnsi="Garamond" w:cs="Times New Roman"/>
          <w:i/>
          <w:sz w:val="24"/>
          <w:szCs w:val="24"/>
        </w:rPr>
        <w:t xml:space="preserve"> </w:t>
      </w:r>
      <w:r w:rsidRPr="00E83C5E">
        <w:rPr>
          <w:rFonts w:ascii="Garamond" w:hAnsi="Garamond" w:cs="Times New Roman"/>
          <w:sz w:val="24"/>
          <w:szCs w:val="24"/>
          <w:lang w:eastAsia="en-GB"/>
        </w:rPr>
        <w:t xml:space="preserve">Planin </w:t>
      </w:r>
      <w:r w:rsidRPr="00E83C5E">
        <w:rPr>
          <w:rFonts w:ascii="Garamond" w:hAnsi="Garamond" w:cs="Times New Roman"/>
          <w:sz w:val="24"/>
          <w:szCs w:val="24"/>
          <w:lang w:eastAsia="en-GB"/>
        </w:rPr>
        <w:lastRenderedPageBreak/>
        <w:t xml:space="preserve">Kombëtar për Integrimin Evropian 2022–2024 në pjesën e kriterit politik e më specifikisht respektimin e të drejtave të njeriut po edhe me çështjen e zhvillimit të kapitalit njerëzor. </w:t>
      </w:r>
    </w:p>
    <w:p w14:paraId="574E2D43" w14:textId="02759F1B" w:rsidR="00BC2136" w:rsidRPr="00E83C5E" w:rsidRDefault="002F7250" w:rsidP="00EE3511">
      <w:pPr>
        <w:spacing w:after="0" w:line="240" w:lineRule="auto"/>
        <w:ind w:firstLine="284"/>
        <w:jc w:val="both"/>
        <w:rPr>
          <w:rStyle w:val="jlqj4b"/>
          <w:rFonts w:ascii="Garamond" w:eastAsiaTheme="majorEastAsia" w:hAnsi="Garamond" w:cs="Times New Roman"/>
          <w:sz w:val="24"/>
          <w:szCs w:val="24"/>
        </w:rPr>
      </w:pPr>
      <w:r w:rsidRPr="00E83C5E">
        <w:rPr>
          <w:rFonts w:ascii="Garamond" w:hAnsi="Garamond" w:cs="Times New Roman"/>
          <w:bCs/>
          <w:sz w:val="24"/>
          <w:szCs w:val="24"/>
        </w:rPr>
        <w:t xml:space="preserve">Në drejtim të objektivave të zhvillimit të qëndrueshëm, ky objektiv specifik lidhet me </w:t>
      </w:r>
      <w:r w:rsidRPr="00E83C5E">
        <w:rPr>
          <w:rFonts w:ascii="Garamond" w:eastAsiaTheme="majorEastAsia" w:hAnsi="Garamond" w:cs="Times New Roman"/>
          <w:color w:val="000000" w:themeColor="text1"/>
          <w:sz w:val="24"/>
          <w:szCs w:val="24"/>
        </w:rPr>
        <w:t>OZHQ 16 në aspektin e promovimit të drejtësisë dhe institucioneve të forta, me OZHQ 3 në lidhje me mirëqenien dhe OZHQ 5 në aspektin e barazisë gjinore</w:t>
      </w:r>
      <w:r w:rsidRPr="00E83C5E">
        <w:rPr>
          <w:rStyle w:val="jlqj4b"/>
          <w:rFonts w:ascii="Garamond" w:eastAsiaTheme="majorEastAsia" w:hAnsi="Garamond" w:cs="Times New Roman"/>
          <w:sz w:val="24"/>
          <w:szCs w:val="24"/>
        </w:rPr>
        <w:t>.</w:t>
      </w:r>
    </w:p>
    <w:p w14:paraId="6BBB36F6" w14:textId="77777777" w:rsidR="00960B5E" w:rsidRPr="00E83C5E" w:rsidRDefault="00960B5E" w:rsidP="002F7250">
      <w:pPr>
        <w:pStyle w:val="Caption"/>
        <w:keepNext/>
        <w:spacing w:after="0"/>
        <w:ind w:firstLine="284"/>
        <w:rPr>
          <w:rFonts w:ascii="Garamond" w:hAnsi="Garamond"/>
          <w:color w:val="000000" w:themeColor="text1"/>
          <w:sz w:val="24"/>
          <w:szCs w:val="24"/>
        </w:rPr>
      </w:pPr>
    </w:p>
    <w:p w14:paraId="574E2D44" w14:textId="77777777" w:rsidR="002F7250" w:rsidRPr="00E83C5E" w:rsidRDefault="002F7250" w:rsidP="002F7250">
      <w:pPr>
        <w:pStyle w:val="Caption"/>
        <w:keepNext/>
        <w:spacing w:after="0"/>
        <w:ind w:firstLine="284"/>
        <w:rPr>
          <w:rFonts w:ascii="Garamond" w:hAnsi="Garamond"/>
          <w:color w:val="000000" w:themeColor="text1"/>
          <w:sz w:val="24"/>
          <w:szCs w:val="24"/>
        </w:rPr>
      </w:pPr>
      <w:r w:rsidRPr="00E83C5E">
        <w:rPr>
          <w:rFonts w:ascii="Garamond" w:hAnsi="Garamond"/>
          <w:color w:val="000000" w:themeColor="text1"/>
          <w:sz w:val="24"/>
          <w:szCs w:val="24"/>
        </w:rPr>
        <w:t xml:space="preserve">Tabela </w:t>
      </w:r>
      <w:r w:rsidRPr="00E83C5E">
        <w:rPr>
          <w:rFonts w:ascii="Garamond" w:hAnsi="Garamond"/>
          <w:color w:val="000000" w:themeColor="text1"/>
          <w:sz w:val="24"/>
          <w:szCs w:val="24"/>
        </w:rPr>
        <w:fldChar w:fldCharType="begin"/>
      </w:r>
      <w:r w:rsidRPr="00E83C5E">
        <w:rPr>
          <w:rFonts w:ascii="Garamond" w:hAnsi="Garamond"/>
          <w:color w:val="000000" w:themeColor="text1"/>
          <w:sz w:val="24"/>
          <w:szCs w:val="24"/>
        </w:rPr>
        <w:instrText xml:space="preserve"> SEQ Tabela \* ARABIC </w:instrText>
      </w:r>
      <w:r w:rsidRPr="00E83C5E">
        <w:rPr>
          <w:rFonts w:ascii="Garamond" w:hAnsi="Garamond"/>
          <w:color w:val="000000" w:themeColor="text1"/>
          <w:sz w:val="24"/>
          <w:szCs w:val="24"/>
        </w:rPr>
        <w:fldChar w:fldCharType="separate"/>
      </w:r>
      <w:r w:rsidRPr="00E83C5E">
        <w:rPr>
          <w:rFonts w:ascii="Garamond" w:hAnsi="Garamond"/>
          <w:color w:val="000000" w:themeColor="text1"/>
          <w:sz w:val="24"/>
          <w:szCs w:val="24"/>
        </w:rPr>
        <w:t>17</w:t>
      </w:r>
      <w:r w:rsidRPr="00E83C5E">
        <w:rPr>
          <w:rFonts w:ascii="Garamond" w:hAnsi="Garamond"/>
          <w:color w:val="000000" w:themeColor="text1"/>
          <w:sz w:val="24"/>
          <w:szCs w:val="24"/>
        </w:rPr>
        <w:fldChar w:fldCharType="end"/>
      </w:r>
      <w:r w:rsidRPr="00E83C5E">
        <w:rPr>
          <w:rFonts w:ascii="Garamond" w:hAnsi="Garamond"/>
          <w:color w:val="000000" w:themeColor="text1"/>
          <w:sz w:val="24"/>
          <w:szCs w:val="24"/>
        </w:rPr>
        <w:t>: Lista e masave për arritjen e objektivit specifik 3.1</w:t>
      </w:r>
    </w:p>
    <w:tbl>
      <w:tblPr>
        <w:tblStyle w:val="GridTable1Light-Accent11"/>
        <w:tblW w:w="9062" w:type="dxa"/>
        <w:tblLook w:val="04A0" w:firstRow="1" w:lastRow="0" w:firstColumn="1" w:lastColumn="0" w:noHBand="0" w:noVBand="1"/>
      </w:tblPr>
      <w:tblGrid>
        <w:gridCol w:w="830"/>
        <w:gridCol w:w="8232"/>
      </w:tblGrid>
      <w:tr w:rsidR="002F7250" w:rsidRPr="00E83C5E" w14:paraId="574E2D47" w14:textId="77777777" w:rsidTr="003B0E4C">
        <w:trPr>
          <w:cnfStyle w:val="100000000000" w:firstRow="1" w:lastRow="0" w:firstColumn="0" w:lastColumn="0" w:oddVBand="0" w:evenVBand="0" w:oddHBand="0"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830" w:type="dxa"/>
            <w:hideMark/>
          </w:tcPr>
          <w:p w14:paraId="574E2D45" w14:textId="77777777" w:rsidR="002F7250" w:rsidRPr="00E83C5E" w:rsidRDefault="002F7250" w:rsidP="00BC2136">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 Nr. i masës</w:t>
            </w:r>
          </w:p>
        </w:tc>
        <w:tc>
          <w:tcPr>
            <w:tcW w:w="8232" w:type="dxa"/>
            <w:hideMark/>
          </w:tcPr>
          <w:p w14:paraId="574E2D46" w14:textId="7F7B8CF3" w:rsidR="002F7250" w:rsidRPr="00E83C5E" w:rsidRDefault="002F7250" w:rsidP="00BC2136">
            <w:pPr>
              <w:tabs>
                <w:tab w:val="left" w:pos="2320"/>
              </w:tabs>
              <w:jc w:val="both"/>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i/>
                <w:iCs/>
                <w:color w:val="0066CC"/>
                <w:sz w:val="20"/>
                <w:szCs w:val="24"/>
              </w:rPr>
            </w:pPr>
            <w:r w:rsidRPr="00E83C5E">
              <w:rPr>
                <w:rFonts w:ascii="Garamond" w:eastAsia="Times New Roman" w:hAnsi="Garamond" w:cs="Times New Roman"/>
                <w:i/>
                <w:iCs/>
                <w:sz w:val="20"/>
                <w:szCs w:val="24"/>
              </w:rPr>
              <w:t xml:space="preserve">Masat sipas objektivit </w:t>
            </w:r>
            <w:r w:rsidR="0022676F" w:rsidRPr="00E83C5E">
              <w:rPr>
                <w:rFonts w:ascii="Garamond" w:eastAsia="Times New Roman" w:hAnsi="Garamond" w:cs="Times New Roman"/>
                <w:i/>
                <w:iCs/>
                <w:sz w:val="20"/>
                <w:szCs w:val="24"/>
              </w:rPr>
              <w:t>specifik</w:t>
            </w:r>
            <w:r w:rsidRPr="00E83C5E">
              <w:rPr>
                <w:rFonts w:ascii="Garamond" w:eastAsia="Times New Roman" w:hAnsi="Garamond" w:cs="Times New Roman"/>
                <w:i/>
                <w:iCs/>
                <w:sz w:val="20"/>
                <w:szCs w:val="24"/>
              </w:rPr>
              <w:t xml:space="preserve"> 3.1:</w:t>
            </w:r>
            <w:r w:rsidR="00FB3187" w:rsidRPr="00E83C5E">
              <w:rPr>
                <w:rFonts w:ascii="Garamond" w:eastAsia="Times New Roman" w:hAnsi="Garamond" w:cs="Times New Roman"/>
                <w:i/>
                <w:iCs/>
                <w:sz w:val="20"/>
                <w:szCs w:val="24"/>
              </w:rPr>
              <w:t xml:space="preserve"> </w:t>
            </w:r>
          </w:p>
        </w:tc>
      </w:tr>
      <w:tr w:rsidR="002F7250" w:rsidRPr="00E83C5E" w14:paraId="574E2D4A" w14:textId="77777777" w:rsidTr="003B0E4C">
        <w:trPr>
          <w:trHeight w:val="30"/>
        </w:trPr>
        <w:tc>
          <w:tcPr>
            <w:cnfStyle w:val="001000000000" w:firstRow="0" w:lastRow="0" w:firstColumn="1" w:lastColumn="0" w:oddVBand="0" w:evenVBand="0" w:oddHBand="0" w:evenHBand="0" w:firstRowFirstColumn="0" w:firstRowLastColumn="0" w:lastRowFirstColumn="0" w:lastRowLastColumn="0"/>
            <w:tcW w:w="830" w:type="dxa"/>
            <w:noWrap/>
            <w:hideMark/>
          </w:tcPr>
          <w:p w14:paraId="574E2D48" w14:textId="77777777" w:rsidR="002F7250" w:rsidRPr="00E83C5E" w:rsidRDefault="002F7250" w:rsidP="00BC2136">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3.1.1</w:t>
            </w:r>
          </w:p>
        </w:tc>
        <w:tc>
          <w:tcPr>
            <w:tcW w:w="8232" w:type="dxa"/>
          </w:tcPr>
          <w:p w14:paraId="574E2D49" w14:textId="41DB4415" w:rsidR="002F7250" w:rsidRPr="00E83C5E" w:rsidRDefault="002F7250" w:rsidP="0022676F">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4"/>
              </w:rPr>
            </w:pPr>
            <w:r w:rsidRPr="00E83C5E">
              <w:rPr>
                <w:rFonts w:ascii="Garamond" w:eastAsia="Arial" w:hAnsi="Garamond" w:cs="Times New Roman"/>
                <w:sz w:val="20"/>
                <w:szCs w:val="24"/>
              </w:rPr>
              <w:t xml:space="preserve">Bashkërendohet zbatimi i </w:t>
            </w:r>
            <w:r w:rsidR="00960B5E" w:rsidRPr="00E83C5E">
              <w:rPr>
                <w:rFonts w:ascii="Garamond" w:eastAsia="Arial" w:hAnsi="Garamond" w:cs="Times New Roman"/>
                <w:sz w:val="20"/>
                <w:szCs w:val="24"/>
              </w:rPr>
              <w:t xml:space="preserve">strategjive dhe programeve kombëtare të mbrojtjes dhe sigurisë </w:t>
            </w:r>
            <w:r w:rsidRPr="00E83C5E">
              <w:rPr>
                <w:rFonts w:ascii="Garamond" w:eastAsia="Arial" w:hAnsi="Garamond" w:cs="Times New Roman"/>
                <w:sz w:val="20"/>
                <w:szCs w:val="24"/>
              </w:rPr>
              <w:t>me një fokus të veçantë te prezenca virtuale e të rinjve online, krijimi i hapësirave të sigurta, krimi kibernetik dhe bulizmi online (digjital)</w:t>
            </w:r>
          </w:p>
        </w:tc>
      </w:tr>
      <w:tr w:rsidR="002F7250" w:rsidRPr="00E83C5E" w14:paraId="574E2D4D" w14:textId="77777777" w:rsidTr="003B0E4C">
        <w:trPr>
          <w:trHeight w:val="50"/>
        </w:trPr>
        <w:tc>
          <w:tcPr>
            <w:cnfStyle w:val="001000000000" w:firstRow="0" w:lastRow="0" w:firstColumn="1" w:lastColumn="0" w:oddVBand="0" w:evenVBand="0" w:oddHBand="0" w:evenHBand="0" w:firstRowFirstColumn="0" w:firstRowLastColumn="0" w:lastRowFirstColumn="0" w:lastRowLastColumn="0"/>
            <w:tcW w:w="830" w:type="dxa"/>
            <w:noWrap/>
            <w:hideMark/>
          </w:tcPr>
          <w:p w14:paraId="574E2D4B" w14:textId="77777777" w:rsidR="002F7250" w:rsidRPr="00E83C5E" w:rsidRDefault="002F7250" w:rsidP="00BC2136">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3.1.2</w:t>
            </w:r>
          </w:p>
        </w:tc>
        <w:tc>
          <w:tcPr>
            <w:tcW w:w="8232" w:type="dxa"/>
          </w:tcPr>
          <w:p w14:paraId="574E2D4C" w14:textId="77777777" w:rsidR="002F7250" w:rsidRPr="00E83C5E" w:rsidRDefault="002F7250" w:rsidP="00BC2136">
            <w:pPr>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b/>
                <w:sz w:val="20"/>
                <w:szCs w:val="24"/>
              </w:rPr>
            </w:pPr>
            <w:r w:rsidRPr="00E83C5E">
              <w:rPr>
                <w:rFonts w:ascii="Garamond" w:eastAsia="Arial" w:hAnsi="Garamond" w:cs="Times New Roman"/>
                <w:sz w:val="20"/>
                <w:szCs w:val="24"/>
              </w:rPr>
              <w:t>Fuqizohen programet që trajtojnë çështjet e rreziqet e sigurisë me të cilat përballen të rejat dhe të rinjtë e trafikuar, rreziqet e formave të ndryshme të krimit dhe, parandalimi dhe luftimi i dhunës seksuale me bazë gjinore dhe dhunës nga partneri ndaj grave të reja dhe parandalimi i trafikimit të qenieve njerëzore/të rinjve.</w:t>
            </w:r>
          </w:p>
        </w:tc>
      </w:tr>
      <w:tr w:rsidR="002F7250" w:rsidRPr="00E83C5E" w14:paraId="574E2D50" w14:textId="77777777" w:rsidTr="003B0E4C">
        <w:trPr>
          <w:trHeight w:val="50"/>
        </w:trPr>
        <w:tc>
          <w:tcPr>
            <w:cnfStyle w:val="001000000000" w:firstRow="0" w:lastRow="0" w:firstColumn="1" w:lastColumn="0" w:oddVBand="0" w:evenVBand="0" w:oddHBand="0" w:evenHBand="0" w:firstRowFirstColumn="0" w:firstRowLastColumn="0" w:lastRowFirstColumn="0" w:lastRowLastColumn="0"/>
            <w:tcW w:w="830" w:type="dxa"/>
            <w:noWrap/>
            <w:hideMark/>
          </w:tcPr>
          <w:p w14:paraId="574E2D4E" w14:textId="77777777" w:rsidR="002F7250" w:rsidRPr="00E83C5E" w:rsidRDefault="002F7250" w:rsidP="00BC2136">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3.1.3</w:t>
            </w:r>
          </w:p>
        </w:tc>
        <w:tc>
          <w:tcPr>
            <w:tcW w:w="8232" w:type="dxa"/>
          </w:tcPr>
          <w:p w14:paraId="574E2D4F" w14:textId="1580D178" w:rsidR="002F7250" w:rsidRPr="00E83C5E" w:rsidRDefault="002F7250" w:rsidP="00BC2136">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4"/>
              </w:rPr>
            </w:pPr>
            <w:r w:rsidRPr="00E83C5E">
              <w:rPr>
                <w:rFonts w:ascii="Garamond" w:eastAsia="Arial" w:hAnsi="Garamond" w:cs="Times New Roman"/>
                <w:sz w:val="20"/>
                <w:szCs w:val="24"/>
              </w:rPr>
              <w:t xml:space="preserve">Fuqizohen programet që u mundësojnë të rinjve të përfshirë në grupe të dhunshme ose të radikalizuara të braktisin dhunën duke propozuar të ashtuquajturat </w:t>
            </w:r>
            <w:r w:rsidR="00D540B0" w:rsidRPr="00E83C5E">
              <w:rPr>
                <w:rFonts w:ascii="Garamond" w:eastAsia="Arial" w:hAnsi="Garamond" w:cs="Times New Roman"/>
                <w:sz w:val="20"/>
                <w:szCs w:val="24"/>
              </w:rPr>
              <w:t>“</w:t>
            </w:r>
            <w:r w:rsidRPr="00E83C5E">
              <w:rPr>
                <w:rFonts w:ascii="Garamond" w:eastAsia="Arial" w:hAnsi="Garamond" w:cs="Times New Roman"/>
                <w:sz w:val="20"/>
                <w:szCs w:val="24"/>
              </w:rPr>
              <w:t>strategjitë e daljes</w:t>
            </w:r>
            <w:r w:rsidR="00D540B0" w:rsidRPr="00E83C5E">
              <w:rPr>
                <w:rFonts w:ascii="Garamond" w:eastAsia="Arial" w:hAnsi="Garamond" w:cs="Times New Roman"/>
                <w:sz w:val="20"/>
                <w:szCs w:val="24"/>
              </w:rPr>
              <w:t>”</w:t>
            </w:r>
            <w:r w:rsidRPr="00E83C5E">
              <w:rPr>
                <w:rFonts w:ascii="Garamond" w:eastAsia="Arial" w:hAnsi="Garamond" w:cs="Times New Roman"/>
                <w:sz w:val="20"/>
                <w:szCs w:val="24"/>
              </w:rPr>
              <w:t>.</w:t>
            </w:r>
          </w:p>
        </w:tc>
      </w:tr>
      <w:tr w:rsidR="002F7250" w:rsidRPr="00E83C5E" w14:paraId="574E2D53" w14:textId="77777777" w:rsidTr="003B0E4C">
        <w:trPr>
          <w:trHeight w:val="50"/>
        </w:trPr>
        <w:tc>
          <w:tcPr>
            <w:cnfStyle w:val="001000000000" w:firstRow="0" w:lastRow="0" w:firstColumn="1" w:lastColumn="0" w:oddVBand="0" w:evenVBand="0" w:oddHBand="0" w:evenHBand="0" w:firstRowFirstColumn="0" w:firstRowLastColumn="0" w:lastRowFirstColumn="0" w:lastRowLastColumn="0"/>
            <w:tcW w:w="830" w:type="dxa"/>
            <w:noWrap/>
            <w:hideMark/>
          </w:tcPr>
          <w:p w14:paraId="574E2D51" w14:textId="77777777" w:rsidR="002F7250" w:rsidRPr="00E83C5E" w:rsidRDefault="002F7250" w:rsidP="00BC2136">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3.1.4</w:t>
            </w:r>
          </w:p>
        </w:tc>
        <w:tc>
          <w:tcPr>
            <w:tcW w:w="8232" w:type="dxa"/>
          </w:tcPr>
          <w:p w14:paraId="574E2D52" w14:textId="349DFC69" w:rsidR="002F7250" w:rsidRPr="00E83C5E" w:rsidRDefault="002F7250" w:rsidP="00364633">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4"/>
              </w:rPr>
            </w:pPr>
            <w:r w:rsidRPr="00E83C5E">
              <w:rPr>
                <w:rFonts w:ascii="Garamond" w:eastAsia="Arial" w:hAnsi="Garamond" w:cs="Times New Roman"/>
                <w:sz w:val="20"/>
                <w:szCs w:val="24"/>
              </w:rPr>
              <w:t>Promovohen programet për të rinjtë në masa reformuese duke vendosur mekanizma riintegrimi dhe mbështetje për trajnimin e aftësive për punësim, integrimin përmes punës në komunitet dhe mbështetje psikologjike dhe sipërmarrjeve sociale.</w:t>
            </w:r>
          </w:p>
        </w:tc>
      </w:tr>
      <w:tr w:rsidR="002F7250" w:rsidRPr="00E83C5E" w14:paraId="574E2D56" w14:textId="77777777" w:rsidTr="003B0E4C">
        <w:trPr>
          <w:trHeight w:val="50"/>
        </w:trPr>
        <w:tc>
          <w:tcPr>
            <w:cnfStyle w:val="001000000000" w:firstRow="0" w:lastRow="0" w:firstColumn="1" w:lastColumn="0" w:oddVBand="0" w:evenVBand="0" w:oddHBand="0" w:evenHBand="0" w:firstRowFirstColumn="0" w:firstRowLastColumn="0" w:lastRowFirstColumn="0" w:lastRowLastColumn="0"/>
            <w:tcW w:w="830" w:type="dxa"/>
            <w:noWrap/>
            <w:hideMark/>
          </w:tcPr>
          <w:p w14:paraId="574E2D54" w14:textId="77777777" w:rsidR="002F7250" w:rsidRPr="00E83C5E" w:rsidRDefault="002F7250" w:rsidP="00BC2136">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3.1.5</w:t>
            </w:r>
          </w:p>
        </w:tc>
        <w:tc>
          <w:tcPr>
            <w:tcW w:w="8232" w:type="dxa"/>
          </w:tcPr>
          <w:p w14:paraId="574E2D55" w14:textId="77777777" w:rsidR="002F7250" w:rsidRPr="00E83C5E" w:rsidRDefault="002F7250" w:rsidP="00BC2136">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4"/>
              </w:rPr>
            </w:pPr>
            <w:r w:rsidRPr="00E83C5E">
              <w:rPr>
                <w:rFonts w:ascii="Garamond" w:eastAsia="Arial" w:hAnsi="Garamond" w:cs="Times New Roman"/>
                <w:sz w:val="20"/>
                <w:szCs w:val="24"/>
              </w:rPr>
              <w:t>Përmirësohen me qasje specifike rinore, miqësore dhe të pranueshme, programet që trajtojnë migrimin e parregullt dhe trafikimin e qenieve njerëzore me në fokus parandalimin e këtyre fenomeneve dhe kthimin e të rinjve në shkollë, trajnim ose punë.</w:t>
            </w:r>
          </w:p>
        </w:tc>
      </w:tr>
      <w:tr w:rsidR="002F7250" w:rsidRPr="00E83C5E" w14:paraId="574E2D59" w14:textId="77777777" w:rsidTr="003B0E4C">
        <w:trPr>
          <w:trHeight w:val="50"/>
        </w:trPr>
        <w:tc>
          <w:tcPr>
            <w:cnfStyle w:val="001000000000" w:firstRow="0" w:lastRow="0" w:firstColumn="1" w:lastColumn="0" w:oddVBand="0" w:evenVBand="0" w:oddHBand="0" w:evenHBand="0" w:firstRowFirstColumn="0" w:firstRowLastColumn="0" w:lastRowFirstColumn="0" w:lastRowLastColumn="0"/>
            <w:tcW w:w="830" w:type="dxa"/>
            <w:noWrap/>
            <w:hideMark/>
          </w:tcPr>
          <w:p w14:paraId="574E2D57" w14:textId="77777777" w:rsidR="002F7250" w:rsidRPr="00E83C5E" w:rsidRDefault="002F7250" w:rsidP="00BC2136">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3.1.6</w:t>
            </w:r>
          </w:p>
        </w:tc>
        <w:tc>
          <w:tcPr>
            <w:tcW w:w="8232" w:type="dxa"/>
          </w:tcPr>
          <w:p w14:paraId="574E2D58" w14:textId="77777777" w:rsidR="002F7250" w:rsidRPr="00E83C5E" w:rsidRDefault="002F7250" w:rsidP="00BC2136">
            <w:pPr>
              <w:jc w:val="both"/>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sz w:val="20"/>
                <w:szCs w:val="24"/>
              </w:rPr>
            </w:pPr>
            <w:r w:rsidRPr="00E83C5E">
              <w:rPr>
                <w:rFonts w:ascii="Garamond" w:eastAsia="Arial" w:hAnsi="Garamond" w:cs="Times New Roman"/>
                <w:sz w:val="20"/>
                <w:szCs w:val="24"/>
              </w:rPr>
              <w:t>Fuqizohen programet rinore që fokusohen në të drejtat e njeriut dhe të pakicave, barazinë gjinore, pranimit të diversitetit, tolerancës dhe komunikimit jo të dhunshëm.</w:t>
            </w:r>
          </w:p>
        </w:tc>
      </w:tr>
      <w:tr w:rsidR="002F7250" w:rsidRPr="00E83C5E" w14:paraId="574E2D5C" w14:textId="77777777" w:rsidTr="003B0E4C">
        <w:trPr>
          <w:trHeight w:val="50"/>
        </w:trPr>
        <w:tc>
          <w:tcPr>
            <w:cnfStyle w:val="001000000000" w:firstRow="0" w:lastRow="0" w:firstColumn="1" w:lastColumn="0" w:oddVBand="0" w:evenVBand="0" w:oddHBand="0" w:evenHBand="0" w:firstRowFirstColumn="0" w:firstRowLastColumn="0" w:lastRowFirstColumn="0" w:lastRowLastColumn="0"/>
            <w:tcW w:w="830" w:type="dxa"/>
            <w:noWrap/>
            <w:hideMark/>
          </w:tcPr>
          <w:p w14:paraId="574E2D5A" w14:textId="77777777" w:rsidR="002F7250" w:rsidRPr="00E83C5E" w:rsidRDefault="002F7250" w:rsidP="00BC2136">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3.1.7</w:t>
            </w:r>
          </w:p>
        </w:tc>
        <w:tc>
          <w:tcPr>
            <w:tcW w:w="8232" w:type="dxa"/>
          </w:tcPr>
          <w:p w14:paraId="574E2D5B" w14:textId="77777777" w:rsidR="002F7250" w:rsidRPr="00E83C5E" w:rsidRDefault="002F7250" w:rsidP="00BC2136">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4"/>
              </w:rPr>
            </w:pPr>
            <w:r w:rsidRPr="00E83C5E">
              <w:rPr>
                <w:rFonts w:ascii="Garamond" w:eastAsia="Arial" w:hAnsi="Garamond" w:cs="Times New Roman"/>
                <w:sz w:val="20"/>
                <w:szCs w:val="24"/>
              </w:rPr>
              <w:t>Hartohen dhe fuqizohen programet dhe aktivitetet rinore që trajtojnë çështje në lidhje me format e ndryshme të diskriminimit kundrejt identiteteve socio-kulturore, fetare, seksuale dhe të tjera.</w:t>
            </w:r>
          </w:p>
        </w:tc>
      </w:tr>
    </w:tbl>
    <w:p w14:paraId="574E2D5E" w14:textId="77777777" w:rsidR="002F7250" w:rsidRPr="00E83C5E" w:rsidRDefault="002F7250" w:rsidP="002F7250">
      <w:pPr>
        <w:spacing w:after="0" w:line="240" w:lineRule="auto"/>
        <w:ind w:firstLine="284"/>
        <w:rPr>
          <w:rFonts w:ascii="Garamond" w:hAnsi="Garamond" w:cs="Times New Roman"/>
          <w:b/>
          <w:bCs/>
          <w:sz w:val="24"/>
          <w:szCs w:val="24"/>
        </w:rPr>
      </w:pPr>
    </w:p>
    <w:p w14:paraId="574E2D5F" w14:textId="49984BF7" w:rsidR="002F7250" w:rsidRPr="00E83C5E" w:rsidRDefault="002F7250" w:rsidP="00C647C7">
      <w:pPr>
        <w:pStyle w:val="TEKSTIII"/>
        <w:rPr>
          <w:b/>
        </w:rPr>
      </w:pPr>
      <w:r w:rsidRPr="00E83C5E">
        <w:rPr>
          <w:b/>
        </w:rPr>
        <w:t xml:space="preserve">Objektivi </w:t>
      </w:r>
      <w:r w:rsidR="003B0E4C" w:rsidRPr="00E83C5E">
        <w:rPr>
          <w:b/>
        </w:rPr>
        <w:t>s</w:t>
      </w:r>
      <w:r w:rsidRPr="00E83C5E">
        <w:rPr>
          <w:b/>
        </w:rPr>
        <w:t>pecifik 3.2:</w:t>
      </w:r>
    </w:p>
    <w:p w14:paraId="574E2D60" w14:textId="4A4932D0" w:rsidR="002F7250" w:rsidRPr="00E83C5E" w:rsidRDefault="002F7250" w:rsidP="00C647C7">
      <w:pPr>
        <w:pStyle w:val="TEKSTIII"/>
        <w:rPr>
          <w:b/>
        </w:rPr>
      </w:pPr>
      <w:r w:rsidRPr="00E83C5E">
        <w:rPr>
          <w:rFonts w:eastAsia="Arial"/>
          <w:b/>
        </w:rPr>
        <w:t>Të rejave dhe të rinjve ju ofrohen shërbime shëndetësore miqësore dhe ata praktikojnë stile jetese të shëndetshme, veçanërisht në lidhje me shëndetin dhe mirëqenien e tyre mendore, sociale, fizike dhe seksuale</w:t>
      </w:r>
    </w:p>
    <w:p w14:paraId="574E2D61" w14:textId="4DDF2E36" w:rsidR="002F7250" w:rsidRPr="00E83C5E" w:rsidRDefault="002F7250" w:rsidP="00C647C7">
      <w:pPr>
        <w:pStyle w:val="TEKSTIII"/>
        <w:rPr>
          <w:b/>
        </w:rPr>
      </w:pPr>
      <w:r w:rsidRPr="00E83C5E">
        <w:rPr>
          <w:b/>
        </w:rPr>
        <w:t xml:space="preserve">Analiza e </w:t>
      </w:r>
      <w:r w:rsidR="003B0E4C" w:rsidRPr="00E83C5E">
        <w:rPr>
          <w:b/>
        </w:rPr>
        <w:t>s</w:t>
      </w:r>
      <w:r w:rsidRPr="00E83C5E">
        <w:rPr>
          <w:b/>
        </w:rPr>
        <w:t xml:space="preserve">ituatës dhe </w:t>
      </w:r>
      <w:r w:rsidR="003B0E4C" w:rsidRPr="00E83C5E">
        <w:rPr>
          <w:b/>
        </w:rPr>
        <w:t>s</w:t>
      </w:r>
      <w:r w:rsidRPr="00E83C5E">
        <w:rPr>
          <w:b/>
        </w:rPr>
        <w:t>fidat</w:t>
      </w:r>
    </w:p>
    <w:p w14:paraId="574E2D62" w14:textId="7001229B" w:rsidR="002F7250" w:rsidRPr="00E83C5E" w:rsidRDefault="002F7250" w:rsidP="00C647C7">
      <w:pPr>
        <w:pStyle w:val="TEKSTIII"/>
      </w:pPr>
      <w:r w:rsidRPr="00E83C5E">
        <w:t>Situata pandemike e shkaktuar nga COVID-19 dhe vështirësitë që shoqëruan procesin e kapërcimit të krizës së tërmeteve të vitit 2019 kanë lënë pasoja shëndetësore edhe mes të rinjve shqiptarë. Duket se dhënia e shërbimeve për të rinjtë (adoleshentët) dhe shërbimet miqësore e të orientuara nga të rinjtë janë ndërprerë që prej vitit 2015 në Shqipëri</w:t>
      </w:r>
      <w:r w:rsidRPr="00E83C5E">
        <w:rPr>
          <w:rStyle w:val="FootnoteReference"/>
          <w:rFonts w:cs="Times New Roman"/>
        </w:rPr>
        <w:footnoteReference w:id="26"/>
      </w:r>
      <w:r w:rsidRPr="00E83C5E">
        <w:t xml:space="preserve"> edhe pse strategjia e promovimit të shëndetit publik, shëndetit seksual dhe riprodhues dhe paketa bazë e shërbimeve në kujdesin shëndetësor parësor (versioni i rishikuar) synojnë nevojat e të rinjve dhe adoleshentëve. Dokumentet janë në përputhje me planin e veprimit mbi sigurinë kontraceptive për 2017</w:t>
      </w:r>
      <w:r w:rsidR="003B0E4C" w:rsidRPr="00E83C5E">
        <w:t>–</w:t>
      </w:r>
      <w:r w:rsidRPr="00E83C5E">
        <w:t xml:space="preserve">2022. </w:t>
      </w:r>
    </w:p>
    <w:p w14:paraId="574E2D63" w14:textId="065E100D" w:rsidR="002F7250" w:rsidRPr="00E83C5E" w:rsidRDefault="002F7250" w:rsidP="00C647C7">
      <w:pPr>
        <w:pStyle w:val="TEKSTIII"/>
        <w:rPr>
          <w:rFonts w:cs="Times New Roman"/>
        </w:rPr>
      </w:pPr>
      <w:r w:rsidRPr="00E83C5E">
        <w:rPr>
          <w:rFonts w:cs="Times New Roman"/>
        </w:rPr>
        <w:t xml:space="preserve">Strategjia e promovimit shëndetësor të vendit synon adoleshentët dhe të rinjtë duke rritur ndërgjegjësimin shëndetësor dhe duke krijuar mjedise mbështetëse për mënyra më të shëndetshme jetese, duke trajtuar çështje që përfshin ushqimin, veprimtarinë fizike, dhunën, pirjen e duhanit, alkoolin, drogën, shëndetin mendor, shëndetin seksual dhe riprodhues dhe planifikimin familjar. Ajo përfshin gjithashtu një objektiv që </w:t>
      </w:r>
      <w:r w:rsidR="00D540B0" w:rsidRPr="00E83C5E">
        <w:rPr>
          <w:rFonts w:cs="Times New Roman"/>
        </w:rPr>
        <w:t>“</w:t>
      </w:r>
      <w:r w:rsidRPr="00E83C5E">
        <w:rPr>
          <w:rFonts w:cs="Times New Roman"/>
        </w:rPr>
        <w:t>së paku 50% e të rinjve përdorin shërbime shëndetësore miqësore për të rinjtë</w:t>
      </w:r>
      <w:r w:rsidR="00D540B0" w:rsidRPr="00E83C5E">
        <w:rPr>
          <w:rFonts w:cs="Times New Roman"/>
        </w:rPr>
        <w:t>”</w:t>
      </w:r>
      <w:r w:rsidRPr="00E83C5E">
        <w:rPr>
          <w:rFonts w:cs="Times New Roman"/>
        </w:rPr>
        <w:t xml:space="preserve">. Paketa bazë e shërbimeve përfshin ofrimin e informacionit mbi shëndetin seksual dhe riprodhues, planifikimin familjar dhe STI-të për të rinjtë. </w:t>
      </w:r>
    </w:p>
    <w:p w14:paraId="574E2D64" w14:textId="517AE3CC" w:rsidR="002F7250" w:rsidRPr="00E83C5E" w:rsidRDefault="002F7250" w:rsidP="00C647C7">
      <w:pPr>
        <w:pStyle w:val="TEKSTIII"/>
      </w:pPr>
      <w:r w:rsidRPr="00E83C5E">
        <w:lastRenderedPageBreak/>
        <w:t>Ministria e Shëndetësisë dhe Mbrojtjes Sociale, me mbështetjen e UNFPA</w:t>
      </w:r>
      <w:r w:rsidR="003B0E4C" w:rsidRPr="00E83C5E">
        <w:t>-së</w:t>
      </w:r>
      <w:r w:rsidRPr="00E83C5E">
        <w:t xml:space="preserve">, hartuan </w:t>
      </w:r>
      <w:r w:rsidR="0022676F" w:rsidRPr="00E83C5E">
        <w:t>standardet</w:t>
      </w:r>
      <w:r w:rsidRPr="00E83C5E">
        <w:t xml:space="preserve"> për shërbimet shëndetësore miqësore për të rinjtë, të cilat më tej u integruan në paketën bazë të shërbimeve në kujdesin shëndetësor parësor dhe nuk funksionuan si të veçanta.</w:t>
      </w:r>
      <w:r w:rsidR="00233C37" w:rsidRPr="00E83C5E">
        <w:t xml:space="preserve"> </w:t>
      </w:r>
    </w:p>
    <w:p w14:paraId="574E2D65" w14:textId="77777777" w:rsidR="002F7250" w:rsidRPr="00E83C5E" w:rsidRDefault="002F7250" w:rsidP="00C647C7">
      <w:pPr>
        <w:pStyle w:val="TEKSTIII"/>
      </w:pPr>
      <w:r w:rsidRPr="00E83C5E">
        <w:t>Standardet ndërkombëtare të ofrimit të shërbimeve për të rinjtë kanë kërkesa specifike për të siguruar privatësinë përmes mjediseve të veçanta dhe hyrjes së veçantë në një strukturë klinike mjekësore për të ofruar shërbime miqësore për të rinjtë. Kjo gjë mbetet një shqetësim i veçantë në zonat rurale, ku aftësia për të ruajtur konfidencialitetin është e kufizuar.</w:t>
      </w:r>
    </w:p>
    <w:p w14:paraId="574E2D66" w14:textId="0945778C" w:rsidR="002F7250" w:rsidRPr="00E83C5E" w:rsidRDefault="002F7250" w:rsidP="00C647C7">
      <w:pPr>
        <w:pStyle w:val="TEKSTIII"/>
      </w:pPr>
      <w:r w:rsidRPr="00E83C5E">
        <w:t>Shëndeti mendor i të rinjve rrezikohet nga neglizhenca kundrejt problemeve të kësaj natyre por edhe nga lehtësia për të hyrë në rrjetet sociale ku të rinjtë ndeshen me elemente dëmtuese për shëndetin e tyre si varësia nga krahasimi me figura të njohura, qasja në materiale që janë të papërshtatshme për të rinj</w:t>
      </w:r>
      <w:r w:rsidR="0022676F" w:rsidRPr="00E83C5E">
        <w:t>t</w:t>
      </w:r>
      <w:r w:rsidRPr="00E83C5E">
        <w:t xml:space="preserve">ë, mungesa e kohës për tu kujdesur për vete, ngacmimet kibernetike dhe diskriminimet. </w:t>
      </w:r>
    </w:p>
    <w:p w14:paraId="574E2D67" w14:textId="331BEB7C" w:rsidR="002F7250" w:rsidRPr="00E83C5E" w:rsidRDefault="002F7250" w:rsidP="00C647C7">
      <w:pPr>
        <w:pStyle w:val="TEKSTIII"/>
      </w:pPr>
      <w:r w:rsidRPr="00E83C5E">
        <w:t>Studime të ndryshme</w:t>
      </w:r>
      <w:r w:rsidRPr="00E83C5E">
        <w:rPr>
          <w:rStyle w:val="FootnoteReference"/>
          <w:rFonts w:cs="Times New Roman"/>
        </w:rPr>
        <w:footnoteReference w:id="27"/>
      </w:r>
      <w:r w:rsidRPr="00E83C5E">
        <w:t xml:space="preserve"> tregojnë se gati një në tr</w:t>
      </w:r>
      <w:r w:rsidR="00CC519F" w:rsidRPr="00E83C5E">
        <w:t>i</w:t>
      </w:r>
      <w:r w:rsidRPr="00E83C5E">
        <w:t xml:space="preserve"> fëmijë (32%) janë lënduar ndonjëherë fizikisht nga prindërit ose të rriturit e tjerë në familjet e tyre përkatëse. Prevalenca e abuzimit emocional gjatë gjithë jetës ishte 16% (13% te djemtë kundrejt 18% te vajzat). Abuzimi seksual qëndron në nivelin 8% dhe prevalenca e marrëdhënieve seksuale gjatë gjithë jetës me një të rritur (e tentuar dhe / ose e përjetuar) është rreth 3%. Korrelacione të rëndësishme të abuzimit seksual gjatë gjithë jetës ishin papunësia e nënës, përdorimi i duhanit dhe alkoolit gjatë gjithë jetës, marrëdhëniet seksuale gjatë gjithë jetës, si dhe dhuna në familje.</w:t>
      </w:r>
    </w:p>
    <w:p w14:paraId="574E2D68" w14:textId="77777777" w:rsidR="002F7250" w:rsidRPr="00E83C5E" w:rsidRDefault="002F7250" w:rsidP="002F7250">
      <w:pPr>
        <w:keepNext/>
        <w:spacing w:before="240" w:after="0" w:line="240" w:lineRule="auto"/>
        <w:ind w:right="20" w:firstLine="284"/>
        <w:jc w:val="both"/>
        <w:rPr>
          <w:rFonts w:ascii="Garamond" w:hAnsi="Garamond"/>
          <w:sz w:val="24"/>
          <w:szCs w:val="24"/>
        </w:rPr>
      </w:pPr>
      <w:r w:rsidRPr="00E83C5E">
        <w:rPr>
          <w:rFonts w:ascii="Garamond" w:hAnsi="Garamond" w:cs="Times New Roman"/>
          <w:noProof/>
          <w:sz w:val="24"/>
          <w:szCs w:val="24"/>
          <w:lang w:val="en-US"/>
        </w:rPr>
        <w:drawing>
          <wp:inline distT="0" distB="0" distL="0" distR="0" wp14:anchorId="574E3564" wp14:editId="451213D3">
            <wp:extent cx="5281865" cy="749300"/>
            <wp:effectExtent l="0" t="0" r="0" b="0"/>
            <wp:docPr id="6" name="Picture 6"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application&#10;&#10;Description automatically generated with medium confidence"/>
                    <pic:cNvPicPr/>
                  </pic:nvPicPr>
                  <pic:blipFill>
                    <a:blip r:embed="rId19"/>
                    <a:stretch>
                      <a:fillRect/>
                    </a:stretch>
                  </pic:blipFill>
                  <pic:spPr>
                    <a:xfrm>
                      <a:off x="0" y="0"/>
                      <a:ext cx="5307627" cy="752955"/>
                    </a:xfrm>
                    <a:prstGeom prst="rect">
                      <a:avLst/>
                    </a:prstGeom>
                  </pic:spPr>
                </pic:pic>
              </a:graphicData>
            </a:graphic>
          </wp:inline>
        </w:drawing>
      </w:r>
    </w:p>
    <w:p w14:paraId="574E2D69" w14:textId="19E18D74" w:rsidR="002F7250" w:rsidRPr="00E83C5E" w:rsidRDefault="002F7250" w:rsidP="002F7250">
      <w:pPr>
        <w:pStyle w:val="Caption"/>
        <w:spacing w:after="0"/>
        <w:ind w:firstLine="284"/>
        <w:jc w:val="both"/>
        <w:rPr>
          <w:rFonts w:ascii="Garamond" w:hAnsi="Garamond" w:cs="Times New Roman"/>
          <w:color w:val="000000" w:themeColor="text1"/>
          <w:sz w:val="24"/>
          <w:szCs w:val="24"/>
        </w:rPr>
      </w:pPr>
      <w:r w:rsidRPr="00E83C5E">
        <w:rPr>
          <w:rFonts w:ascii="Garamond" w:hAnsi="Garamond"/>
          <w:color w:val="000000" w:themeColor="text1"/>
          <w:sz w:val="24"/>
          <w:szCs w:val="24"/>
        </w:rPr>
        <w:t xml:space="preserve">Figura </w:t>
      </w:r>
      <w:r w:rsidRPr="00E83C5E">
        <w:rPr>
          <w:rFonts w:ascii="Garamond" w:hAnsi="Garamond"/>
          <w:color w:val="000000" w:themeColor="text1"/>
          <w:sz w:val="24"/>
          <w:szCs w:val="24"/>
        </w:rPr>
        <w:fldChar w:fldCharType="begin"/>
      </w:r>
      <w:r w:rsidRPr="00E83C5E">
        <w:rPr>
          <w:rFonts w:ascii="Garamond" w:hAnsi="Garamond"/>
          <w:color w:val="000000" w:themeColor="text1"/>
          <w:sz w:val="24"/>
          <w:szCs w:val="24"/>
        </w:rPr>
        <w:instrText xml:space="preserve"> SEQ Figura \* ARABIC </w:instrText>
      </w:r>
      <w:r w:rsidRPr="00E83C5E">
        <w:rPr>
          <w:rFonts w:ascii="Garamond" w:hAnsi="Garamond"/>
          <w:color w:val="000000" w:themeColor="text1"/>
          <w:sz w:val="24"/>
          <w:szCs w:val="24"/>
        </w:rPr>
        <w:fldChar w:fldCharType="separate"/>
      </w:r>
      <w:r w:rsidRPr="00E83C5E">
        <w:rPr>
          <w:rFonts w:ascii="Garamond" w:hAnsi="Garamond"/>
          <w:color w:val="000000" w:themeColor="text1"/>
          <w:sz w:val="24"/>
          <w:szCs w:val="24"/>
        </w:rPr>
        <w:t>5</w:t>
      </w:r>
      <w:r w:rsidRPr="00E83C5E">
        <w:rPr>
          <w:rFonts w:ascii="Garamond" w:hAnsi="Garamond"/>
          <w:color w:val="000000" w:themeColor="text1"/>
          <w:sz w:val="24"/>
          <w:szCs w:val="24"/>
        </w:rPr>
        <w:fldChar w:fldCharType="end"/>
      </w:r>
      <w:r w:rsidRPr="00E83C5E">
        <w:rPr>
          <w:rFonts w:ascii="Garamond" w:hAnsi="Garamond"/>
          <w:color w:val="000000" w:themeColor="text1"/>
          <w:sz w:val="24"/>
          <w:szCs w:val="24"/>
        </w:rPr>
        <w:t>: Sipas botimit të INSTAT</w:t>
      </w:r>
      <w:r w:rsidR="003B0E4C" w:rsidRPr="00E83C5E">
        <w:rPr>
          <w:rFonts w:ascii="Garamond" w:hAnsi="Garamond"/>
          <w:color w:val="000000" w:themeColor="text1"/>
          <w:sz w:val="24"/>
          <w:szCs w:val="24"/>
        </w:rPr>
        <w:t>-it</w:t>
      </w:r>
      <w:r w:rsidRPr="00E83C5E">
        <w:rPr>
          <w:rFonts w:ascii="Garamond" w:hAnsi="Garamond"/>
          <w:color w:val="000000" w:themeColor="text1"/>
          <w:sz w:val="24"/>
          <w:szCs w:val="24"/>
        </w:rPr>
        <w:t xml:space="preserve"> dhe UNICEF</w:t>
      </w:r>
      <w:r w:rsidR="003B0E4C" w:rsidRPr="00E83C5E">
        <w:rPr>
          <w:rFonts w:ascii="Garamond" w:hAnsi="Garamond"/>
          <w:color w:val="000000" w:themeColor="text1"/>
          <w:sz w:val="24"/>
          <w:szCs w:val="24"/>
        </w:rPr>
        <w:t>-it</w:t>
      </w:r>
      <w:r w:rsidRPr="00E83C5E">
        <w:rPr>
          <w:rFonts w:ascii="Garamond" w:hAnsi="Garamond"/>
          <w:color w:val="000000" w:themeColor="text1"/>
          <w:sz w:val="24"/>
          <w:szCs w:val="24"/>
        </w:rPr>
        <w:t xml:space="preserve"> </w:t>
      </w:r>
      <w:r w:rsidR="00D540B0" w:rsidRPr="00E83C5E">
        <w:rPr>
          <w:rFonts w:ascii="Garamond" w:hAnsi="Garamond"/>
          <w:color w:val="000000" w:themeColor="text1"/>
          <w:sz w:val="24"/>
          <w:szCs w:val="24"/>
        </w:rPr>
        <w:t>“</w:t>
      </w:r>
      <w:r w:rsidRPr="00E83C5E">
        <w:rPr>
          <w:rFonts w:ascii="Garamond" w:hAnsi="Garamond"/>
          <w:color w:val="000000" w:themeColor="text1"/>
          <w:sz w:val="24"/>
          <w:szCs w:val="24"/>
        </w:rPr>
        <w:t xml:space="preserve">Treguesit e </w:t>
      </w:r>
      <w:r w:rsidR="003B0E4C" w:rsidRPr="00E83C5E">
        <w:rPr>
          <w:rFonts w:ascii="Garamond" w:hAnsi="Garamond"/>
          <w:color w:val="000000" w:themeColor="text1"/>
          <w:sz w:val="24"/>
          <w:szCs w:val="24"/>
        </w:rPr>
        <w:t xml:space="preserve">mirëqenies së fëmijëve, adoleshentëve </w:t>
      </w:r>
      <w:r w:rsidRPr="00E83C5E">
        <w:rPr>
          <w:rFonts w:ascii="Garamond" w:hAnsi="Garamond"/>
          <w:color w:val="000000" w:themeColor="text1"/>
          <w:sz w:val="24"/>
          <w:szCs w:val="24"/>
        </w:rPr>
        <w:t xml:space="preserve">dhe të </w:t>
      </w:r>
      <w:r w:rsidR="003B0E4C" w:rsidRPr="00E83C5E">
        <w:rPr>
          <w:rFonts w:ascii="Garamond" w:hAnsi="Garamond"/>
          <w:color w:val="000000" w:themeColor="text1"/>
          <w:sz w:val="24"/>
          <w:szCs w:val="24"/>
        </w:rPr>
        <w:t xml:space="preserve">rinjve </w:t>
      </w:r>
      <w:r w:rsidRPr="00E83C5E">
        <w:rPr>
          <w:rFonts w:ascii="Garamond" w:hAnsi="Garamond"/>
          <w:color w:val="000000" w:themeColor="text1"/>
          <w:sz w:val="24"/>
          <w:szCs w:val="24"/>
        </w:rPr>
        <w:t>në Shqipëri 2016</w:t>
      </w:r>
      <w:r w:rsidR="003B0E4C" w:rsidRPr="00E83C5E">
        <w:rPr>
          <w:rFonts w:ascii="Garamond" w:hAnsi="Garamond" w:cs="Times New Roman"/>
          <w:sz w:val="24"/>
          <w:szCs w:val="24"/>
        </w:rPr>
        <w:t>–</w:t>
      </w:r>
      <w:r w:rsidRPr="00E83C5E">
        <w:rPr>
          <w:rFonts w:ascii="Garamond" w:hAnsi="Garamond"/>
          <w:color w:val="000000" w:themeColor="text1"/>
          <w:sz w:val="24"/>
          <w:szCs w:val="24"/>
        </w:rPr>
        <w:t>19</w:t>
      </w:r>
      <w:r w:rsidR="00D540B0" w:rsidRPr="00E83C5E">
        <w:rPr>
          <w:rFonts w:ascii="Garamond" w:hAnsi="Garamond"/>
          <w:color w:val="000000" w:themeColor="text1"/>
          <w:sz w:val="24"/>
          <w:szCs w:val="24"/>
        </w:rPr>
        <w:t>”</w:t>
      </w:r>
      <w:r w:rsidR="003B0E4C" w:rsidRPr="00E83C5E">
        <w:rPr>
          <w:rFonts w:ascii="Garamond" w:hAnsi="Garamond"/>
          <w:color w:val="000000" w:themeColor="text1"/>
          <w:sz w:val="24"/>
          <w:szCs w:val="24"/>
        </w:rPr>
        <w:t>,</w:t>
      </w:r>
      <w:r w:rsidR="00233C37" w:rsidRPr="00E83C5E">
        <w:rPr>
          <w:rFonts w:ascii="Garamond" w:hAnsi="Garamond"/>
          <w:color w:val="000000" w:themeColor="text1"/>
          <w:sz w:val="24"/>
          <w:szCs w:val="24"/>
        </w:rPr>
        <w:t xml:space="preserve"> </w:t>
      </w:r>
      <w:r w:rsidRPr="00E83C5E">
        <w:rPr>
          <w:rFonts w:ascii="Garamond" w:hAnsi="Garamond"/>
          <w:color w:val="000000" w:themeColor="text1"/>
          <w:sz w:val="24"/>
          <w:szCs w:val="24"/>
        </w:rPr>
        <w:t>f.</w:t>
      </w:r>
      <w:r w:rsidR="003B0E4C" w:rsidRPr="00E83C5E">
        <w:rPr>
          <w:rFonts w:ascii="Garamond" w:hAnsi="Garamond"/>
          <w:color w:val="000000" w:themeColor="text1"/>
          <w:sz w:val="24"/>
          <w:szCs w:val="24"/>
        </w:rPr>
        <w:t xml:space="preserve"> </w:t>
      </w:r>
      <w:r w:rsidRPr="00E83C5E">
        <w:rPr>
          <w:rFonts w:ascii="Garamond" w:hAnsi="Garamond"/>
          <w:color w:val="000000" w:themeColor="text1"/>
          <w:sz w:val="24"/>
          <w:szCs w:val="24"/>
        </w:rPr>
        <w:t>18</w:t>
      </w:r>
    </w:p>
    <w:p w14:paraId="574E2D6A" w14:textId="1A8ED52D" w:rsidR="002F7250" w:rsidRPr="00E83C5E" w:rsidRDefault="002F7250" w:rsidP="002F7250">
      <w:pPr>
        <w:spacing w:before="240" w:after="0" w:line="240" w:lineRule="auto"/>
        <w:ind w:right="20" w:firstLine="284"/>
        <w:jc w:val="both"/>
        <w:rPr>
          <w:rFonts w:ascii="Garamond" w:hAnsi="Garamond" w:cs="Times New Roman"/>
          <w:sz w:val="24"/>
          <w:szCs w:val="24"/>
        </w:rPr>
      </w:pPr>
      <w:r w:rsidRPr="00E83C5E">
        <w:rPr>
          <w:rFonts w:ascii="Garamond" w:hAnsi="Garamond" w:cs="Times New Roman"/>
          <w:sz w:val="24"/>
          <w:szCs w:val="24"/>
        </w:rPr>
        <w:t>Strategjia e Shëndetit 2021–2030 ka reflektuar nga mësimet e nxjerra në menaxhimin e pandemisë COVID-19 dhe adreson në mënyrë specifike nevojën për të rritur kapacitetet për t’iu përgjigjur emergjencave shëndetësore dhe për të rritur elasticitetin e sistemit shëndetësor në përgjithësi. Ajo synon të vazhdojë përpjekjet për përmirësimin e shëndetit, mirëqenien e popullatës duke përmbushur të drejtat e tyre për shëndet të mirë gjatë viteve 2021-2030. Strategjia është formuluar mbi pesë synime themelore, investimi në shëndetin e popullatës përgjatë gjithë jetës, mbulimit me shërbim universal, fuqizimin e sistemit shëndetësor, pikërisht me në qendër qytetarin, përforcimi i përgjigjes dhe shërbimeve të emergjencës dhe shëndetit digjital.</w:t>
      </w:r>
    </w:p>
    <w:p w14:paraId="574E2D6B" w14:textId="77777777" w:rsidR="002F7250" w:rsidRPr="00E83C5E" w:rsidRDefault="002F7250" w:rsidP="002F7250">
      <w:pPr>
        <w:pStyle w:val="NoSpacing"/>
        <w:ind w:firstLine="284"/>
        <w:jc w:val="both"/>
        <w:rPr>
          <w:rFonts w:ascii="Garamond" w:hAnsi="Garamond"/>
          <w:b/>
          <w:sz w:val="24"/>
          <w:szCs w:val="24"/>
          <w:lang w:val="sq-AL"/>
        </w:rPr>
      </w:pPr>
      <w:r w:rsidRPr="00E83C5E">
        <w:rPr>
          <w:rFonts w:ascii="Garamond" w:hAnsi="Garamond"/>
          <w:b/>
          <w:sz w:val="24"/>
          <w:szCs w:val="24"/>
          <w:lang w:val="sq-AL"/>
        </w:rPr>
        <w:t>Sfida:</w:t>
      </w:r>
    </w:p>
    <w:p w14:paraId="574E2D6C" w14:textId="70DE6184" w:rsidR="002F7250" w:rsidRPr="00E83C5E" w:rsidRDefault="00C647C7" w:rsidP="00C647C7">
      <w:pPr>
        <w:pStyle w:val="TEKSTIII"/>
      </w:pPr>
      <w:r w:rsidRPr="00E83C5E">
        <w:t>-</w:t>
      </w:r>
      <w:r w:rsidR="00B229EC" w:rsidRPr="00E83C5E">
        <w:t xml:space="preserve"> </w:t>
      </w:r>
      <w:r w:rsidR="002F7250" w:rsidRPr="00E83C5E">
        <w:t>Rifreskimi dhe zbatimi i protokolleve për shërbime shëndetësore miqësore kundrejt t</w:t>
      </w:r>
      <w:r w:rsidR="002A22C5" w:rsidRPr="00E83C5E">
        <w:t>ë</w:t>
      </w:r>
      <w:r w:rsidR="002F7250" w:rsidRPr="00E83C5E">
        <w:t xml:space="preserve"> rinjve</w:t>
      </w:r>
      <w:r w:rsidR="00C011B4" w:rsidRPr="00E83C5E">
        <w:t>.</w:t>
      </w:r>
      <w:r w:rsidR="002F7250" w:rsidRPr="00E83C5E">
        <w:t xml:space="preserve"> </w:t>
      </w:r>
    </w:p>
    <w:p w14:paraId="574E2D6D" w14:textId="534F2FD4" w:rsidR="002F7250" w:rsidRPr="00E83C5E" w:rsidRDefault="00C647C7" w:rsidP="00C647C7">
      <w:pPr>
        <w:pStyle w:val="TEKSTIII"/>
      </w:pPr>
      <w:r w:rsidRPr="00E83C5E">
        <w:t>-</w:t>
      </w:r>
      <w:r w:rsidR="00B229EC" w:rsidRPr="00E83C5E">
        <w:t xml:space="preserve"> </w:t>
      </w:r>
      <w:r w:rsidR="002F7250" w:rsidRPr="00E83C5E">
        <w:t xml:space="preserve">Përballimi vetjak me problemet dhe pa mbështetje nga shkolla dhe sistemi shëndetësor. </w:t>
      </w:r>
    </w:p>
    <w:p w14:paraId="574E2D6E" w14:textId="1FEAAC9D" w:rsidR="002F7250" w:rsidRPr="00E83C5E" w:rsidRDefault="00C647C7" w:rsidP="00C647C7">
      <w:pPr>
        <w:pStyle w:val="TEKSTIII"/>
      </w:pPr>
      <w:r w:rsidRPr="00E83C5E">
        <w:t>-</w:t>
      </w:r>
      <w:r w:rsidR="00B229EC" w:rsidRPr="00E83C5E">
        <w:t xml:space="preserve"> </w:t>
      </w:r>
      <w:r w:rsidR="002F7250" w:rsidRPr="00E83C5E">
        <w:t xml:space="preserve">Mungesa e politikave për të promovuar shëndetin dhe mirëqenien e adoleshenteve dhe të rinjve. </w:t>
      </w:r>
    </w:p>
    <w:p w14:paraId="574E2D6F" w14:textId="08ECB949" w:rsidR="002F7250" w:rsidRPr="00E83C5E" w:rsidRDefault="00C647C7" w:rsidP="00C647C7">
      <w:pPr>
        <w:pStyle w:val="TEKSTIII"/>
      </w:pPr>
      <w:r w:rsidRPr="00E83C5E">
        <w:t>-</w:t>
      </w:r>
      <w:r w:rsidR="00B229EC" w:rsidRPr="00E83C5E">
        <w:t xml:space="preserve"> </w:t>
      </w:r>
      <w:r w:rsidR="002F7250" w:rsidRPr="00E83C5E">
        <w:t xml:space="preserve">Ofrimi i shërbimeve miqësore për të rinjtë falas/pa pagese në 12 qarqet e vendit si edhe riorientimi i shërbimeve ekzistuese të kujdesit shëndetësor parësor për të qenë miqësore ndaj të rinjve, përfshirë shërbimet e shëndetit riprodhues. </w:t>
      </w:r>
    </w:p>
    <w:p w14:paraId="574E2D70" w14:textId="7C8CEC79" w:rsidR="002F7250" w:rsidRPr="00E83C5E" w:rsidRDefault="00C647C7" w:rsidP="00C647C7">
      <w:pPr>
        <w:pStyle w:val="TEKSTIII"/>
      </w:pPr>
      <w:r w:rsidRPr="00E83C5E">
        <w:t>-</w:t>
      </w:r>
      <w:r w:rsidR="00B229EC" w:rsidRPr="00E83C5E">
        <w:t xml:space="preserve"> </w:t>
      </w:r>
      <w:r w:rsidR="002F7250" w:rsidRPr="00E83C5E">
        <w:t>Edukimi i adoleshentëve me aftësitë për jetën, duke përshirë edhe informacionet për shëndetin, specifike sipas gjinisë dhe me ndjeshmëritë e duhura kulturore.</w:t>
      </w:r>
    </w:p>
    <w:p w14:paraId="574E2D71" w14:textId="762786DC" w:rsidR="002F7250" w:rsidRPr="00E83C5E" w:rsidRDefault="00C647C7" w:rsidP="00C647C7">
      <w:pPr>
        <w:pStyle w:val="TEKSTIII"/>
      </w:pPr>
      <w:r w:rsidRPr="00E83C5E">
        <w:lastRenderedPageBreak/>
        <w:t>-</w:t>
      </w:r>
      <w:r w:rsidR="00B229EC" w:rsidRPr="00E83C5E">
        <w:t xml:space="preserve"> </w:t>
      </w:r>
      <w:r w:rsidR="002F7250" w:rsidRPr="00E83C5E">
        <w:t>Mungesa e shërbimeve të integruara shëndetësore për të menaxhuar adoleshentët abuzues me substancat (duhani, alk</w:t>
      </w:r>
      <w:r w:rsidR="0022676F" w:rsidRPr="00E83C5E">
        <w:t>o</w:t>
      </w:r>
      <w:r w:rsidR="002F7250" w:rsidRPr="00E83C5E">
        <w:t xml:space="preserve">oli, drogat) dhe varësitë (përfshi edhe ato nga </w:t>
      </w:r>
      <w:r w:rsidR="0022676F" w:rsidRPr="00E83C5E">
        <w:t>lojërat</w:t>
      </w:r>
      <w:r w:rsidR="002F7250" w:rsidRPr="00E83C5E">
        <w:t xml:space="preserve"> digjitale dhe pajisjet elektronike.</w:t>
      </w:r>
    </w:p>
    <w:p w14:paraId="574E2D72" w14:textId="7D63BBCF" w:rsidR="002F7250" w:rsidRPr="00E83C5E" w:rsidRDefault="00C647C7" w:rsidP="00C647C7">
      <w:pPr>
        <w:pStyle w:val="TEKSTIII"/>
      </w:pPr>
      <w:r w:rsidRPr="00E83C5E">
        <w:t>-</w:t>
      </w:r>
      <w:r w:rsidR="00B229EC" w:rsidRPr="00E83C5E">
        <w:t xml:space="preserve"> </w:t>
      </w:r>
      <w:r w:rsidR="002F7250" w:rsidRPr="00E83C5E">
        <w:t>Diskrimini apo rreziku nga diskriminimi që përjetojnë grupe të rinjsh në shoqëri në bazë të gjinisë, moshës, orientimit seksual dhe etnisë.</w:t>
      </w:r>
    </w:p>
    <w:p w14:paraId="574E2D73" w14:textId="7628E50A" w:rsidR="002F7250" w:rsidRPr="00E83C5E" w:rsidRDefault="00C647C7" w:rsidP="00C647C7">
      <w:pPr>
        <w:pStyle w:val="TEKSTIII"/>
      </w:pPr>
      <w:r w:rsidRPr="00E83C5E">
        <w:t>-</w:t>
      </w:r>
      <w:r w:rsidR="00B229EC" w:rsidRPr="00E83C5E">
        <w:t xml:space="preserve"> </w:t>
      </w:r>
      <w:r w:rsidR="002F7250" w:rsidRPr="00E83C5E">
        <w:t>Bërjen e drejtësisë sociale bazuar në ndarjet rurale dhe urbane.</w:t>
      </w:r>
    </w:p>
    <w:p w14:paraId="574E2D74" w14:textId="0265C6F8" w:rsidR="002F7250" w:rsidRPr="00E83C5E" w:rsidRDefault="006F005D" w:rsidP="002F7250">
      <w:pPr>
        <w:spacing w:after="0" w:line="240" w:lineRule="auto"/>
        <w:ind w:firstLine="284"/>
        <w:jc w:val="both"/>
        <w:rPr>
          <w:rFonts w:ascii="Garamond" w:eastAsia="Times New Roman" w:hAnsi="Garamond" w:cs="Times New Roman"/>
          <w:b/>
          <w:color w:val="000000" w:themeColor="text1"/>
          <w:sz w:val="24"/>
          <w:szCs w:val="24"/>
        </w:rPr>
      </w:pPr>
      <w:r w:rsidRPr="00E83C5E">
        <w:rPr>
          <w:rFonts w:ascii="Garamond" w:eastAsia="Times New Roman" w:hAnsi="Garamond" w:cs="Times New Roman"/>
          <w:b/>
          <w:color w:val="000000" w:themeColor="text1"/>
          <w:sz w:val="24"/>
          <w:szCs w:val="24"/>
        </w:rPr>
        <w:t>Institucionet drejtuese</w:t>
      </w:r>
    </w:p>
    <w:p w14:paraId="574E2D75" w14:textId="77777777" w:rsidR="002F7250" w:rsidRPr="00E83C5E" w:rsidRDefault="002F7250" w:rsidP="002F7250">
      <w:pPr>
        <w:spacing w:after="0" w:line="240" w:lineRule="auto"/>
        <w:ind w:firstLine="284"/>
        <w:jc w:val="both"/>
        <w:rPr>
          <w:rFonts w:ascii="Garamond" w:eastAsia="Times New Roman" w:hAnsi="Garamond" w:cs="Times New Roman"/>
          <w:color w:val="000000" w:themeColor="text1"/>
          <w:sz w:val="24"/>
          <w:szCs w:val="24"/>
        </w:rPr>
      </w:pPr>
      <w:r w:rsidRPr="00E83C5E">
        <w:rPr>
          <w:rFonts w:ascii="Garamond" w:eastAsia="Times New Roman" w:hAnsi="Garamond" w:cs="Times New Roman"/>
          <w:color w:val="000000" w:themeColor="text1"/>
          <w:sz w:val="24"/>
          <w:szCs w:val="24"/>
        </w:rPr>
        <w:t>MSHRF dhe MSHMS</w:t>
      </w:r>
    </w:p>
    <w:p w14:paraId="574E2D76" w14:textId="1F4A5290" w:rsidR="002F7250" w:rsidRPr="00E83C5E" w:rsidRDefault="006F005D" w:rsidP="002F7250">
      <w:pPr>
        <w:shd w:val="clear" w:color="auto" w:fill="FFFFFF"/>
        <w:spacing w:after="0" w:line="240" w:lineRule="auto"/>
        <w:ind w:firstLine="284"/>
        <w:jc w:val="both"/>
        <w:rPr>
          <w:rFonts w:ascii="Garamond" w:eastAsia="Times New Roman" w:hAnsi="Garamond" w:cs="Times New Roman"/>
          <w:b/>
          <w:color w:val="000000" w:themeColor="text1"/>
          <w:sz w:val="24"/>
          <w:szCs w:val="24"/>
        </w:rPr>
      </w:pPr>
      <w:r w:rsidRPr="00E83C5E">
        <w:rPr>
          <w:rFonts w:ascii="Garamond" w:eastAsia="Times New Roman" w:hAnsi="Garamond" w:cs="Times New Roman"/>
          <w:b/>
          <w:color w:val="000000" w:themeColor="text1"/>
          <w:sz w:val="24"/>
          <w:szCs w:val="24"/>
        </w:rPr>
        <w:t>Institucionet pjesëmarrëse</w:t>
      </w:r>
    </w:p>
    <w:p w14:paraId="574E2D77" w14:textId="77777777" w:rsidR="002F7250" w:rsidRPr="00E83C5E" w:rsidRDefault="002F7250" w:rsidP="002F7250">
      <w:pPr>
        <w:spacing w:after="0" w:line="240" w:lineRule="auto"/>
        <w:ind w:firstLine="284"/>
        <w:jc w:val="both"/>
        <w:rPr>
          <w:rFonts w:ascii="Garamond" w:eastAsia="Times New Roman" w:hAnsi="Garamond" w:cs="Times New Roman"/>
          <w:color w:val="000000" w:themeColor="text1"/>
          <w:sz w:val="24"/>
          <w:szCs w:val="24"/>
        </w:rPr>
      </w:pPr>
      <w:r w:rsidRPr="00E83C5E">
        <w:rPr>
          <w:rFonts w:ascii="Garamond" w:eastAsia="Times New Roman" w:hAnsi="Garamond" w:cs="Times New Roman"/>
          <w:color w:val="000000" w:themeColor="text1"/>
          <w:sz w:val="24"/>
          <w:szCs w:val="24"/>
        </w:rPr>
        <w:t>AKR, ISHP</w:t>
      </w:r>
    </w:p>
    <w:p w14:paraId="574E2D78" w14:textId="39B9001B" w:rsidR="002F7250" w:rsidRPr="00E83C5E" w:rsidRDefault="002F7250" w:rsidP="002F7250">
      <w:pPr>
        <w:shd w:val="clear" w:color="auto" w:fill="FFFFFF" w:themeFill="background1"/>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Masat dhe buxhetet e ndërlidhura për të arritur objektivat e specifikuar janë përshkruar në planin e veprimit të ngarkuara në IPSIS.</w:t>
      </w:r>
    </w:p>
    <w:p w14:paraId="574E2D79" w14:textId="2F81EDFE" w:rsidR="002F7250" w:rsidRPr="00E83C5E" w:rsidRDefault="002F7250" w:rsidP="002F7250">
      <w:pPr>
        <w:spacing w:after="0" w:line="240" w:lineRule="auto"/>
        <w:ind w:firstLine="284"/>
        <w:jc w:val="both"/>
        <w:rPr>
          <w:rFonts w:ascii="Garamond" w:hAnsi="Garamond" w:cs="Times New Roman"/>
          <w:b/>
          <w:iCs/>
          <w:sz w:val="24"/>
          <w:szCs w:val="24"/>
        </w:rPr>
      </w:pPr>
      <w:r w:rsidRPr="00E83C5E">
        <w:rPr>
          <w:rFonts w:ascii="Garamond" w:hAnsi="Garamond" w:cs="Times New Roman"/>
          <w:b/>
          <w:iCs/>
          <w:sz w:val="24"/>
          <w:szCs w:val="24"/>
        </w:rPr>
        <w:t>Lidhja e objektivit specifik me Marrëveshjen e Stabilizim-Asociimit</w:t>
      </w:r>
    </w:p>
    <w:p w14:paraId="574E2D7A" w14:textId="1F4A89F9" w:rsidR="002F7250" w:rsidRPr="00E83C5E" w:rsidRDefault="002F7250" w:rsidP="002F7250">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Objektivi </w:t>
      </w:r>
      <w:r w:rsidR="003F3A2C" w:rsidRPr="00E83C5E">
        <w:rPr>
          <w:rFonts w:ascii="Garamond" w:hAnsi="Garamond" w:cs="Times New Roman"/>
          <w:sz w:val="24"/>
          <w:szCs w:val="24"/>
        </w:rPr>
        <w:t>s</w:t>
      </w:r>
      <w:r w:rsidRPr="00E83C5E">
        <w:rPr>
          <w:rFonts w:ascii="Garamond" w:hAnsi="Garamond" w:cs="Times New Roman"/>
          <w:sz w:val="24"/>
          <w:szCs w:val="24"/>
        </w:rPr>
        <w:t>pecifik 3.2 synon të rrisë praktikën e shëndetit të mirë dhe ushtrimin e sporteve përmes fuqizimit të punës rinore në këshillimin shëndetësor dhe bashkëpunimit të fortë me MSHMS</w:t>
      </w:r>
      <w:r w:rsidR="003F3A2C" w:rsidRPr="00E83C5E">
        <w:rPr>
          <w:rFonts w:ascii="Garamond" w:hAnsi="Garamond" w:cs="Times New Roman"/>
          <w:sz w:val="24"/>
          <w:szCs w:val="24"/>
        </w:rPr>
        <w:t>-në</w:t>
      </w:r>
      <w:r w:rsidRPr="00E83C5E">
        <w:rPr>
          <w:rFonts w:ascii="Garamond" w:hAnsi="Garamond" w:cs="Times New Roman"/>
          <w:sz w:val="24"/>
          <w:szCs w:val="24"/>
        </w:rPr>
        <w:t xml:space="preserve"> në aspektet e provomimit të aktiviteteve në lidhje me strategjitë kombëtare të shëndetit dhe përfshirjes. </w:t>
      </w:r>
    </w:p>
    <w:p w14:paraId="574E2D7B" w14:textId="604C6042" w:rsidR="002F7250" w:rsidRPr="00E83C5E" w:rsidRDefault="002F7250" w:rsidP="002F7250">
      <w:pPr>
        <w:spacing w:after="0" w:line="240" w:lineRule="auto"/>
        <w:ind w:firstLine="284"/>
        <w:jc w:val="both"/>
        <w:rPr>
          <w:rFonts w:ascii="Garamond" w:hAnsi="Garamond" w:cs="Times New Roman"/>
          <w:i/>
          <w:sz w:val="24"/>
          <w:szCs w:val="24"/>
        </w:rPr>
      </w:pPr>
      <w:r w:rsidRPr="00E83C5E">
        <w:rPr>
          <w:rFonts w:ascii="Garamond" w:hAnsi="Garamond" w:cs="Times New Roman"/>
          <w:sz w:val="24"/>
          <w:szCs w:val="24"/>
        </w:rPr>
        <w:t xml:space="preserve">Objektivi është i lidhur me nenin 78 të </w:t>
      </w:r>
      <w:r w:rsidR="00364EE8" w:rsidRPr="00E83C5E">
        <w:rPr>
          <w:rFonts w:ascii="Garamond" w:hAnsi="Garamond" w:cs="Times New Roman"/>
          <w:sz w:val="24"/>
          <w:szCs w:val="24"/>
        </w:rPr>
        <w:t>t</w:t>
      </w:r>
      <w:r w:rsidRPr="00E83C5E">
        <w:rPr>
          <w:rFonts w:ascii="Garamond" w:hAnsi="Garamond" w:cs="Times New Roman"/>
          <w:sz w:val="24"/>
          <w:szCs w:val="24"/>
        </w:rPr>
        <w:t>itullit të VII të MSA-së</w:t>
      </w:r>
      <w:r w:rsidR="00364EE8" w:rsidRPr="00E83C5E">
        <w:rPr>
          <w:rFonts w:ascii="Garamond" w:hAnsi="Garamond" w:cs="Times New Roman"/>
          <w:sz w:val="24"/>
          <w:szCs w:val="24"/>
        </w:rPr>
        <w:t>,</w:t>
      </w:r>
      <w:r w:rsidRPr="00E83C5E">
        <w:rPr>
          <w:rFonts w:ascii="Garamond" w:hAnsi="Garamond" w:cs="Times New Roman"/>
          <w:sz w:val="24"/>
          <w:szCs w:val="24"/>
        </w:rPr>
        <w:t xml:space="preserve"> si edhe me nenin 99 të </w:t>
      </w:r>
      <w:r w:rsidR="00364EE8" w:rsidRPr="00E83C5E">
        <w:rPr>
          <w:rFonts w:ascii="Garamond" w:hAnsi="Garamond" w:cs="Times New Roman"/>
          <w:sz w:val="24"/>
          <w:szCs w:val="24"/>
        </w:rPr>
        <w:t>t</w:t>
      </w:r>
      <w:r w:rsidRPr="00E83C5E">
        <w:rPr>
          <w:rFonts w:ascii="Garamond" w:hAnsi="Garamond" w:cs="Times New Roman"/>
          <w:sz w:val="24"/>
          <w:szCs w:val="24"/>
        </w:rPr>
        <w:t xml:space="preserve">itullit VIII. </w:t>
      </w:r>
    </w:p>
    <w:p w14:paraId="574E2D7C" w14:textId="77777777" w:rsidR="002F7250" w:rsidRPr="00E83C5E" w:rsidRDefault="002F7250" w:rsidP="002F7250">
      <w:pPr>
        <w:spacing w:after="0" w:line="240" w:lineRule="auto"/>
        <w:ind w:firstLine="284"/>
        <w:jc w:val="both"/>
        <w:rPr>
          <w:rFonts w:ascii="Garamond" w:eastAsiaTheme="majorEastAsia" w:hAnsi="Garamond" w:cs="Times New Roman"/>
          <w:color w:val="000000" w:themeColor="text1"/>
          <w:sz w:val="24"/>
          <w:szCs w:val="24"/>
        </w:rPr>
      </w:pPr>
      <w:r w:rsidRPr="00E83C5E">
        <w:rPr>
          <w:rFonts w:ascii="Garamond" w:hAnsi="Garamond" w:cs="Times New Roman"/>
          <w:bCs/>
          <w:sz w:val="24"/>
          <w:szCs w:val="24"/>
        </w:rPr>
        <w:t xml:space="preserve">Ky objektiv specifik lidhet me </w:t>
      </w:r>
      <w:r w:rsidRPr="00E83C5E">
        <w:rPr>
          <w:rFonts w:ascii="Garamond" w:eastAsiaTheme="majorEastAsia" w:hAnsi="Garamond" w:cs="Times New Roman"/>
          <w:color w:val="000000" w:themeColor="text1"/>
          <w:sz w:val="24"/>
          <w:szCs w:val="24"/>
        </w:rPr>
        <w:t xml:space="preserve">OZHQ 3 që synon shëndetin e mirë dhe mirëqenien. </w:t>
      </w:r>
    </w:p>
    <w:p w14:paraId="574E2D7E" w14:textId="77777777" w:rsidR="002F7250" w:rsidRPr="00E83C5E" w:rsidRDefault="002F7250" w:rsidP="00C647C7">
      <w:pPr>
        <w:pStyle w:val="TEKSTIII"/>
        <w:rPr>
          <w:b/>
        </w:rPr>
      </w:pPr>
      <w:r w:rsidRPr="00E83C5E">
        <w:rPr>
          <w:b/>
        </w:rPr>
        <w:t>Treguesit kryesorë të rezultateve</w:t>
      </w:r>
    </w:p>
    <w:p w14:paraId="574E2D80" w14:textId="52C78658" w:rsidR="00C647C7" w:rsidRPr="00E83C5E" w:rsidRDefault="00C647C7" w:rsidP="00C647C7">
      <w:pPr>
        <w:pStyle w:val="TEKSTIII"/>
        <w:rPr>
          <w:b/>
          <w:i/>
        </w:rPr>
      </w:pPr>
      <w:r w:rsidRPr="00E83C5E">
        <w:rPr>
          <w:i/>
          <w:color w:val="000000" w:themeColor="text1"/>
        </w:rPr>
        <w:t xml:space="preserve">Tabela </w:t>
      </w:r>
      <w:r w:rsidRPr="00E83C5E">
        <w:rPr>
          <w:i/>
          <w:color w:val="000000" w:themeColor="text1"/>
        </w:rPr>
        <w:fldChar w:fldCharType="begin"/>
      </w:r>
      <w:r w:rsidRPr="00E83C5E">
        <w:rPr>
          <w:i/>
          <w:color w:val="000000" w:themeColor="text1"/>
        </w:rPr>
        <w:instrText xml:space="preserve"> SEQ Tabela \* ARABIC </w:instrText>
      </w:r>
      <w:r w:rsidRPr="00E83C5E">
        <w:rPr>
          <w:i/>
          <w:color w:val="000000" w:themeColor="text1"/>
        </w:rPr>
        <w:fldChar w:fldCharType="separate"/>
      </w:r>
      <w:r w:rsidRPr="00E83C5E">
        <w:rPr>
          <w:i/>
          <w:color w:val="000000" w:themeColor="text1"/>
        </w:rPr>
        <w:t>18</w:t>
      </w:r>
      <w:r w:rsidRPr="00E83C5E">
        <w:rPr>
          <w:i/>
          <w:color w:val="000000" w:themeColor="text1"/>
        </w:rPr>
        <w:fldChar w:fldCharType="end"/>
      </w:r>
      <w:r w:rsidRPr="00E83C5E">
        <w:rPr>
          <w:i/>
          <w:color w:val="000000" w:themeColor="text1"/>
        </w:rPr>
        <w:t>:</w:t>
      </w:r>
      <w:r w:rsidR="00EB3E56" w:rsidRPr="00E83C5E">
        <w:rPr>
          <w:i/>
          <w:color w:val="000000" w:themeColor="text1"/>
        </w:rPr>
        <w:t xml:space="preserve"> </w:t>
      </w:r>
      <w:r w:rsidRPr="00E83C5E">
        <w:rPr>
          <w:i/>
          <w:color w:val="000000" w:themeColor="text1"/>
        </w:rPr>
        <w:t>Lista e treguesve kyç të performancës lidhur me objektivin specifik 3.2</w:t>
      </w:r>
    </w:p>
    <w:p w14:paraId="574E2D81" w14:textId="77777777" w:rsidR="002F7250" w:rsidRPr="00E83C5E" w:rsidRDefault="008B0FC5" w:rsidP="002F7250">
      <w:pPr>
        <w:pStyle w:val="Caption"/>
        <w:keepNext/>
        <w:spacing w:after="0"/>
        <w:ind w:firstLine="284"/>
        <w:rPr>
          <w:rFonts w:ascii="Garamond" w:hAnsi="Garamond"/>
          <w:color w:val="000000" w:themeColor="text1"/>
          <w:sz w:val="24"/>
          <w:szCs w:val="24"/>
        </w:rPr>
      </w:pPr>
      <w:r w:rsidRPr="00E83C5E">
        <w:rPr>
          <w:noProof/>
          <w:lang w:val="en-US"/>
        </w:rPr>
        <w:drawing>
          <wp:inline distT="0" distB="0" distL="0" distR="0" wp14:anchorId="574E3566" wp14:editId="574E3567">
            <wp:extent cx="5632704" cy="373806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6318"/>
                    <a:stretch/>
                  </pic:blipFill>
                  <pic:spPr bwMode="auto">
                    <a:xfrm>
                      <a:off x="0" y="0"/>
                      <a:ext cx="5645337" cy="3746451"/>
                    </a:xfrm>
                    <a:prstGeom prst="rect">
                      <a:avLst/>
                    </a:prstGeom>
                    <a:noFill/>
                    <a:ln>
                      <a:noFill/>
                    </a:ln>
                    <a:extLst>
                      <a:ext uri="{53640926-AAD7-44D8-BBD7-CCE9431645EC}">
                        <a14:shadowObscured xmlns:a14="http://schemas.microsoft.com/office/drawing/2010/main"/>
                      </a:ext>
                    </a:extLst>
                  </pic:spPr>
                </pic:pic>
              </a:graphicData>
            </a:graphic>
          </wp:inline>
        </w:drawing>
      </w:r>
    </w:p>
    <w:p w14:paraId="574E2D83" w14:textId="77777777" w:rsidR="002F7250" w:rsidRPr="00E83C5E" w:rsidRDefault="002F7250" w:rsidP="002F7250">
      <w:pPr>
        <w:shd w:val="clear" w:color="auto" w:fill="FFFFFF" w:themeFill="background1"/>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Lista e plotë e masave është dhënë në planin e veprimit IPSIS</w:t>
      </w:r>
    </w:p>
    <w:p w14:paraId="574E2D85" w14:textId="61F969CD" w:rsidR="002F7250" w:rsidRPr="00E83C5E" w:rsidRDefault="002F7250" w:rsidP="002F7250">
      <w:pPr>
        <w:pStyle w:val="Caption"/>
        <w:keepNext/>
        <w:spacing w:after="0"/>
        <w:ind w:firstLine="284"/>
        <w:rPr>
          <w:rFonts w:ascii="Garamond" w:hAnsi="Garamond"/>
          <w:color w:val="000000" w:themeColor="text1"/>
          <w:sz w:val="24"/>
          <w:szCs w:val="24"/>
        </w:rPr>
      </w:pPr>
      <w:r w:rsidRPr="00E83C5E">
        <w:rPr>
          <w:rFonts w:ascii="Garamond" w:hAnsi="Garamond"/>
          <w:color w:val="000000" w:themeColor="text1"/>
          <w:sz w:val="24"/>
          <w:szCs w:val="24"/>
        </w:rPr>
        <w:t xml:space="preserve">Tabela </w:t>
      </w:r>
      <w:r w:rsidRPr="00E83C5E">
        <w:rPr>
          <w:rFonts w:ascii="Garamond" w:hAnsi="Garamond"/>
          <w:color w:val="000000" w:themeColor="text1"/>
          <w:sz w:val="24"/>
          <w:szCs w:val="24"/>
        </w:rPr>
        <w:fldChar w:fldCharType="begin"/>
      </w:r>
      <w:r w:rsidRPr="00E83C5E">
        <w:rPr>
          <w:rFonts w:ascii="Garamond" w:hAnsi="Garamond"/>
          <w:color w:val="000000" w:themeColor="text1"/>
          <w:sz w:val="24"/>
          <w:szCs w:val="24"/>
        </w:rPr>
        <w:instrText xml:space="preserve"> SEQ Tabela \* ARABIC </w:instrText>
      </w:r>
      <w:r w:rsidRPr="00E83C5E">
        <w:rPr>
          <w:rFonts w:ascii="Garamond" w:hAnsi="Garamond"/>
          <w:color w:val="000000" w:themeColor="text1"/>
          <w:sz w:val="24"/>
          <w:szCs w:val="24"/>
        </w:rPr>
        <w:fldChar w:fldCharType="separate"/>
      </w:r>
      <w:r w:rsidRPr="00E83C5E">
        <w:rPr>
          <w:rFonts w:ascii="Garamond" w:hAnsi="Garamond"/>
          <w:color w:val="000000" w:themeColor="text1"/>
          <w:sz w:val="24"/>
          <w:szCs w:val="24"/>
        </w:rPr>
        <w:t>19</w:t>
      </w:r>
      <w:r w:rsidRPr="00E83C5E">
        <w:rPr>
          <w:rFonts w:ascii="Garamond" w:hAnsi="Garamond"/>
          <w:color w:val="000000" w:themeColor="text1"/>
          <w:sz w:val="24"/>
          <w:szCs w:val="24"/>
        </w:rPr>
        <w:fldChar w:fldCharType="end"/>
      </w:r>
      <w:r w:rsidRPr="00E83C5E">
        <w:rPr>
          <w:rFonts w:ascii="Garamond" w:hAnsi="Garamond"/>
          <w:color w:val="000000" w:themeColor="text1"/>
          <w:sz w:val="24"/>
          <w:szCs w:val="24"/>
        </w:rPr>
        <w:t>: Lista e masave për arr</w:t>
      </w:r>
      <w:r w:rsidR="00BE618E" w:rsidRPr="00E83C5E">
        <w:rPr>
          <w:rFonts w:ascii="Garamond" w:hAnsi="Garamond"/>
          <w:color w:val="000000" w:themeColor="text1"/>
          <w:sz w:val="24"/>
          <w:szCs w:val="24"/>
        </w:rPr>
        <w:t>i</w:t>
      </w:r>
      <w:r w:rsidRPr="00E83C5E">
        <w:rPr>
          <w:rFonts w:ascii="Garamond" w:hAnsi="Garamond"/>
          <w:color w:val="000000" w:themeColor="text1"/>
          <w:sz w:val="24"/>
          <w:szCs w:val="24"/>
        </w:rPr>
        <w:t>tjen e objektivit specifik 3.2</w:t>
      </w:r>
    </w:p>
    <w:tbl>
      <w:tblPr>
        <w:tblStyle w:val="GridTable1Light-Accent11"/>
        <w:tblW w:w="9062" w:type="dxa"/>
        <w:tblLook w:val="04A0" w:firstRow="1" w:lastRow="0" w:firstColumn="1" w:lastColumn="0" w:noHBand="0" w:noVBand="1"/>
      </w:tblPr>
      <w:tblGrid>
        <w:gridCol w:w="890"/>
        <w:gridCol w:w="8172"/>
      </w:tblGrid>
      <w:tr w:rsidR="002F7250" w:rsidRPr="00E83C5E" w14:paraId="574E2D88" w14:textId="77777777" w:rsidTr="00870BD9">
        <w:trPr>
          <w:cnfStyle w:val="100000000000" w:firstRow="1" w:lastRow="0" w:firstColumn="0" w:lastColumn="0" w:oddVBand="0" w:evenVBand="0" w:oddHBand="0"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890" w:type="dxa"/>
            <w:hideMark/>
          </w:tcPr>
          <w:p w14:paraId="574E2D86" w14:textId="0FFC6D4A" w:rsidR="002F7250" w:rsidRPr="00E83C5E" w:rsidRDefault="002F7250" w:rsidP="00BE618E">
            <w:pPr>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Nr</w:t>
            </w:r>
            <w:r w:rsidR="00BE618E" w:rsidRPr="00E83C5E">
              <w:rPr>
                <w:rFonts w:ascii="Garamond" w:eastAsia="Times New Roman" w:hAnsi="Garamond" w:cs="Times New Roman"/>
                <w:color w:val="000000"/>
                <w:sz w:val="20"/>
                <w:szCs w:val="24"/>
              </w:rPr>
              <w:t>.</w:t>
            </w:r>
            <w:r w:rsidRPr="00E83C5E">
              <w:rPr>
                <w:rFonts w:ascii="Garamond" w:eastAsia="Times New Roman" w:hAnsi="Garamond" w:cs="Times New Roman"/>
                <w:color w:val="000000"/>
                <w:sz w:val="20"/>
                <w:szCs w:val="24"/>
              </w:rPr>
              <w:t xml:space="preserve"> i masës</w:t>
            </w:r>
          </w:p>
        </w:tc>
        <w:tc>
          <w:tcPr>
            <w:tcW w:w="8172" w:type="dxa"/>
            <w:hideMark/>
          </w:tcPr>
          <w:p w14:paraId="574E2D87" w14:textId="11B60C24" w:rsidR="002F7250" w:rsidRPr="00E83C5E" w:rsidRDefault="002F7250" w:rsidP="008B0FC5">
            <w:pPr>
              <w:jc w:val="both"/>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 w:val="0"/>
                <w:bCs w:val="0"/>
                <w:i/>
                <w:iCs/>
                <w:color w:val="0066CC"/>
                <w:sz w:val="20"/>
                <w:szCs w:val="24"/>
              </w:rPr>
            </w:pPr>
            <w:r w:rsidRPr="00E83C5E">
              <w:rPr>
                <w:rFonts w:ascii="Garamond" w:eastAsia="Times New Roman" w:hAnsi="Garamond" w:cs="Times New Roman"/>
                <w:i/>
                <w:iCs/>
                <w:sz w:val="20"/>
                <w:szCs w:val="24"/>
              </w:rPr>
              <w:t xml:space="preserve">Masat sipas objektivit </w:t>
            </w:r>
            <w:r w:rsidR="00BE618E" w:rsidRPr="00E83C5E">
              <w:rPr>
                <w:rFonts w:ascii="Garamond" w:eastAsia="Times New Roman" w:hAnsi="Garamond" w:cs="Times New Roman"/>
                <w:i/>
                <w:iCs/>
                <w:sz w:val="20"/>
                <w:szCs w:val="24"/>
              </w:rPr>
              <w:t>specifik</w:t>
            </w:r>
            <w:r w:rsidRPr="00E83C5E">
              <w:rPr>
                <w:rFonts w:ascii="Garamond" w:eastAsia="Times New Roman" w:hAnsi="Garamond" w:cs="Times New Roman"/>
                <w:i/>
                <w:iCs/>
                <w:sz w:val="20"/>
                <w:szCs w:val="24"/>
              </w:rPr>
              <w:t xml:space="preserve"> 3.2</w:t>
            </w:r>
          </w:p>
        </w:tc>
      </w:tr>
      <w:tr w:rsidR="002F7250" w:rsidRPr="00E83C5E" w14:paraId="574E2D8D" w14:textId="77777777" w:rsidTr="0022676F">
        <w:trPr>
          <w:trHeight w:val="27"/>
        </w:trPr>
        <w:tc>
          <w:tcPr>
            <w:cnfStyle w:val="001000000000" w:firstRow="0" w:lastRow="0" w:firstColumn="1" w:lastColumn="0" w:oddVBand="0" w:evenVBand="0" w:oddHBand="0" w:evenHBand="0" w:firstRowFirstColumn="0" w:firstRowLastColumn="0" w:lastRowFirstColumn="0" w:lastRowLastColumn="0"/>
            <w:tcW w:w="890" w:type="dxa"/>
            <w:noWrap/>
            <w:hideMark/>
          </w:tcPr>
          <w:p w14:paraId="574E2D89" w14:textId="77777777" w:rsidR="002F7250" w:rsidRPr="00E83C5E" w:rsidRDefault="002F7250" w:rsidP="008B0FC5">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3.2.1</w:t>
            </w:r>
          </w:p>
        </w:tc>
        <w:tc>
          <w:tcPr>
            <w:tcW w:w="8172" w:type="dxa"/>
          </w:tcPr>
          <w:p w14:paraId="574E2D8A" w14:textId="3742F775" w:rsidR="002F7250" w:rsidRPr="00E83C5E" w:rsidRDefault="002F7250" w:rsidP="008B0FC5">
            <w:pPr>
              <w:jc w:val="both"/>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sz w:val="20"/>
                <w:szCs w:val="24"/>
              </w:rPr>
            </w:pPr>
            <w:r w:rsidRPr="00E83C5E">
              <w:rPr>
                <w:rFonts w:ascii="Garamond" w:eastAsia="Arial" w:hAnsi="Garamond" w:cs="Times New Roman"/>
                <w:sz w:val="20"/>
                <w:szCs w:val="24"/>
              </w:rPr>
              <w:t xml:space="preserve">Bashkërendohet Strategjia Kombëtare e Shëndetit 2021-2030, Agjenda e </w:t>
            </w:r>
            <w:r w:rsidR="00BE618E" w:rsidRPr="00E83C5E">
              <w:rPr>
                <w:rFonts w:ascii="Garamond" w:eastAsia="Arial" w:hAnsi="Garamond" w:cs="Times New Roman"/>
                <w:sz w:val="20"/>
                <w:szCs w:val="24"/>
              </w:rPr>
              <w:t>Fëmijëve</w:t>
            </w:r>
            <w:r w:rsidRPr="00E83C5E">
              <w:rPr>
                <w:rFonts w:ascii="Garamond" w:eastAsia="Arial" w:hAnsi="Garamond" w:cs="Times New Roman"/>
                <w:sz w:val="20"/>
                <w:szCs w:val="24"/>
              </w:rPr>
              <w:t xml:space="preserve"> 2021–2026, planet e veprimit dhe strategjitë e tjera të lidhura me to me masat e propozuara në Strategjinë Kombëtare të Rinisë, në veçanti promovimin e jetesës së shëndetshme.</w:t>
            </w:r>
            <w:r w:rsidR="00233C37" w:rsidRPr="00E83C5E">
              <w:rPr>
                <w:rFonts w:ascii="Garamond" w:eastAsia="Arial" w:hAnsi="Garamond" w:cs="Times New Roman"/>
                <w:sz w:val="20"/>
                <w:szCs w:val="24"/>
              </w:rPr>
              <w:t xml:space="preserve"> </w:t>
            </w:r>
            <w:r w:rsidRPr="00E83C5E">
              <w:rPr>
                <w:rFonts w:ascii="Garamond" w:eastAsia="Arial" w:hAnsi="Garamond" w:cs="Times New Roman"/>
                <w:sz w:val="20"/>
                <w:szCs w:val="24"/>
              </w:rPr>
              <w:t xml:space="preserve"> </w:t>
            </w:r>
          </w:p>
          <w:p w14:paraId="574E2D8B" w14:textId="77777777" w:rsidR="002F7250" w:rsidRPr="00E83C5E" w:rsidRDefault="002F7250" w:rsidP="008B0FC5">
            <w:pPr>
              <w:jc w:val="both"/>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sz w:val="20"/>
                <w:szCs w:val="24"/>
              </w:rPr>
            </w:pPr>
          </w:p>
          <w:p w14:paraId="574E2D8C" w14:textId="77777777" w:rsidR="002F7250" w:rsidRPr="00E83C5E" w:rsidRDefault="002F7250" w:rsidP="008B0FC5">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4"/>
              </w:rPr>
            </w:pPr>
          </w:p>
        </w:tc>
      </w:tr>
      <w:tr w:rsidR="002F7250" w:rsidRPr="00E83C5E" w14:paraId="574E2D90" w14:textId="77777777" w:rsidTr="00BC2136">
        <w:trPr>
          <w:trHeight w:val="560"/>
        </w:trPr>
        <w:tc>
          <w:tcPr>
            <w:cnfStyle w:val="001000000000" w:firstRow="0" w:lastRow="0" w:firstColumn="1" w:lastColumn="0" w:oddVBand="0" w:evenVBand="0" w:oddHBand="0" w:evenHBand="0" w:firstRowFirstColumn="0" w:firstRowLastColumn="0" w:lastRowFirstColumn="0" w:lastRowLastColumn="0"/>
            <w:tcW w:w="890" w:type="dxa"/>
            <w:noWrap/>
            <w:hideMark/>
          </w:tcPr>
          <w:p w14:paraId="574E2D8E" w14:textId="77777777" w:rsidR="002F7250" w:rsidRPr="00E83C5E" w:rsidRDefault="002F7250" w:rsidP="008B0FC5">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lastRenderedPageBreak/>
              <w:t>3.2.2</w:t>
            </w:r>
          </w:p>
        </w:tc>
        <w:tc>
          <w:tcPr>
            <w:tcW w:w="8172" w:type="dxa"/>
          </w:tcPr>
          <w:p w14:paraId="574E2D8F" w14:textId="731B8CAE" w:rsidR="002F7250" w:rsidRPr="00E83C5E" w:rsidRDefault="002F7250" w:rsidP="008B0FC5">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Cs/>
                <w:color w:val="000000"/>
                <w:sz w:val="20"/>
                <w:szCs w:val="24"/>
              </w:rPr>
            </w:pPr>
            <w:r w:rsidRPr="00E83C5E">
              <w:rPr>
                <w:rFonts w:ascii="Garamond" w:eastAsia="Arial" w:hAnsi="Garamond" w:cs="Times New Roman"/>
                <w:bCs/>
                <w:sz w:val="20"/>
                <w:szCs w:val="24"/>
              </w:rPr>
              <w:t>Zhvillohen qasje dhe shërbime të pranueshme dhe miqësore për të rinjtë</w:t>
            </w:r>
            <w:r w:rsidR="00233C37" w:rsidRPr="00E83C5E">
              <w:rPr>
                <w:rFonts w:ascii="Garamond" w:eastAsia="Arial" w:hAnsi="Garamond" w:cs="Times New Roman"/>
                <w:bCs/>
                <w:sz w:val="20"/>
                <w:szCs w:val="24"/>
              </w:rPr>
              <w:t xml:space="preserve"> </w:t>
            </w:r>
            <w:r w:rsidRPr="00E83C5E">
              <w:rPr>
                <w:rFonts w:ascii="Garamond" w:eastAsia="Arial" w:hAnsi="Garamond" w:cs="Times New Roman"/>
                <w:bCs/>
                <w:sz w:val="20"/>
                <w:szCs w:val="24"/>
              </w:rPr>
              <w:t>në strukturat shëndetësore, të cilat marrin në konsideratë tranzicionin nga strukturat dhe shërbimet mjekësore për fëmijë te</w:t>
            </w:r>
            <w:r w:rsidR="00B2418D" w:rsidRPr="00E83C5E">
              <w:rPr>
                <w:rFonts w:ascii="Garamond" w:eastAsia="Arial" w:hAnsi="Garamond" w:cs="Times New Roman"/>
                <w:bCs/>
                <w:sz w:val="20"/>
                <w:szCs w:val="24"/>
              </w:rPr>
              <w:t>k</w:t>
            </w:r>
            <w:r w:rsidRPr="00E83C5E">
              <w:rPr>
                <w:rFonts w:ascii="Garamond" w:eastAsia="Arial" w:hAnsi="Garamond" w:cs="Times New Roman"/>
                <w:bCs/>
                <w:sz w:val="20"/>
                <w:szCs w:val="24"/>
              </w:rPr>
              <w:t xml:space="preserve"> ato për të rriturit </w:t>
            </w:r>
          </w:p>
        </w:tc>
      </w:tr>
      <w:tr w:rsidR="002F7250" w:rsidRPr="00E83C5E" w14:paraId="574E2D93" w14:textId="77777777" w:rsidTr="00BC2136">
        <w:trPr>
          <w:trHeight w:val="560"/>
        </w:trPr>
        <w:tc>
          <w:tcPr>
            <w:cnfStyle w:val="001000000000" w:firstRow="0" w:lastRow="0" w:firstColumn="1" w:lastColumn="0" w:oddVBand="0" w:evenVBand="0" w:oddHBand="0" w:evenHBand="0" w:firstRowFirstColumn="0" w:firstRowLastColumn="0" w:lastRowFirstColumn="0" w:lastRowLastColumn="0"/>
            <w:tcW w:w="890" w:type="dxa"/>
            <w:noWrap/>
            <w:hideMark/>
          </w:tcPr>
          <w:p w14:paraId="574E2D91" w14:textId="77777777" w:rsidR="002F7250" w:rsidRPr="00E83C5E" w:rsidRDefault="002F7250" w:rsidP="008B0FC5">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3.2.3</w:t>
            </w:r>
          </w:p>
        </w:tc>
        <w:tc>
          <w:tcPr>
            <w:tcW w:w="8172" w:type="dxa"/>
          </w:tcPr>
          <w:p w14:paraId="574E2D92" w14:textId="6A879B49" w:rsidR="002F7250" w:rsidRPr="00E83C5E" w:rsidRDefault="002F7250" w:rsidP="008B0FC5">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Cs/>
                <w:color w:val="000000"/>
                <w:sz w:val="20"/>
                <w:szCs w:val="24"/>
              </w:rPr>
            </w:pPr>
            <w:r w:rsidRPr="00E83C5E">
              <w:rPr>
                <w:rFonts w:ascii="Garamond" w:eastAsia="Arial" w:hAnsi="Garamond" w:cs="Times New Roman"/>
                <w:bCs/>
                <w:sz w:val="20"/>
                <w:szCs w:val="24"/>
              </w:rPr>
              <w:t xml:space="preserve">Zhvillohen shërbime të reja dhe forcohen ato ekzistuese nëpër shkolla me cilësi të garantuar për ofrimin e mbështetjes për shëndetin mendor dhe psikologjik, si edhe mbështeten shërbimet online të shëndetit mendor në platformën për rininë </w:t>
            </w:r>
            <w:r w:rsidR="00D540B0" w:rsidRPr="00E83C5E">
              <w:rPr>
                <w:rFonts w:ascii="Garamond" w:eastAsia="Arial" w:hAnsi="Garamond" w:cs="Times New Roman"/>
                <w:bCs/>
                <w:sz w:val="20"/>
                <w:szCs w:val="24"/>
              </w:rPr>
              <w:t>“</w:t>
            </w:r>
            <w:r w:rsidRPr="00E83C5E">
              <w:rPr>
                <w:rFonts w:ascii="Garamond" w:eastAsia="Arial" w:hAnsi="Garamond" w:cs="Times New Roman"/>
                <w:bCs/>
                <w:sz w:val="20"/>
                <w:szCs w:val="24"/>
              </w:rPr>
              <w:t>Të rinjtë për të rinjtë</w:t>
            </w:r>
            <w:r w:rsidR="00D540B0" w:rsidRPr="00E83C5E">
              <w:rPr>
                <w:rFonts w:ascii="Garamond" w:eastAsia="Arial" w:hAnsi="Garamond" w:cs="Times New Roman"/>
                <w:bCs/>
                <w:sz w:val="20"/>
                <w:szCs w:val="24"/>
              </w:rPr>
              <w:t>”</w:t>
            </w:r>
            <w:r w:rsidRPr="00E83C5E">
              <w:rPr>
                <w:rFonts w:ascii="Garamond" w:eastAsia="Arial" w:hAnsi="Garamond" w:cs="Times New Roman"/>
                <w:bCs/>
                <w:sz w:val="20"/>
                <w:szCs w:val="24"/>
              </w:rPr>
              <w:t>.</w:t>
            </w:r>
          </w:p>
        </w:tc>
      </w:tr>
      <w:tr w:rsidR="002F7250" w:rsidRPr="00E83C5E" w14:paraId="574E2D96" w14:textId="77777777" w:rsidTr="00BC2136">
        <w:trPr>
          <w:trHeight w:val="840"/>
        </w:trPr>
        <w:tc>
          <w:tcPr>
            <w:cnfStyle w:val="001000000000" w:firstRow="0" w:lastRow="0" w:firstColumn="1" w:lastColumn="0" w:oddVBand="0" w:evenVBand="0" w:oddHBand="0" w:evenHBand="0" w:firstRowFirstColumn="0" w:firstRowLastColumn="0" w:lastRowFirstColumn="0" w:lastRowLastColumn="0"/>
            <w:tcW w:w="890" w:type="dxa"/>
            <w:noWrap/>
            <w:hideMark/>
          </w:tcPr>
          <w:p w14:paraId="574E2D94" w14:textId="77777777" w:rsidR="002F7250" w:rsidRPr="00E83C5E" w:rsidRDefault="002F7250" w:rsidP="008B0FC5">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3.2.4</w:t>
            </w:r>
          </w:p>
        </w:tc>
        <w:tc>
          <w:tcPr>
            <w:tcW w:w="8172" w:type="dxa"/>
          </w:tcPr>
          <w:p w14:paraId="574E2D95" w14:textId="77777777" w:rsidR="002F7250" w:rsidRPr="00E83C5E" w:rsidRDefault="002F7250" w:rsidP="008B0FC5">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Cs/>
                <w:color w:val="000000"/>
                <w:sz w:val="20"/>
                <w:szCs w:val="24"/>
              </w:rPr>
            </w:pPr>
            <w:r w:rsidRPr="00E83C5E">
              <w:rPr>
                <w:rFonts w:ascii="Garamond" w:eastAsia="Arial" w:hAnsi="Garamond" w:cs="Times New Roman"/>
                <w:bCs/>
                <w:sz w:val="20"/>
                <w:szCs w:val="24"/>
              </w:rPr>
              <w:t>Sigurohet pranimi i të rinjve në shërbimet e duhura të parandalimit dhe promovimit sipas Planit Kombëtar të Veprimit mbi Shëndetin dhe të Drejtat Seksuale dhe Riprodhuese 2022 - 2030 për të siguruar që të rinjtë që jetojnë në Shqipëri marrin edukim / informacione të përgjithshme në formë të pranueshme dhe miqësore ndaj tyre.</w:t>
            </w:r>
          </w:p>
        </w:tc>
      </w:tr>
      <w:tr w:rsidR="002F7250" w:rsidRPr="00E83C5E" w14:paraId="574E2D99" w14:textId="77777777" w:rsidTr="00BC2136">
        <w:trPr>
          <w:trHeight w:val="560"/>
        </w:trPr>
        <w:tc>
          <w:tcPr>
            <w:cnfStyle w:val="001000000000" w:firstRow="0" w:lastRow="0" w:firstColumn="1" w:lastColumn="0" w:oddVBand="0" w:evenVBand="0" w:oddHBand="0" w:evenHBand="0" w:firstRowFirstColumn="0" w:firstRowLastColumn="0" w:lastRowFirstColumn="0" w:lastRowLastColumn="0"/>
            <w:tcW w:w="890" w:type="dxa"/>
            <w:noWrap/>
            <w:hideMark/>
          </w:tcPr>
          <w:p w14:paraId="574E2D97" w14:textId="77777777" w:rsidR="002F7250" w:rsidRPr="00E83C5E" w:rsidRDefault="002F7250" w:rsidP="008B0FC5">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3.2.5</w:t>
            </w:r>
          </w:p>
        </w:tc>
        <w:tc>
          <w:tcPr>
            <w:tcW w:w="8172" w:type="dxa"/>
          </w:tcPr>
          <w:p w14:paraId="574E2D98" w14:textId="77777777" w:rsidR="002F7250" w:rsidRPr="00E83C5E" w:rsidRDefault="002F7250" w:rsidP="008B0FC5">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4"/>
              </w:rPr>
            </w:pPr>
            <w:r w:rsidRPr="00E83C5E">
              <w:rPr>
                <w:rFonts w:ascii="Garamond" w:eastAsia="Arial" w:hAnsi="Garamond" w:cs="Times New Roman"/>
                <w:sz w:val="20"/>
                <w:szCs w:val="24"/>
              </w:rPr>
              <w:t>Propozohen dhe zhvillohen veprimtari në lidhje me sjelljen e rrezikshme dhe konsumin e drogës duke siguruar që të rinjtë marrin informacione dhe edukim tërësor. Sigurohet që të rinjtë kanë akses në ndërhyrjet e duhura parandaluese dhe shërbimet e trajtimit të varësisë.</w:t>
            </w:r>
          </w:p>
        </w:tc>
      </w:tr>
    </w:tbl>
    <w:p w14:paraId="574E2D9A" w14:textId="77777777" w:rsidR="002F7250" w:rsidRPr="00E83C5E" w:rsidRDefault="002F7250" w:rsidP="002F7250">
      <w:pPr>
        <w:spacing w:after="0" w:line="240" w:lineRule="auto"/>
        <w:ind w:firstLine="284"/>
        <w:jc w:val="both"/>
        <w:rPr>
          <w:rFonts w:ascii="Garamond" w:hAnsi="Garamond" w:cs="Times New Roman"/>
          <w:b/>
          <w:bCs/>
          <w:sz w:val="24"/>
          <w:szCs w:val="24"/>
        </w:rPr>
      </w:pPr>
    </w:p>
    <w:p w14:paraId="574E2D9B" w14:textId="246E6F40" w:rsidR="002F7250" w:rsidRPr="00E83C5E" w:rsidRDefault="002F7250" w:rsidP="008B0FC5">
      <w:pPr>
        <w:pStyle w:val="TEKSTIII"/>
        <w:rPr>
          <w:b/>
        </w:rPr>
      </w:pPr>
      <w:r w:rsidRPr="00E83C5E">
        <w:rPr>
          <w:b/>
        </w:rPr>
        <w:t xml:space="preserve">Objektivi </w:t>
      </w:r>
      <w:r w:rsidR="00870BD9" w:rsidRPr="00E83C5E">
        <w:rPr>
          <w:b/>
        </w:rPr>
        <w:t xml:space="preserve">specifik </w:t>
      </w:r>
      <w:r w:rsidRPr="00E83C5E">
        <w:rPr>
          <w:b/>
        </w:rPr>
        <w:t>3.3:</w:t>
      </w:r>
    </w:p>
    <w:p w14:paraId="574E2D9C" w14:textId="77777777" w:rsidR="002F7250" w:rsidRPr="00E83C5E" w:rsidRDefault="002F7250" w:rsidP="008B0FC5">
      <w:pPr>
        <w:pStyle w:val="TEKSTIII"/>
        <w:rPr>
          <w:b/>
        </w:rPr>
      </w:pPr>
      <w:r w:rsidRPr="00E83C5E">
        <w:rPr>
          <w:rFonts w:eastAsia="Arial"/>
          <w:b/>
        </w:rPr>
        <w:t>Të rejat dhe të rinjtë mbështeten në përfshirjen dhe integrimin e tyre në shoqëri duke pasur mundësi për strehim dhe argëtim (në kulturë, art dhe sport)</w:t>
      </w:r>
    </w:p>
    <w:p w14:paraId="574E2D9D" w14:textId="35E86E9B" w:rsidR="002F7250" w:rsidRPr="00E83C5E" w:rsidRDefault="002F7250" w:rsidP="008B0FC5">
      <w:pPr>
        <w:pStyle w:val="TEKSTIII"/>
        <w:rPr>
          <w:b/>
        </w:rPr>
      </w:pPr>
      <w:r w:rsidRPr="00E83C5E">
        <w:rPr>
          <w:b/>
        </w:rPr>
        <w:t xml:space="preserve">Analiza e </w:t>
      </w:r>
      <w:r w:rsidR="00870BD9" w:rsidRPr="00E83C5E">
        <w:rPr>
          <w:b/>
        </w:rPr>
        <w:t>situatës dhe sfidat</w:t>
      </w:r>
    </w:p>
    <w:p w14:paraId="574E2D9F" w14:textId="470CCC77" w:rsidR="002F7250" w:rsidRPr="00E83C5E" w:rsidRDefault="002F7250" w:rsidP="002F7250">
      <w:pPr>
        <w:pStyle w:val="NoSpacing"/>
        <w:ind w:firstLine="284"/>
        <w:jc w:val="both"/>
        <w:rPr>
          <w:rFonts w:ascii="Garamond" w:hAnsi="Garamond"/>
          <w:sz w:val="24"/>
          <w:szCs w:val="24"/>
          <w:lang w:val="sq-AL"/>
        </w:rPr>
      </w:pPr>
      <w:r w:rsidRPr="00E83C5E">
        <w:rPr>
          <w:rFonts w:ascii="Garamond" w:hAnsi="Garamond"/>
          <w:sz w:val="24"/>
          <w:szCs w:val="24"/>
          <w:lang w:val="sq-AL"/>
        </w:rPr>
        <w:t xml:space="preserve">Ligji për </w:t>
      </w:r>
      <w:r w:rsidR="00DA6C78" w:rsidRPr="00E83C5E">
        <w:rPr>
          <w:rFonts w:ascii="Garamond" w:hAnsi="Garamond"/>
          <w:sz w:val="24"/>
          <w:szCs w:val="24"/>
          <w:lang w:val="sq-AL"/>
        </w:rPr>
        <w:t xml:space="preserve">rininë </w:t>
      </w:r>
      <w:r w:rsidRPr="00E83C5E">
        <w:rPr>
          <w:rFonts w:ascii="Garamond" w:hAnsi="Garamond"/>
          <w:sz w:val="24"/>
          <w:szCs w:val="24"/>
          <w:lang w:val="sq-AL"/>
        </w:rPr>
        <w:t>i kushton rëndësi të veçantë zhvillimit të hapësirave rinore të dedikuara për rininë dhe aktualisht qeveria po e mbështet këtë proces. Për më tej në programin qeveritar parashikohet mbështetja financiare për blerjen e apartamenteve nga çiftet e reja</w:t>
      </w:r>
      <w:r w:rsidR="00BE618E" w:rsidRPr="00E83C5E">
        <w:rPr>
          <w:rFonts w:ascii="Garamond" w:hAnsi="Garamond"/>
          <w:sz w:val="24"/>
          <w:szCs w:val="24"/>
          <w:lang w:val="sq-AL"/>
        </w:rPr>
        <w:t>,</w:t>
      </w:r>
      <w:r w:rsidRPr="00E83C5E">
        <w:rPr>
          <w:rFonts w:ascii="Garamond" w:hAnsi="Garamond"/>
          <w:sz w:val="24"/>
          <w:szCs w:val="24"/>
          <w:lang w:val="sq-AL"/>
        </w:rPr>
        <w:t xml:space="preserve"> e cila lidhet edhe me politikën qeveritare të kalimit nga rindërtim pas tërmetit të vitit 2019 në ndërtime të reja banesash për çiftet e reja dhe ata që kërkojnë jetën e pavarur sepse ka një numër të madh të rinjsh që zgjedhin migrimin në vend të zhvillimit të tyre në vend për shkak të mungesës së banesës e kushteve të tjera. </w:t>
      </w:r>
    </w:p>
    <w:p w14:paraId="574E2DA0" w14:textId="77777777" w:rsidR="002F7250" w:rsidRPr="00E83C5E" w:rsidRDefault="002F7250" w:rsidP="008B0FC5">
      <w:pPr>
        <w:pStyle w:val="NoSpacing"/>
        <w:keepNext/>
        <w:jc w:val="center"/>
        <w:rPr>
          <w:rFonts w:ascii="Garamond" w:hAnsi="Garamond"/>
          <w:sz w:val="24"/>
          <w:szCs w:val="24"/>
          <w:lang w:val="sq-AL"/>
        </w:rPr>
      </w:pPr>
      <w:r w:rsidRPr="00E83C5E">
        <w:rPr>
          <w:rFonts w:ascii="Garamond" w:hAnsi="Garamond"/>
          <w:noProof/>
          <w:sz w:val="24"/>
          <w:szCs w:val="24"/>
          <w:lang w:val="en-US"/>
        </w:rPr>
        <w:drawing>
          <wp:inline distT="0" distB="0" distL="0" distR="0" wp14:anchorId="574E3568" wp14:editId="574E3569">
            <wp:extent cx="5084064" cy="599846"/>
            <wp:effectExtent l="0" t="0" r="2540" b="0"/>
            <wp:docPr id="5" name="Picture 5"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with medium confidence"/>
                    <pic:cNvPicPr/>
                  </pic:nvPicPr>
                  <pic:blipFill>
                    <a:blip r:embed="rId21"/>
                    <a:stretch>
                      <a:fillRect/>
                    </a:stretch>
                  </pic:blipFill>
                  <pic:spPr>
                    <a:xfrm>
                      <a:off x="0" y="0"/>
                      <a:ext cx="5086177" cy="600095"/>
                    </a:xfrm>
                    <a:prstGeom prst="rect">
                      <a:avLst/>
                    </a:prstGeom>
                  </pic:spPr>
                </pic:pic>
              </a:graphicData>
            </a:graphic>
          </wp:inline>
        </w:drawing>
      </w:r>
    </w:p>
    <w:p w14:paraId="574E2DA1" w14:textId="2D60295B" w:rsidR="002F7250" w:rsidRPr="00E83C5E" w:rsidRDefault="002F7250" w:rsidP="002F7250">
      <w:pPr>
        <w:pStyle w:val="Caption"/>
        <w:spacing w:after="0"/>
        <w:ind w:firstLine="284"/>
        <w:jc w:val="both"/>
        <w:rPr>
          <w:rFonts w:ascii="Garamond" w:hAnsi="Garamond"/>
          <w:color w:val="000000" w:themeColor="text1"/>
          <w:sz w:val="24"/>
          <w:szCs w:val="24"/>
        </w:rPr>
      </w:pPr>
      <w:r w:rsidRPr="00E83C5E">
        <w:rPr>
          <w:rFonts w:ascii="Garamond" w:hAnsi="Garamond"/>
          <w:color w:val="000000" w:themeColor="text1"/>
          <w:sz w:val="24"/>
          <w:szCs w:val="24"/>
        </w:rPr>
        <w:t xml:space="preserve">Figura </w:t>
      </w:r>
      <w:r w:rsidRPr="00E83C5E">
        <w:rPr>
          <w:rFonts w:ascii="Garamond" w:hAnsi="Garamond"/>
          <w:color w:val="000000" w:themeColor="text1"/>
          <w:sz w:val="24"/>
          <w:szCs w:val="24"/>
        </w:rPr>
        <w:fldChar w:fldCharType="begin"/>
      </w:r>
      <w:r w:rsidRPr="00E83C5E">
        <w:rPr>
          <w:rFonts w:ascii="Garamond" w:hAnsi="Garamond"/>
          <w:color w:val="000000" w:themeColor="text1"/>
          <w:sz w:val="24"/>
          <w:szCs w:val="24"/>
        </w:rPr>
        <w:instrText xml:space="preserve"> SEQ Figura \* ARABIC </w:instrText>
      </w:r>
      <w:r w:rsidRPr="00E83C5E">
        <w:rPr>
          <w:rFonts w:ascii="Garamond" w:hAnsi="Garamond"/>
          <w:color w:val="000000" w:themeColor="text1"/>
          <w:sz w:val="24"/>
          <w:szCs w:val="24"/>
        </w:rPr>
        <w:fldChar w:fldCharType="separate"/>
      </w:r>
      <w:r w:rsidRPr="00E83C5E">
        <w:rPr>
          <w:rFonts w:ascii="Garamond" w:hAnsi="Garamond"/>
          <w:color w:val="000000" w:themeColor="text1"/>
          <w:sz w:val="24"/>
          <w:szCs w:val="24"/>
        </w:rPr>
        <w:t>6</w:t>
      </w:r>
      <w:r w:rsidRPr="00E83C5E">
        <w:rPr>
          <w:rFonts w:ascii="Garamond" w:hAnsi="Garamond"/>
          <w:color w:val="000000" w:themeColor="text1"/>
          <w:sz w:val="24"/>
          <w:szCs w:val="24"/>
        </w:rPr>
        <w:fldChar w:fldCharType="end"/>
      </w:r>
      <w:r w:rsidRPr="00E83C5E">
        <w:rPr>
          <w:rFonts w:ascii="Garamond" w:hAnsi="Garamond"/>
          <w:color w:val="000000" w:themeColor="text1"/>
          <w:sz w:val="24"/>
          <w:szCs w:val="24"/>
        </w:rPr>
        <w:t>: Studimi i INSTAT</w:t>
      </w:r>
      <w:r w:rsidR="00233C37" w:rsidRPr="00E83C5E">
        <w:rPr>
          <w:rFonts w:ascii="Garamond" w:hAnsi="Garamond"/>
          <w:color w:val="000000" w:themeColor="text1"/>
          <w:sz w:val="24"/>
          <w:szCs w:val="24"/>
        </w:rPr>
        <w:t>-it</w:t>
      </w:r>
      <w:r w:rsidRPr="00E83C5E">
        <w:rPr>
          <w:rFonts w:ascii="Garamond" w:hAnsi="Garamond"/>
          <w:color w:val="000000" w:themeColor="text1"/>
          <w:sz w:val="24"/>
          <w:szCs w:val="24"/>
        </w:rPr>
        <w:t xml:space="preserve"> dhe UNICEF</w:t>
      </w:r>
      <w:r w:rsidR="00233C37" w:rsidRPr="00E83C5E">
        <w:rPr>
          <w:rFonts w:ascii="Garamond" w:hAnsi="Garamond"/>
          <w:color w:val="000000" w:themeColor="text1"/>
          <w:sz w:val="24"/>
          <w:szCs w:val="24"/>
        </w:rPr>
        <w:t>-it</w:t>
      </w:r>
      <w:r w:rsidRPr="00E83C5E">
        <w:rPr>
          <w:rFonts w:ascii="Garamond" w:hAnsi="Garamond"/>
          <w:color w:val="000000" w:themeColor="text1"/>
          <w:sz w:val="24"/>
          <w:szCs w:val="24"/>
        </w:rPr>
        <w:t xml:space="preserve"> </w:t>
      </w:r>
      <w:r w:rsidR="00D540B0" w:rsidRPr="00E83C5E">
        <w:rPr>
          <w:rFonts w:ascii="Garamond" w:hAnsi="Garamond"/>
          <w:color w:val="000000" w:themeColor="text1"/>
          <w:sz w:val="24"/>
          <w:szCs w:val="24"/>
        </w:rPr>
        <w:t>“</w:t>
      </w:r>
      <w:r w:rsidRPr="00E83C5E">
        <w:rPr>
          <w:rFonts w:ascii="Garamond" w:hAnsi="Garamond"/>
          <w:color w:val="000000" w:themeColor="text1"/>
          <w:sz w:val="24"/>
          <w:szCs w:val="24"/>
        </w:rPr>
        <w:t xml:space="preserve">Treguesit e </w:t>
      </w:r>
      <w:r w:rsidR="00233C37" w:rsidRPr="00E83C5E">
        <w:rPr>
          <w:rFonts w:ascii="Garamond" w:hAnsi="Garamond"/>
          <w:color w:val="000000" w:themeColor="text1"/>
          <w:sz w:val="24"/>
          <w:szCs w:val="24"/>
        </w:rPr>
        <w:t xml:space="preserve">mirëqenies së fëmijëve, adoleshentëve </w:t>
      </w:r>
      <w:r w:rsidRPr="00E83C5E">
        <w:rPr>
          <w:rFonts w:ascii="Garamond" w:hAnsi="Garamond"/>
          <w:color w:val="000000" w:themeColor="text1"/>
          <w:sz w:val="24"/>
          <w:szCs w:val="24"/>
        </w:rPr>
        <w:t xml:space="preserve">dhe të </w:t>
      </w:r>
      <w:r w:rsidR="00233C37" w:rsidRPr="00E83C5E">
        <w:rPr>
          <w:rFonts w:ascii="Garamond" w:hAnsi="Garamond"/>
          <w:color w:val="000000" w:themeColor="text1"/>
          <w:sz w:val="24"/>
          <w:szCs w:val="24"/>
        </w:rPr>
        <w:t xml:space="preserve">rinjve </w:t>
      </w:r>
      <w:r w:rsidRPr="00E83C5E">
        <w:rPr>
          <w:rFonts w:ascii="Garamond" w:hAnsi="Garamond"/>
          <w:color w:val="000000" w:themeColor="text1"/>
          <w:sz w:val="24"/>
          <w:szCs w:val="24"/>
        </w:rPr>
        <w:t>në Shqipëri 2016</w:t>
      </w:r>
      <w:r w:rsidR="00233C37" w:rsidRPr="00E83C5E">
        <w:rPr>
          <w:rFonts w:ascii="Garamond" w:hAnsi="Garamond"/>
          <w:color w:val="000000" w:themeColor="text1"/>
          <w:sz w:val="24"/>
          <w:szCs w:val="24"/>
        </w:rPr>
        <w:t>–</w:t>
      </w:r>
      <w:r w:rsidRPr="00E83C5E">
        <w:rPr>
          <w:rFonts w:ascii="Garamond" w:hAnsi="Garamond"/>
          <w:color w:val="000000" w:themeColor="text1"/>
          <w:sz w:val="24"/>
          <w:szCs w:val="24"/>
        </w:rPr>
        <w:t>19</w:t>
      </w:r>
      <w:r w:rsidR="00D540B0" w:rsidRPr="00E83C5E">
        <w:rPr>
          <w:rFonts w:ascii="Garamond" w:hAnsi="Garamond"/>
          <w:color w:val="000000" w:themeColor="text1"/>
          <w:sz w:val="24"/>
          <w:szCs w:val="24"/>
        </w:rPr>
        <w:t>”</w:t>
      </w:r>
      <w:r w:rsidR="00233C37" w:rsidRPr="00E83C5E">
        <w:rPr>
          <w:rFonts w:ascii="Garamond" w:hAnsi="Garamond"/>
          <w:color w:val="000000" w:themeColor="text1"/>
          <w:sz w:val="24"/>
          <w:szCs w:val="24"/>
        </w:rPr>
        <w:t>,</w:t>
      </w:r>
      <w:r w:rsidRPr="00E83C5E">
        <w:rPr>
          <w:rFonts w:ascii="Garamond" w:hAnsi="Garamond"/>
          <w:color w:val="000000" w:themeColor="text1"/>
          <w:sz w:val="24"/>
          <w:szCs w:val="24"/>
        </w:rPr>
        <w:t xml:space="preserve"> f. 20</w:t>
      </w:r>
    </w:p>
    <w:p w14:paraId="574E2DA2" w14:textId="77777777" w:rsidR="008B0FC5" w:rsidRPr="00E83C5E" w:rsidRDefault="008B0FC5" w:rsidP="002F7250">
      <w:pPr>
        <w:pStyle w:val="NoSpacing"/>
        <w:ind w:firstLine="284"/>
        <w:jc w:val="both"/>
        <w:rPr>
          <w:rFonts w:ascii="Garamond" w:hAnsi="Garamond"/>
          <w:sz w:val="24"/>
          <w:szCs w:val="24"/>
          <w:lang w:val="sq-AL"/>
        </w:rPr>
      </w:pPr>
    </w:p>
    <w:p w14:paraId="574E2DA3" w14:textId="09AB37DF" w:rsidR="002F7250" w:rsidRPr="00E83C5E" w:rsidRDefault="002F7250" w:rsidP="008B0FC5">
      <w:pPr>
        <w:pStyle w:val="TEKSTIII"/>
      </w:pPr>
      <w:r w:rsidRPr="00E83C5E">
        <w:t>Masat dhe aktivitetet e parashikuara në PKVR 2015</w:t>
      </w:r>
      <w:r w:rsidR="00233C37" w:rsidRPr="00E83C5E">
        <w:t>–</w:t>
      </w:r>
      <w:r w:rsidRPr="00E83C5E">
        <w:t>20 në lidhje me shëndetin, sportin dhe mjedisin ishin realizuar plotësisht në masën 48%</w:t>
      </w:r>
      <w:r w:rsidR="00233C37" w:rsidRPr="00E83C5E">
        <w:t>,</w:t>
      </w:r>
      <w:r w:rsidRPr="00E83C5E">
        <w:t xml:space="preserve"> ndërsa masat në lidhje me kulturën dhe vullnetarizmin në nivelin 39%. Ky nivel, edhe pse ndër më të lartit në lidhje me përmbushjen e indikatorëve lejon hapësira për zhvillime të reja dhe fokus më të madh në proceset e zhvillimit dhe të edukimit jashtë-shkollor ku programe si ai i shkollave komunitare dhe programi kombëtar për arte dhe zeje luajnë një rol kryesor për të integruar shoqërinë veçanërisht në një situatë post-pandemike. </w:t>
      </w:r>
    </w:p>
    <w:p w14:paraId="574E2DA4" w14:textId="77777777" w:rsidR="002F7250" w:rsidRPr="00E83C5E" w:rsidRDefault="002F7250" w:rsidP="008B0FC5">
      <w:pPr>
        <w:pStyle w:val="TEKSTIII"/>
      </w:pPr>
      <w:r w:rsidRPr="00E83C5E">
        <w:t>Përfshirja dhe integrimi i të rejave dhe të rinjve dhe ulja e parabazive si ekonomike dhe gjinore paraqesin këto sfida:</w:t>
      </w:r>
    </w:p>
    <w:p w14:paraId="574E2DA5" w14:textId="226A6C0A" w:rsidR="002F7250" w:rsidRPr="00E83C5E" w:rsidRDefault="002F7250" w:rsidP="008B0FC5">
      <w:pPr>
        <w:pStyle w:val="TEKSTIII"/>
      </w:pPr>
      <w:r w:rsidRPr="00E83C5E">
        <w:t xml:space="preserve">Zhvillimi i hapësirave rinore me </w:t>
      </w:r>
      <w:r w:rsidR="00700750" w:rsidRPr="00E83C5E">
        <w:t>standard</w:t>
      </w:r>
      <w:r w:rsidRPr="00E83C5E">
        <w:t>e të përcaktuara dhe në përputhje me kërkesat dhe nevojat e të rinjve</w:t>
      </w:r>
      <w:r w:rsidR="00AC46F6" w:rsidRPr="00E83C5E">
        <w:t>;</w:t>
      </w:r>
    </w:p>
    <w:p w14:paraId="574E2DA6" w14:textId="1D2EAF1E" w:rsidR="002F7250" w:rsidRPr="00E83C5E" w:rsidRDefault="008B0FC5" w:rsidP="008B0FC5">
      <w:pPr>
        <w:pStyle w:val="TEKSTIII"/>
      </w:pPr>
      <w:r w:rsidRPr="00E83C5E">
        <w:t>-</w:t>
      </w:r>
      <w:r w:rsidR="00B229EC" w:rsidRPr="00E83C5E">
        <w:t xml:space="preserve"> </w:t>
      </w:r>
      <w:r w:rsidR="002F7250" w:rsidRPr="00E83C5E">
        <w:t>Ndërtimi i hapësirave në çdo bashki</w:t>
      </w:r>
      <w:r w:rsidR="00AC46F6" w:rsidRPr="00E83C5E">
        <w:t>;</w:t>
      </w:r>
    </w:p>
    <w:p w14:paraId="574E2DA7" w14:textId="2300E37F" w:rsidR="002F7250" w:rsidRPr="00E83C5E" w:rsidRDefault="008B0FC5" w:rsidP="008B0FC5">
      <w:pPr>
        <w:pStyle w:val="TEKSTIII"/>
      </w:pPr>
      <w:r w:rsidRPr="00E83C5E">
        <w:t>-</w:t>
      </w:r>
      <w:r w:rsidR="00B229EC" w:rsidRPr="00E83C5E">
        <w:t xml:space="preserve"> </w:t>
      </w:r>
      <w:r w:rsidR="002F7250" w:rsidRPr="00E83C5E">
        <w:t>Krijimi i hapësirave të dedikuara për rininë në mjediset shkollore</w:t>
      </w:r>
      <w:r w:rsidR="00AC46F6" w:rsidRPr="00E83C5E">
        <w:t>;</w:t>
      </w:r>
    </w:p>
    <w:p w14:paraId="574E2DA8" w14:textId="7D44973D" w:rsidR="002F7250" w:rsidRPr="00E83C5E" w:rsidRDefault="008B0FC5" w:rsidP="008B0FC5">
      <w:pPr>
        <w:pStyle w:val="TEKSTIII"/>
      </w:pPr>
      <w:r w:rsidRPr="00E83C5E">
        <w:t>-</w:t>
      </w:r>
      <w:r w:rsidR="00B229EC" w:rsidRPr="00E83C5E">
        <w:t xml:space="preserve"> </w:t>
      </w:r>
      <w:r w:rsidR="002F7250" w:rsidRPr="00E83C5E">
        <w:t>Ofrimi i shërbimeve dhe mbësht</w:t>
      </w:r>
      <w:r w:rsidR="00DA6C78" w:rsidRPr="00E83C5E">
        <w:t>et</w:t>
      </w:r>
      <w:r w:rsidR="002F7250" w:rsidRPr="00E83C5E">
        <w:t>jes së dedikuar për përfshirjen në shkolla</w:t>
      </w:r>
      <w:r w:rsidR="00AC46F6" w:rsidRPr="00E83C5E">
        <w:t>;</w:t>
      </w:r>
    </w:p>
    <w:p w14:paraId="574E2DA9" w14:textId="3059AD4C" w:rsidR="002F7250" w:rsidRPr="00E83C5E" w:rsidRDefault="008B0FC5" w:rsidP="008B0FC5">
      <w:pPr>
        <w:pStyle w:val="TEKSTIII"/>
      </w:pPr>
      <w:r w:rsidRPr="00E83C5E">
        <w:t>-</w:t>
      </w:r>
      <w:r w:rsidR="00B229EC" w:rsidRPr="00E83C5E">
        <w:t xml:space="preserve"> </w:t>
      </w:r>
      <w:r w:rsidR="002F7250" w:rsidRPr="00E83C5E">
        <w:t>Fuqizimi i shërbimeve rinore për të lehtësuar integrimin e të rinjve dhe kalimin e tyre në jetesë të pavarur</w:t>
      </w:r>
      <w:r w:rsidR="00AC46F6" w:rsidRPr="00E83C5E">
        <w:t>.</w:t>
      </w:r>
    </w:p>
    <w:p w14:paraId="574E2DAA" w14:textId="6323F793" w:rsidR="002F7250" w:rsidRPr="00E83C5E" w:rsidRDefault="00233C37" w:rsidP="008B0FC5">
      <w:pPr>
        <w:pStyle w:val="TEKSTIII"/>
        <w:rPr>
          <w:rFonts w:eastAsia="Times New Roman" w:cs="Times New Roman"/>
          <w:b/>
          <w:color w:val="000000" w:themeColor="text1"/>
        </w:rPr>
      </w:pPr>
      <w:r w:rsidRPr="00E83C5E">
        <w:rPr>
          <w:rFonts w:eastAsia="Times New Roman" w:cs="Times New Roman"/>
          <w:b/>
          <w:color w:val="000000" w:themeColor="text1"/>
        </w:rPr>
        <w:t>Institucionet drejtues</w:t>
      </w:r>
      <w:r w:rsidR="002F7250" w:rsidRPr="00E83C5E">
        <w:rPr>
          <w:rFonts w:eastAsia="Times New Roman" w:cs="Times New Roman"/>
          <w:b/>
          <w:color w:val="000000" w:themeColor="text1"/>
        </w:rPr>
        <w:t>e</w:t>
      </w:r>
    </w:p>
    <w:p w14:paraId="574E2DAB" w14:textId="33146CDB" w:rsidR="002F7250" w:rsidRPr="00E83C5E" w:rsidRDefault="002F7250" w:rsidP="008B0FC5">
      <w:pPr>
        <w:pStyle w:val="TEKSTIII"/>
        <w:rPr>
          <w:rFonts w:eastAsia="Times New Roman" w:cs="Times New Roman"/>
          <w:color w:val="000000" w:themeColor="text1"/>
        </w:rPr>
      </w:pPr>
      <w:r w:rsidRPr="00E83C5E">
        <w:rPr>
          <w:rFonts w:eastAsia="Times New Roman" w:cs="Times New Roman"/>
          <w:color w:val="000000" w:themeColor="text1"/>
        </w:rPr>
        <w:t>-</w:t>
      </w:r>
      <w:r w:rsidR="00B229EC" w:rsidRPr="00E83C5E">
        <w:rPr>
          <w:rFonts w:eastAsia="Times New Roman" w:cs="Times New Roman"/>
          <w:color w:val="000000" w:themeColor="text1"/>
        </w:rPr>
        <w:t xml:space="preserve"> </w:t>
      </w:r>
      <w:r w:rsidRPr="00E83C5E">
        <w:rPr>
          <w:rFonts w:eastAsia="Times New Roman" w:cs="Times New Roman"/>
          <w:color w:val="000000" w:themeColor="text1"/>
        </w:rPr>
        <w:t>MSHRF, MSHMS dhe MIE</w:t>
      </w:r>
    </w:p>
    <w:p w14:paraId="574E2DAC" w14:textId="1D851D58" w:rsidR="002F7250" w:rsidRPr="00E83C5E" w:rsidRDefault="00233C37" w:rsidP="008B0FC5">
      <w:pPr>
        <w:pStyle w:val="TEKSTIII"/>
        <w:rPr>
          <w:rFonts w:eastAsia="Times New Roman" w:cs="Times New Roman"/>
          <w:b/>
          <w:color w:val="000000" w:themeColor="text1"/>
        </w:rPr>
      </w:pPr>
      <w:r w:rsidRPr="00E83C5E">
        <w:rPr>
          <w:rFonts w:eastAsia="Times New Roman" w:cs="Times New Roman"/>
          <w:b/>
          <w:color w:val="000000" w:themeColor="text1"/>
        </w:rPr>
        <w:t>Institucionet pjesëmarrëse</w:t>
      </w:r>
    </w:p>
    <w:p w14:paraId="574E2DAD" w14:textId="306E477B" w:rsidR="002F7250" w:rsidRPr="00E83C5E" w:rsidRDefault="002F7250" w:rsidP="008B0FC5">
      <w:pPr>
        <w:pStyle w:val="TEKSTIII"/>
        <w:rPr>
          <w:rFonts w:eastAsia="Times New Roman" w:cs="Times New Roman"/>
          <w:color w:val="000000" w:themeColor="text1"/>
        </w:rPr>
      </w:pPr>
      <w:r w:rsidRPr="00E83C5E">
        <w:rPr>
          <w:rFonts w:eastAsia="Times New Roman" w:cs="Times New Roman"/>
          <w:color w:val="000000" w:themeColor="text1"/>
        </w:rPr>
        <w:t>-</w:t>
      </w:r>
      <w:r w:rsidR="00B229EC" w:rsidRPr="00E83C5E">
        <w:rPr>
          <w:rFonts w:eastAsia="Times New Roman" w:cs="Times New Roman"/>
          <w:color w:val="000000" w:themeColor="text1"/>
        </w:rPr>
        <w:t xml:space="preserve"> </w:t>
      </w:r>
      <w:r w:rsidRPr="00E83C5E">
        <w:rPr>
          <w:rFonts w:eastAsia="Times New Roman" w:cs="Times New Roman"/>
          <w:color w:val="000000" w:themeColor="text1"/>
        </w:rPr>
        <w:t>AKR, AMMV, Bashkitë, MAS, MSHMS, MB, MD, ASCAP</w:t>
      </w:r>
    </w:p>
    <w:p w14:paraId="574E2DAE" w14:textId="0945D923" w:rsidR="002F7250" w:rsidRPr="00E83C5E" w:rsidRDefault="002F7250" w:rsidP="008B0FC5">
      <w:pPr>
        <w:pStyle w:val="TEKSTIII"/>
      </w:pPr>
      <w:r w:rsidRPr="00E83C5E">
        <w:lastRenderedPageBreak/>
        <w:t>Masat dhe buxhetet e ndërlidhura për të arritur objektivat e specifikuar janë përshkruar në planin e veprimit të ngarkuara në IPSIS.</w:t>
      </w:r>
    </w:p>
    <w:p w14:paraId="574E2DB0" w14:textId="7070E001" w:rsidR="002F7250" w:rsidRPr="00E83C5E" w:rsidRDefault="002F7250" w:rsidP="008B0FC5">
      <w:pPr>
        <w:pStyle w:val="TEKSTIII"/>
        <w:rPr>
          <w:b/>
          <w:iCs/>
        </w:rPr>
      </w:pPr>
      <w:r w:rsidRPr="00E83C5E">
        <w:rPr>
          <w:b/>
          <w:iCs/>
        </w:rPr>
        <w:t xml:space="preserve">Lidhja e objektivit specifik me Marrëveshjen e Stabilizim-Asociimit </w:t>
      </w:r>
    </w:p>
    <w:p w14:paraId="574E2DB1" w14:textId="33EACB2A" w:rsidR="002F7250" w:rsidRPr="00E83C5E" w:rsidRDefault="002F7250" w:rsidP="002F7250">
      <w:pPr>
        <w:spacing w:after="0" w:line="240" w:lineRule="auto"/>
        <w:ind w:firstLine="284"/>
        <w:jc w:val="both"/>
        <w:rPr>
          <w:rFonts w:ascii="Garamond" w:hAnsi="Garamond" w:cs="Times New Roman"/>
          <w:color w:val="222222"/>
          <w:sz w:val="24"/>
          <w:szCs w:val="24"/>
        </w:rPr>
      </w:pPr>
      <w:r w:rsidRPr="00E83C5E">
        <w:rPr>
          <w:rFonts w:ascii="Garamond" w:hAnsi="Garamond" w:cs="Times New Roman"/>
          <w:sz w:val="24"/>
          <w:szCs w:val="24"/>
        </w:rPr>
        <w:t xml:space="preserve">Objektivi </w:t>
      </w:r>
      <w:r w:rsidR="00DA6C78" w:rsidRPr="00E83C5E">
        <w:rPr>
          <w:rFonts w:ascii="Garamond" w:hAnsi="Garamond" w:cs="Times New Roman"/>
          <w:sz w:val="24"/>
          <w:szCs w:val="24"/>
        </w:rPr>
        <w:t>s</w:t>
      </w:r>
      <w:r w:rsidRPr="00E83C5E">
        <w:rPr>
          <w:rFonts w:ascii="Garamond" w:hAnsi="Garamond" w:cs="Times New Roman"/>
          <w:sz w:val="24"/>
          <w:szCs w:val="24"/>
        </w:rPr>
        <w:t xml:space="preserve">pecifik 3.3 është integrues nga natyra dhe synon si </w:t>
      </w:r>
      <w:r w:rsidR="007F39C9" w:rsidRPr="00E83C5E">
        <w:rPr>
          <w:rFonts w:ascii="Garamond" w:hAnsi="Garamond" w:cs="Times New Roman"/>
          <w:sz w:val="24"/>
          <w:szCs w:val="24"/>
        </w:rPr>
        <w:t>mos</w:t>
      </w:r>
      <w:r w:rsidRPr="00E83C5E">
        <w:rPr>
          <w:rFonts w:ascii="Garamond" w:hAnsi="Garamond" w:cs="Times New Roman"/>
          <w:sz w:val="24"/>
          <w:szCs w:val="24"/>
        </w:rPr>
        <w:t xml:space="preserve">përjashtimin e asnjë të reja apo të riu dhe angazhimin e tyre aktiv në shoqëri si përmes </w:t>
      </w:r>
      <w:r w:rsidR="00DA6C78" w:rsidRPr="00E83C5E">
        <w:rPr>
          <w:rFonts w:ascii="Garamond" w:hAnsi="Garamond" w:cs="Times New Roman"/>
          <w:sz w:val="24"/>
          <w:szCs w:val="24"/>
        </w:rPr>
        <w:t>aktivisteve</w:t>
      </w:r>
      <w:r w:rsidRPr="00E83C5E">
        <w:rPr>
          <w:rFonts w:ascii="Garamond" w:hAnsi="Garamond" w:cs="Times New Roman"/>
          <w:sz w:val="24"/>
          <w:szCs w:val="24"/>
        </w:rPr>
        <w:t xml:space="preserve"> vullnetare ashtu edhe përmes zhvillimit të masave për më shumë aktivitete argëtuese rinore. Ky objektiv lidhet po </w:t>
      </w:r>
      <w:r w:rsidR="00DA6C78" w:rsidRPr="00E83C5E">
        <w:rPr>
          <w:rFonts w:ascii="Garamond" w:hAnsi="Garamond" w:cs="Times New Roman"/>
          <w:sz w:val="24"/>
          <w:szCs w:val="24"/>
        </w:rPr>
        <w:t>ashtu</w:t>
      </w:r>
      <w:r w:rsidRPr="00E83C5E">
        <w:rPr>
          <w:rFonts w:ascii="Garamond" w:hAnsi="Garamond" w:cs="Times New Roman"/>
          <w:sz w:val="24"/>
          <w:szCs w:val="24"/>
        </w:rPr>
        <w:t xml:space="preserve"> edhe me integrimin e të rinjve nga pikëpamja e strehimit dhe ndihmës për krijimin e jetës së pavarur në famijle të reja. Kështu ky objektiv lidhet me nenin 99 të </w:t>
      </w:r>
      <w:r w:rsidR="001F0C0C" w:rsidRPr="00E83C5E">
        <w:rPr>
          <w:rFonts w:ascii="Garamond" w:hAnsi="Garamond" w:cs="Times New Roman"/>
          <w:sz w:val="24"/>
          <w:szCs w:val="24"/>
        </w:rPr>
        <w:t>t</w:t>
      </w:r>
      <w:r w:rsidRPr="00E83C5E">
        <w:rPr>
          <w:rFonts w:ascii="Garamond" w:hAnsi="Garamond" w:cs="Times New Roman"/>
          <w:sz w:val="24"/>
          <w:szCs w:val="24"/>
        </w:rPr>
        <w:t>itullit VIII të MSA-s</w:t>
      </w:r>
      <w:r w:rsidR="001F0C0C" w:rsidRPr="00E83C5E">
        <w:rPr>
          <w:rFonts w:ascii="Garamond" w:hAnsi="Garamond" w:cs="Times New Roman"/>
          <w:sz w:val="24"/>
          <w:szCs w:val="24"/>
        </w:rPr>
        <w:t>,</w:t>
      </w:r>
      <w:r w:rsidRPr="00E83C5E">
        <w:rPr>
          <w:rFonts w:ascii="Garamond" w:hAnsi="Garamond" w:cs="Times New Roman"/>
          <w:sz w:val="24"/>
          <w:szCs w:val="24"/>
        </w:rPr>
        <w:t xml:space="preserve"> si edhe me nenin 101 që ka në qendër bashkëpunimin kulturor. </w:t>
      </w:r>
    </w:p>
    <w:p w14:paraId="574E2DB2" w14:textId="29E06B40" w:rsidR="002F7250" w:rsidRPr="00E83C5E" w:rsidRDefault="002F7250" w:rsidP="002F7250">
      <w:pPr>
        <w:spacing w:after="0" w:line="240" w:lineRule="auto"/>
        <w:ind w:firstLine="284"/>
        <w:jc w:val="both"/>
        <w:rPr>
          <w:rStyle w:val="jlqj4b"/>
          <w:rFonts w:ascii="Garamond" w:eastAsiaTheme="majorEastAsia" w:hAnsi="Garamond" w:cs="Times New Roman"/>
          <w:sz w:val="24"/>
          <w:szCs w:val="24"/>
        </w:rPr>
      </w:pPr>
      <w:r w:rsidRPr="00E83C5E">
        <w:rPr>
          <w:rFonts w:ascii="Garamond" w:hAnsi="Garamond" w:cs="Times New Roman"/>
          <w:bCs/>
          <w:sz w:val="24"/>
          <w:szCs w:val="24"/>
        </w:rPr>
        <w:t>Ky objektiv specifik lidhet</w:t>
      </w:r>
      <w:r w:rsidR="00233C37" w:rsidRPr="00E83C5E">
        <w:rPr>
          <w:rFonts w:ascii="Garamond" w:hAnsi="Garamond" w:cs="Times New Roman"/>
          <w:bCs/>
          <w:sz w:val="24"/>
          <w:szCs w:val="24"/>
        </w:rPr>
        <w:t xml:space="preserve"> </w:t>
      </w:r>
      <w:r w:rsidRPr="00E83C5E">
        <w:rPr>
          <w:rFonts w:ascii="Garamond" w:hAnsi="Garamond" w:cs="Times New Roman"/>
          <w:bCs/>
          <w:sz w:val="24"/>
          <w:szCs w:val="24"/>
        </w:rPr>
        <w:t xml:space="preserve">specifikisht me </w:t>
      </w:r>
      <w:r w:rsidRPr="00E83C5E">
        <w:rPr>
          <w:rFonts w:ascii="Garamond" w:eastAsiaTheme="majorEastAsia" w:hAnsi="Garamond" w:cs="Times New Roman"/>
          <w:color w:val="000000" w:themeColor="text1"/>
          <w:sz w:val="24"/>
          <w:szCs w:val="24"/>
        </w:rPr>
        <w:t xml:space="preserve">OZHQ 3 në aspektin e mbështetjes së shërbimeve dhe infrastrukturës rinore; me OZHQ 5 dhe 10 në aspektin e gjithëpërfshirjes dhe </w:t>
      </w:r>
      <w:r w:rsidR="007F39C9" w:rsidRPr="00E83C5E">
        <w:rPr>
          <w:rFonts w:ascii="Garamond" w:eastAsiaTheme="majorEastAsia" w:hAnsi="Garamond" w:cs="Times New Roman"/>
          <w:color w:val="000000" w:themeColor="text1"/>
          <w:sz w:val="24"/>
          <w:szCs w:val="24"/>
        </w:rPr>
        <w:t>mos</w:t>
      </w:r>
      <w:r w:rsidRPr="00E83C5E">
        <w:rPr>
          <w:rFonts w:ascii="Garamond" w:eastAsiaTheme="majorEastAsia" w:hAnsi="Garamond" w:cs="Times New Roman"/>
          <w:color w:val="000000" w:themeColor="text1"/>
          <w:sz w:val="24"/>
          <w:szCs w:val="24"/>
        </w:rPr>
        <w:t>përjashtimit soci</w:t>
      </w:r>
      <w:r w:rsidR="00DA6C78" w:rsidRPr="00E83C5E">
        <w:rPr>
          <w:rFonts w:ascii="Garamond" w:eastAsiaTheme="majorEastAsia" w:hAnsi="Garamond" w:cs="Times New Roman"/>
          <w:color w:val="000000" w:themeColor="text1"/>
          <w:sz w:val="24"/>
          <w:szCs w:val="24"/>
        </w:rPr>
        <w:t>a</w:t>
      </w:r>
      <w:r w:rsidRPr="00E83C5E">
        <w:rPr>
          <w:rFonts w:ascii="Garamond" w:eastAsiaTheme="majorEastAsia" w:hAnsi="Garamond" w:cs="Times New Roman"/>
          <w:color w:val="000000" w:themeColor="text1"/>
          <w:sz w:val="24"/>
          <w:szCs w:val="24"/>
        </w:rPr>
        <w:t>l</w:t>
      </w:r>
      <w:r w:rsidR="00DA6C78" w:rsidRPr="00E83C5E">
        <w:rPr>
          <w:rFonts w:ascii="Garamond" w:eastAsiaTheme="majorEastAsia" w:hAnsi="Garamond" w:cs="Times New Roman"/>
          <w:color w:val="000000" w:themeColor="text1"/>
          <w:sz w:val="24"/>
          <w:szCs w:val="24"/>
        </w:rPr>
        <w:t>,</w:t>
      </w:r>
      <w:r w:rsidRPr="00E83C5E">
        <w:rPr>
          <w:rFonts w:ascii="Garamond" w:eastAsiaTheme="majorEastAsia" w:hAnsi="Garamond" w:cs="Times New Roman"/>
          <w:color w:val="000000" w:themeColor="text1"/>
          <w:sz w:val="24"/>
          <w:szCs w:val="24"/>
        </w:rPr>
        <w:t xml:space="preserve"> si edhe me OZHQ 11 me fokusin që ka te sigurimi i strehimit të përballueshëm për të rinjtë dhe të rejat që mëvetësohen e duan të krijojnë familjet e tyre në banesa të vetat</w:t>
      </w:r>
      <w:r w:rsidRPr="00E83C5E">
        <w:rPr>
          <w:rStyle w:val="jlqj4b"/>
          <w:rFonts w:ascii="Garamond" w:eastAsiaTheme="majorEastAsia" w:hAnsi="Garamond" w:cs="Times New Roman"/>
          <w:sz w:val="24"/>
          <w:szCs w:val="24"/>
        </w:rPr>
        <w:t>.</w:t>
      </w:r>
    </w:p>
    <w:p w14:paraId="574E2DB3" w14:textId="5C327568" w:rsidR="002F7250" w:rsidRPr="00E83C5E" w:rsidRDefault="008B0FC5" w:rsidP="008B0FC5">
      <w:pPr>
        <w:pStyle w:val="TEKSTIII"/>
      </w:pPr>
      <w:bookmarkStart w:id="6" w:name="_Toc39671688"/>
      <w:r w:rsidRPr="00E83C5E">
        <w:t>-</w:t>
      </w:r>
      <w:r w:rsidR="00C011B4" w:rsidRPr="00E83C5E">
        <w:t xml:space="preserve"> </w:t>
      </w:r>
      <w:r w:rsidR="002F7250" w:rsidRPr="00E83C5E">
        <w:t>Lista e plotë e masave është dhënë në planin e veprimit IPSIS.</w:t>
      </w:r>
    </w:p>
    <w:p w14:paraId="574E2DB5" w14:textId="77777777" w:rsidR="002F7250" w:rsidRPr="00E83C5E" w:rsidRDefault="002F7250" w:rsidP="002F7250">
      <w:pPr>
        <w:pStyle w:val="Caption"/>
        <w:keepNext/>
        <w:spacing w:after="0"/>
        <w:ind w:firstLine="284"/>
        <w:rPr>
          <w:rFonts w:ascii="Garamond" w:hAnsi="Garamond"/>
          <w:color w:val="000000" w:themeColor="text1"/>
          <w:sz w:val="24"/>
          <w:szCs w:val="24"/>
        </w:rPr>
      </w:pPr>
      <w:r w:rsidRPr="00E83C5E">
        <w:rPr>
          <w:rFonts w:ascii="Garamond" w:hAnsi="Garamond"/>
          <w:color w:val="000000" w:themeColor="text1"/>
          <w:sz w:val="24"/>
          <w:szCs w:val="24"/>
        </w:rPr>
        <w:t xml:space="preserve">Tabela </w:t>
      </w:r>
      <w:r w:rsidRPr="00E83C5E">
        <w:rPr>
          <w:rFonts w:ascii="Garamond" w:hAnsi="Garamond"/>
          <w:color w:val="000000" w:themeColor="text1"/>
          <w:sz w:val="24"/>
          <w:szCs w:val="24"/>
        </w:rPr>
        <w:fldChar w:fldCharType="begin"/>
      </w:r>
      <w:r w:rsidRPr="00E83C5E">
        <w:rPr>
          <w:rFonts w:ascii="Garamond" w:hAnsi="Garamond"/>
          <w:color w:val="000000" w:themeColor="text1"/>
          <w:sz w:val="24"/>
          <w:szCs w:val="24"/>
        </w:rPr>
        <w:instrText xml:space="preserve"> SEQ Tabela \* ARABIC </w:instrText>
      </w:r>
      <w:r w:rsidRPr="00E83C5E">
        <w:rPr>
          <w:rFonts w:ascii="Garamond" w:hAnsi="Garamond"/>
          <w:color w:val="000000" w:themeColor="text1"/>
          <w:sz w:val="24"/>
          <w:szCs w:val="24"/>
        </w:rPr>
        <w:fldChar w:fldCharType="separate"/>
      </w:r>
      <w:r w:rsidRPr="00E83C5E">
        <w:rPr>
          <w:rFonts w:ascii="Garamond" w:hAnsi="Garamond"/>
          <w:color w:val="000000" w:themeColor="text1"/>
          <w:sz w:val="24"/>
          <w:szCs w:val="24"/>
        </w:rPr>
        <w:t>20</w:t>
      </w:r>
      <w:r w:rsidRPr="00E83C5E">
        <w:rPr>
          <w:rFonts w:ascii="Garamond" w:hAnsi="Garamond"/>
          <w:color w:val="000000" w:themeColor="text1"/>
          <w:sz w:val="24"/>
          <w:szCs w:val="24"/>
        </w:rPr>
        <w:fldChar w:fldCharType="end"/>
      </w:r>
      <w:r w:rsidRPr="00E83C5E">
        <w:rPr>
          <w:rFonts w:ascii="Garamond" w:hAnsi="Garamond"/>
          <w:color w:val="000000" w:themeColor="text1"/>
          <w:sz w:val="24"/>
          <w:szCs w:val="24"/>
        </w:rPr>
        <w:t>: Masat sipas objektivit specifik 3.3</w:t>
      </w:r>
    </w:p>
    <w:tbl>
      <w:tblPr>
        <w:tblStyle w:val="GridTable1Light-Accent11"/>
        <w:tblW w:w="9062" w:type="dxa"/>
        <w:tblLook w:val="04A0" w:firstRow="1" w:lastRow="0" w:firstColumn="1" w:lastColumn="0" w:noHBand="0" w:noVBand="1"/>
      </w:tblPr>
      <w:tblGrid>
        <w:gridCol w:w="890"/>
        <w:gridCol w:w="8172"/>
      </w:tblGrid>
      <w:tr w:rsidR="002F7250" w:rsidRPr="00E83C5E" w14:paraId="574E2DB8" w14:textId="77777777" w:rsidTr="00B2418D">
        <w:trPr>
          <w:cnfStyle w:val="100000000000" w:firstRow="1" w:lastRow="0" w:firstColumn="0" w:lastColumn="0" w:oddVBand="0" w:evenVBand="0" w:oddHBand="0"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890" w:type="dxa"/>
            <w:hideMark/>
          </w:tcPr>
          <w:p w14:paraId="574E2DB6" w14:textId="6C632FBD" w:rsidR="002F7250" w:rsidRPr="00E83C5E" w:rsidRDefault="002F7250" w:rsidP="00DA6C78">
            <w:pPr>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Nr</w:t>
            </w:r>
            <w:r w:rsidR="00DA6C78" w:rsidRPr="00E83C5E">
              <w:rPr>
                <w:rFonts w:ascii="Garamond" w:eastAsia="Times New Roman" w:hAnsi="Garamond" w:cs="Times New Roman"/>
                <w:color w:val="000000"/>
                <w:sz w:val="20"/>
                <w:szCs w:val="24"/>
              </w:rPr>
              <w:t>.</w:t>
            </w:r>
            <w:r w:rsidRPr="00E83C5E">
              <w:rPr>
                <w:rFonts w:ascii="Garamond" w:eastAsia="Times New Roman" w:hAnsi="Garamond" w:cs="Times New Roman"/>
                <w:color w:val="000000"/>
                <w:sz w:val="20"/>
                <w:szCs w:val="24"/>
              </w:rPr>
              <w:t xml:space="preserve"> i masës </w:t>
            </w:r>
          </w:p>
        </w:tc>
        <w:tc>
          <w:tcPr>
            <w:tcW w:w="8172" w:type="dxa"/>
            <w:hideMark/>
          </w:tcPr>
          <w:p w14:paraId="574E2DB7" w14:textId="654392CA" w:rsidR="002F7250" w:rsidRPr="00E83C5E" w:rsidRDefault="002F7250" w:rsidP="008B0FC5">
            <w:pPr>
              <w:jc w:val="both"/>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 w:val="0"/>
                <w:bCs w:val="0"/>
                <w:i/>
                <w:iCs/>
                <w:color w:val="0066CC"/>
                <w:sz w:val="20"/>
                <w:szCs w:val="24"/>
              </w:rPr>
            </w:pPr>
            <w:r w:rsidRPr="00E83C5E">
              <w:rPr>
                <w:rFonts w:ascii="Garamond" w:eastAsia="Times New Roman" w:hAnsi="Garamond" w:cs="Times New Roman"/>
                <w:i/>
                <w:iCs/>
                <w:sz w:val="20"/>
                <w:szCs w:val="24"/>
              </w:rPr>
              <w:t xml:space="preserve">Masat sipas objektivit </w:t>
            </w:r>
            <w:r w:rsidR="00DA6C78" w:rsidRPr="00E83C5E">
              <w:rPr>
                <w:rFonts w:ascii="Garamond" w:eastAsia="Times New Roman" w:hAnsi="Garamond" w:cs="Times New Roman"/>
                <w:i/>
                <w:iCs/>
                <w:sz w:val="20"/>
                <w:szCs w:val="24"/>
              </w:rPr>
              <w:t>specifik</w:t>
            </w:r>
            <w:r w:rsidRPr="00E83C5E">
              <w:rPr>
                <w:rFonts w:ascii="Garamond" w:eastAsia="Times New Roman" w:hAnsi="Garamond" w:cs="Times New Roman"/>
                <w:i/>
                <w:iCs/>
                <w:sz w:val="20"/>
                <w:szCs w:val="24"/>
              </w:rPr>
              <w:t xml:space="preserve"> 3.3</w:t>
            </w:r>
          </w:p>
        </w:tc>
      </w:tr>
      <w:tr w:rsidR="002F7250" w:rsidRPr="00E83C5E" w14:paraId="574E2DBB" w14:textId="77777777" w:rsidTr="00B2418D">
        <w:trPr>
          <w:trHeight w:val="30"/>
        </w:trPr>
        <w:tc>
          <w:tcPr>
            <w:cnfStyle w:val="001000000000" w:firstRow="0" w:lastRow="0" w:firstColumn="1" w:lastColumn="0" w:oddVBand="0" w:evenVBand="0" w:oddHBand="0" w:evenHBand="0" w:firstRowFirstColumn="0" w:firstRowLastColumn="0" w:lastRowFirstColumn="0" w:lastRowLastColumn="0"/>
            <w:tcW w:w="890" w:type="dxa"/>
            <w:noWrap/>
          </w:tcPr>
          <w:p w14:paraId="574E2DB9" w14:textId="77777777" w:rsidR="002F7250" w:rsidRPr="00E83C5E" w:rsidRDefault="002F7250" w:rsidP="008B0FC5">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3.3.1</w:t>
            </w:r>
          </w:p>
        </w:tc>
        <w:tc>
          <w:tcPr>
            <w:tcW w:w="8172" w:type="dxa"/>
          </w:tcPr>
          <w:p w14:paraId="574E2DBA" w14:textId="77777777" w:rsidR="002F7250" w:rsidRPr="00E83C5E" w:rsidRDefault="002F7250" w:rsidP="008B0FC5">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4"/>
              </w:rPr>
            </w:pPr>
            <w:r w:rsidRPr="00E83C5E">
              <w:rPr>
                <w:rFonts w:ascii="Garamond" w:eastAsia="Arial" w:hAnsi="Garamond" w:cs="Times New Roman"/>
                <w:sz w:val="20"/>
                <w:szCs w:val="24"/>
              </w:rPr>
              <w:t>Mbështetet ndërtimi, riparimi dhe rinovimi i hapësirave publike të projektuara për të rinjtë me qëllim përmirësimin e qasjes së të rinjve në hapësira të sigurta takimi edhe në kohën e lirë.</w:t>
            </w:r>
          </w:p>
        </w:tc>
      </w:tr>
      <w:tr w:rsidR="002F7250" w:rsidRPr="00E83C5E" w14:paraId="574E2DBE" w14:textId="77777777" w:rsidTr="00B2418D">
        <w:trPr>
          <w:trHeight w:val="50"/>
        </w:trPr>
        <w:tc>
          <w:tcPr>
            <w:cnfStyle w:val="001000000000" w:firstRow="0" w:lastRow="0" w:firstColumn="1" w:lastColumn="0" w:oddVBand="0" w:evenVBand="0" w:oddHBand="0" w:evenHBand="0" w:firstRowFirstColumn="0" w:firstRowLastColumn="0" w:lastRowFirstColumn="0" w:lastRowLastColumn="0"/>
            <w:tcW w:w="890" w:type="dxa"/>
            <w:noWrap/>
          </w:tcPr>
          <w:p w14:paraId="574E2DBC" w14:textId="77777777" w:rsidR="002F7250" w:rsidRPr="00E83C5E" w:rsidRDefault="002F7250" w:rsidP="008B0FC5">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3.3.2</w:t>
            </w:r>
          </w:p>
        </w:tc>
        <w:tc>
          <w:tcPr>
            <w:tcW w:w="8172" w:type="dxa"/>
          </w:tcPr>
          <w:p w14:paraId="574E2DBD" w14:textId="3555374B" w:rsidR="002F7250" w:rsidRPr="00E83C5E" w:rsidRDefault="002F7250" w:rsidP="008B0FC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b/>
                <w:sz w:val="20"/>
                <w:szCs w:val="24"/>
              </w:rPr>
            </w:pPr>
            <w:r w:rsidRPr="00E83C5E">
              <w:rPr>
                <w:rFonts w:ascii="Garamond" w:eastAsia="Arial" w:hAnsi="Garamond" w:cs="Times New Roman"/>
                <w:sz w:val="20"/>
                <w:szCs w:val="24"/>
              </w:rPr>
              <w:t>Mbështetet zbatimi i</w:t>
            </w:r>
            <w:r w:rsidR="00233C37" w:rsidRPr="00E83C5E">
              <w:rPr>
                <w:rFonts w:ascii="Garamond" w:eastAsia="Arial" w:hAnsi="Garamond" w:cs="Times New Roman"/>
                <w:sz w:val="20"/>
                <w:szCs w:val="24"/>
              </w:rPr>
              <w:t xml:space="preserve"> </w:t>
            </w:r>
            <w:r w:rsidRPr="00E83C5E">
              <w:rPr>
                <w:rFonts w:ascii="Garamond" w:eastAsia="Arial" w:hAnsi="Garamond" w:cs="Times New Roman"/>
                <w:sz w:val="20"/>
                <w:szCs w:val="24"/>
              </w:rPr>
              <w:t>programeve të gjithëpërfshirjes dhe politikave të përfshirjes, sigurisë dhe mbrojtjes me fokus të veçantë tek të rejat dhe të rinjtë.</w:t>
            </w:r>
            <w:r w:rsidR="00233C37" w:rsidRPr="00E83C5E">
              <w:rPr>
                <w:rFonts w:ascii="Garamond" w:eastAsia="Arial" w:hAnsi="Garamond" w:cs="Arial"/>
                <w:sz w:val="20"/>
                <w:szCs w:val="24"/>
              </w:rPr>
              <w:t xml:space="preserve"> </w:t>
            </w:r>
          </w:p>
        </w:tc>
      </w:tr>
      <w:tr w:rsidR="002F7250" w:rsidRPr="00E83C5E" w14:paraId="574E2DC1" w14:textId="77777777" w:rsidTr="00BC2136">
        <w:trPr>
          <w:trHeight w:val="560"/>
        </w:trPr>
        <w:tc>
          <w:tcPr>
            <w:cnfStyle w:val="001000000000" w:firstRow="0" w:lastRow="0" w:firstColumn="1" w:lastColumn="0" w:oddVBand="0" w:evenVBand="0" w:oddHBand="0" w:evenHBand="0" w:firstRowFirstColumn="0" w:firstRowLastColumn="0" w:lastRowFirstColumn="0" w:lastRowLastColumn="0"/>
            <w:tcW w:w="890" w:type="dxa"/>
            <w:noWrap/>
          </w:tcPr>
          <w:p w14:paraId="574E2DBF" w14:textId="77777777" w:rsidR="002F7250" w:rsidRPr="00E83C5E" w:rsidRDefault="002F7250" w:rsidP="008B0FC5">
            <w:pPr>
              <w:jc w:val="both"/>
              <w:rPr>
                <w:rFonts w:ascii="Garamond" w:eastAsia="Times New Roman" w:hAnsi="Garamond" w:cs="Times New Roman"/>
                <w:color w:val="000000"/>
                <w:sz w:val="20"/>
                <w:szCs w:val="24"/>
              </w:rPr>
            </w:pPr>
            <w:r w:rsidRPr="00E83C5E">
              <w:rPr>
                <w:rFonts w:ascii="Garamond" w:eastAsia="Times New Roman" w:hAnsi="Garamond" w:cs="Times New Roman"/>
                <w:color w:val="000000"/>
                <w:sz w:val="20"/>
                <w:szCs w:val="24"/>
              </w:rPr>
              <w:t>3.3.3</w:t>
            </w:r>
          </w:p>
        </w:tc>
        <w:tc>
          <w:tcPr>
            <w:tcW w:w="8172" w:type="dxa"/>
          </w:tcPr>
          <w:p w14:paraId="574E2DC0" w14:textId="561A260E" w:rsidR="002F7250" w:rsidRPr="00E83C5E" w:rsidRDefault="002F7250" w:rsidP="008B0FC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Arial" w:hAnsi="Garamond" w:cs="Times New Roman"/>
                <w:sz w:val="20"/>
                <w:szCs w:val="24"/>
              </w:rPr>
            </w:pPr>
            <w:bookmarkStart w:id="7" w:name="_Hlk109029519"/>
            <w:r w:rsidRPr="00E83C5E">
              <w:rPr>
                <w:rFonts w:ascii="Garamond" w:eastAsia="Arial" w:hAnsi="Garamond" w:cs="Times New Roman"/>
                <w:sz w:val="20"/>
                <w:szCs w:val="24"/>
              </w:rPr>
              <w:t>Mbështetet dhe promovohet programi i qeverisë në lidhje me mbështetjen financiare të strehimit për familjet e reja dhe në bashkëpunim me aktorë qeveritarë qendrorë e vendorë si edhe organizatat donatore nxitet zhvillimi i programeve të tjera në mbështetje të familjeve dhe çifteve të reja.</w:t>
            </w:r>
            <w:r w:rsidR="00233C37" w:rsidRPr="00E83C5E">
              <w:rPr>
                <w:rFonts w:ascii="Garamond" w:eastAsia="Arial" w:hAnsi="Garamond" w:cs="Times New Roman"/>
                <w:sz w:val="20"/>
                <w:szCs w:val="24"/>
              </w:rPr>
              <w:t xml:space="preserve"> </w:t>
            </w:r>
            <w:bookmarkEnd w:id="7"/>
          </w:p>
        </w:tc>
      </w:tr>
    </w:tbl>
    <w:p w14:paraId="574E2DC2" w14:textId="77777777" w:rsidR="008B0FC5" w:rsidRPr="00E83C5E" w:rsidRDefault="008B0FC5" w:rsidP="008B0FC5">
      <w:pPr>
        <w:pStyle w:val="TEKSTIII"/>
        <w:rPr>
          <w:b/>
        </w:rPr>
      </w:pPr>
      <w:bookmarkStart w:id="8" w:name="_Toc39671687"/>
    </w:p>
    <w:p w14:paraId="574E2DC3" w14:textId="23DFE5EA" w:rsidR="002F7250" w:rsidRPr="00E83C5E" w:rsidRDefault="002F7250" w:rsidP="008B0FC5">
      <w:pPr>
        <w:pStyle w:val="TEKSTIII"/>
        <w:rPr>
          <w:b/>
        </w:rPr>
      </w:pPr>
      <w:r w:rsidRPr="00E83C5E">
        <w:rPr>
          <w:b/>
        </w:rPr>
        <w:t xml:space="preserve">Pjesa III: Masat prioritare të </w:t>
      </w:r>
      <w:r w:rsidR="00B2418D" w:rsidRPr="00E83C5E">
        <w:rPr>
          <w:b/>
        </w:rPr>
        <w:t>q</w:t>
      </w:r>
      <w:r w:rsidRPr="00E83C5E">
        <w:rPr>
          <w:b/>
        </w:rPr>
        <w:t>everisë për zbatimin e dokumentit strategjik</w:t>
      </w:r>
      <w:bookmarkEnd w:id="8"/>
    </w:p>
    <w:p w14:paraId="574E2DC4" w14:textId="77777777" w:rsidR="002F7250" w:rsidRPr="00E83C5E" w:rsidRDefault="008B0FC5" w:rsidP="008B0FC5">
      <w:pPr>
        <w:pStyle w:val="TEKSTIII"/>
        <w:rPr>
          <w:b/>
        </w:rPr>
      </w:pPr>
      <w:bookmarkStart w:id="9" w:name="_Toc103290738"/>
      <w:r w:rsidRPr="00E83C5E">
        <w:rPr>
          <w:b/>
        </w:rPr>
        <w:t xml:space="preserve">1. </w:t>
      </w:r>
      <w:r w:rsidR="002F7250" w:rsidRPr="00E83C5E">
        <w:rPr>
          <w:b/>
        </w:rPr>
        <w:t>Metodologjia e përcaktimit të masave prioritare</w:t>
      </w:r>
      <w:bookmarkEnd w:id="9"/>
    </w:p>
    <w:p w14:paraId="574E2DC5" w14:textId="6D03B936" w:rsidR="002F7250" w:rsidRPr="00E83C5E" w:rsidRDefault="002F7250" w:rsidP="002F7250">
      <w:pPr>
        <w:shd w:val="clear" w:color="auto" w:fill="FFFFFF"/>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Për përcaktimin e masave prioritare në këtë strategji janë përdorur mekanizma që kanë lidhje më imediate me kërkesat e të rinjve dhe njëkohësisht lidhen më drejtpërsëdrejti me procesin e integrimit evropian. Bazuar në këtë pikëpamje janë prioritizuar masat e mëposhtme:</w:t>
      </w:r>
    </w:p>
    <w:p w14:paraId="574E2DC6" w14:textId="3BE22073" w:rsidR="002F7250" w:rsidRPr="00E83C5E" w:rsidRDefault="002F7250" w:rsidP="008B0FC5">
      <w:pPr>
        <w:pStyle w:val="TEKSTIII"/>
      </w:pPr>
      <w:r w:rsidRPr="00E83C5E">
        <w:t xml:space="preserve">Masa 1.3.1. Krijohen baza të dhënash statistikore dhe studimore për rininë në Shqipëri përmes forcimit të kërkimit shkencor rreth rinisë dhe për rininë si në nivel kombëtar dhe ndërkombëtar duke fuqizuar edhe studimin e rinisë si fushë akademike dhe shkencore. Kjo masë krijon një bazën e duhur për të ndërtuar dhe fuqizuar kërkimin shkencor për rininë. Ajo hap mundësinë për të hartuar politika rinore më efektivie duke i ndërtuar ato në bazë të të dhënave statistikore dhe shkencore. Për më tepër kjo masë lejon bashkëpunim me </w:t>
      </w:r>
      <w:r w:rsidR="005443BF" w:rsidRPr="00E83C5E">
        <w:t>institucione</w:t>
      </w:r>
      <w:r w:rsidRPr="00E83C5E">
        <w:t xml:space="preserve"> rinore n</w:t>
      </w:r>
      <w:r w:rsidR="00B2418D" w:rsidRPr="00E83C5E">
        <w:t>ë</w:t>
      </w:r>
      <w:r w:rsidRPr="00E83C5E">
        <w:t xml:space="preserve"> BE dhe më gjerë bazuar në shkëmbimin e të dhënave dhe bashkërendimin e politikave rinore.</w:t>
      </w:r>
    </w:p>
    <w:p w14:paraId="574E2DC7" w14:textId="2C5A0BF0" w:rsidR="002F7250" w:rsidRPr="00E83C5E" w:rsidRDefault="002F7250" w:rsidP="008B0FC5">
      <w:pPr>
        <w:pStyle w:val="TEKSTIII"/>
      </w:pPr>
      <w:r w:rsidRPr="00E83C5E">
        <w:t xml:space="preserve">Masa 2.1.2. Nxitet dhe forcohet punësimi rinor në fushën e TIK dhe digjitalizimit përmes </w:t>
      </w:r>
      <w:r w:rsidR="005443BF" w:rsidRPr="00E83C5E">
        <w:t>zhvillimit</w:t>
      </w:r>
      <w:r w:rsidRPr="00E83C5E">
        <w:t xml:space="preserve"> të programeve të aftësimit në kodim, TIK dhe digjitalizim bazuar në studimet e tregut dhe </w:t>
      </w:r>
      <w:r w:rsidR="005443BF" w:rsidRPr="00E83C5E">
        <w:t>zhvillimit</w:t>
      </w:r>
      <w:r w:rsidRPr="00E83C5E">
        <w:t xml:space="preserve"> të punësimit në këtë fushë si në Shqipëri dhe më gjerë. Kjo masë fuqizon synimin e qeverisë për të nxitur punësimin përmes zhvillimit të punëve në fusha të reja dhe rrit mundësitë për angazhim efektiv të të rinjve në tregun e punës duke i lejuar mundësi të mira profesionale. Kjo masë synon të rrisë pjesëmarrjen në tregun e punës të vajzave dhe grave të reja me anë të krijimit të kushteve për punësim me kohë të pjesshme dhe në mjedise alternative.</w:t>
      </w:r>
    </w:p>
    <w:p w14:paraId="574E2DC8" w14:textId="69CA374D" w:rsidR="002F7250" w:rsidRPr="00E83C5E" w:rsidRDefault="002F7250" w:rsidP="008B0FC5">
      <w:pPr>
        <w:pStyle w:val="TEKSTIII"/>
      </w:pPr>
      <w:r w:rsidRPr="00E83C5E">
        <w:t>Masa 2.2.1. Mbështeten të rejat dhe të rinjtë në pikat kritike të zhvillimit si kalimi në shkollën e mesme të lartë dhe kalimi nga shkolla në tregun e punës ose në studimet e nivelit universitar me këshillim dhe informacione që lidhin përzgjedhjen e fushës se arsimit me mundësitë në tregun e punës në bashkërendimin me masat e parashikuara në Strategjinë Kombëtare të Arsimit 2021</w:t>
      </w:r>
      <w:r w:rsidR="008B63B6" w:rsidRPr="00E83C5E">
        <w:t>–</w:t>
      </w:r>
      <w:r w:rsidRPr="00E83C5E">
        <w:t>26. Punësimit të</w:t>
      </w:r>
      <w:r w:rsidR="00233C37" w:rsidRPr="00E83C5E">
        <w:t xml:space="preserve"> </w:t>
      </w:r>
      <w:r w:rsidRPr="00E83C5E">
        <w:t xml:space="preserve">të rinjve në fusha inovative i paraprin një proces efektiv këshillimi për punësim dhe karrierë si në përfundim të arsimit të detyruar ashtu edhe përpara hyrjes në tregun e punës. Bazuar në </w:t>
      </w:r>
      <w:r w:rsidR="00B2418D" w:rsidRPr="00E83C5E">
        <w:t xml:space="preserve">garancinë rinore </w:t>
      </w:r>
      <w:r w:rsidRPr="00E83C5E">
        <w:t>të mbështetur nga BE</w:t>
      </w:r>
      <w:r w:rsidR="00B2418D" w:rsidRPr="00E83C5E">
        <w:t>-ja</w:t>
      </w:r>
      <w:r w:rsidRPr="00E83C5E">
        <w:t xml:space="preserve">, programi </w:t>
      </w:r>
      <w:r w:rsidR="00D540B0" w:rsidRPr="00E83C5E">
        <w:t>“</w:t>
      </w:r>
      <w:r w:rsidRPr="00E83C5E">
        <w:t xml:space="preserve">Qëndro në </w:t>
      </w:r>
      <w:r w:rsidR="00B2418D" w:rsidRPr="00E83C5E">
        <w:t>s</w:t>
      </w:r>
      <w:r w:rsidRPr="00E83C5E">
        <w:t>hkollë</w:t>
      </w:r>
      <w:r w:rsidR="00D540B0" w:rsidRPr="00E83C5E">
        <w:t>”</w:t>
      </w:r>
      <w:r w:rsidRPr="00E83C5E">
        <w:t xml:space="preserve"> i mbështetur </w:t>
      </w:r>
      <w:r w:rsidRPr="00E83C5E">
        <w:lastRenderedPageBreak/>
        <w:t>nga Republika e Italisë dhe projektet e donatorëve të tjerë në këtë fushë, procesi i këshillimit të karrierës vihet në baza të forta dhe bashkë-shoqëron të rejat dhe të rinjtë n</w:t>
      </w:r>
      <w:r w:rsidR="008B63B6" w:rsidRPr="00E83C5E">
        <w:rPr>
          <w:rFonts w:cs="Times New Roman"/>
        </w:rPr>
        <w:t>ë</w:t>
      </w:r>
      <w:r w:rsidRPr="00E83C5E">
        <w:t xml:space="preserve"> rritjen e tyre profesionale.</w:t>
      </w:r>
    </w:p>
    <w:p w14:paraId="574E2DC9" w14:textId="2AE78191" w:rsidR="002F7250" w:rsidRPr="00E83C5E" w:rsidRDefault="002F7250" w:rsidP="002F7250">
      <w:pPr>
        <w:shd w:val="clear" w:color="auto" w:fill="FFFFFF"/>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Masa 2.2.3. Mbështeten dhe zhvillohen programe të seksioneve sportive amatore, arteve, artizanatit dhe aktiviteteve të tjera jashtë kurrikulare që synojnë zhvillimin e aftësive për jetë të shëndetshme, me fokus të veçantë te</w:t>
      </w:r>
      <w:r w:rsidR="00B2418D" w:rsidRPr="00E83C5E">
        <w:rPr>
          <w:rFonts w:ascii="Garamond" w:hAnsi="Garamond" w:cs="Times New Roman"/>
          <w:sz w:val="24"/>
          <w:szCs w:val="24"/>
        </w:rPr>
        <w:t>k</w:t>
      </w:r>
      <w:r w:rsidRPr="00E83C5E">
        <w:rPr>
          <w:rFonts w:ascii="Garamond" w:hAnsi="Garamond" w:cs="Times New Roman"/>
          <w:sz w:val="24"/>
          <w:szCs w:val="24"/>
        </w:rPr>
        <w:t xml:space="preserve"> të rejat. Kjo masë merr prioritet sepse realizon mbështetje për të rinjtë në kohën e lirë. Angazhimi i të rejave dhe të rinjve në sporte dhe arte </w:t>
      </w:r>
      <w:r w:rsidR="005443BF" w:rsidRPr="00E83C5E">
        <w:rPr>
          <w:rFonts w:ascii="Garamond" w:hAnsi="Garamond" w:cs="Times New Roman"/>
          <w:sz w:val="24"/>
          <w:szCs w:val="24"/>
        </w:rPr>
        <w:t>përmirëson</w:t>
      </w:r>
      <w:r w:rsidRPr="00E83C5E">
        <w:rPr>
          <w:rFonts w:ascii="Garamond" w:hAnsi="Garamond" w:cs="Times New Roman"/>
          <w:sz w:val="24"/>
          <w:szCs w:val="24"/>
        </w:rPr>
        <w:t xml:space="preserve"> </w:t>
      </w:r>
      <w:r w:rsidR="005443BF" w:rsidRPr="00E83C5E">
        <w:rPr>
          <w:rFonts w:ascii="Garamond" w:hAnsi="Garamond" w:cs="Times New Roman"/>
          <w:sz w:val="24"/>
          <w:szCs w:val="24"/>
        </w:rPr>
        <w:t>shëndetin</w:t>
      </w:r>
      <w:r w:rsidRPr="00E83C5E">
        <w:rPr>
          <w:rFonts w:ascii="Garamond" w:hAnsi="Garamond" w:cs="Times New Roman"/>
          <w:sz w:val="24"/>
          <w:szCs w:val="24"/>
        </w:rPr>
        <w:t xml:space="preserve"> e tyre fizik dhe mendor dhe i bën ata më të lidhur si me njëri tjetrin dhe me mjedisin dhe komunitetin. Edhe kjo masë lejon zhvillimin e </w:t>
      </w:r>
      <w:r w:rsidR="005443BF" w:rsidRPr="00E83C5E">
        <w:rPr>
          <w:rFonts w:ascii="Garamond" w:hAnsi="Garamond" w:cs="Times New Roman"/>
          <w:sz w:val="24"/>
          <w:szCs w:val="24"/>
        </w:rPr>
        <w:t>bashkëpunimit</w:t>
      </w:r>
      <w:r w:rsidRPr="00E83C5E">
        <w:rPr>
          <w:rFonts w:ascii="Garamond" w:hAnsi="Garamond" w:cs="Times New Roman"/>
          <w:sz w:val="24"/>
          <w:szCs w:val="24"/>
        </w:rPr>
        <w:t xml:space="preserve"> rajonal dhe evropian përmes lidhjes n</w:t>
      </w:r>
      <w:r w:rsidR="008B63B6" w:rsidRPr="00E83C5E">
        <w:rPr>
          <w:rFonts w:ascii="Garamond" w:hAnsi="Garamond" w:cs="Times New Roman"/>
          <w:sz w:val="24"/>
          <w:szCs w:val="24"/>
        </w:rPr>
        <w:t>ë</w:t>
      </w:r>
      <w:r w:rsidRPr="00E83C5E">
        <w:rPr>
          <w:rFonts w:ascii="Garamond" w:hAnsi="Garamond" w:cs="Times New Roman"/>
          <w:sz w:val="24"/>
          <w:szCs w:val="24"/>
        </w:rPr>
        <w:t xml:space="preserve"> programet e sportit dhe artit që mbështeten nga Bashkimi Evropian dhe organizma të tjera ndërkombëtare.</w:t>
      </w:r>
    </w:p>
    <w:p w14:paraId="574E2DCA" w14:textId="77777777" w:rsidR="002F7250" w:rsidRPr="00E83C5E" w:rsidRDefault="002F7250" w:rsidP="002F7250">
      <w:pPr>
        <w:shd w:val="clear" w:color="auto" w:fill="FFFFFF"/>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Masa 3.3.1. Mbështetet ndërtimi, riparimi dhe rinovimi i hapësirave publike të projektuara për të rinjtë me qëllim përmirësimin e qasjes së të rinjve në hapësira të sigurta takimi edhe në kohën e lirë. Kjo masë merr prioritet pasi realizimi i saj mbulon pjesën e mbetur nga spektri i kërkesave parësore të të rinjve të paraqitura në takimet e realizuara me ta. Kjo masë me karakterin e saj infrastrukturor i bën të qëndrueshme politikat rinore dhe i qendërzon ato pranë bashkive dhe më pranë të rinjve. Zhvillimi i qendrave të tilla hap mundësi bashkëpunimi evropian duke mundësuar marrjen e përvojave më të mira në këtë fushë dhe zbatimin e përshtatur të tyre në Shqipëri.</w:t>
      </w:r>
    </w:p>
    <w:p w14:paraId="574E2DCB" w14:textId="5B474E2C" w:rsidR="002F7250" w:rsidRPr="00E83C5E" w:rsidRDefault="002F7250" w:rsidP="008B0FC5">
      <w:pPr>
        <w:pStyle w:val="TEKSTIII"/>
        <w:rPr>
          <w:b/>
        </w:rPr>
      </w:pPr>
      <w:r w:rsidRPr="00E83C5E">
        <w:rPr>
          <w:b/>
        </w:rPr>
        <w:t xml:space="preserve">Pjesa IV: Zbatimi, </w:t>
      </w:r>
      <w:r w:rsidR="00834C0B" w:rsidRPr="00E83C5E">
        <w:rPr>
          <w:b/>
        </w:rPr>
        <w:t xml:space="preserve">llogaridhënia dhe koordinimi </w:t>
      </w:r>
      <w:bookmarkEnd w:id="6"/>
    </w:p>
    <w:p w14:paraId="574E2DCC" w14:textId="57A7D893" w:rsidR="002F7250" w:rsidRPr="00E83C5E" w:rsidRDefault="002F7250" w:rsidP="002F7250">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Zbatimi efektiv dhe i suksesshëm i SKR 2022</w:t>
      </w:r>
      <w:r w:rsidR="00E163BC" w:rsidRPr="00E83C5E">
        <w:rPr>
          <w:rFonts w:ascii="Garamond" w:hAnsi="Garamond" w:cs="Times New Roman"/>
          <w:sz w:val="24"/>
          <w:szCs w:val="24"/>
        </w:rPr>
        <w:t>–</w:t>
      </w:r>
      <w:r w:rsidRPr="00E83C5E">
        <w:rPr>
          <w:rFonts w:ascii="Garamond" w:hAnsi="Garamond" w:cs="Times New Roman"/>
          <w:sz w:val="24"/>
          <w:szCs w:val="24"/>
        </w:rPr>
        <w:t>2029 do të arrihet përmes një sistemi monitorimi dhe vlerësimi për të verifikuar progresin në plotësimin ose jo të objektivave specifik</w:t>
      </w:r>
      <w:r w:rsidR="000971B2" w:rsidRPr="00E83C5E">
        <w:rPr>
          <w:rFonts w:ascii="Garamond" w:hAnsi="Garamond" w:cs="Times New Roman"/>
          <w:sz w:val="24"/>
          <w:szCs w:val="24"/>
        </w:rPr>
        <w:t>ë</w:t>
      </w:r>
      <w:r w:rsidR="00A83D87">
        <w:rPr>
          <w:rFonts w:ascii="Garamond" w:hAnsi="Garamond" w:cs="Times New Roman"/>
          <w:sz w:val="24"/>
          <w:szCs w:val="24"/>
        </w:rPr>
        <w:t xml:space="preserve"> </w:t>
      </w:r>
      <w:r w:rsidRPr="00E83C5E">
        <w:rPr>
          <w:rFonts w:ascii="Garamond" w:hAnsi="Garamond" w:cs="Times New Roman"/>
          <w:sz w:val="24"/>
          <w:szCs w:val="24"/>
        </w:rPr>
        <w:t>dhe masave të vendosura në Planin e Veprimit.</w:t>
      </w:r>
      <w:r w:rsidR="00233C37" w:rsidRPr="00E83C5E">
        <w:rPr>
          <w:rFonts w:ascii="Garamond" w:hAnsi="Garamond" w:cs="Times New Roman"/>
          <w:sz w:val="24"/>
          <w:szCs w:val="24"/>
        </w:rPr>
        <w:t xml:space="preserve"> </w:t>
      </w:r>
    </w:p>
    <w:p w14:paraId="574E2DCD" w14:textId="25DD17AF" w:rsidR="002F7250" w:rsidRPr="00E83C5E" w:rsidRDefault="002F7250" w:rsidP="002F7250">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I gjithë procesi i monitorimit dhe vlerësimit do të menaxhohet përmes Komitetit Drejtues Sektorial për Strat</w:t>
      </w:r>
      <w:r w:rsidR="00E163BC" w:rsidRPr="00E83C5E">
        <w:rPr>
          <w:rFonts w:ascii="Garamond" w:hAnsi="Garamond" w:cs="Times New Roman"/>
          <w:sz w:val="24"/>
          <w:szCs w:val="24"/>
        </w:rPr>
        <w:t>egjinë Kombëtare të Rinisë 2022–</w:t>
      </w:r>
      <w:r w:rsidRPr="00E83C5E">
        <w:rPr>
          <w:rFonts w:ascii="Garamond" w:hAnsi="Garamond" w:cs="Times New Roman"/>
          <w:sz w:val="24"/>
          <w:szCs w:val="24"/>
        </w:rPr>
        <w:t xml:space="preserve">29, siç parashikohet në </w:t>
      </w:r>
      <w:r w:rsidR="000971B2" w:rsidRPr="00E83C5E">
        <w:rPr>
          <w:rFonts w:ascii="Garamond" w:hAnsi="Garamond" w:cs="Times New Roman"/>
          <w:sz w:val="24"/>
          <w:szCs w:val="24"/>
        </w:rPr>
        <w:t>u</w:t>
      </w:r>
      <w:r w:rsidRPr="00E83C5E">
        <w:rPr>
          <w:rFonts w:ascii="Garamond" w:hAnsi="Garamond" w:cs="Times New Roman"/>
          <w:sz w:val="24"/>
          <w:szCs w:val="24"/>
        </w:rPr>
        <w:t xml:space="preserve">rdhrin e Kryeministrit </w:t>
      </w:r>
      <w:r w:rsidR="00E163BC" w:rsidRPr="00E83C5E">
        <w:rPr>
          <w:rFonts w:ascii="Garamond" w:hAnsi="Garamond" w:cs="Times New Roman"/>
          <w:sz w:val="24"/>
          <w:szCs w:val="24"/>
        </w:rPr>
        <w:t>n</w:t>
      </w:r>
      <w:r w:rsidRPr="00E83C5E">
        <w:rPr>
          <w:rFonts w:ascii="Garamond" w:hAnsi="Garamond" w:cs="Times New Roman"/>
          <w:sz w:val="24"/>
          <w:szCs w:val="24"/>
        </w:rPr>
        <w:t>r</w:t>
      </w:r>
      <w:r w:rsidR="00E163BC" w:rsidRPr="00E83C5E">
        <w:rPr>
          <w:rFonts w:ascii="Garamond" w:hAnsi="Garamond" w:cs="Times New Roman"/>
          <w:sz w:val="24"/>
          <w:szCs w:val="24"/>
        </w:rPr>
        <w:t xml:space="preserve">. </w:t>
      </w:r>
      <w:r w:rsidRPr="00E83C5E">
        <w:rPr>
          <w:rFonts w:ascii="Garamond" w:hAnsi="Garamond" w:cs="Times New Roman"/>
          <w:sz w:val="24"/>
          <w:szCs w:val="24"/>
        </w:rPr>
        <w:t>157 datë 22.10.2018</w:t>
      </w:r>
      <w:r w:rsidR="00E163BC" w:rsidRPr="00E83C5E">
        <w:rPr>
          <w:rFonts w:ascii="Garamond" w:hAnsi="Garamond" w:cs="Times New Roman"/>
          <w:sz w:val="24"/>
          <w:szCs w:val="24"/>
        </w:rPr>
        <w:t>,</w:t>
      </w:r>
      <w:r w:rsidRPr="00E83C5E">
        <w:rPr>
          <w:rFonts w:ascii="Garamond" w:hAnsi="Garamond" w:cs="Times New Roman"/>
          <w:sz w:val="24"/>
          <w:szCs w:val="24"/>
        </w:rPr>
        <w:t xml:space="preserve"> </w:t>
      </w:r>
      <w:r w:rsidR="00D540B0" w:rsidRPr="00E83C5E">
        <w:rPr>
          <w:rFonts w:ascii="Garamond" w:hAnsi="Garamond" w:cs="Times New Roman"/>
          <w:sz w:val="24"/>
          <w:szCs w:val="24"/>
        </w:rPr>
        <w:t>“</w:t>
      </w:r>
      <w:r w:rsidRPr="00E83C5E">
        <w:rPr>
          <w:rFonts w:ascii="Garamond" w:hAnsi="Garamond" w:cs="Times New Roman"/>
          <w:sz w:val="24"/>
          <w:szCs w:val="24"/>
        </w:rPr>
        <w:t>Për marrjen e masave për zbatimin e qasjes së gjerë sektoriale/ndërsektoriale, dhe krijimin dhe funksionimin e një mekanizmi të integruar sektorial/ndërsektorial</w:t>
      </w:r>
      <w:r w:rsidR="00D540B0" w:rsidRPr="00E83C5E">
        <w:rPr>
          <w:rFonts w:ascii="Garamond" w:hAnsi="Garamond" w:cs="Times New Roman"/>
          <w:sz w:val="24"/>
          <w:szCs w:val="24"/>
        </w:rPr>
        <w:t>”</w:t>
      </w:r>
      <w:r w:rsidRPr="00E83C5E">
        <w:rPr>
          <w:rFonts w:ascii="Garamond" w:hAnsi="Garamond" w:cs="Times New Roman"/>
          <w:sz w:val="24"/>
          <w:szCs w:val="24"/>
        </w:rPr>
        <w:t xml:space="preserve">. </w:t>
      </w:r>
    </w:p>
    <w:p w14:paraId="574E2DCE" w14:textId="379F67E5" w:rsidR="002F7250" w:rsidRPr="00E83C5E" w:rsidRDefault="002F7250" w:rsidP="002F7250">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Komiteti Drejtues për Strategjinë e Rinisë do të operojë përmes grupeve tematike të cilat do të jenë pjesë e Grupit për Menaxhimin e Integruar të Politikave për sektorin e rinisë dhe institucionet e tjera pjesëmarrëse, si dhe nëpërmjet Sekretariatit Teknik</w:t>
      </w:r>
      <w:r w:rsidR="00E163BC" w:rsidRPr="00E83C5E">
        <w:rPr>
          <w:rFonts w:ascii="Garamond" w:hAnsi="Garamond" w:cs="Times New Roman"/>
          <w:sz w:val="24"/>
          <w:szCs w:val="24"/>
        </w:rPr>
        <w:t>,</w:t>
      </w:r>
      <w:r w:rsidRPr="00E83C5E">
        <w:rPr>
          <w:rFonts w:ascii="Garamond" w:hAnsi="Garamond" w:cs="Times New Roman"/>
          <w:sz w:val="24"/>
          <w:szCs w:val="24"/>
        </w:rPr>
        <w:t xml:space="preserve"> i cili do të formalizohetme urdhër të </w:t>
      </w:r>
      <w:r w:rsidR="00B10BE3" w:rsidRPr="00E83C5E">
        <w:rPr>
          <w:rFonts w:ascii="Garamond" w:hAnsi="Garamond" w:cs="Times New Roman"/>
          <w:sz w:val="24"/>
          <w:szCs w:val="24"/>
        </w:rPr>
        <w:t xml:space="preserve">ministrit </w:t>
      </w:r>
      <w:r w:rsidRPr="00E83C5E">
        <w:rPr>
          <w:rFonts w:ascii="Garamond" w:hAnsi="Garamond" w:cs="Times New Roman"/>
          <w:sz w:val="24"/>
          <w:szCs w:val="24"/>
        </w:rPr>
        <w:t>të Shtetit për Rininë dhe Fëmijët.</w:t>
      </w:r>
    </w:p>
    <w:p w14:paraId="574E2DCF" w14:textId="1F7AAD25" w:rsidR="002F7250" w:rsidRPr="00E83C5E" w:rsidRDefault="002F7250" w:rsidP="002F7250">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Raportet e monitorimit do të hartohen në bashkëpunim me të gjitha institucionet e përfshira</w:t>
      </w:r>
      <w:r w:rsidR="00BE7B59">
        <w:rPr>
          <w:rFonts w:ascii="Garamond" w:hAnsi="Garamond" w:cs="Times New Roman"/>
          <w:sz w:val="24"/>
          <w:szCs w:val="24"/>
        </w:rPr>
        <w:t>,</w:t>
      </w:r>
      <w:r w:rsidRPr="00E83C5E">
        <w:rPr>
          <w:rFonts w:ascii="Garamond" w:hAnsi="Garamond" w:cs="Times New Roman"/>
          <w:sz w:val="24"/>
          <w:szCs w:val="24"/>
        </w:rPr>
        <w:t xml:space="preserve"> si dhe do të diskutohen në grupet tematike të krijuara për këtë qëllim sipas objektivave specifik</w:t>
      </w:r>
      <w:r w:rsidR="00A83D87">
        <w:rPr>
          <w:rFonts w:ascii="Garamond" w:hAnsi="Garamond" w:cs="Times New Roman"/>
          <w:sz w:val="24"/>
          <w:szCs w:val="24"/>
        </w:rPr>
        <w:t>ë</w:t>
      </w:r>
      <w:r w:rsidRPr="00E83C5E">
        <w:rPr>
          <w:rFonts w:ascii="Garamond" w:hAnsi="Garamond" w:cs="Times New Roman"/>
          <w:sz w:val="24"/>
          <w:szCs w:val="24"/>
        </w:rPr>
        <w:t xml:space="preserve"> të SKR 2022</w:t>
      </w:r>
      <w:r w:rsidR="00B10BE3" w:rsidRPr="00E83C5E">
        <w:rPr>
          <w:rFonts w:ascii="Garamond" w:hAnsi="Garamond" w:cs="Times New Roman"/>
          <w:sz w:val="24"/>
          <w:szCs w:val="24"/>
        </w:rPr>
        <w:t>–</w:t>
      </w:r>
      <w:r w:rsidRPr="00E83C5E">
        <w:rPr>
          <w:rFonts w:ascii="Garamond" w:hAnsi="Garamond" w:cs="Times New Roman"/>
          <w:sz w:val="24"/>
          <w:szCs w:val="24"/>
        </w:rPr>
        <w:t>2029 dhe më pas miratohen në Komitetin Drejtues Sektorial për sektorin e rinisë.</w:t>
      </w:r>
    </w:p>
    <w:p w14:paraId="574E2DD0" w14:textId="32B8D299" w:rsidR="002F7250" w:rsidRPr="00E83C5E" w:rsidRDefault="002F7250" w:rsidP="002F7250">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Gjithashtu, është dakordësuar që të ngrihet një grup pune midis menaxhimit të nivelit të mesëm nga MSHRF</w:t>
      </w:r>
      <w:r w:rsidR="009941D7" w:rsidRPr="00E83C5E">
        <w:rPr>
          <w:rFonts w:ascii="Garamond" w:hAnsi="Garamond" w:cs="Times New Roman"/>
          <w:sz w:val="24"/>
          <w:szCs w:val="24"/>
        </w:rPr>
        <w:t>-ja</w:t>
      </w:r>
      <w:r w:rsidRPr="00E83C5E">
        <w:rPr>
          <w:rFonts w:ascii="Garamond" w:hAnsi="Garamond" w:cs="Times New Roman"/>
          <w:sz w:val="24"/>
          <w:szCs w:val="24"/>
        </w:rPr>
        <w:t xml:space="preserve"> dhe institucionet e qeverisjes së rinisë, si edhe MSHRF</w:t>
      </w:r>
      <w:r w:rsidR="009941D7" w:rsidRPr="00E83C5E">
        <w:rPr>
          <w:rFonts w:ascii="Garamond" w:hAnsi="Garamond" w:cs="Times New Roman"/>
          <w:sz w:val="24"/>
          <w:szCs w:val="24"/>
        </w:rPr>
        <w:t>-ja</w:t>
      </w:r>
      <w:r w:rsidRPr="00E83C5E">
        <w:rPr>
          <w:rFonts w:ascii="Garamond" w:hAnsi="Garamond" w:cs="Times New Roman"/>
          <w:sz w:val="24"/>
          <w:szCs w:val="24"/>
        </w:rPr>
        <w:t xml:space="preserve"> për të diskutuar problematikat dhe pengesat që dalin gjatë zbatimit të SKR dhe gjatë ushtrimit normal të aktiviteteve të institucioneve përkatëse, të cilat kërkojnë një qasje të përbashkët.</w:t>
      </w:r>
      <w:r w:rsidR="00233C37" w:rsidRPr="00E83C5E">
        <w:rPr>
          <w:rFonts w:ascii="Garamond" w:hAnsi="Garamond" w:cs="Times New Roman"/>
          <w:sz w:val="24"/>
          <w:szCs w:val="24"/>
        </w:rPr>
        <w:t xml:space="preserve"> </w:t>
      </w:r>
    </w:p>
    <w:p w14:paraId="574E2DD1" w14:textId="1C044600" w:rsidR="002F7250" w:rsidRPr="00E83C5E" w:rsidRDefault="002F7250" w:rsidP="002F7250">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Në </w:t>
      </w:r>
      <w:r w:rsidR="009941D7" w:rsidRPr="00E83C5E">
        <w:rPr>
          <w:rFonts w:ascii="Garamond" w:hAnsi="Garamond" w:cs="Times New Roman"/>
          <w:sz w:val="24"/>
          <w:szCs w:val="24"/>
        </w:rPr>
        <w:t xml:space="preserve">qëllimin e politikës </w:t>
      </w:r>
      <w:r w:rsidRPr="00E83C5E">
        <w:rPr>
          <w:rFonts w:ascii="Garamond" w:hAnsi="Garamond" w:cs="Times New Roman"/>
          <w:sz w:val="24"/>
          <w:szCs w:val="24"/>
        </w:rPr>
        <w:t>1 përfshihet përgatitja e statistikave të përmirësuara të sektorit dhe i sistemeve të përmirësuar të menaxhimit të performancës, me qëllim realizimin në kohë dhe cilësi të raportimit për plotësimin e objektivave.</w:t>
      </w:r>
      <w:r w:rsidR="00233C37" w:rsidRPr="00E83C5E">
        <w:rPr>
          <w:rFonts w:ascii="Garamond" w:hAnsi="Garamond" w:cs="Times New Roman"/>
          <w:sz w:val="24"/>
          <w:szCs w:val="24"/>
        </w:rPr>
        <w:t xml:space="preserve"> </w:t>
      </w:r>
      <w:r w:rsidRPr="00E83C5E">
        <w:rPr>
          <w:rFonts w:ascii="Garamond" w:hAnsi="Garamond" w:cs="Times New Roman"/>
          <w:sz w:val="24"/>
          <w:szCs w:val="24"/>
        </w:rPr>
        <w:t xml:space="preserve"> </w:t>
      </w:r>
    </w:p>
    <w:p w14:paraId="574E2DD2" w14:textId="7870E551" w:rsidR="002F7250" w:rsidRPr="00E83C5E" w:rsidRDefault="008B0FC5" w:rsidP="008B0FC5">
      <w:pPr>
        <w:pStyle w:val="TEKSTIII"/>
        <w:rPr>
          <w:b/>
        </w:rPr>
      </w:pPr>
      <w:bookmarkStart w:id="10" w:name="_Toc103290740"/>
      <w:r w:rsidRPr="00E83C5E">
        <w:rPr>
          <w:b/>
        </w:rPr>
        <w:t>-</w:t>
      </w:r>
      <w:r w:rsidR="00C011B4" w:rsidRPr="00E83C5E">
        <w:rPr>
          <w:b/>
        </w:rPr>
        <w:t xml:space="preserve"> </w:t>
      </w:r>
      <w:r w:rsidR="002F7250" w:rsidRPr="00E83C5E">
        <w:rPr>
          <w:b/>
        </w:rPr>
        <w:t>Metodologjia e monitorimit</w:t>
      </w:r>
      <w:bookmarkEnd w:id="10"/>
    </w:p>
    <w:p w14:paraId="574E2DD3" w14:textId="6F909715" w:rsidR="002F7250" w:rsidRPr="00E83C5E" w:rsidRDefault="002F7250" w:rsidP="008B0FC5">
      <w:pPr>
        <w:pStyle w:val="TEKSTIII"/>
      </w:pPr>
      <w:r w:rsidRPr="00E83C5E">
        <w:t>MSHRF</w:t>
      </w:r>
      <w:r w:rsidR="00A06116" w:rsidRPr="00E83C5E">
        <w:t>-ja</w:t>
      </w:r>
      <w:r w:rsidRPr="00E83C5E">
        <w:t xml:space="preserve"> do të hartojë raporte gjashtë mujore dhe vjetore monitorimi dhe vlerësimi bazuar në standardet IPSIS për monitorimin dhe raportimin e dokument</w:t>
      </w:r>
      <w:r w:rsidR="00A06116" w:rsidRPr="00E83C5E">
        <w:t>e</w:t>
      </w:r>
      <w:r w:rsidRPr="00E83C5E">
        <w:t xml:space="preserve">ve strategjike, të cilët do të prodhojnë informacion të nevojshëm dhe në kohë për politikëbërësit mbi progresin e zbatimit të masave që janë parashikuar në Planin e Veprimit të SKR për 2 </w:t>
      </w:r>
      <w:r w:rsidR="003E3A24" w:rsidRPr="00E83C5E">
        <w:t>vjetët</w:t>
      </w:r>
      <w:r w:rsidRPr="00E83C5E">
        <w:t xml:space="preserve"> e </w:t>
      </w:r>
      <w:r w:rsidR="003E3A24" w:rsidRPr="00E83C5E">
        <w:t>ardhshëm</w:t>
      </w:r>
      <w:r w:rsidRPr="00E83C5E">
        <w:t>. Gjithashtu, do parashikohet dhe një monitorim afatmesëm për zbatimin në fund të vitit 2026. Plani i veprimit të dokumentit strategjik, duke marrë në konsideratë shkallën e mobilizimit të burimeve financiare për zbatimin e tij, do të rishikohet çdo 2</w:t>
      </w:r>
      <w:r w:rsidR="009941D7" w:rsidRPr="00E83C5E">
        <w:t>–</w:t>
      </w:r>
      <w:r w:rsidRPr="00E83C5E">
        <w:t>3</w:t>
      </w:r>
      <w:r w:rsidR="009941D7" w:rsidRPr="00E83C5E">
        <w:t xml:space="preserve"> </w:t>
      </w:r>
      <w:r w:rsidRPr="00E83C5E">
        <w:t xml:space="preserve">vjet për të siguruar në këtë mënyrë një vlerësim real për zbatimin e tij. </w:t>
      </w:r>
    </w:p>
    <w:p w14:paraId="574E2DD4" w14:textId="52F1E682" w:rsidR="002F7250" w:rsidRPr="00E83C5E" w:rsidRDefault="002F7250" w:rsidP="008B0FC5">
      <w:pPr>
        <w:pStyle w:val="TEKSTIII"/>
      </w:pPr>
      <w:r w:rsidRPr="00E83C5E">
        <w:lastRenderedPageBreak/>
        <w:t>MSHRF</w:t>
      </w:r>
      <w:r w:rsidR="00A06116" w:rsidRPr="00E83C5E">
        <w:t>-ja</w:t>
      </w:r>
      <w:r w:rsidRPr="00E83C5E">
        <w:t xml:space="preserve"> do të përdorë metodologjinë e monitorimit të bazuar në standardet IPSIS që do të përcaktojnë se si do të kryhet procesi i monitorimit dhe vlerësimit me qëllim krijimin e një sistemi efektiv, të unifikuar dhe sistematik të raportimit të të dhënave të të gjith</w:t>
      </w:r>
      <w:r w:rsidR="003E3A24" w:rsidRPr="00E83C5E">
        <w:t>a</w:t>
      </w:r>
      <w:r w:rsidRPr="00E83C5E">
        <w:t xml:space="preserve"> institucioneve të përfshira në zbatimin e sistemit IPSIS. </w:t>
      </w:r>
    </w:p>
    <w:p w14:paraId="574E2DD5" w14:textId="58F7D80A" w:rsidR="002F7250" w:rsidRPr="00E83C5E" w:rsidRDefault="002F7250" w:rsidP="002F7250">
      <w:pPr>
        <w:pStyle w:val="NoSpacing"/>
        <w:ind w:firstLine="284"/>
        <w:jc w:val="both"/>
        <w:rPr>
          <w:rFonts w:ascii="Garamond" w:hAnsi="Garamond"/>
          <w:sz w:val="24"/>
          <w:szCs w:val="24"/>
          <w:lang w:val="sq-AL"/>
        </w:rPr>
      </w:pPr>
      <w:r w:rsidRPr="00E83C5E">
        <w:rPr>
          <w:rFonts w:ascii="Garamond" w:hAnsi="Garamond"/>
          <w:sz w:val="24"/>
          <w:szCs w:val="24"/>
          <w:lang w:val="sq-AL"/>
        </w:rPr>
        <w:t>Sipas këtij dokumenti strategjik, secili institucion raporton mbi nivelin e zbatimit të secilit objektiv dhe masë, mbi buxhetin e alokuar, problemet e hasura dhe vlerësimin e progresit të strategjisë në përgjithësi.</w:t>
      </w:r>
      <w:r w:rsidR="00233C37" w:rsidRPr="00E83C5E">
        <w:rPr>
          <w:rFonts w:ascii="Garamond" w:hAnsi="Garamond"/>
          <w:sz w:val="24"/>
          <w:szCs w:val="24"/>
          <w:lang w:val="sq-AL"/>
        </w:rPr>
        <w:t xml:space="preserve"> </w:t>
      </w:r>
      <w:r w:rsidRPr="00E83C5E">
        <w:rPr>
          <w:rFonts w:ascii="Garamond" w:hAnsi="Garamond"/>
          <w:sz w:val="24"/>
          <w:szCs w:val="24"/>
          <w:lang w:val="sq-AL"/>
        </w:rPr>
        <w:t>Për monitorimin e zbatimit të angazhimeve të ndërmarra, në lidhje me zbatimin e masave, procesi i monitorimit do të realizohet në nivel objektivi. Verifikimi i të dhënave të raportuara realizohet pjesërisht online për të garantuar saktësinë e tyre.</w:t>
      </w:r>
      <w:r w:rsidR="00233C37" w:rsidRPr="00E83C5E">
        <w:rPr>
          <w:rFonts w:ascii="Garamond" w:hAnsi="Garamond"/>
          <w:sz w:val="24"/>
          <w:szCs w:val="24"/>
          <w:lang w:val="sq-AL"/>
        </w:rPr>
        <w:t xml:space="preserve"> </w:t>
      </w:r>
      <w:r w:rsidRPr="00E83C5E">
        <w:rPr>
          <w:rFonts w:ascii="Garamond" w:hAnsi="Garamond"/>
          <w:sz w:val="24"/>
          <w:szCs w:val="24"/>
          <w:lang w:val="sq-AL"/>
        </w:rPr>
        <w:t>Përpunimi statistikor i të dhënave kryhet me anë të shifrimit të përgjigjeve sipas raporteve të marrë.</w:t>
      </w:r>
      <w:r w:rsidR="00233C37" w:rsidRPr="00E83C5E">
        <w:rPr>
          <w:rFonts w:ascii="Garamond" w:hAnsi="Garamond"/>
          <w:sz w:val="24"/>
          <w:szCs w:val="24"/>
          <w:lang w:val="sq-AL"/>
        </w:rPr>
        <w:t xml:space="preserve"> </w:t>
      </w:r>
      <w:r w:rsidRPr="00E83C5E">
        <w:rPr>
          <w:rFonts w:ascii="Garamond" w:hAnsi="Garamond"/>
          <w:sz w:val="24"/>
          <w:szCs w:val="24"/>
          <w:lang w:val="sq-AL"/>
        </w:rPr>
        <w:t>Këto raporte janë kryesisht të karakterit narrativ, por edhe statistikor duke përdorur indikatorë të të performancës.</w:t>
      </w:r>
    </w:p>
    <w:p w14:paraId="574E2DD6" w14:textId="08D1B8CB" w:rsidR="002F7250" w:rsidRPr="00E83C5E" w:rsidRDefault="002F7250" w:rsidP="002F7250">
      <w:pPr>
        <w:spacing w:after="0" w:line="240" w:lineRule="auto"/>
        <w:ind w:firstLine="284"/>
        <w:jc w:val="both"/>
        <w:rPr>
          <w:rFonts w:ascii="Garamond" w:eastAsia="Times New Roman" w:hAnsi="Garamond" w:cs="Times New Roman"/>
          <w:color w:val="000000"/>
          <w:sz w:val="24"/>
          <w:szCs w:val="24"/>
        </w:rPr>
      </w:pPr>
      <w:r w:rsidRPr="00E83C5E">
        <w:rPr>
          <w:rFonts w:ascii="Garamond" w:eastAsia="Times New Roman" w:hAnsi="Garamond" w:cs="Times New Roman"/>
          <w:color w:val="000000"/>
          <w:sz w:val="24"/>
          <w:szCs w:val="24"/>
        </w:rPr>
        <w:t xml:space="preserve">Në përputhje me procedurat që do të ndiqen për raportim </w:t>
      </w:r>
      <w:r w:rsidR="00B62513" w:rsidRPr="00E83C5E">
        <w:rPr>
          <w:rFonts w:ascii="Garamond" w:eastAsia="Times New Roman" w:hAnsi="Garamond" w:cs="Times New Roman"/>
          <w:color w:val="000000"/>
          <w:sz w:val="24"/>
          <w:szCs w:val="24"/>
        </w:rPr>
        <w:t>dhe</w:t>
      </w:r>
      <w:r w:rsidRPr="00E83C5E">
        <w:rPr>
          <w:rFonts w:ascii="Garamond" w:eastAsia="Times New Roman" w:hAnsi="Garamond" w:cs="Times New Roman"/>
          <w:color w:val="000000"/>
          <w:sz w:val="24"/>
          <w:szCs w:val="24"/>
        </w:rPr>
        <w:t xml:space="preserve"> monitorimin</w:t>
      </w:r>
      <w:r w:rsidR="00233C37" w:rsidRPr="00E83C5E">
        <w:rPr>
          <w:rFonts w:ascii="Garamond" w:eastAsia="Times New Roman" w:hAnsi="Garamond" w:cs="Times New Roman"/>
          <w:color w:val="000000"/>
          <w:sz w:val="24"/>
          <w:szCs w:val="24"/>
        </w:rPr>
        <w:t xml:space="preserve"> </w:t>
      </w:r>
      <w:r w:rsidRPr="00E83C5E">
        <w:rPr>
          <w:rFonts w:ascii="Garamond" w:eastAsia="Times New Roman" w:hAnsi="Garamond" w:cs="Times New Roman"/>
          <w:color w:val="000000"/>
          <w:sz w:val="24"/>
          <w:szCs w:val="24"/>
        </w:rPr>
        <w:t xml:space="preserve">në zbatim të </w:t>
      </w:r>
      <w:r w:rsidR="00B62513" w:rsidRPr="00E83C5E">
        <w:rPr>
          <w:rFonts w:ascii="Garamond" w:eastAsia="Times New Roman" w:hAnsi="Garamond" w:cs="Times New Roman"/>
          <w:color w:val="000000"/>
          <w:sz w:val="24"/>
          <w:szCs w:val="24"/>
        </w:rPr>
        <w:t xml:space="preserve">vendimit </w:t>
      </w:r>
      <w:r w:rsidRPr="00E83C5E">
        <w:rPr>
          <w:rFonts w:ascii="Garamond" w:eastAsia="Times New Roman" w:hAnsi="Garamond" w:cs="Times New Roman"/>
          <w:color w:val="000000"/>
          <w:sz w:val="24"/>
          <w:szCs w:val="24"/>
        </w:rPr>
        <w:t xml:space="preserve">të Këshillit të Ministrave </w:t>
      </w:r>
      <w:r w:rsidR="00B62513" w:rsidRPr="00E83C5E">
        <w:rPr>
          <w:rFonts w:ascii="Garamond" w:eastAsia="Times New Roman" w:hAnsi="Garamond" w:cs="Times New Roman"/>
          <w:color w:val="000000"/>
          <w:sz w:val="24"/>
          <w:szCs w:val="24"/>
        </w:rPr>
        <w:t>nr</w:t>
      </w:r>
      <w:r w:rsidRPr="00E83C5E">
        <w:rPr>
          <w:rFonts w:ascii="Garamond" w:eastAsia="Times New Roman" w:hAnsi="Garamond" w:cs="Times New Roman"/>
          <w:color w:val="000000"/>
          <w:sz w:val="24"/>
          <w:szCs w:val="24"/>
        </w:rPr>
        <w:t>. 290, datë 11.4.2020</w:t>
      </w:r>
      <w:r w:rsidR="00B62513" w:rsidRPr="00E83C5E">
        <w:rPr>
          <w:rFonts w:ascii="Garamond" w:eastAsia="Times New Roman" w:hAnsi="Garamond" w:cs="Times New Roman"/>
          <w:color w:val="000000"/>
          <w:sz w:val="24"/>
          <w:szCs w:val="24"/>
        </w:rPr>
        <w:t>,</w:t>
      </w:r>
      <w:r w:rsidRPr="00E83C5E">
        <w:rPr>
          <w:rFonts w:ascii="Garamond" w:eastAsia="Times New Roman" w:hAnsi="Garamond" w:cs="Times New Roman"/>
          <w:color w:val="000000"/>
          <w:sz w:val="24"/>
          <w:szCs w:val="24"/>
        </w:rPr>
        <w:t xml:space="preserve"> </w:t>
      </w:r>
      <w:r w:rsidR="00D540B0" w:rsidRPr="00E83C5E">
        <w:rPr>
          <w:rFonts w:ascii="Garamond" w:eastAsia="Times New Roman" w:hAnsi="Garamond" w:cs="Times New Roman"/>
          <w:color w:val="000000"/>
          <w:sz w:val="24"/>
          <w:szCs w:val="24"/>
        </w:rPr>
        <w:t>“</w:t>
      </w:r>
      <w:r w:rsidRPr="00E83C5E">
        <w:rPr>
          <w:rFonts w:ascii="Garamond" w:eastAsia="Times New Roman" w:hAnsi="Garamond" w:cs="Times New Roman"/>
          <w:color w:val="000000"/>
          <w:sz w:val="24"/>
          <w:szCs w:val="24"/>
        </w:rPr>
        <w:t>Për krijimin e bazës të të dhënave shtetërore të sistemit informatik të planifikimit të integruar (SIPI/IPSIS)</w:t>
      </w:r>
      <w:r w:rsidR="00D540B0" w:rsidRPr="00E83C5E">
        <w:rPr>
          <w:rFonts w:ascii="Garamond" w:eastAsia="Times New Roman" w:hAnsi="Garamond" w:cs="Times New Roman"/>
          <w:color w:val="000000"/>
          <w:sz w:val="24"/>
          <w:szCs w:val="24"/>
        </w:rPr>
        <w:t>”</w:t>
      </w:r>
      <w:r w:rsidRPr="00E83C5E">
        <w:rPr>
          <w:rFonts w:ascii="Garamond" w:eastAsia="Times New Roman" w:hAnsi="Garamond" w:cs="Times New Roman"/>
          <w:color w:val="000000"/>
          <w:sz w:val="24"/>
          <w:szCs w:val="24"/>
        </w:rPr>
        <w:t xml:space="preserve"> për përgatitjen e raporteve të monitorimit do të ndiqen fazat e mëposhtme.</w:t>
      </w:r>
    </w:p>
    <w:p w14:paraId="574E2DD7" w14:textId="3B6039EF" w:rsidR="002F7250" w:rsidRPr="00E83C5E" w:rsidRDefault="002F7250" w:rsidP="002F7250">
      <w:pPr>
        <w:spacing w:after="0" w:line="240" w:lineRule="auto"/>
        <w:ind w:firstLine="284"/>
        <w:jc w:val="both"/>
        <w:rPr>
          <w:rFonts w:ascii="Garamond" w:eastAsia="Times New Roman" w:hAnsi="Garamond" w:cs="Times New Roman"/>
          <w:color w:val="000000"/>
          <w:sz w:val="24"/>
          <w:szCs w:val="24"/>
        </w:rPr>
      </w:pPr>
      <w:r w:rsidRPr="00E83C5E">
        <w:rPr>
          <w:rFonts w:ascii="Garamond" w:eastAsia="Times New Roman" w:hAnsi="Garamond" w:cs="Times New Roman"/>
          <w:color w:val="000000"/>
          <w:sz w:val="24"/>
          <w:szCs w:val="24"/>
        </w:rPr>
        <w:t>Faza 1.</w:t>
      </w:r>
      <w:r w:rsidR="00B62513" w:rsidRPr="00E83C5E">
        <w:rPr>
          <w:rFonts w:ascii="Garamond" w:eastAsia="Times New Roman" w:hAnsi="Garamond" w:cs="Times New Roman"/>
          <w:color w:val="000000"/>
          <w:sz w:val="24"/>
          <w:szCs w:val="24"/>
        </w:rPr>
        <w:t xml:space="preserve"> </w:t>
      </w:r>
      <w:r w:rsidRPr="00E83C5E">
        <w:rPr>
          <w:rFonts w:ascii="Garamond" w:eastAsia="Times New Roman" w:hAnsi="Garamond" w:cs="Times New Roman"/>
          <w:color w:val="000000"/>
          <w:sz w:val="24"/>
          <w:szCs w:val="24"/>
        </w:rPr>
        <w:t xml:space="preserve">Marrja e të gjithë kontributeve nga institucionet raportuese dhe konsolidimi i paketës në përputhje me </w:t>
      </w:r>
      <w:r w:rsidR="00700750" w:rsidRPr="00E83C5E">
        <w:rPr>
          <w:rFonts w:ascii="Garamond" w:eastAsia="Times New Roman" w:hAnsi="Garamond" w:cs="Times New Roman"/>
          <w:color w:val="000000"/>
          <w:sz w:val="24"/>
          <w:szCs w:val="24"/>
        </w:rPr>
        <w:t>standard</w:t>
      </w:r>
      <w:r w:rsidRPr="00E83C5E">
        <w:rPr>
          <w:rFonts w:ascii="Garamond" w:eastAsia="Times New Roman" w:hAnsi="Garamond" w:cs="Times New Roman"/>
          <w:color w:val="000000"/>
          <w:sz w:val="24"/>
          <w:szCs w:val="24"/>
        </w:rPr>
        <w:t>et e sistemit (të rishikohet raporti);</w:t>
      </w:r>
    </w:p>
    <w:p w14:paraId="574E2DD8" w14:textId="6133D6A6" w:rsidR="002F7250" w:rsidRPr="00E83C5E" w:rsidRDefault="002F7250" w:rsidP="002F7250">
      <w:pPr>
        <w:spacing w:after="0" w:line="240" w:lineRule="auto"/>
        <w:ind w:firstLine="284"/>
        <w:jc w:val="both"/>
        <w:rPr>
          <w:rFonts w:ascii="Garamond" w:eastAsia="Times New Roman" w:hAnsi="Garamond" w:cs="Times New Roman"/>
          <w:color w:val="000000"/>
          <w:sz w:val="24"/>
          <w:szCs w:val="24"/>
        </w:rPr>
      </w:pPr>
      <w:r w:rsidRPr="00E83C5E">
        <w:rPr>
          <w:rFonts w:ascii="Garamond" w:eastAsia="Times New Roman" w:hAnsi="Garamond" w:cs="Times New Roman"/>
          <w:color w:val="000000"/>
          <w:sz w:val="24"/>
          <w:szCs w:val="24"/>
        </w:rPr>
        <w:t>Faza 2.</w:t>
      </w:r>
      <w:r w:rsidR="00B62513" w:rsidRPr="00E83C5E">
        <w:rPr>
          <w:rFonts w:ascii="Garamond" w:eastAsia="Times New Roman" w:hAnsi="Garamond" w:cs="Times New Roman"/>
          <w:color w:val="000000"/>
          <w:sz w:val="24"/>
          <w:szCs w:val="24"/>
        </w:rPr>
        <w:t xml:space="preserve"> </w:t>
      </w:r>
      <w:r w:rsidRPr="00E83C5E">
        <w:rPr>
          <w:rFonts w:ascii="Garamond" w:eastAsia="Times New Roman" w:hAnsi="Garamond" w:cs="Times New Roman"/>
          <w:color w:val="000000"/>
          <w:sz w:val="24"/>
          <w:szCs w:val="24"/>
        </w:rPr>
        <w:t xml:space="preserve">Dërgimi i paketës së plotë për vlerësim në SASPAC në Kryeministri i në përputhje me </w:t>
      </w:r>
      <w:r w:rsidR="00700750" w:rsidRPr="00E83C5E">
        <w:rPr>
          <w:rFonts w:ascii="Garamond" w:eastAsia="Times New Roman" w:hAnsi="Garamond" w:cs="Times New Roman"/>
          <w:color w:val="000000"/>
          <w:sz w:val="24"/>
          <w:szCs w:val="24"/>
        </w:rPr>
        <w:t>standard</w:t>
      </w:r>
      <w:r w:rsidRPr="00E83C5E">
        <w:rPr>
          <w:rFonts w:ascii="Garamond" w:eastAsia="Times New Roman" w:hAnsi="Garamond" w:cs="Times New Roman"/>
          <w:color w:val="000000"/>
          <w:sz w:val="24"/>
          <w:szCs w:val="24"/>
        </w:rPr>
        <w:t>et e sistemit. Paketa e plotë do të duhet të përfshijë materialet e mëposhtme:</w:t>
      </w:r>
    </w:p>
    <w:p w14:paraId="574E2DD9" w14:textId="12D97B33" w:rsidR="002F7250" w:rsidRPr="00E83C5E" w:rsidRDefault="002F7250" w:rsidP="002F7250">
      <w:pPr>
        <w:spacing w:after="0" w:line="240" w:lineRule="auto"/>
        <w:ind w:firstLine="284"/>
        <w:jc w:val="both"/>
        <w:rPr>
          <w:rFonts w:ascii="Garamond" w:eastAsia="Times New Roman" w:hAnsi="Garamond" w:cs="Times New Roman"/>
          <w:color w:val="000000"/>
          <w:sz w:val="24"/>
          <w:szCs w:val="24"/>
        </w:rPr>
      </w:pPr>
      <w:r w:rsidRPr="00E83C5E">
        <w:rPr>
          <w:rFonts w:ascii="Garamond" w:eastAsia="Times New Roman" w:hAnsi="Garamond" w:cs="Times New Roman"/>
          <w:color w:val="000000"/>
          <w:sz w:val="24"/>
          <w:szCs w:val="24"/>
        </w:rPr>
        <w:t xml:space="preserve">2.1 Raport progresin e konsoliduar në përputhje me </w:t>
      </w:r>
      <w:r w:rsidR="00700750" w:rsidRPr="00E83C5E">
        <w:rPr>
          <w:rFonts w:ascii="Garamond" w:eastAsia="Times New Roman" w:hAnsi="Garamond" w:cs="Times New Roman"/>
          <w:color w:val="000000"/>
          <w:sz w:val="24"/>
          <w:szCs w:val="24"/>
        </w:rPr>
        <w:t>standard</w:t>
      </w:r>
      <w:r w:rsidRPr="00E83C5E">
        <w:rPr>
          <w:rFonts w:ascii="Garamond" w:eastAsia="Times New Roman" w:hAnsi="Garamond" w:cs="Times New Roman"/>
          <w:color w:val="000000"/>
          <w:sz w:val="24"/>
          <w:szCs w:val="24"/>
        </w:rPr>
        <w:t>et e sistemit dhe metodologjinë e SASPAC;</w:t>
      </w:r>
    </w:p>
    <w:p w14:paraId="574E2DDA" w14:textId="189E5CB3" w:rsidR="002F7250" w:rsidRPr="00E83C5E" w:rsidRDefault="002F7250" w:rsidP="002F7250">
      <w:pPr>
        <w:spacing w:after="0" w:line="240" w:lineRule="auto"/>
        <w:ind w:firstLine="284"/>
        <w:jc w:val="both"/>
        <w:rPr>
          <w:rFonts w:ascii="Garamond" w:eastAsia="Times New Roman" w:hAnsi="Garamond" w:cs="Times New Roman"/>
          <w:color w:val="000000"/>
          <w:sz w:val="24"/>
          <w:szCs w:val="24"/>
        </w:rPr>
      </w:pPr>
      <w:r w:rsidRPr="00E83C5E">
        <w:rPr>
          <w:rFonts w:ascii="Garamond" w:eastAsia="Times New Roman" w:hAnsi="Garamond" w:cs="Times New Roman"/>
          <w:color w:val="000000"/>
          <w:sz w:val="24"/>
          <w:szCs w:val="24"/>
        </w:rPr>
        <w:t xml:space="preserve">2.2 Planin e zbatueshmërisë së masave për periudhën referuese në përputhje me </w:t>
      </w:r>
      <w:r w:rsidR="00700750" w:rsidRPr="00E83C5E">
        <w:rPr>
          <w:rFonts w:ascii="Garamond" w:eastAsia="Times New Roman" w:hAnsi="Garamond" w:cs="Times New Roman"/>
          <w:color w:val="000000"/>
          <w:sz w:val="24"/>
          <w:szCs w:val="24"/>
        </w:rPr>
        <w:t>standard</w:t>
      </w:r>
      <w:r w:rsidRPr="00E83C5E">
        <w:rPr>
          <w:rFonts w:ascii="Garamond" w:eastAsia="Times New Roman" w:hAnsi="Garamond" w:cs="Times New Roman"/>
          <w:color w:val="000000"/>
          <w:sz w:val="24"/>
          <w:szCs w:val="24"/>
        </w:rPr>
        <w:t>et e sistemit dhe metodologjinë e SASPAC</w:t>
      </w:r>
      <w:r w:rsidR="001F4528" w:rsidRPr="00E83C5E">
        <w:rPr>
          <w:rFonts w:ascii="Garamond" w:eastAsia="Times New Roman" w:hAnsi="Garamond" w:cs="Times New Roman"/>
          <w:color w:val="000000"/>
          <w:sz w:val="24"/>
          <w:szCs w:val="24"/>
        </w:rPr>
        <w:t>-së</w:t>
      </w:r>
      <w:r w:rsidRPr="00E83C5E">
        <w:rPr>
          <w:rFonts w:ascii="Garamond" w:eastAsia="Times New Roman" w:hAnsi="Garamond" w:cs="Times New Roman"/>
          <w:color w:val="000000"/>
          <w:sz w:val="24"/>
          <w:szCs w:val="24"/>
        </w:rPr>
        <w:t>;</w:t>
      </w:r>
    </w:p>
    <w:p w14:paraId="574E2DDB" w14:textId="3CCC808E" w:rsidR="002F7250" w:rsidRPr="00E83C5E" w:rsidRDefault="002F7250" w:rsidP="002F7250">
      <w:pPr>
        <w:spacing w:after="0" w:line="240" w:lineRule="auto"/>
        <w:ind w:firstLine="284"/>
        <w:jc w:val="both"/>
        <w:rPr>
          <w:rFonts w:ascii="Garamond" w:eastAsia="Times New Roman" w:hAnsi="Garamond" w:cs="Times New Roman"/>
          <w:color w:val="000000"/>
          <w:sz w:val="24"/>
          <w:szCs w:val="24"/>
        </w:rPr>
      </w:pPr>
      <w:r w:rsidRPr="00E83C5E">
        <w:rPr>
          <w:rFonts w:ascii="Garamond" w:eastAsia="Times New Roman" w:hAnsi="Garamond" w:cs="Times New Roman"/>
          <w:color w:val="000000"/>
          <w:sz w:val="24"/>
          <w:szCs w:val="24"/>
        </w:rPr>
        <w:t xml:space="preserve">2.3 Pasaportën e </w:t>
      </w:r>
      <w:r w:rsidR="001F4528" w:rsidRPr="00E83C5E">
        <w:rPr>
          <w:rFonts w:ascii="Garamond" w:eastAsia="Times New Roman" w:hAnsi="Garamond" w:cs="Times New Roman"/>
          <w:color w:val="000000"/>
          <w:sz w:val="24"/>
          <w:szCs w:val="24"/>
        </w:rPr>
        <w:t>i</w:t>
      </w:r>
      <w:r w:rsidRPr="00E83C5E">
        <w:rPr>
          <w:rFonts w:ascii="Garamond" w:eastAsia="Times New Roman" w:hAnsi="Garamond" w:cs="Times New Roman"/>
          <w:color w:val="000000"/>
          <w:sz w:val="24"/>
          <w:szCs w:val="24"/>
        </w:rPr>
        <w:t xml:space="preserve">ndikatorëve në përputhje me </w:t>
      </w:r>
      <w:r w:rsidR="00700750" w:rsidRPr="00E83C5E">
        <w:rPr>
          <w:rFonts w:ascii="Garamond" w:eastAsia="Times New Roman" w:hAnsi="Garamond" w:cs="Times New Roman"/>
          <w:color w:val="000000"/>
          <w:sz w:val="24"/>
          <w:szCs w:val="24"/>
        </w:rPr>
        <w:t>standard</w:t>
      </w:r>
      <w:r w:rsidRPr="00E83C5E">
        <w:rPr>
          <w:rFonts w:ascii="Garamond" w:eastAsia="Times New Roman" w:hAnsi="Garamond" w:cs="Times New Roman"/>
          <w:color w:val="000000"/>
          <w:sz w:val="24"/>
          <w:szCs w:val="24"/>
        </w:rPr>
        <w:t>et e sistemit për periudhën referuese në përputhje me të gjithë indikatorët e pasaportës për reformën në administratën publike;</w:t>
      </w:r>
    </w:p>
    <w:p w14:paraId="574E2DDC" w14:textId="77777777" w:rsidR="002F7250" w:rsidRPr="00E83C5E" w:rsidRDefault="002F7250" w:rsidP="002F7250">
      <w:pPr>
        <w:spacing w:after="0" w:line="240" w:lineRule="auto"/>
        <w:ind w:firstLine="284"/>
        <w:jc w:val="both"/>
        <w:rPr>
          <w:rFonts w:ascii="Garamond" w:eastAsia="Times New Roman" w:hAnsi="Garamond" w:cs="Times New Roman"/>
          <w:color w:val="000000"/>
          <w:sz w:val="24"/>
          <w:szCs w:val="24"/>
        </w:rPr>
      </w:pPr>
      <w:r w:rsidRPr="00E83C5E">
        <w:rPr>
          <w:rFonts w:ascii="Garamond" w:eastAsia="Times New Roman" w:hAnsi="Garamond" w:cs="Times New Roman"/>
          <w:color w:val="000000"/>
          <w:sz w:val="24"/>
          <w:szCs w:val="24"/>
        </w:rPr>
        <w:t>2.4 Bazën e të dhënave për vitin referues në zbatim të indikatorëve të pasaportës;</w:t>
      </w:r>
    </w:p>
    <w:p w14:paraId="574E2DDD" w14:textId="50B0EB16" w:rsidR="002F7250" w:rsidRPr="00E83C5E" w:rsidRDefault="002F7250" w:rsidP="002F7250">
      <w:pPr>
        <w:spacing w:after="0" w:line="240" w:lineRule="auto"/>
        <w:ind w:firstLine="284"/>
        <w:jc w:val="both"/>
        <w:rPr>
          <w:rFonts w:ascii="Garamond" w:eastAsia="Times New Roman" w:hAnsi="Garamond" w:cs="Times New Roman"/>
          <w:color w:val="000000"/>
          <w:sz w:val="24"/>
          <w:szCs w:val="24"/>
        </w:rPr>
      </w:pPr>
      <w:r w:rsidRPr="00E83C5E">
        <w:rPr>
          <w:rFonts w:ascii="Garamond" w:eastAsia="Times New Roman" w:hAnsi="Garamond" w:cs="Times New Roman"/>
          <w:color w:val="000000"/>
          <w:sz w:val="24"/>
          <w:szCs w:val="24"/>
        </w:rPr>
        <w:t>Faza 3: Konsolidimi i paketës pas marrjes dhe reflektimit të komenteve të sjella nga SASPAC</w:t>
      </w:r>
      <w:r w:rsidR="001F4528" w:rsidRPr="00E83C5E">
        <w:rPr>
          <w:rFonts w:ascii="Garamond" w:eastAsia="Times New Roman" w:hAnsi="Garamond" w:cs="Times New Roman"/>
          <w:color w:val="000000"/>
          <w:sz w:val="24"/>
          <w:szCs w:val="24"/>
        </w:rPr>
        <w:t>-ja</w:t>
      </w:r>
      <w:r w:rsidRPr="00E83C5E">
        <w:rPr>
          <w:rFonts w:ascii="Garamond" w:eastAsia="Times New Roman" w:hAnsi="Garamond" w:cs="Times New Roman"/>
          <w:color w:val="000000"/>
          <w:sz w:val="24"/>
          <w:szCs w:val="24"/>
        </w:rPr>
        <w:t xml:space="preserve"> në Kryeministri;</w:t>
      </w:r>
    </w:p>
    <w:p w14:paraId="574E2DDE" w14:textId="77777777" w:rsidR="002F7250" w:rsidRPr="00E83C5E" w:rsidRDefault="002F7250" w:rsidP="002F7250">
      <w:pPr>
        <w:spacing w:after="0" w:line="240" w:lineRule="auto"/>
        <w:ind w:firstLine="284"/>
        <w:jc w:val="both"/>
        <w:rPr>
          <w:rFonts w:ascii="Garamond" w:eastAsia="Times New Roman" w:hAnsi="Garamond" w:cs="Times New Roman"/>
          <w:color w:val="000000"/>
          <w:sz w:val="24"/>
          <w:szCs w:val="24"/>
        </w:rPr>
      </w:pPr>
      <w:r w:rsidRPr="00E83C5E">
        <w:rPr>
          <w:rFonts w:ascii="Garamond" w:eastAsia="Times New Roman" w:hAnsi="Garamond" w:cs="Times New Roman"/>
          <w:color w:val="000000"/>
          <w:sz w:val="24"/>
          <w:szCs w:val="24"/>
        </w:rPr>
        <w:t>Faza 4: Organizimi i mbledhjes së KDS për konsultimin e paketës së konsoliduar dhe marrjen e komenteve nga aktorët;</w:t>
      </w:r>
    </w:p>
    <w:p w14:paraId="574E2DDF" w14:textId="77777777" w:rsidR="002F7250" w:rsidRPr="00E83C5E" w:rsidRDefault="002F7250" w:rsidP="002F7250">
      <w:pPr>
        <w:spacing w:after="0" w:line="240" w:lineRule="auto"/>
        <w:ind w:firstLine="284"/>
        <w:jc w:val="both"/>
        <w:rPr>
          <w:rFonts w:ascii="Garamond" w:eastAsia="Times New Roman" w:hAnsi="Garamond" w:cs="Times New Roman"/>
          <w:color w:val="000000"/>
          <w:sz w:val="24"/>
          <w:szCs w:val="24"/>
        </w:rPr>
      </w:pPr>
      <w:r w:rsidRPr="00E83C5E">
        <w:rPr>
          <w:rFonts w:ascii="Garamond" w:eastAsia="Times New Roman" w:hAnsi="Garamond" w:cs="Times New Roman"/>
          <w:color w:val="000000"/>
          <w:sz w:val="24"/>
          <w:szCs w:val="24"/>
        </w:rPr>
        <w:t>Faza 5: Reflektimi i komenteve dhe finalizimi i paketës së Raportit të Monitorimit;</w:t>
      </w:r>
    </w:p>
    <w:p w14:paraId="574E2DE0" w14:textId="1176E72F" w:rsidR="002F7250" w:rsidRPr="00E83C5E" w:rsidRDefault="002F7250" w:rsidP="002F7250">
      <w:pPr>
        <w:spacing w:after="0" w:line="240" w:lineRule="auto"/>
        <w:ind w:firstLine="284"/>
        <w:jc w:val="both"/>
        <w:rPr>
          <w:rFonts w:ascii="Garamond" w:eastAsia="Times New Roman" w:hAnsi="Garamond" w:cs="Times New Roman"/>
          <w:color w:val="000000"/>
          <w:sz w:val="24"/>
          <w:szCs w:val="24"/>
        </w:rPr>
      </w:pPr>
      <w:r w:rsidRPr="00E83C5E">
        <w:rPr>
          <w:rFonts w:ascii="Garamond" w:eastAsia="Times New Roman" w:hAnsi="Garamond" w:cs="Times New Roman"/>
          <w:color w:val="000000"/>
          <w:sz w:val="24"/>
          <w:szCs w:val="24"/>
        </w:rPr>
        <w:t>Faza 6: Publikimi i Raportit Vjetor</w:t>
      </w:r>
      <w:r w:rsidR="00CB1711" w:rsidRPr="00E83C5E">
        <w:rPr>
          <w:rFonts w:ascii="Garamond" w:eastAsia="Times New Roman" w:hAnsi="Garamond" w:cs="Times New Roman"/>
          <w:color w:val="000000"/>
          <w:sz w:val="24"/>
          <w:szCs w:val="24"/>
        </w:rPr>
        <w:t>;</w:t>
      </w:r>
    </w:p>
    <w:p w14:paraId="574E2DE1" w14:textId="7A31558B" w:rsidR="002F7250" w:rsidRPr="00E83C5E" w:rsidRDefault="002F7250" w:rsidP="002F7250">
      <w:pPr>
        <w:spacing w:after="0" w:line="240" w:lineRule="auto"/>
        <w:ind w:firstLine="284"/>
        <w:jc w:val="both"/>
        <w:rPr>
          <w:rFonts w:ascii="Garamond" w:eastAsia="Times New Roman" w:hAnsi="Garamond" w:cs="Times New Roman"/>
          <w:color w:val="000000"/>
          <w:sz w:val="24"/>
          <w:szCs w:val="24"/>
        </w:rPr>
      </w:pPr>
      <w:r w:rsidRPr="00E83C5E">
        <w:rPr>
          <w:rFonts w:ascii="Garamond" w:eastAsia="Times New Roman" w:hAnsi="Garamond" w:cs="Times New Roman"/>
          <w:color w:val="000000"/>
          <w:sz w:val="24"/>
          <w:szCs w:val="24"/>
        </w:rPr>
        <w:t>Faza 7: Dërgimi i procedurave</w:t>
      </w:r>
      <w:r w:rsidR="00834C0B" w:rsidRPr="00E83C5E">
        <w:rPr>
          <w:rFonts w:ascii="Garamond" w:eastAsia="Times New Roman" w:hAnsi="Garamond" w:cs="Times New Roman"/>
          <w:color w:val="000000"/>
          <w:sz w:val="24"/>
          <w:szCs w:val="24"/>
        </w:rPr>
        <w:t>:</w:t>
      </w:r>
      <w:r w:rsidRPr="00E83C5E">
        <w:rPr>
          <w:rFonts w:ascii="Garamond" w:eastAsia="Times New Roman" w:hAnsi="Garamond" w:cs="Times New Roman"/>
          <w:color w:val="000000"/>
          <w:sz w:val="24"/>
          <w:szCs w:val="24"/>
        </w:rPr>
        <w:t xml:space="preserve"> a</w:t>
      </w:r>
      <w:r w:rsidR="00C011B4" w:rsidRPr="00E83C5E">
        <w:rPr>
          <w:rFonts w:ascii="Garamond" w:eastAsia="Times New Roman" w:hAnsi="Garamond" w:cs="Times New Roman"/>
          <w:color w:val="000000"/>
          <w:sz w:val="24"/>
          <w:szCs w:val="24"/>
        </w:rPr>
        <w:t>)</w:t>
      </w:r>
      <w:r w:rsidR="00834C0B" w:rsidRPr="00E83C5E">
        <w:rPr>
          <w:rFonts w:ascii="Garamond" w:eastAsia="Times New Roman" w:hAnsi="Garamond" w:cs="Times New Roman"/>
          <w:color w:val="000000"/>
          <w:sz w:val="24"/>
          <w:szCs w:val="24"/>
        </w:rPr>
        <w:t xml:space="preserve"> </w:t>
      </w:r>
      <w:r w:rsidR="00700750" w:rsidRPr="00E83C5E">
        <w:rPr>
          <w:rFonts w:ascii="Garamond" w:eastAsia="Times New Roman" w:hAnsi="Garamond" w:cs="Times New Roman"/>
          <w:color w:val="000000"/>
          <w:sz w:val="24"/>
          <w:szCs w:val="24"/>
        </w:rPr>
        <w:t>shënimet</w:t>
      </w:r>
      <w:r w:rsidRPr="00E83C5E">
        <w:rPr>
          <w:rFonts w:ascii="Garamond" w:eastAsia="Times New Roman" w:hAnsi="Garamond" w:cs="Times New Roman"/>
          <w:color w:val="000000"/>
          <w:sz w:val="24"/>
          <w:szCs w:val="24"/>
        </w:rPr>
        <w:t xml:space="preserve"> e takimit</w:t>
      </w:r>
      <w:r w:rsidR="00834C0B" w:rsidRPr="00E83C5E">
        <w:rPr>
          <w:rFonts w:ascii="Garamond" w:eastAsia="Times New Roman" w:hAnsi="Garamond" w:cs="Times New Roman"/>
          <w:color w:val="000000"/>
          <w:sz w:val="24"/>
          <w:szCs w:val="24"/>
        </w:rPr>
        <w:t>;</w:t>
      </w:r>
      <w:r w:rsidRPr="00E83C5E">
        <w:rPr>
          <w:rFonts w:ascii="Garamond" w:eastAsia="Times New Roman" w:hAnsi="Garamond" w:cs="Times New Roman"/>
          <w:color w:val="000000"/>
          <w:sz w:val="24"/>
          <w:szCs w:val="24"/>
        </w:rPr>
        <w:t xml:space="preserve"> b</w:t>
      </w:r>
      <w:r w:rsidR="00C011B4" w:rsidRPr="00E83C5E">
        <w:rPr>
          <w:rFonts w:ascii="Garamond" w:eastAsia="Times New Roman" w:hAnsi="Garamond" w:cs="Times New Roman"/>
          <w:color w:val="000000"/>
          <w:sz w:val="24"/>
          <w:szCs w:val="24"/>
        </w:rPr>
        <w:t>)</w:t>
      </w:r>
      <w:r w:rsidR="00834C0B" w:rsidRPr="00E83C5E">
        <w:rPr>
          <w:rFonts w:ascii="Garamond" w:eastAsia="Times New Roman" w:hAnsi="Garamond" w:cs="Times New Roman"/>
          <w:color w:val="000000"/>
          <w:sz w:val="24"/>
          <w:szCs w:val="24"/>
        </w:rPr>
        <w:t xml:space="preserve"> </w:t>
      </w:r>
      <w:r w:rsidRPr="00E83C5E">
        <w:rPr>
          <w:rFonts w:ascii="Garamond" w:eastAsia="Times New Roman" w:hAnsi="Garamond" w:cs="Times New Roman"/>
          <w:color w:val="000000"/>
          <w:sz w:val="24"/>
          <w:szCs w:val="24"/>
        </w:rPr>
        <w:t>Konkluzionet operacionale) t</w:t>
      </w:r>
      <w:r w:rsidR="00834C0B" w:rsidRPr="00E83C5E">
        <w:rPr>
          <w:rFonts w:ascii="Garamond" w:eastAsia="Times New Roman" w:hAnsi="Garamond" w:cs="Times New Roman"/>
          <w:color w:val="000000"/>
          <w:sz w:val="24"/>
          <w:szCs w:val="24"/>
        </w:rPr>
        <w:t>ë</w:t>
      </w:r>
      <w:r w:rsidRPr="00E83C5E">
        <w:rPr>
          <w:rFonts w:ascii="Garamond" w:eastAsia="Times New Roman" w:hAnsi="Garamond" w:cs="Times New Roman"/>
          <w:color w:val="000000"/>
          <w:sz w:val="24"/>
          <w:szCs w:val="24"/>
        </w:rPr>
        <w:t xml:space="preserve"> mbledhjes së KDS-së dhe paketa finale/së bashku me linkun për njohje Departamentit të Zhvillimit dhe Mirëqeverisjes në Kryeministri. </w:t>
      </w:r>
    </w:p>
    <w:p w14:paraId="574E2DE2" w14:textId="77777777" w:rsidR="002F7250" w:rsidRPr="00E83C5E" w:rsidRDefault="008B0FC5" w:rsidP="008B0FC5">
      <w:pPr>
        <w:pStyle w:val="TEKSTIII"/>
        <w:rPr>
          <w:b/>
          <w:bCs/>
        </w:rPr>
      </w:pPr>
      <w:r w:rsidRPr="00E83C5E">
        <w:rPr>
          <w:b/>
          <w:bCs/>
        </w:rPr>
        <w:t xml:space="preserve">- </w:t>
      </w:r>
      <w:r w:rsidR="002F7250" w:rsidRPr="00E83C5E">
        <w:rPr>
          <w:b/>
          <w:bCs/>
        </w:rPr>
        <w:t xml:space="preserve">Metodologjia e vlerësimit të jashtëm dhe me pjesëmarrje </w:t>
      </w:r>
    </w:p>
    <w:p w14:paraId="574E2DE3" w14:textId="77777777" w:rsidR="002F7250" w:rsidRPr="00E83C5E" w:rsidRDefault="002F7250" w:rsidP="008B0FC5">
      <w:pPr>
        <w:pStyle w:val="TEKSTIII"/>
      </w:pPr>
      <w:r w:rsidRPr="00E83C5E">
        <w:t>Procesi i vlerësimit të Strategjisë Kombëtare të Rinisë bazohet në një dokument me standardet e cilësisë për vlerësimin dhe monitorimin e politikave rinore</w:t>
      </w:r>
      <w:r w:rsidRPr="00E83C5E">
        <w:rPr>
          <w:rStyle w:val="FootnoteReference"/>
          <w:rFonts w:cs="Times New Roman"/>
        </w:rPr>
        <w:footnoteReference w:id="28"/>
      </w:r>
      <w:r w:rsidRPr="00E83C5E">
        <w:t xml:space="preserve"> të përgatitur nga Forumi Rinor Evropian si edhe në një dokument të përgatitur nga SIGMA për vlerësimin e strategjisë së administratës publike</w:t>
      </w:r>
      <w:r w:rsidRPr="00E83C5E">
        <w:rPr>
          <w:rStyle w:val="FootnoteReference"/>
          <w:rFonts w:cs="Times New Roman"/>
        </w:rPr>
        <w:footnoteReference w:id="29"/>
      </w:r>
      <w:r w:rsidRPr="00E83C5E">
        <w:t xml:space="preserve"> në Shqipëri. Ky dokumenti i fundit jep modelin se si duhen vlerësuar strategjitë ndërsektoriale duke u bazuar në strategjinë e Reformës së Administratës Publike. </w:t>
      </w:r>
    </w:p>
    <w:p w14:paraId="574E2DE4" w14:textId="6D602BFE" w:rsidR="002F7250" w:rsidRPr="00E83C5E" w:rsidRDefault="008B0FC5" w:rsidP="008B0FC5">
      <w:pPr>
        <w:pStyle w:val="TEKSTIII"/>
      </w:pPr>
      <w:r w:rsidRPr="00E83C5E">
        <w:lastRenderedPageBreak/>
        <w:t xml:space="preserve">1. </w:t>
      </w:r>
      <w:r w:rsidR="002F7250" w:rsidRPr="00E83C5E">
        <w:t>Masa</w:t>
      </w:r>
      <w:r w:rsidR="00233C37" w:rsidRPr="00E83C5E">
        <w:t xml:space="preserve"> </w:t>
      </w:r>
      <w:r w:rsidR="002F7250" w:rsidRPr="00E83C5E">
        <w:t>e pestë e politikës që ka të bëjë me zbatimin dhe administrimin e strategjisë parashikon zhvillimin e mekanizmit për monitorimin dhe vlerësimin e Strategjisë Kombëtare të Rinisë. Sipas këtij mekanizmi:</w:t>
      </w:r>
    </w:p>
    <w:p w14:paraId="574E2DE5" w14:textId="0C106915" w:rsidR="002F7250" w:rsidRPr="00E83C5E" w:rsidRDefault="008B0FC5" w:rsidP="008B0FC5">
      <w:pPr>
        <w:pStyle w:val="TEKSTIII"/>
      </w:pPr>
      <w:r w:rsidRPr="00E83C5E">
        <w:t>-</w:t>
      </w:r>
      <w:r w:rsidR="00C011B4" w:rsidRPr="00E83C5E">
        <w:t xml:space="preserve"> </w:t>
      </w:r>
      <w:r w:rsidR="002F7250" w:rsidRPr="00E83C5E">
        <w:t>Përmes një konference të përvitshme për rininë, mundësohet vlerësimi i SKR-së nga organizatat rinore dhe aktorë të tjerë në fushën e rinisë</w:t>
      </w:r>
      <w:r w:rsidR="004722F7" w:rsidRPr="00E83C5E">
        <w:t>;</w:t>
      </w:r>
    </w:p>
    <w:p w14:paraId="574E2DE6" w14:textId="6C9C043F" w:rsidR="002F7250" w:rsidRPr="00E83C5E" w:rsidRDefault="008B0FC5" w:rsidP="008B0FC5">
      <w:pPr>
        <w:pStyle w:val="TEKSTIII"/>
      </w:pPr>
      <w:r w:rsidRPr="00E83C5E">
        <w:t>-</w:t>
      </w:r>
      <w:r w:rsidR="00C011B4" w:rsidRPr="00E83C5E">
        <w:t xml:space="preserve"> </w:t>
      </w:r>
      <w:r w:rsidR="002F7250" w:rsidRPr="00E83C5E">
        <w:t>Realizohet vlerësim i jashtëm i përvitshëm për zbatimin e SKR-së</w:t>
      </w:r>
      <w:r w:rsidR="004722F7" w:rsidRPr="00E83C5E">
        <w:t>;</w:t>
      </w:r>
      <w:r w:rsidR="002F7250" w:rsidRPr="00E83C5E">
        <w:t xml:space="preserve"> </w:t>
      </w:r>
    </w:p>
    <w:p w14:paraId="574E2DE7" w14:textId="05D9B23E" w:rsidR="002F7250" w:rsidRPr="00E83C5E" w:rsidRDefault="008B0FC5" w:rsidP="008B0FC5">
      <w:pPr>
        <w:pStyle w:val="TEKSTIII"/>
      </w:pPr>
      <w:r w:rsidRPr="00E83C5E">
        <w:t>-</w:t>
      </w:r>
      <w:r w:rsidR="00C011B4" w:rsidRPr="00E83C5E">
        <w:t xml:space="preserve"> </w:t>
      </w:r>
      <w:r w:rsidR="002F7250" w:rsidRPr="00E83C5E">
        <w:t>Udhëzimet për buxhetimin gjinor dhe rinor, monitorimin, dhe vlerësimin zhvillohen për çdo nivel.</w:t>
      </w:r>
      <w:r w:rsidR="00233C37" w:rsidRPr="00E83C5E">
        <w:t xml:space="preserve"> </w:t>
      </w:r>
    </w:p>
    <w:p w14:paraId="574E2DE8" w14:textId="77777777" w:rsidR="002F7250" w:rsidRPr="00E83C5E" w:rsidRDefault="008B0FC5" w:rsidP="008B0FC5">
      <w:pPr>
        <w:pStyle w:val="TEKSTIII"/>
      </w:pPr>
      <w:r w:rsidRPr="00E83C5E">
        <w:t xml:space="preserve">2. </w:t>
      </w:r>
      <w:r w:rsidR="002F7250" w:rsidRPr="00E83C5E">
        <w:t xml:space="preserve">Dokumenti i përgatitur nga Forumi Rinor Evropian parashikon 8 standarde për vlerësimin e strategjive dhe secili standard ka treguesit e vet ku duhet bazuar vlerësimi. </w:t>
      </w:r>
    </w:p>
    <w:p w14:paraId="574E2DE9" w14:textId="77777777" w:rsidR="002F7250" w:rsidRPr="00E83C5E" w:rsidRDefault="002F7250" w:rsidP="008B0FC5">
      <w:pPr>
        <w:pStyle w:val="TEKSTIII"/>
        <w:rPr>
          <w:b/>
        </w:rPr>
      </w:pPr>
      <w:r w:rsidRPr="00E83C5E">
        <w:rPr>
          <w:b/>
        </w:rPr>
        <w:t>Standardi 1: Qasja e bazuar në të drejtat ndaj politikës rinore</w:t>
      </w:r>
    </w:p>
    <w:p w14:paraId="574E2DEA" w14:textId="77777777" w:rsidR="002F7250" w:rsidRPr="00E83C5E" w:rsidRDefault="002F7250" w:rsidP="008B0FC5">
      <w:pPr>
        <w:pStyle w:val="TEKSTIII"/>
        <w:rPr>
          <w:b/>
        </w:rPr>
      </w:pPr>
      <w:r w:rsidRPr="00E83C5E">
        <w:rPr>
          <w:b/>
        </w:rPr>
        <w:t>Treguesit</w:t>
      </w:r>
    </w:p>
    <w:p w14:paraId="574E2DEB" w14:textId="77777777" w:rsidR="002F7250" w:rsidRPr="00E83C5E" w:rsidRDefault="002F7250" w:rsidP="008B0FC5">
      <w:pPr>
        <w:pStyle w:val="TEKSTIII"/>
      </w:pPr>
      <w:r w:rsidRPr="00E83C5E">
        <w:t>1. Të drejtat e të rinjve si koncept njihen në dokumentet përkatëse të politikave</w:t>
      </w:r>
    </w:p>
    <w:p w14:paraId="574E2DEC" w14:textId="77777777" w:rsidR="002F7250" w:rsidRPr="00E83C5E" w:rsidRDefault="002F7250" w:rsidP="008B0FC5">
      <w:pPr>
        <w:pStyle w:val="TEKSTIII"/>
      </w:pPr>
      <w:r w:rsidRPr="00E83C5E">
        <w:t>2. Politika rinore është qartazi e ankoruar në vlerat universale apo pluraliste, demokracisë dhe të drejtave të njeriut dhe u drejtohet pozitivisht dhe në mënyrë të barabartë të gjithë të rinjve, pavarësisht nga gjinia, raca, grupi etik etj.</w:t>
      </w:r>
    </w:p>
    <w:p w14:paraId="574E2DED" w14:textId="77777777" w:rsidR="002F7250" w:rsidRPr="00E83C5E" w:rsidRDefault="002F7250" w:rsidP="008B0FC5">
      <w:pPr>
        <w:pStyle w:val="TEKSTIII"/>
      </w:pPr>
      <w:r w:rsidRPr="00E83C5E">
        <w:t>3. Politika kombëtare për rininë miraton instrumentet ekzistuese ligjore për të drejtat e njeriut</w:t>
      </w:r>
    </w:p>
    <w:p w14:paraId="574E2DEE" w14:textId="77777777" w:rsidR="002F7250" w:rsidRPr="00E83C5E" w:rsidRDefault="002F7250" w:rsidP="008B0FC5">
      <w:pPr>
        <w:pStyle w:val="TEKSTIII"/>
      </w:pPr>
      <w:r w:rsidRPr="00E83C5E">
        <w:t>4. Politika rinore i njeh të rinjtë jo si përfitues, por si bartës të të drejtave pjesëmarrëse. Kështu, ai vendos bartësit përkatës të detyrave si Shtetet Anëtare dhe aktorë të tjerë publikë, të cilët mund të mbahen përgjegjës për të drejtat e të rinjve.</w:t>
      </w:r>
    </w:p>
    <w:p w14:paraId="574E2DF0" w14:textId="77777777" w:rsidR="002F7250" w:rsidRPr="00E83C5E" w:rsidRDefault="002F7250" w:rsidP="008B0FC5">
      <w:pPr>
        <w:pStyle w:val="TEKSTIII"/>
        <w:rPr>
          <w:b/>
        </w:rPr>
      </w:pPr>
      <w:r w:rsidRPr="00E83C5E">
        <w:rPr>
          <w:b/>
        </w:rPr>
        <w:t>Standardi 2: Politika rinore e bazuar në dëshmi</w:t>
      </w:r>
    </w:p>
    <w:p w14:paraId="574E2DF1" w14:textId="77777777" w:rsidR="002F7250" w:rsidRPr="00E83C5E" w:rsidRDefault="002F7250" w:rsidP="008B0FC5">
      <w:pPr>
        <w:pStyle w:val="TEKSTIII"/>
        <w:rPr>
          <w:b/>
        </w:rPr>
      </w:pPr>
      <w:r w:rsidRPr="00E83C5E">
        <w:rPr>
          <w:b/>
        </w:rPr>
        <w:t>Treguesit</w:t>
      </w:r>
    </w:p>
    <w:p w14:paraId="574E2DF2" w14:textId="77777777" w:rsidR="002F7250" w:rsidRPr="00E83C5E" w:rsidRDefault="002F7250" w:rsidP="008B0FC5">
      <w:pPr>
        <w:pStyle w:val="TEKSTIII"/>
      </w:pPr>
      <w:r w:rsidRPr="00E83C5E">
        <w:t>1. Rregullisht kryhen kërkime mbi kushtet e jetesës, aspiratat dhe perceptimet e grupeve përfaqësuese të të rinjve.</w:t>
      </w:r>
    </w:p>
    <w:p w14:paraId="574E2DF3" w14:textId="77777777" w:rsidR="002F7250" w:rsidRPr="00E83C5E" w:rsidRDefault="002F7250" w:rsidP="008B0FC5">
      <w:pPr>
        <w:pStyle w:val="TEKSTIII"/>
      </w:pPr>
      <w:r w:rsidRPr="00E83C5E">
        <w:t>2. Të dhënat e kërkimit janë të pavarura dhe nuk manipulohen në të gjitha pjesët e ciklit të politikave.</w:t>
      </w:r>
    </w:p>
    <w:p w14:paraId="574E2DF4" w14:textId="77777777" w:rsidR="002F7250" w:rsidRPr="00E83C5E" w:rsidRDefault="002F7250" w:rsidP="008B0FC5">
      <w:pPr>
        <w:pStyle w:val="TEKSTIII"/>
      </w:pPr>
      <w:r w:rsidRPr="00E83C5E">
        <w:t>3. Burimet e duhura (financiare, njerëzore) ndahen për kërkime në lidhje me të rinjtë.</w:t>
      </w:r>
    </w:p>
    <w:p w14:paraId="574E2DF5" w14:textId="77777777" w:rsidR="002F7250" w:rsidRPr="00E83C5E" w:rsidRDefault="002F7250" w:rsidP="008B0FC5">
      <w:pPr>
        <w:pStyle w:val="TEKSTIII"/>
      </w:pPr>
      <w:r w:rsidRPr="00E83C5E">
        <w:t>4. Politika bazohet në informacione dhe kërkime të përditësuara.</w:t>
      </w:r>
    </w:p>
    <w:p w14:paraId="574E2DF7" w14:textId="77777777" w:rsidR="002F7250" w:rsidRPr="00E83C5E" w:rsidRDefault="002F7250" w:rsidP="008B0FC5">
      <w:pPr>
        <w:pStyle w:val="TEKSTIII"/>
        <w:rPr>
          <w:b/>
        </w:rPr>
      </w:pPr>
      <w:r w:rsidRPr="00E83C5E">
        <w:rPr>
          <w:b/>
        </w:rPr>
        <w:t>Standardi 3: Politika rinore me pjesëmarrje</w:t>
      </w:r>
    </w:p>
    <w:p w14:paraId="574E2DF8" w14:textId="77777777" w:rsidR="002F7250" w:rsidRPr="00E83C5E" w:rsidRDefault="002F7250" w:rsidP="008B0FC5">
      <w:pPr>
        <w:pStyle w:val="TEKSTIII"/>
        <w:rPr>
          <w:b/>
        </w:rPr>
      </w:pPr>
      <w:r w:rsidRPr="00E83C5E">
        <w:rPr>
          <w:b/>
        </w:rPr>
        <w:t>Treguesit</w:t>
      </w:r>
    </w:p>
    <w:p w14:paraId="574E2DF9" w14:textId="77777777" w:rsidR="002F7250" w:rsidRPr="00E83C5E" w:rsidRDefault="002F7250" w:rsidP="008B0FC5">
      <w:pPr>
        <w:pStyle w:val="TEKSTIII"/>
      </w:pPr>
      <w:r w:rsidRPr="00E83C5E">
        <w:t>1. Të gjithë aktorët përkatës (organizatat e shoqërisë civile dhe sektorët e tjerë të shoqërisë) janë të përfshirë në të gjitha fazat e ciklit të politikave.</w:t>
      </w:r>
    </w:p>
    <w:p w14:paraId="574E2DFA" w14:textId="77777777" w:rsidR="002F7250" w:rsidRPr="00E83C5E" w:rsidRDefault="002F7250" w:rsidP="008B0FC5">
      <w:pPr>
        <w:pStyle w:val="TEKSTIII"/>
      </w:pPr>
      <w:r w:rsidRPr="00E83C5E">
        <w:t>2. Organizatat rinore janë të përfshira në të gjitha fazat e ciklit të politikave.</w:t>
      </w:r>
    </w:p>
    <w:p w14:paraId="574E2DFB" w14:textId="77777777" w:rsidR="002F7250" w:rsidRPr="00E83C5E" w:rsidRDefault="002F7250" w:rsidP="008B0FC5">
      <w:pPr>
        <w:pStyle w:val="TEKSTIII"/>
      </w:pPr>
      <w:r w:rsidRPr="00E83C5E">
        <w:t>3. Janë bërë përpjekje specifike nga autoritetet publike për të përfshirë të rinjtë e paorganizuar dhe të rinjtë me më pak mundësi gjatë gjithë ciklit të politikave.</w:t>
      </w:r>
    </w:p>
    <w:p w14:paraId="574E2DFD" w14:textId="77777777" w:rsidR="002F7250" w:rsidRPr="00E83C5E" w:rsidRDefault="002F7250" w:rsidP="008B0FC5">
      <w:pPr>
        <w:pStyle w:val="TEKSTIII"/>
        <w:rPr>
          <w:b/>
        </w:rPr>
      </w:pPr>
      <w:r w:rsidRPr="00E83C5E">
        <w:rPr>
          <w:b/>
        </w:rPr>
        <w:t>Standardi 4: Politika rinore me shumë nivele</w:t>
      </w:r>
    </w:p>
    <w:p w14:paraId="574E2DFE" w14:textId="77777777" w:rsidR="002F7250" w:rsidRPr="00E83C5E" w:rsidRDefault="002F7250" w:rsidP="008B0FC5">
      <w:pPr>
        <w:pStyle w:val="TEKSTIII"/>
        <w:rPr>
          <w:b/>
        </w:rPr>
      </w:pPr>
      <w:r w:rsidRPr="00E83C5E">
        <w:rPr>
          <w:b/>
        </w:rPr>
        <w:t>Treguesit</w:t>
      </w:r>
    </w:p>
    <w:p w14:paraId="574E2DFF" w14:textId="77777777" w:rsidR="002F7250" w:rsidRPr="00E83C5E" w:rsidRDefault="002F7250" w:rsidP="008B0FC5">
      <w:pPr>
        <w:pStyle w:val="TEKSTIII"/>
      </w:pPr>
      <w:r w:rsidRPr="00E83C5E">
        <w:t>1. Strategjia kombëtare për të rinjtë dhe politikat rinore pranojnë ekzistencën e kornizave të politikave në nivele të tjera.</w:t>
      </w:r>
    </w:p>
    <w:p w14:paraId="574E2E00" w14:textId="77777777" w:rsidR="002F7250" w:rsidRPr="00E83C5E" w:rsidRDefault="002F7250" w:rsidP="008B0FC5">
      <w:pPr>
        <w:pStyle w:val="TEKSTIII"/>
      </w:pPr>
      <w:r w:rsidRPr="00E83C5E">
        <w:t>2. Strategjia/objektivat e politikave për rininë në nivel kombëtar, rajonal dhe lokal janë të koordinuara dhe në këtë mënyrë plotësojnë dhe përforcohen reciprokisht</w:t>
      </w:r>
    </w:p>
    <w:p w14:paraId="574E2E01" w14:textId="4B0A6BDA" w:rsidR="002F7250" w:rsidRPr="00E83C5E" w:rsidRDefault="002F7250" w:rsidP="008B0FC5">
      <w:pPr>
        <w:pStyle w:val="TEKSTIII"/>
      </w:pPr>
      <w:r w:rsidRPr="00E83C5E">
        <w:t>3. Masat e politikave rinore pasqyrojnë diversitetin gjeografik dhe socio-ekonomik brenda dhe ndërmjet njësive të ndryshme administrative (si bashkitë, rajonet etj.).</w:t>
      </w:r>
    </w:p>
    <w:p w14:paraId="574E2E03" w14:textId="77777777" w:rsidR="002F7250" w:rsidRPr="00E83C5E" w:rsidRDefault="002F7250" w:rsidP="008B0FC5">
      <w:pPr>
        <w:pStyle w:val="TEKSTIII"/>
        <w:rPr>
          <w:b/>
        </w:rPr>
      </w:pPr>
      <w:r w:rsidRPr="00E83C5E">
        <w:rPr>
          <w:b/>
        </w:rPr>
        <w:t>Standardi 5: Politika strategjike rinore</w:t>
      </w:r>
    </w:p>
    <w:p w14:paraId="574E2E04" w14:textId="77777777" w:rsidR="002F7250" w:rsidRPr="00E83C5E" w:rsidRDefault="002F7250" w:rsidP="008B0FC5">
      <w:pPr>
        <w:pStyle w:val="TEKSTIII"/>
        <w:rPr>
          <w:b/>
        </w:rPr>
      </w:pPr>
      <w:r w:rsidRPr="00E83C5E">
        <w:rPr>
          <w:b/>
        </w:rPr>
        <w:t>Treguesit</w:t>
      </w:r>
    </w:p>
    <w:p w14:paraId="574E2E05" w14:textId="77777777" w:rsidR="002F7250" w:rsidRPr="00E83C5E" w:rsidRDefault="002F7250" w:rsidP="008B0FC5">
      <w:pPr>
        <w:pStyle w:val="TEKSTIII"/>
      </w:pPr>
      <w:r w:rsidRPr="00E83C5E">
        <w:t>1. Ekziston një strategji gjithëpërfshirëse për të rinjtë.</w:t>
      </w:r>
    </w:p>
    <w:p w14:paraId="574E2E06" w14:textId="77777777" w:rsidR="002F7250" w:rsidRPr="00E83C5E" w:rsidRDefault="002F7250" w:rsidP="008B0FC5">
      <w:pPr>
        <w:pStyle w:val="TEKSTIII"/>
      </w:pPr>
      <w:r w:rsidRPr="00E83C5E">
        <w:t>2. Objektivat e strategjisë për të rinjtë janë të matshëm, me burime dhe të përcaktuara në kohë.</w:t>
      </w:r>
    </w:p>
    <w:p w14:paraId="574E2E08" w14:textId="77777777" w:rsidR="002F7250" w:rsidRPr="00E83C5E" w:rsidRDefault="002F7250" w:rsidP="008B0FC5">
      <w:pPr>
        <w:pStyle w:val="TEKSTIII"/>
        <w:rPr>
          <w:b/>
        </w:rPr>
      </w:pPr>
      <w:r w:rsidRPr="00E83C5E">
        <w:rPr>
          <w:b/>
        </w:rPr>
        <w:t>Standardi 6: Disponueshmëria e burimeve për politikat rinore</w:t>
      </w:r>
    </w:p>
    <w:p w14:paraId="574E2E09" w14:textId="77777777" w:rsidR="002F7250" w:rsidRPr="00E83C5E" w:rsidRDefault="002F7250" w:rsidP="008B0FC5">
      <w:pPr>
        <w:pStyle w:val="TEKSTIII"/>
        <w:rPr>
          <w:b/>
        </w:rPr>
      </w:pPr>
      <w:r w:rsidRPr="00E83C5E">
        <w:rPr>
          <w:b/>
        </w:rPr>
        <w:t>Treguesit</w:t>
      </w:r>
    </w:p>
    <w:p w14:paraId="574E2E0A" w14:textId="77777777" w:rsidR="002F7250" w:rsidRPr="00E83C5E" w:rsidRDefault="002F7250" w:rsidP="008B0FC5">
      <w:pPr>
        <w:pStyle w:val="TEKSTIII"/>
      </w:pPr>
      <w:r w:rsidRPr="00E83C5E">
        <w:t>1. Ka burime të mjaftueshme financiare të vëna në dispozicion nga qeveria për organizatat rinore, për të mbështetur zbatimin e politikave rinore.</w:t>
      </w:r>
    </w:p>
    <w:p w14:paraId="574E2E0B" w14:textId="77777777" w:rsidR="002F7250" w:rsidRPr="00E83C5E" w:rsidRDefault="002F7250" w:rsidP="008B0FC5">
      <w:pPr>
        <w:pStyle w:val="TEKSTIII"/>
      </w:pPr>
      <w:r w:rsidRPr="00E83C5E">
        <w:lastRenderedPageBreak/>
        <w:t>2. Organizatat rinore dhe të rinjtë mbështeten me ngritjen e kapaciteteve nga autoritetet publike.</w:t>
      </w:r>
    </w:p>
    <w:p w14:paraId="574E2E0C" w14:textId="77777777" w:rsidR="002F7250" w:rsidRPr="00E83C5E" w:rsidRDefault="002F7250" w:rsidP="008B0FC5">
      <w:pPr>
        <w:pStyle w:val="TEKSTIII"/>
      </w:pPr>
      <w:r w:rsidRPr="00E83C5E">
        <w:t>3. Ka burime të mjaftueshme financiare dhe njerëzore në dispozicion për autoritetet publike që punojnë në politikat rinore.</w:t>
      </w:r>
    </w:p>
    <w:p w14:paraId="574E2E0E" w14:textId="77777777" w:rsidR="002F7250" w:rsidRPr="00E83C5E" w:rsidRDefault="002F7250" w:rsidP="008B0FC5">
      <w:pPr>
        <w:pStyle w:val="TEKSTIII"/>
        <w:rPr>
          <w:b/>
        </w:rPr>
      </w:pPr>
      <w:r w:rsidRPr="00E83C5E">
        <w:rPr>
          <w:b/>
        </w:rPr>
        <w:t>Standardi 7: Angazhimi politik dhe llogaridhënia në politikën rinore.</w:t>
      </w:r>
    </w:p>
    <w:p w14:paraId="574E2E0F" w14:textId="77777777" w:rsidR="002F7250" w:rsidRPr="00E83C5E" w:rsidRDefault="002F7250" w:rsidP="008B0FC5">
      <w:pPr>
        <w:pStyle w:val="TEKSTIII"/>
        <w:rPr>
          <w:b/>
        </w:rPr>
      </w:pPr>
      <w:r w:rsidRPr="00E83C5E">
        <w:rPr>
          <w:b/>
        </w:rPr>
        <w:t>Treguesit</w:t>
      </w:r>
    </w:p>
    <w:p w14:paraId="574E2E10" w14:textId="77777777" w:rsidR="002F7250" w:rsidRPr="00E83C5E" w:rsidRDefault="002F7250" w:rsidP="008B0FC5">
      <w:pPr>
        <w:pStyle w:val="TEKSTIII"/>
      </w:pPr>
      <w:r w:rsidRPr="00E83C5E">
        <w:t>1. Palët e ndryshme të interesit në procesin e krijimit të politikave marrin përgjegjësinë për veprimet e tyre dhe mund të mbahen përgjegjës për to.</w:t>
      </w:r>
    </w:p>
    <w:p w14:paraId="574E2E11" w14:textId="77777777" w:rsidR="002F7250" w:rsidRPr="00E83C5E" w:rsidRDefault="002F7250" w:rsidP="008B0FC5">
      <w:pPr>
        <w:pStyle w:val="TEKSTIII"/>
      </w:pPr>
      <w:r w:rsidRPr="00E83C5E">
        <w:t>2. Ka raportim publik nga politikëbërësit në të gjitha fazat e ciklit të politikave të politikës rinore në baza të rregullta.</w:t>
      </w:r>
    </w:p>
    <w:p w14:paraId="574E2E12" w14:textId="77777777" w:rsidR="002F7250" w:rsidRPr="00E83C5E" w:rsidRDefault="002F7250" w:rsidP="008B0FC5">
      <w:pPr>
        <w:pStyle w:val="TEKSTIII"/>
      </w:pPr>
      <w:r w:rsidRPr="00E83C5E">
        <w:t>3. Organizatat rinore po monitorojnë zbatimin e politikave rinore me qëllim që të sigurojnë plotësimin e nevojave dhe interesave të të rinjve.</w:t>
      </w:r>
    </w:p>
    <w:p w14:paraId="574E2E14" w14:textId="77777777" w:rsidR="002F7250" w:rsidRPr="00E83C5E" w:rsidRDefault="002F7250" w:rsidP="008B0FC5">
      <w:pPr>
        <w:pStyle w:val="TEKSTIII"/>
      </w:pPr>
      <w:r w:rsidRPr="00E83C5E">
        <w:t>Standardi 8: Politika ndërsektoriale rinore</w:t>
      </w:r>
    </w:p>
    <w:p w14:paraId="574E2E15" w14:textId="77777777" w:rsidR="002F7250" w:rsidRPr="00E83C5E" w:rsidRDefault="002F7250" w:rsidP="008B0FC5">
      <w:pPr>
        <w:pStyle w:val="TEKSTIII"/>
      </w:pPr>
      <w:r w:rsidRPr="00E83C5E">
        <w:t>Treguesit</w:t>
      </w:r>
    </w:p>
    <w:p w14:paraId="574E2E16" w14:textId="77777777" w:rsidR="002F7250" w:rsidRPr="00E83C5E" w:rsidRDefault="002F7250" w:rsidP="008B0FC5">
      <w:pPr>
        <w:pStyle w:val="TEKSTIII"/>
      </w:pPr>
      <w:r w:rsidRPr="00E83C5E">
        <w:t>1. Ekziston një bashkëpunim efektiv dhe i koordinuar ndërmjet sektorëve, ministrive dhe subjekteve të tjera përkatëse.</w:t>
      </w:r>
    </w:p>
    <w:p w14:paraId="574E2E17" w14:textId="77777777" w:rsidR="002F7250" w:rsidRPr="00E83C5E" w:rsidRDefault="002F7250" w:rsidP="008B0FC5">
      <w:pPr>
        <w:pStyle w:val="TEKSTIII"/>
      </w:pPr>
      <w:r w:rsidRPr="00E83C5E">
        <w:t>2. Çështjet rinore përfshihen në fusha të ndryshme të politikave përkatëse, duke pranuar kështu që çështjet rinore janë horizontale.</w:t>
      </w:r>
    </w:p>
    <w:p w14:paraId="574E2E18" w14:textId="77777777" w:rsidR="002F7250" w:rsidRPr="00E83C5E" w:rsidRDefault="002F7250" w:rsidP="008B0FC5">
      <w:pPr>
        <w:pStyle w:val="TEKSTIII"/>
      </w:pPr>
      <w:r w:rsidRPr="00E83C5E">
        <w:t>3. Vlerësimi i politikës rinore përdoret si mekanizëm i të mësuarit nga kolegët për sektorë të ndryshëm të qeverisë.</w:t>
      </w:r>
    </w:p>
    <w:p w14:paraId="574E2E1A" w14:textId="77777777" w:rsidR="002F7250" w:rsidRPr="00E83C5E" w:rsidRDefault="008B0FC5" w:rsidP="008B0FC5">
      <w:pPr>
        <w:pStyle w:val="TEKSTIII"/>
      </w:pPr>
      <w:r w:rsidRPr="00E83C5E">
        <w:t xml:space="preserve">3. </w:t>
      </w:r>
      <w:r w:rsidR="002F7250" w:rsidRPr="00E83C5E">
        <w:t>Dokumenti i përgatitur nga SIGMA për vlerësimin e strategjive ndërsektoriale paraqet kornizën e vlerësimit dhe metodat se si duhet bërë ky proces duke i kushtuar rëndësi organizimit të brendshëm të punës brenda qeverisë dhe rregulloreve në bazë të të cilave bëhet monitorimi dhe vlerësimi i strategjisë duke e venë theksin te:</w:t>
      </w:r>
    </w:p>
    <w:p w14:paraId="574E2E1B" w14:textId="241050C4" w:rsidR="002F7250" w:rsidRPr="00E83C5E" w:rsidRDefault="008B0FC5" w:rsidP="008B0FC5">
      <w:pPr>
        <w:pStyle w:val="TEKSTIII"/>
      </w:pPr>
      <w:r w:rsidRPr="00E83C5E">
        <w:t>-</w:t>
      </w:r>
      <w:r w:rsidR="00C011B4" w:rsidRPr="00E83C5E">
        <w:t xml:space="preserve"> </w:t>
      </w:r>
      <w:r w:rsidR="002F7250" w:rsidRPr="00E83C5E">
        <w:t>Struktura e menaxhimit, monitorimit dhe vlerësimit institucional</w:t>
      </w:r>
    </w:p>
    <w:p w14:paraId="574E2E1C" w14:textId="20F729B9" w:rsidR="002F7250" w:rsidRPr="00E83C5E" w:rsidRDefault="008B0FC5" w:rsidP="008B0FC5">
      <w:pPr>
        <w:pStyle w:val="TEKSTIII"/>
      </w:pPr>
      <w:r w:rsidRPr="00E83C5E">
        <w:t>-</w:t>
      </w:r>
      <w:r w:rsidR="00C011B4" w:rsidRPr="00E83C5E">
        <w:t xml:space="preserve"> </w:t>
      </w:r>
      <w:r w:rsidR="002F7250" w:rsidRPr="00E83C5E">
        <w:t>Sistemi i monitorimit dhe raportimit për strategjinë</w:t>
      </w:r>
    </w:p>
    <w:p w14:paraId="574E2E1D" w14:textId="450872BA" w:rsidR="002F7250" w:rsidRPr="00E83C5E" w:rsidRDefault="008B0FC5" w:rsidP="008B0FC5">
      <w:pPr>
        <w:pStyle w:val="TEKSTIII"/>
      </w:pPr>
      <w:r w:rsidRPr="00E83C5E">
        <w:t>-</w:t>
      </w:r>
      <w:r w:rsidR="00C011B4" w:rsidRPr="00E83C5E">
        <w:t xml:space="preserve"> </w:t>
      </w:r>
      <w:r w:rsidR="002F7250" w:rsidRPr="00E83C5E">
        <w:t>Vlerësimi i politikave për strategjinë</w:t>
      </w:r>
    </w:p>
    <w:p w14:paraId="574E2E1E" w14:textId="70261F36" w:rsidR="002F7250" w:rsidRPr="00E83C5E" w:rsidRDefault="008B0FC5" w:rsidP="008B0FC5">
      <w:pPr>
        <w:pStyle w:val="TEKSTIII"/>
      </w:pPr>
      <w:r w:rsidRPr="00E83C5E">
        <w:t>-</w:t>
      </w:r>
      <w:r w:rsidR="00C011B4" w:rsidRPr="00E83C5E">
        <w:t xml:space="preserve"> </w:t>
      </w:r>
      <w:r w:rsidR="002F7250" w:rsidRPr="00E83C5E">
        <w:t>Procesin e monitorimit afat-mesëm të strategjisë</w:t>
      </w:r>
    </w:p>
    <w:p w14:paraId="574E2E1F" w14:textId="01884C10" w:rsidR="002F7250" w:rsidRPr="00E83C5E" w:rsidRDefault="008B0FC5" w:rsidP="008B0FC5">
      <w:pPr>
        <w:pStyle w:val="TEKSTIII"/>
      </w:pPr>
      <w:r w:rsidRPr="00E83C5E">
        <w:t>-</w:t>
      </w:r>
      <w:r w:rsidR="00C011B4" w:rsidRPr="00E83C5E">
        <w:t xml:space="preserve"> </w:t>
      </w:r>
      <w:r w:rsidR="002F7250" w:rsidRPr="00E83C5E">
        <w:t>Udhëzimin për raportimet 3 mujore</w:t>
      </w:r>
    </w:p>
    <w:p w14:paraId="574E2E20" w14:textId="64DAB596" w:rsidR="002F7250" w:rsidRPr="00E83C5E" w:rsidRDefault="008B0FC5" w:rsidP="008B0FC5">
      <w:pPr>
        <w:pStyle w:val="TEKSTIII"/>
      </w:pPr>
      <w:r w:rsidRPr="00E83C5E">
        <w:t>-</w:t>
      </w:r>
      <w:r w:rsidR="00C011B4" w:rsidRPr="00E83C5E">
        <w:t xml:space="preserve"> </w:t>
      </w:r>
      <w:r w:rsidR="002F7250" w:rsidRPr="00E83C5E">
        <w:t>Udhëzimin për raportimin vjetor</w:t>
      </w:r>
    </w:p>
    <w:p w14:paraId="574E2E21" w14:textId="334376A1" w:rsidR="002F7250" w:rsidRPr="00E83C5E" w:rsidRDefault="008B0FC5" w:rsidP="008B0FC5">
      <w:pPr>
        <w:pStyle w:val="TEKSTIII"/>
      </w:pPr>
      <w:r w:rsidRPr="00E83C5E">
        <w:t>-</w:t>
      </w:r>
      <w:r w:rsidR="00C011B4" w:rsidRPr="00E83C5E">
        <w:t xml:space="preserve"> </w:t>
      </w:r>
      <w:r w:rsidR="002F7250" w:rsidRPr="00E83C5E">
        <w:t>Modelin e raporteve dhe kalendarin e veprimtarive të monitorimit</w:t>
      </w:r>
    </w:p>
    <w:p w14:paraId="574E2E22" w14:textId="77777777" w:rsidR="002F7250" w:rsidRPr="00E83C5E" w:rsidRDefault="008B0FC5" w:rsidP="008B0FC5">
      <w:pPr>
        <w:pStyle w:val="TEKSTIII"/>
      </w:pPr>
      <w:r w:rsidRPr="00E83C5E">
        <w:t xml:space="preserve">4. </w:t>
      </w:r>
      <w:r w:rsidR="002F7250" w:rsidRPr="00E83C5E">
        <w:t>Vlerësimi dhe monitorimi si proces bazohen edhe në elementet e përcaktuara nga OECD në lidhje me këtë gjë të cilat përfshijnë elementët e tabelës së mëposhtme:</w:t>
      </w:r>
    </w:p>
    <w:tbl>
      <w:tblPr>
        <w:tblW w:w="9350" w:type="dxa"/>
        <w:tblInd w:w="5"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CellMar>
          <w:left w:w="0" w:type="dxa"/>
          <w:right w:w="0" w:type="dxa"/>
        </w:tblCellMar>
        <w:tblLook w:val="0000" w:firstRow="0" w:lastRow="0" w:firstColumn="0" w:lastColumn="0" w:noHBand="0" w:noVBand="0"/>
      </w:tblPr>
      <w:tblGrid>
        <w:gridCol w:w="620"/>
        <w:gridCol w:w="2790"/>
        <w:gridCol w:w="2970"/>
        <w:gridCol w:w="2970"/>
      </w:tblGrid>
      <w:tr w:rsidR="00C42FE4" w:rsidRPr="00E83C5E" w14:paraId="574E2E27" w14:textId="77777777" w:rsidTr="00444B63">
        <w:trPr>
          <w:trHeight w:val="430"/>
          <w:tblHeader/>
        </w:trPr>
        <w:tc>
          <w:tcPr>
            <w:tcW w:w="620" w:type="dxa"/>
            <w:shd w:val="clear" w:color="auto" w:fill="auto"/>
          </w:tcPr>
          <w:p w14:paraId="574E2E23" w14:textId="77777777" w:rsidR="00C42FE4" w:rsidRPr="00E83C5E" w:rsidRDefault="00C42FE4" w:rsidP="00444B63">
            <w:pPr>
              <w:spacing w:after="0"/>
              <w:ind w:right="20"/>
              <w:rPr>
                <w:rFonts w:ascii="Garamond" w:eastAsia="Times New Roman" w:hAnsi="Garamond" w:cs="Times New Roman"/>
                <w:color w:val="FF0000"/>
                <w:sz w:val="20"/>
                <w:szCs w:val="24"/>
              </w:rPr>
            </w:pPr>
          </w:p>
        </w:tc>
        <w:tc>
          <w:tcPr>
            <w:tcW w:w="2790" w:type="dxa"/>
            <w:shd w:val="clear" w:color="auto" w:fill="auto"/>
          </w:tcPr>
          <w:p w14:paraId="574E2E24" w14:textId="77777777" w:rsidR="00C42FE4" w:rsidRPr="00E83C5E" w:rsidRDefault="00C42FE4" w:rsidP="00444B63">
            <w:pPr>
              <w:spacing w:after="0"/>
              <w:ind w:left="800" w:right="20"/>
              <w:rPr>
                <w:rFonts w:ascii="Garamond" w:hAnsi="Garamond" w:cs="Times New Roman"/>
                <w:bCs/>
                <w:color w:val="000000" w:themeColor="text1"/>
                <w:sz w:val="20"/>
                <w:szCs w:val="24"/>
              </w:rPr>
            </w:pPr>
            <w:r w:rsidRPr="00E83C5E">
              <w:rPr>
                <w:rFonts w:ascii="Garamond" w:hAnsi="Garamond" w:cs="Times New Roman"/>
                <w:bCs/>
                <w:color w:val="000000" w:themeColor="text1"/>
                <w:sz w:val="20"/>
                <w:szCs w:val="24"/>
              </w:rPr>
              <w:t>Ex-ante</w:t>
            </w:r>
          </w:p>
        </w:tc>
        <w:tc>
          <w:tcPr>
            <w:tcW w:w="2970" w:type="dxa"/>
            <w:shd w:val="clear" w:color="auto" w:fill="auto"/>
          </w:tcPr>
          <w:p w14:paraId="574E2E25" w14:textId="77777777" w:rsidR="00C42FE4" w:rsidRPr="00E83C5E" w:rsidRDefault="00C42FE4" w:rsidP="00444B63">
            <w:pPr>
              <w:spacing w:after="0"/>
              <w:ind w:left="760" w:right="20"/>
              <w:rPr>
                <w:rFonts w:ascii="Garamond" w:hAnsi="Garamond" w:cs="Times New Roman"/>
                <w:bCs/>
                <w:color w:val="000000" w:themeColor="text1"/>
                <w:sz w:val="20"/>
                <w:szCs w:val="24"/>
              </w:rPr>
            </w:pPr>
            <w:r w:rsidRPr="00E83C5E">
              <w:rPr>
                <w:rFonts w:ascii="Garamond" w:hAnsi="Garamond" w:cs="Times New Roman"/>
                <w:bCs/>
                <w:color w:val="000000" w:themeColor="text1"/>
                <w:sz w:val="20"/>
                <w:szCs w:val="24"/>
              </w:rPr>
              <w:t>I ndërmjetëm</w:t>
            </w:r>
          </w:p>
        </w:tc>
        <w:tc>
          <w:tcPr>
            <w:tcW w:w="2970" w:type="dxa"/>
            <w:shd w:val="clear" w:color="auto" w:fill="auto"/>
          </w:tcPr>
          <w:p w14:paraId="574E2E26" w14:textId="77777777" w:rsidR="00C42FE4" w:rsidRPr="00E83C5E" w:rsidRDefault="00C42FE4" w:rsidP="00444B63">
            <w:pPr>
              <w:spacing w:after="0"/>
              <w:ind w:left="1000" w:right="20"/>
              <w:rPr>
                <w:rFonts w:ascii="Garamond" w:hAnsi="Garamond" w:cs="Times New Roman"/>
                <w:bCs/>
                <w:color w:val="000000" w:themeColor="text1"/>
                <w:sz w:val="20"/>
                <w:szCs w:val="24"/>
              </w:rPr>
            </w:pPr>
            <w:r w:rsidRPr="00E83C5E">
              <w:rPr>
                <w:rFonts w:ascii="Garamond" w:hAnsi="Garamond" w:cs="Times New Roman"/>
                <w:bCs/>
                <w:color w:val="000000" w:themeColor="text1"/>
                <w:sz w:val="20"/>
                <w:szCs w:val="24"/>
              </w:rPr>
              <w:t>Ex-post</w:t>
            </w:r>
          </w:p>
        </w:tc>
      </w:tr>
      <w:tr w:rsidR="00C42FE4" w:rsidRPr="00E83C5E" w14:paraId="574E2E2E" w14:textId="77777777" w:rsidTr="00444B63">
        <w:trPr>
          <w:cantSplit/>
          <w:trHeight w:val="1134"/>
        </w:trPr>
        <w:tc>
          <w:tcPr>
            <w:tcW w:w="620" w:type="dxa"/>
            <w:shd w:val="clear" w:color="auto" w:fill="auto"/>
            <w:textDirection w:val="btLr"/>
            <w:vAlign w:val="center"/>
          </w:tcPr>
          <w:p w14:paraId="574E2E28" w14:textId="77777777" w:rsidR="00C42FE4" w:rsidRPr="00E83C5E" w:rsidRDefault="00C42FE4" w:rsidP="00444B63">
            <w:pPr>
              <w:spacing w:after="0"/>
              <w:ind w:left="113" w:right="20"/>
              <w:jc w:val="center"/>
              <w:rPr>
                <w:rFonts w:ascii="Garamond" w:eastAsia="Times New Roman" w:hAnsi="Garamond" w:cs="Times New Roman"/>
                <w:b/>
                <w:bCs/>
                <w:smallCaps/>
                <w:color w:val="002060"/>
                <w:sz w:val="20"/>
                <w:szCs w:val="24"/>
              </w:rPr>
            </w:pPr>
            <w:r w:rsidRPr="00E83C5E">
              <w:rPr>
                <w:rFonts w:ascii="Garamond" w:hAnsi="Garamond" w:cs="Times New Roman"/>
                <w:b/>
                <w:bCs/>
                <w:smallCaps/>
                <w:color w:val="002060"/>
                <w:sz w:val="20"/>
                <w:szCs w:val="24"/>
              </w:rPr>
              <w:t>Rëndësia</w:t>
            </w:r>
          </w:p>
        </w:tc>
        <w:tc>
          <w:tcPr>
            <w:tcW w:w="2790" w:type="dxa"/>
            <w:shd w:val="clear" w:color="auto" w:fill="auto"/>
          </w:tcPr>
          <w:p w14:paraId="574E2E29" w14:textId="77777777" w:rsidR="00C42FE4" w:rsidRPr="00E83C5E" w:rsidRDefault="00C42FE4" w:rsidP="00DA0BCC">
            <w:pPr>
              <w:pStyle w:val="ListParagraph"/>
              <w:numPr>
                <w:ilvl w:val="0"/>
                <w:numId w:val="1"/>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A do ta zgjidhë problemin ndërhyrja e synuar?</w:t>
            </w:r>
          </w:p>
          <w:p w14:paraId="574E2E2A" w14:textId="77777777" w:rsidR="00C42FE4" w:rsidRPr="00E83C5E" w:rsidRDefault="00C42FE4" w:rsidP="00DA0BCC">
            <w:pPr>
              <w:pStyle w:val="ListParagraph"/>
              <w:numPr>
                <w:ilvl w:val="0"/>
                <w:numId w:val="1"/>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Cilave nevoja u përgjigjet ajo?</w:t>
            </w:r>
          </w:p>
        </w:tc>
        <w:tc>
          <w:tcPr>
            <w:tcW w:w="2970" w:type="dxa"/>
            <w:shd w:val="clear" w:color="auto" w:fill="auto"/>
          </w:tcPr>
          <w:p w14:paraId="574E2E2B" w14:textId="77777777" w:rsidR="00C42FE4" w:rsidRPr="00E83C5E" w:rsidRDefault="00C42FE4" w:rsidP="00DA0BCC">
            <w:pPr>
              <w:pStyle w:val="ListParagraph"/>
              <w:numPr>
                <w:ilvl w:val="0"/>
                <w:numId w:val="2"/>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A ka ndryshuar nevoja origjinale?</w:t>
            </w:r>
          </w:p>
          <w:p w14:paraId="574E2E2C" w14:textId="77777777" w:rsidR="00C42FE4" w:rsidRPr="00E83C5E" w:rsidRDefault="00C42FE4" w:rsidP="00DA0BCC">
            <w:pPr>
              <w:pStyle w:val="ListParagraph"/>
              <w:numPr>
                <w:ilvl w:val="0"/>
                <w:numId w:val="2"/>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A kërkon ndryshimi një rregullim korrespondues të ndërhyrjes?</w:t>
            </w:r>
          </w:p>
        </w:tc>
        <w:tc>
          <w:tcPr>
            <w:tcW w:w="2970" w:type="dxa"/>
            <w:shd w:val="clear" w:color="auto" w:fill="auto"/>
          </w:tcPr>
          <w:p w14:paraId="574E2E2D" w14:textId="77777777" w:rsidR="00C42FE4" w:rsidRPr="00E83C5E" w:rsidRDefault="00C42FE4" w:rsidP="00DA0BCC">
            <w:pPr>
              <w:pStyle w:val="ListParagraph"/>
              <w:numPr>
                <w:ilvl w:val="0"/>
                <w:numId w:val="3"/>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A ka arritur/prekur ndërhyrja grupin e synuar?</w:t>
            </w:r>
          </w:p>
        </w:tc>
      </w:tr>
      <w:tr w:rsidR="00C42FE4" w:rsidRPr="00E83C5E" w14:paraId="574E2E36" w14:textId="77777777" w:rsidTr="00444B63">
        <w:trPr>
          <w:cantSplit/>
          <w:trHeight w:val="2119"/>
        </w:trPr>
        <w:tc>
          <w:tcPr>
            <w:tcW w:w="620" w:type="dxa"/>
            <w:shd w:val="clear" w:color="auto" w:fill="auto"/>
            <w:textDirection w:val="btLr"/>
            <w:vAlign w:val="center"/>
          </w:tcPr>
          <w:p w14:paraId="574E2E2F" w14:textId="77777777" w:rsidR="00C42FE4" w:rsidRPr="00E83C5E" w:rsidRDefault="00C42FE4" w:rsidP="00444B63">
            <w:pPr>
              <w:spacing w:after="0"/>
              <w:ind w:left="113" w:right="20"/>
              <w:jc w:val="center"/>
              <w:rPr>
                <w:rFonts w:ascii="Garamond" w:eastAsia="Times New Roman" w:hAnsi="Garamond" w:cs="Times New Roman"/>
                <w:b/>
                <w:bCs/>
                <w:smallCaps/>
                <w:color w:val="002060"/>
                <w:sz w:val="20"/>
                <w:szCs w:val="24"/>
              </w:rPr>
            </w:pPr>
            <w:r w:rsidRPr="00E83C5E">
              <w:rPr>
                <w:rFonts w:ascii="Garamond" w:hAnsi="Garamond" w:cs="Times New Roman"/>
                <w:b/>
                <w:bCs/>
                <w:smallCaps/>
                <w:color w:val="002060"/>
                <w:sz w:val="20"/>
                <w:szCs w:val="24"/>
              </w:rPr>
              <w:t>Efikasiteti</w:t>
            </w:r>
          </w:p>
        </w:tc>
        <w:tc>
          <w:tcPr>
            <w:tcW w:w="2790" w:type="dxa"/>
            <w:shd w:val="clear" w:color="auto" w:fill="auto"/>
          </w:tcPr>
          <w:p w14:paraId="574E2E30" w14:textId="77777777" w:rsidR="00C42FE4" w:rsidRPr="00E83C5E" w:rsidRDefault="00C42FE4" w:rsidP="00DA0BCC">
            <w:pPr>
              <w:pStyle w:val="ListParagraph"/>
              <w:numPr>
                <w:ilvl w:val="0"/>
                <w:numId w:val="1"/>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A ka të ngjarë që aktivitetet e parashikuara të çojnë në arritjen e objektivave?</w:t>
            </w:r>
          </w:p>
          <w:p w14:paraId="574E2E31" w14:textId="77777777" w:rsidR="00C42FE4" w:rsidRPr="00E83C5E" w:rsidRDefault="00C42FE4" w:rsidP="00DA0BCC">
            <w:pPr>
              <w:pStyle w:val="ListParagraph"/>
              <w:numPr>
                <w:ilvl w:val="0"/>
                <w:numId w:val="1"/>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Cilat janë kostot? A ka ndonjë mënyrë për ta ofruar programin me kosto më efektive?</w:t>
            </w:r>
          </w:p>
        </w:tc>
        <w:tc>
          <w:tcPr>
            <w:tcW w:w="2970" w:type="dxa"/>
            <w:shd w:val="clear" w:color="auto" w:fill="auto"/>
          </w:tcPr>
          <w:p w14:paraId="574E2E32" w14:textId="77777777" w:rsidR="00C42FE4" w:rsidRPr="00E83C5E" w:rsidRDefault="00C42FE4" w:rsidP="00DA0BCC">
            <w:pPr>
              <w:pStyle w:val="ListParagraph"/>
              <w:numPr>
                <w:ilvl w:val="0"/>
                <w:numId w:val="2"/>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A garantojnë rezultatet e arritura deri tani se objektivat do të arrihen?</w:t>
            </w:r>
          </w:p>
          <w:p w14:paraId="574E2E33" w14:textId="77777777" w:rsidR="00C42FE4" w:rsidRPr="00E83C5E" w:rsidRDefault="00C42FE4" w:rsidP="00DA0BCC">
            <w:pPr>
              <w:pStyle w:val="ListParagraph"/>
              <w:numPr>
                <w:ilvl w:val="0"/>
                <w:numId w:val="2"/>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Cilët janë faktorët që ndikojnë në efektivitetin e pjesës x të ndërhyrjes?</w:t>
            </w:r>
          </w:p>
        </w:tc>
        <w:tc>
          <w:tcPr>
            <w:tcW w:w="2970" w:type="dxa"/>
            <w:shd w:val="clear" w:color="auto" w:fill="auto"/>
          </w:tcPr>
          <w:p w14:paraId="574E2E34" w14:textId="77777777" w:rsidR="00C42FE4" w:rsidRPr="00E83C5E" w:rsidRDefault="00C42FE4" w:rsidP="00DA0BCC">
            <w:pPr>
              <w:pStyle w:val="ListParagraph"/>
              <w:numPr>
                <w:ilvl w:val="0"/>
                <w:numId w:val="3"/>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A janë zbatuar objektivat siç është planifikuar?</w:t>
            </w:r>
          </w:p>
          <w:p w14:paraId="574E2E35" w14:textId="3E12C06B" w:rsidR="00C42FE4" w:rsidRPr="00E83C5E" w:rsidRDefault="00C42FE4" w:rsidP="00DA0BCC">
            <w:pPr>
              <w:pStyle w:val="ListParagraph"/>
              <w:numPr>
                <w:ilvl w:val="0"/>
                <w:numId w:val="3"/>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Cilat ishin arsyet për suksesin e madh/</w:t>
            </w:r>
            <w:r w:rsidR="007F39C9" w:rsidRPr="00E83C5E">
              <w:rPr>
                <w:rFonts w:ascii="Garamond" w:hAnsi="Garamond" w:cs="Times New Roman"/>
                <w:sz w:val="20"/>
                <w:szCs w:val="24"/>
                <w:lang w:val="sq-AL"/>
              </w:rPr>
              <w:t>mos</w:t>
            </w:r>
            <w:r w:rsidRPr="00E83C5E">
              <w:rPr>
                <w:rFonts w:ascii="Garamond" w:hAnsi="Garamond" w:cs="Times New Roman"/>
                <w:sz w:val="20"/>
                <w:szCs w:val="24"/>
                <w:lang w:val="sq-AL"/>
              </w:rPr>
              <w:t>arritjen e objektivit x?</w:t>
            </w:r>
          </w:p>
        </w:tc>
      </w:tr>
      <w:tr w:rsidR="00C42FE4" w:rsidRPr="00E83C5E" w14:paraId="574E2E3F" w14:textId="77777777" w:rsidTr="00444B63">
        <w:trPr>
          <w:cantSplit/>
          <w:trHeight w:val="1867"/>
        </w:trPr>
        <w:tc>
          <w:tcPr>
            <w:tcW w:w="620" w:type="dxa"/>
            <w:shd w:val="clear" w:color="auto" w:fill="auto"/>
            <w:textDirection w:val="btLr"/>
            <w:vAlign w:val="center"/>
          </w:tcPr>
          <w:p w14:paraId="574E2E37" w14:textId="77777777" w:rsidR="00C42FE4" w:rsidRPr="00E83C5E" w:rsidRDefault="00C42FE4" w:rsidP="00444B63">
            <w:pPr>
              <w:spacing w:after="0"/>
              <w:ind w:left="113" w:right="20"/>
              <w:jc w:val="center"/>
              <w:rPr>
                <w:rFonts w:ascii="Garamond" w:eastAsia="Times New Roman" w:hAnsi="Garamond" w:cs="Times New Roman"/>
                <w:b/>
                <w:bCs/>
                <w:smallCaps/>
                <w:color w:val="002060"/>
                <w:sz w:val="20"/>
                <w:szCs w:val="24"/>
              </w:rPr>
            </w:pPr>
            <w:r w:rsidRPr="00E83C5E">
              <w:rPr>
                <w:rFonts w:ascii="Garamond" w:hAnsi="Garamond" w:cs="Times New Roman"/>
                <w:b/>
                <w:bCs/>
                <w:smallCaps/>
                <w:color w:val="002060"/>
                <w:sz w:val="20"/>
                <w:szCs w:val="24"/>
              </w:rPr>
              <w:lastRenderedPageBreak/>
              <w:t>Efiçenca</w:t>
            </w:r>
          </w:p>
        </w:tc>
        <w:tc>
          <w:tcPr>
            <w:tcW w:w="2790" w:type="dxa"/>
            <w:shd w:val="clear" w:color="auto" w:fill="auto"/>
          </w:tcPr>
          <w:p w14:paraId="574E2E38" w14:textId="77777777" w:rsidR="00C42FE4" w:rsidRPr="00E83C5E" w:rsidRDefault="00C42FE4" w:rsidP="00DA0BCC">
            <w:pPr>
              <w:pStyle w:val="ListParagraph"/>
              <w:numPr>
                <w:ilvl w:val="0"/>
                <w:numId w:val="1"/>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A është qasja e zgjedhur më efikase në kosto?</w:t>
            </w:r>
          </w:p>
          <w:p w14:paraId="574E2E39" w14:textId="77777777" w:rsidR="00C42FE4" w:rsidRPr="00E83C5E" w:rsidRDefault="00C42FE4" w:rsidP="00DA0BCC">
            <w:pPr>
              <w:pStyle w:val="ListParagraph"/>
              <w:numPr>
                <w:ilvl w:val="0"/>
                <w:numId w:val="1"/>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A janë të justifikuara mirë mekanizmi i zbatimit - strukturat dhe proceset?</w:t>
            </w:r>
          </w:p>
        </w:tc>
        <w:tc>
          <w:tcPr>
            <w:tcW w:w="2970" w:type="dxa"/>
            <w:shd w:val="clear" w:color="auto" w:fill="auto"/>
          </w:tcPr>
          <w:p w14:paraId="574E2E3A" w14:textId="77777777" w:rsidR="00C42FE4" w:rsidRPr="00E83C5E" w:rsidRDefault="00C42FE4" w:rsidP="00DA0BCC">
            <w:pPr>
              <w:pStyle w:val="ListParagraph"/>
              <w:numPr>
                <w:ilvl w:val="0"/>
                <w:numId w:val="2"/>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Si mund të rritet efikasiteti i procesit?</w:t>
            </w:r>
          </w:p>
          <w:p w14:paraId="574E2E3B" w14:textId="77777777" w:rsidR="00C42FE4" w:rsidRPr="00E83C5E" w:rsidRDefault="00C42FE4" w:rsidP="00DA0BCC">
            <w:pPr>
              <w:pStyle w:val="ListParagraph"/>
              <w:numPr>
                <w:ilvl w:val="0"/>
                <w:numId w:val="2"/>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Çfarë procedurash institucionale duhet të thjeshtohen në mënyrë që zbatimi të bëhet më efikas?</w:t>
            </w:r>
          </w:p>
        </w:tc>
        <w:tc>
          <w:tcPr>
            <w:tcW w:w="2970" w:type="dxa"/>
            <w:shd w:val="clear" w:color="auto" w:fill="auto"/>
          </w:tcPr>
          <w:p w14:paraId="574E2E3C" w14:textId="77777777" w:rsidR="00C42FE4" w:rsidRPr="00E83C5E" w:rsidRDefault="00C42FE4" w:rsidP="00DA0BCC">
            <w:pPr>
              <w:pStyle w:val="ListParagraph"/>
              <w:numPr>
                <w:ilvl w:val="0"/>
                <w:numId w:val="3"/>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A është realizuar aktiviteti x duke përdorur qasjen me kosto më efikase?</w:t>
            </w:r>
          </w:p>
          <w:p w14:paraId="574E2E3D" w14:textId="77777777" w:rsidR="00C42FE4" w:rsidRPr="00E83C5E" w:rsidRDefault="00C42FE4" w:rsidP="00DA0BCC">
            <w:pPr>
              <w:pStyle w:val="ListParagraph"/>
              <w:numPr>
                <w:ilvl w:val="0"/>
                <w:numId w:val="3"/>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Sa e mirë ka qenë performanca e institucionit apo e procesit?</w:t>
            </w:r>
          </w:p>
          <w:p w14:paraId="574E2E3E" w14:textId="77777777" w:rsidR="00C42FE4" w:rsidRPr="00E83C5E" w:rsidRDefault="00C42FE4" w:rsidP="00DA0BCC">
            <w:pPr>
              <w:pStyle w:val="ListParagraph"/>
              <w:numPr>
                <w:ilvl w:val="0"/>
                <w:numId w:val="3"/>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Çfarë mësimesh mund të nxirren?</w:t>
            </w:r>
          </w:p>
        </w:tc>
      </w:tr>
      <w:tr w:rsidR="00C42FE4" w:rsidRPr="00E83C5E" w14:paraId="574E2E46" w14:textId="77777777" w:rsidTr="00444B63">
        <w:trPr>
          <w:cantSplit/>
          <w:trHeight w:val="1243"/>
        </w:trPr>
        <w:tc>
          <w:tcPr>
            <w:tcW w:w="620" w:type="dxa"/>
            <w:shd w:val="clear" w:color="auto" w:fill="auto"/>
            <w:textDirection w:val="btLr"/>
            <w:vAlign w:val="center"/>
          </w:tcPr>
          <w:p w14:paraId="574E2E40" w14:textId="77777777" w:rsidR="00C42FE4" w:rsidRPr="00E83C5E" w:rsidRDefault="00C42FE4" w:rsidP="00444B63">
            <w:pPr>
              <w:spacing w:after="0"/>
              <w:ind w:left="113" w:right="20"/>
              <w:jc w:val="center"/>
              <w:rPr>
                <w:rFonts w:ascii="Garamond" w:eastAsia="Times New Roman" w:hAnsi="Garamond" w:cs="Times New Roman"/>
                <w:b/>
                <w:bCs/>
                <w:smallCaps/>
                <w:color w:val="002060"/>
                <w:sz w:val="20"/>
                <w:szCs w:val="24"/>
              </w:rPr>
            </w:pPr>
            <w:r w:rsidRPr="00E83C5E">
              <w:rPr>
                <w:rFonts w:ascii="Garamond" w:hAnsi="Garamond" w:cs="Times New Roman"/>
                <w:b/>
                <w:bCs/>
                <w:smallCaps/>
                <w:color w:val="002060"/>
                <w:sz w:val="20"/>
                <w:szCs w:val="24"/>
              </w:rPr>
              <w:t>Ndikimi</w:t>
            </w:r>
          </w:p>
        </w:tc>
        <w:tc>
          <w:tcPr>
            <w:tcW w:w="2790" w:type="dxa"/>
            <w:shd w:val="clear" w:color="auto" w:fill="auto"/>
          </w:tcPr>
          <w:p w14:paraId="574E2E41" w14:textId="77777777" w:rsidR="00C42FE4" w:rsidRPr="00E83C5E" w:rsidRDefault="00C42FE4" w:rsidP="00DA0BCC">
            <w:pPr>
              <w:pStyle w:val="ListParagraph"/>
              <w:numPr>
                <w:ilvl w:val="0"/>
                <w:numId w:val="1"/>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Cili është ndikimi i pritshëm i ndërhyrjes?</w:t>
            </w:r>
          </w:p>
          <w:p w14:paraId="574E2E42" w14:textId="77777777" w:rsidR="00C42FE4" w:rsidRPr="00E83C5E" w:rsidRDefault="00C42FE4" w:rsidP="00DA0BCC">
            <w:pPr>
              <w:pStyle w:val="ListParagraph"/>
              <w:numPr>
                <w:ilvl w:val="0"/>
                <w:numId w:val="1"/>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Cilat janë grupet e synuara të ndikimit?</w:t>
            </w:r>
          </w:p>
        </w:tc>
        <w:tc>
          <w:tcPr>
            <w:tcW w:w="2970" w:type="dxa"/>
            <w:shd w:val="clear" w:color="auto" w:fill="auto"/>
          </w:tcPr>
          <w:p w14:paraId="574E2E43" w14:textId="77777777" w:rsidR="00C42FE4" w:rsidRPr="00E83C5E" w:rsidRDefault="00C42FE4" w:rsidP="00DA0BCC">
            <w:pPr>
              <w:pStyle w:val="ListParagraph"/>
              <w:numPr>
                <w:ilvl w:val="0"/>
                <w:numId w:val="2"/>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A sjell ndërhyrja gjatë zbatimit disa efekte të padëshiruara?</w:t>
            </w:r>
          </w:p>
        </w:tc>
        <w:tc>
          <w:tcPr>
            <w:tcW w:w="2970" w:type="dxa"/>
            <w:shd w:val="clear" w:color="auto" w:fill="auto"/>
          </w:tcPr>
          <w:p w14:paraId="574E2E44" w14:textId="77777777" w:rsidR="00C42FE4" w:rsidRPr="00E83C5E" w:rsidRDefault="00C42FE4" w:rsidP="00DA0BCC">
            <w:pPr>
              <w:pStyle w:val="ListParagraph"/>
              <w:numPr>
                <w:ilvl w:val="0"/>
                <w:numId w:val="3"/>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Cili është ndikimi i aktivitetit kundrejt pritshmërive?</w:t>
            </w:r>
          </w:p>
          <w:p w14:paraId="574E2E45" w14:textId="77777777" w:rsidR="00C42FE4" w:rsidRPr="00E83C5E" w:rsidRDefault="00C42FE4" w:rsidP="00DA0BCC">
            <w:pPr>
              <w:pStyle w:val="ListParagraph"/>
              <w:numPr>
                <w:ilvl w:val="0"/>
                <w:numId w:val="3"/>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Pse është ndikimi më i ulët /më i lartë se sa pritej?</w:t>
            </w:r>
          </w:p>
        </w:tc>
      </w:tr>
      <w:tr w:rsidR="00C42FE4" w:rsidRPr="00E83C5E" w14:paraId="574E2E50" w14:textId="77777777" w:rsidTr="00444B63">
        <w:trPr>
          <w:cantSplit/>
          <w:trHeight w:val="2118"/>
        </w:trPr>
        <w:tc>
          <w:tcPr>
            <w:tcW w:w="620" w:type="dxa"/>
            <w:shd w:val="clear" w:color="auto" w:fill="auto"/>
            <w:textDirection w:val="btLr"/>
            <w:vAlign w:val="center"/>
          </w:tcPr>
          <w:p w14:paraId="574E2E47" w14:textId="77777777" w:rsidR="00C42FE4" w:rsidRPr="00E83C5E" w:rsidRDefault="00C42FE4" w:rsidP="00444B63">
            <w:pPr>
              <w:spacing w:after="0"/>
              <w:ind w:left="113" w:right="20"/>
              <w:jc w:val="center"/>
              <w:rPr>
                <w:rFonts w:ascii="Garamond" w:eastAsia="Times New Roman" w:hAnsi="Garamond" w:cs="Times New Roman"/>
                <w:b/>
                <w:bCs/>
                <w:smallCaps/>
                <w:color w:val="002060"/>
                <w:sz w:val="20"/>
                <w:szCs w:val="24"/>
              </w:rPr>
            </w:pPr>
            <w:r w:rsidRPr="00E83C5E">
              <w:rPr>
                <w:rFonts w:ascii="Garamond" w:hAnsi="Garamond" w:cs="Times New Roman"/>
                <w:b/>
                <w:bCs/>
                <w:smallCaps/>
                <w:color w:val="002060"/>
                <w:w w:val="99"/>
                <w:sz w:val="20"/>
                <w:szCs w:val="24"/>
              </w:rPr>
              <w:t>Qëndrueshmëria</w:t>
            </w:r>
          </w:p>
        </w:tc>
        <w:tc>
          <w:tcPr>
            <w:tcW w:w="2790" w:type="dxa"/>
            <w:shd w:val="clear" w:color="auto" w:fill="auto"/>
          </w:tcPr>
          <w:p w14:paraId="574E2E48" w14:textId="77777777" w:rsidR="00C42FE4" w:rsidRPr="00E83C5E" w:rsidRDefault="00C42FE4" w:rsidP="00DA0BCC">
            <w:pPr>
              <w:pStyle w:val="ListParagraph"/>
              <w:numPr>
                <w:ilvl w:val="0"/>
                <w:numId w:val="1"/>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A ka të ngjarë që ndikimi të jetë afatgjatë?</w:t>
            </w:r>
          </w:p>
          <w:p w14:paraId="574E2E49" w14:textId="77777777" w:rsidR="00C42FE4" w:rsidRPr="00E83C5E" w:rsidRDefault="00C42FE4" w:rsidP="00DA0BCC">
            <w:pPr>
              <w:pStyle w:val="ListParagraph"/>
              <w:numPr>
                <w:ilvl w:val="0"/>
                <w:numId w:val="1"/>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Cilat janë elementet që do ta garantojnë këtë?</w:t>
            </w:r>
          </w:p>
        </w:tc>
        <w:tc>
          <w:tcPr>
            <w:tcW w:w="2970" w:type="dxa"/>
            <w:shd w:val="clear" w:color="auto" w:fill="auto"/>
          </w:tcPr>
          <w:p w14:paraId="574E2E4A" w14:textId="77777777" w:rsidR="00C42FE4" w:rsidRPr="00E83C5E" w:rsidRDefault="00C42FE4" w:rsidP="00DA0BCC">
            <w:pPr>
              <w:pStyle w:val="ListParagraph"/>
              <w:numPr>
                <w:ilvl w:val="0"/>
                <w:numId w:val="2"/>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A ekzistojnë parakushtet për qëndrueshmërinë e objektivave?</w:t>
            </w:r>
          </w:p>
          <w:p w14:paraId="574E2E4B" w14:textId="77777777" w:rsidR="00C42FE4" w:rsidRPr="00E83C5E" w:rsidRDefault="00C42FE4" w:rsidP="00DA0BCC">
            <w:pPr>
              <w:pStyle w:val="ListParagraph"/>
              <w:numPr>
                <w:ilvl w:val="0"/>
                <w:numId w:val="2"/>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Çfarë mund të bëhet për të grasatuar që ato ekzistojnë?</w:t>
            </w:r>
          </w:p>
          <w:p w14:paraId="574E2E4C" w14:textId="77777777" w:rsidR="00C42FE4" w:rsidRPr="00E83C5E" w:rsidRDefault="00C42FE4" w:rsidP="00DA0BCC">
            <w:pPr>
              <w:pStyle w:val="ListParagraph"/>
              <w:numPr>
                <w:ilvl w:val="0"/>
                <w:numId w:val="2"/>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Cilët faktorë po ndikojnë negativisht në qëndrueshmërinë e arritjeve?</w:t>
            </w:r>
          </w:p>
        </w:tc>
        <w:tc>
          <w:tcPr>
            <w:tcW w:w="2970" w:type="dxa"/>
            <w:shd w:val="clear" w:color="auto" w:fill="auto"/>
          </w:tcPr>
          <w:p w14:paraId="574E2E4D" w14:textId="77777777" w:rsidR="00C42FE4" w:rsidRPr="00E83C5E" w:rsidRDefault="00C42FE4" w:rsidP="00DA0BCC">
            <w:pPr>
              <w:pStyle w:val="ListParagraph"/>
              <w:numPr>
                <w:ilvl w:val="0"/>
                <w:numId w:val="3"/>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Cilat janë shanset që rezultatet do të zgjasin për një kohë të gjatë?</w:t>
            </w:r>
          </w:p>
          <w:p w14:paraId="574E2E4E" w14:textId="77777777" w:rsidR="00C42FE4" w:rsidRPr="00E83C5E" w:rsidRDefault="00C42FE4" w:rsidP="00DA0BCC">
            <w:pPr>
              <w:pStyle w:val="ListParagraph"/>
              <w:numPr>
                <w:ilvl w:val="0"/>
                <w:numId w:val="3"/>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Cilat janë kostot e ardhshme të parashikuara për programin?</w:t>
            </w:r>
          </w:p>
          <w:p w14:paraId="574E2E4F" w14:textId="77777777" w:rsidR="00C42FE4" w:rsidRPr="00E83C5E" w:rsidRDefault="00C42FE4" w:rsidP="00DA0BCC">
            <w:pPr>
              <w:pStyle w:val="ListParagraph"/>
              <w:numPr>
                <w:ilvl w:val="0"/>
                <w:numId w:val="3"/>
              </w:numPr>
              <w:spacing w:line="276" w:lineRule="auto"/>
              <w:ind w:right="20"/>
              <w:jc w:val="left"/>
              <w:rPr>
                <w:rFonts w:ascii="Garamond" w:hAnsi="Garamond" w:cs="Times New Roman"/>
                <w:sz w:val="20"/>
                <w:szCs w:val="24"/>
                <w:lang w:val="sq-AL"/>
              </w:rPr>
            </w:pPr>
            <w:r w:rsidRPr="00E83C5E">
              <w:rPr>
                <w:rFonts w:ascii="Garamond" w:hAnsi="Garamond" w:cs="Times New Roman"/>
                <w:sz w:val="20"/>
                <w:szCs w:val="24"/>
                <w:lang w:val="sq-AL"/>
              </w:rPr>
              <w:t>Cilat janë arsyet e qëndrueshmërisë së ulët të rezultateve?</w:t>
            </w:r>
          </w:p>
        </w:tc>
      </w:tr>
    </w:tbl>
    <w:p w14:paraId="574E2E51" w14:textId="77777777" w:rsidR="002F7250" w:rsidRPr="00E83C5E" w:rsidRDefault="002F7250" w:rsidP="00816900">
      <w:pPr>
        <w:pStyle w:val="TEKSTIII"/>
        <w:ind w:firstLine="0"/>
        <w:rPr>
          <w:sz w:val="20"/>
        </w:rPr>
      </w:pPr>
    </w:p>
    <w:p w14:paraId="574E2E52" w14:textId="77777777" w:rsidR="007F11BA" w:rsidRPr="00E83C5E" w:rsidRDefault="007F11BA" w:rsidP="007D4822">
      <w:pPr>
        <w:pStyle w:val="TEKSTIII"/>
        <w:rPr>
          <w:b/>
        </w:rPr>
      </w:pPr>
      <w:bookmarkStart w:id="11" w:name="_Toc103290741"/>
      <w:r w:rsidRPr="00E83C5E">
        <w:rPr>
          <w:b/>
        </w:rPr>
        <w:t>Koordinimi i kuadrit strategjik</w:t>
      </w:r>
      <w:bookmarkEnd w:id="11"/>
    </w:p>
    <w:p w14:paraId="574E2E53" w14:textId="77777777" w:rsidR="007F11BA" w:rsidRPr="00E83C5E" w:rsidRDefault="007D4822" w:rsidP="007D4822">
      <w:pPr>
        <w:pStyle w:val="TEKSTIII"/>
        <w:rPr>
          <w:b/>
        </w:rPr>
      </w:pPr>
      <w:bookmarkStart w:id="12" w:name="_Toc103290742"/>
      <w:r w:rsidRPr="00E83C5E">
        <w:rPr>
          <w:b/>
        </w:rPr>
        <w:t xml:space="preserve">1. </w:t>
      </w:r>
      <w:r w:rsidR="007F11BA" w:rsidRPr="00E83C5E">
        <w:rPr>
          <w:b/>
        </w:rPr>
        <w:t>Struktura dhe nivelet</w:t>
      </w:r>
      <w:bookmarkEnd w:id="12"/>
    </w:p>
    <w:p w14:paraId="574E2E54" w14:textId="1E3F502F" w:rsidR="007F11BA" w:rsidRPr="00E83C5E" w:rsidRDefault="007F11BA" w:rsidP="007F11BA">
      <w:pPr>
        <w:spacing w:after="0" w:line="240" w:lineRule="auto"/>
        <w:ind w:right="20" w:firstLine="284"/>
        <w:jc w:val="both"/>
        <w:rPr>
          <w:rFonts w:ascii="Garamond" w:hAnsi="Garamond" w:cs="Times New Roman"/>
          <w:sz w:val="24"/>
          <w:szCs w:val="24"/>
        </w:rPr>
      </w:pPr>
      <w:r w:rsidRPr="00E83C5E">
        <w:rPr>
          <w:rFonts w:ascii="Garamond" w:hAnsi="Garamond" w:cs="Times New Roman"/>
          <w:sz w:val="24"/>
          <w:szCs w:val="24"/>
        </w:rPr>
        <w:t xml:space="preserve">Strategjia Kombëtare e Rinisë përcakton një organizim institucional të menaxhimit dhe të monitorimit me disa niveleve duke filluar nga niveli politik, duke vazhduar me nivel teknike </w:t>
      </w:r>
      <w:r w:rsidR="008B63B6" w:rsidRPr="00E83C5E">
        <w:rPr>
          <w:rFonts w:ascii="Garamond" w:hAnsi="Garamond" w:cs="Times New Roman"/>
          <w:sz w:val="24"/>
          <w:szCs w:val="24"/>
        </w:rPr>
        <w:t>ndër</w:t>
      </w:r>
      <w:r w:rsidRPr="00E83C5E">
        <w:rPr>
          <w:rFonts w:ascii="Garamond" w:hAnsi="Garamond" w:cs="Times New Roman"/>
          <w:sz w:val="24"/>
          <w:szCs w:val="24"/>
        </w:rPr>
        <w:t>sektorial dhe duke përfunduar me rolin e institucionit udhëheqës – Ministri i Shtetit për Rininë dhe Fëmijët (MShRF).</w:t>
      </w:r>
    </w:p>
    <w:p w14:paraId="574E2E55" w14:textId="2DDB6607" w:rsidR="007F11BA" w:rsidRPr="00E83C5E" w:rsidRDefault="007F11BA" w:rsidP="007F11BA">
      <w:pPr>
        <w:spacing w:after="0" w:line="240" w:lineRule="auto"/>
        <w:ind w:left="2" w:right="20" w:firstLine="284"/>
        <w:jc w:val="both"/>
        <w:rPr>
          <w:rFonts w:ascii="Garamond" w:hAnsi="Garamond" w:cs="Times New Roman"/>
          <w:color w:val="000000"/>
          <w:sz w:val="24"/>
          <w:szCs w:val="24"/>
        </w:rPr>
      </w:pPr>
      <w:r w:rsidRPr="00E83C5E">
        <w:rPr>
          <w:rFonts w:ascii="Garamond" w:hAnsi="Garamond" w:cs="Times New Roman"/>
          <w:b/>
          <w:sz w:val="24"/>
          <w:szCs w:val="24"/>
        </w:rPr>
        <w:t>Niveli i parë</w:t>
      </w:r>
      <w:r w:rsidRPr="00E83C5E">
        <w:rPr>
          <w:rFonts w:ascii="Garamond" w:hAnsi="Garamond" w:cs="Times New Roman"/>
          <w:sz w:val="24"/>
          <w:szCs w:val="24"/>
        </w:rPr>
        <w:t xml:space="preserve"> </w:t>
      </w:r>
      <w:r w:rsidRPr="00E83C5E">
        <w:rPr>
          <w:rFonts w:ascii="Garamond" w:hAnsi="Garamond" w:cs="Times New Roman"/>
          <w:color w:val="000000"/>
          <w:sz w:val="24"/>
          <w:szCs w:val="24"/>
        </w:rPr>
        <w:t xml:space="preserve">përbëhet nga institucioni kryesor - MShRF - që koordinon SKR-në në institucionet pjesëmarrëse me anë të Personave të Kontaktit (PK) të përcaktuar në çdo ministri dhe institucion varësie që lidhet për të koordinuar zbatimin e SKR-së me MShRF. Kabineti i MShRF-së dhe Agjencia Kombëtare e Rinisë (AKR) , si institucion në varësi të MShRF-së, kanë për detyrë koordinimin e PKR-së. </w:t>
      </w:r>
      <w:bookmarkStart w:id="13" w:name="_Hlk97539449"/>
      <w:r w:rsidRPr="00E83C5E">
        <w:rPr>
          <w:rFonts w:ascii="Garamond" w:hAnsi="Garamond" w:cs="Times New Roman"/>
          <w:color w:val="000000"/>
          <w:sz w:val="24"/>
          <w:szCs w:val="24"/>
        </w:rPr>
        <w:t>Funksioni i nivelit të pare është menaxhimi operacional i SKR-së në baza ditore.</w:t>
      </w:r>
      <w:r w:rsidR="00233C37" w:rsidRPr="00E83C5E">
        <w:rPr>
          <w:rFonts w:ascii="Garamond" w:hAnsi="Garamond" w:cs="Times New Roman"/>
          <w:color w:val="000000"/>
          <w:sz w:val="24"/>
          <w:szCs w:val="24"/>
        </w:rPr>
        <w:t xml:space="preserve"> </w:t>
      </w:r>
      <w:r w:rsidRPr="00E83C5E">
        <w:rPr>
          <w:rFonts w:ascii="Garamond" w:hAnsi="Garamond" w:cs="Times New Roman"/>
          <w:color w:val="000000"/>
          <w:sz w:val="24"/>
          <w:szCs w:val="24"/>
        </w:rPr>
        <w:t xml:space="preserve"> Në bashkëpunim me</w:t>
      </w:r>
      <w:r w:rsidR="00233C37" w:rsidRPr="00E83C5E">
        <w:rPr>
          <w:rFonts w:ascii="Garamond" w:hAnsi="Garamond" w:cs="Times New Roman"/>
          <w:color w:val="000000"/>
          <w:sz w:val="24"/>
          <w:szCs w:val="24"/>
        </w:rPr>
        <w:t xml:space="preserve"> </w:t>
      </w:r>
      <w:r w:rsidRPr="00E83C5E">
        <w:rPr>
          <w:rFonts w:ascii="Garamond" w:hAnsi="Garamond" w:cs="Times New Roman"/>
          <w:color w:val="000000"/>
          <w:sz w:val="24"/>
          <w:szCs w:val="24"/>
        </w:rPr>
        <w:t xml:space="preserve"> personelin përgjegjës nëpër</w:t>
      </w:r>
      <w:r w:rsidR="00233C37" w:rsidRPr="00E83C5E">
        <w:rPr>
          <w:rFonts w:ascii="Garamond" w:hAnsi="Garamond" w:cs="Times New Roman"/>
          <w:color w:val="000000"/>
          <w:sz w:val="24"/>
          <w:szCs w:val="24"/>
        </w:rPr>
        <w:t xml:space="preserve"> </w:t>
      </w:r>
      <w:r w:rsidRPr="00E83C5E">
        <w:rPr>
          <w:rFonts w:ascii="Garamond" w:hAnsi="Garamond" w:cs="Times New Roman"/>
          <w:color w:val="000000"/>
          <w:sz w:val="24"/>
          <w:szCs w:val="24"/>
        </w:rPr>
        <w:t>bashki</w:t>
      </w:r>
      <w:r w:rsidR="00233C37" w:rsidRPr="00E83C5E">
        <w:rPr>
          <w:rFonts w:ascii="Garamond" w:hAnsi="Garamond" w:cs="Times New Roman"/>
          <w:color w:val="000000"/>
          <w:sz w:val="24"/>
          <w:szCs w:val="24"/>
        </w:rPr>
        <w:t xml:space="preserve"> </w:t>
      </w:r>
      <w:r w:rsidRPr="00E83C5E">
        <w:rPr>
          <w:rFonts w:ascii="Garamond" w:hAnsi="Garamond" w:cs="Times New Roman"/>
          <w:color w:val="000000"/>
          <w:sz w:val="24"/>
          <w:szCs w:val="24"/>
        </w:rPr>
        <w:t xml:space="preserve">AKR përgatit edhe raportet 2 mujore të monitorimit të aktiviteteve të strategjisë dhe i raporton ato pranë MShRF-së. </w:t>
      </w:r>
    </w:p>
    <w:p w14:paraId="574E2E56" w14:textId="77777777" w:rsidR="007F11BA" w:rsidRPr="00E83C5E" w:rsidRDefault="007F11BA" w:rsidP="007F11BA">
      <w:pPr>
        <w:spacing w:after="0" w:line="240" w:lineRule="auto"/>
        <w:ind w:left="2" w:right="20" w:firstLine="284"/>
        <w:jc w:val="both"/>
        <w:rPr>
          <w:rFonts w:ascii="Garamond" w:hAnsi="Garamond" w:cs="Times New Roman"/>
          <w:bCs/>
          <w:sz w:val="24"/>
          <w:szCs w:val="24"/>
        </w:rPr>
      </w:pPr>
      <w:r w:rsidRPr="00E83C5E">
        <w:rPr>
          <w:rFonts w:ascii="Garamond" w:hAnsi="Garamond" w:cs="Times New Roman"/>
          <w:b/>
          <w:sz w:val="24"/>
          <w:szCs w:val="24"/>
        </w:rPr>
        <w:t>Niveli i dytë</w:t>
      </w:r>
      <w:r w:rsidRPr="00E83C5E">
        <w:rPr>
          <w:rFonts w:ascii="Garamond" w:hAnsi="Garamond" w:cs="Times New Roman"/>
          <w:bCs/>
          <w:sz w:val="24"/>
          <w:szCs w:val="24"/>
        </w:rPr>
        <w:t xml:space="preserve"> përbëhet nga Grupi Ndërqeveritar i Monitorimit të SKR-së. Ky grup është i nivelit të lartë i përbërë nga përfaqësuesit e emëruar zyrtarisht nga ministritë përkatëse. Ky grup kryesohet nga ministri përgjegjës për rininë. Çdo gjashtë muaj pranë këtij grupi dorëzohet një raport monitorimi i përgatitur nga AKR. Raporti diskutohet dhe grupi merr masa për zbatimin e përgjithshëm të strategjisë duke pasur fokusin në ndikimin e reformave edhe në kuadër të SKZHI-së. </w:t>
      </w:r>
    </w:p>
    <w:p w14:paraId="574E2E57" w14:textId="77777777" w:rsidR="007F11BA" w:rsidRPr="00E83C5E" w:rsidRDefault="007F11BA" w:rsidP="007F11BA">
      <w:pPr>
        <w:spacing w:after="0" w:line="240" w:lineRule="auto"/>
        <w:ind w:left="2" w:right="20" w:firstLine="284"/>
        <w:jc w:val="both"/>
        <w:rPr>
          <w:rFonts w:ascii="Garamond" w:hAnsi="Garamond" w:cs="Times New Roman"/>
          <w:bCs/>
          <w:sz w:val="24"/>
          <w:szCs w:val="24"/>
        </w:rPr>
      </w:pPr>
      <w:r w:rsidRPr="00E83C5E">
        <w:rPr>
          <w:rFonts w:ascii="Garamond" w:hAnsi="Garamond" w:cs="Times New Roman"/>
          <w:b/>
          <w:sz w:val="24"/>
          <w:szCs w:val="24"/>
        </w:rPr>
        <w:t xml:space="preserve">Niveli i tretë </w:t>
      </w:r>
      <w:r w:rsidRPr="00E83C5E">
        <w:rPr>
          <w:rFonts w:ascii="Garamond" w:hAnsi="Garamond" w:cs="Times New Roman"/>
          <w:bCs/>
          <w:sz w:val="24"/>
          <w:szCs w:val="24"/>
        </w:rPr>
        <w:t xml:space="preserve">përbëhet nga Konferenca Vjetore e Rinisë e cila bën vlerësimin vjetor të SKR-së përmes angazhimit të shoqatave dhe organizatave rinore. Procesi i përzgjedhjes përcaktohet me udhëzime të MShRF-së dhe organizatat e përzgjedhura mund të bashkëpunojnë edhe organizata ndërkombëtare në fushën e rinisë dhe donatorë për të mbështetur realizimin e konferencës dhe procesin e vlerësimit vjetor të SKR-së. </w:t>
      </w:r>
      <w:bookmarkEnd w:id="13"/>
    </w:p>
    <w:p w14:paraId="574E2E58" w14:textId="77777777" w:rsidR="007F11BA" w:rsidRPr="00E83C5E" w:rsidRDefault="007F11BA" w:rsidP="007F11BA">
      <w:pPr>
        <w:spacing w:after="0" w:line="240" w:lineRule="auto"/>
        <w:ind w:firstLine="284"/>
        <w:rPr>
          <w:rFonts w:ascii="Garamond" w:hAnsi="Garamond" w:cs="Times New Roman"/>
          <w:sz w:val="24"/>
          <w:szCs w:val="24"/>
        </w:rPr>
      </w:pPr>
      <w:bookmarkStart w:id="14" w:name="_Toc103290744"/>
      <w:r w:rsidRPr="00E83C5E">
        <w:rPr>
          <w:rFonts w:ascii="Garamond" w:hAnsi="Garamond" w:cs="Times New Roman"/>
          <w:sz w:val="24"/>
          <w:szCs w:val="24"/>
        </w:rPr>
        <w:t>Një përmbledhje e listës së treguesve/indikatorëve për Strategjinë Kombëtare të Rinisë 2022-2029</w:t>
      </w:r>
      <w:bookmarkEnd w:id="14"/>
      <w:r w:rsidRPr="00E83C5E">
        <w:rPr>
          <w:rFonts w:ascii="Garamond" w:hAnsi="Garamond" w:cs="Times New Roman"/>
          <w:sz w:val="24"/>
          <w:szCs w:val="24"/>
        </w:rPr>
        <w:t xml:space="preserve"> paraqitet në fund të këtij dokumenti. </w:t>
      </w:r>
    </w:p>
    <w:p w14:paraId="574E2E59" w14:textId="77777777" w:rsidR="007F11BA" w:rsidRPr="00E83C5E" w:rsidRDefault="007F11BA" w:rsidP="007D4822">
      <w:pPr>
        <w:pStyle w:val="TEKSTIII"/>
        <w:rPr>
          <w:b/>
          <w:bCs/>
        </w:rPr>
      </w:pPr>
      <w:r w:rsidRPr="00E83C5E">
        <w:rPr>
          <w:b/>
          <w:bCs/>
        </w:rPr>
        <w:t xml:space="preserve">PJESA V: Plani i Veprimit dhe Vlerësimet Financiare </w:t>
      </w:r>
    </w:p>
    <w:p w14:paraId="574E2E5A" w14:textId="3CD0196C" w:rsidR="007F11BA" w:rsidRPr="00E83C5E" w:rsidRDefault="007F11BA" w:rsidP="007F11BA">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Plani i detajuar i veprimit është bashkangjitur si aneks i këtij dokumenti strategjik dhe është hartuar në përputhje me metodologjinë e sistemit IPSIS. Plani i Veprimit është kostuar, dhe </w:t>
      </w:r>
      <w:r w:rsidRPr="00E83C5E">
        <w:rPr>
          <w:rFonts w:ascii="Garamond" w:hAnsi="Garamond" w:cs="Times New Roman"/>
          <w:sz w:val="24"/>
          <w:szCs w:val="24"/>
        </w:rPr>
        <w:lastRenderedPageBreak/>
        <w:t>buxhetet e detajuara parashikohen në të njëjtën mënyrë në sistemin IPSIS, duke ofruar edhe ndarjen e duhur për programet buxhetore, edhe sipas institucioneve.</w:t>
      </w:r>
      <w:r w:rsidR="00233C37" w:rsidRPr="00E83C5E">
        <w:rPr>
          <w:rFonts w:ascii="Garamond" w:hAnsi="Garamond" w:cs="Times New Roman"/>
          <w:sz w:val="24"/>
          <w:szCs w:val="24"/>
        </w:rPr>
        <w:t xml:space="preserve"> </w:t>
      </w:r>
    </w:p>
    <w:p w14:paraId="574E2E5B" w14:textId="77777777" w:rsidR="007F11BA" w:rsidRPr="00E83C5E" w:rsidRDefault="007F11BA" w:rsidP="007F11BA">
      <w:pPr>
        <w:pStyle w:val="Default"/>
        <w:ind w:firstLine="284"/>
        <w:jc w:val="both"/>
        <w:rPr>
          <w:rFonts w:ascii="Garamond" w:hAnsi="Garamond" w:cs="Times New Roman"/>
          <w:color w:val="auto"/>
          <w:lang w:val="sq-AL"/>
        </w:rPr>
      </w:pPr>
      <w:r w:rsidRPr="00E83C5E">
        <w:rPr>
          <w:rFonts w:ascii="Garamond" w:hAnsi="Garamond" w:cs="Times New Roman"/>
          <w:color w:val="auto"/>
          <w:lang w:val="sq-AL"/>
        </w:rPr>
        <w:t xml:space="preserve">Ky kapitull i Strategjisë Ndërsektoriale të Rinisë përmban informacion në lidhje me financimin e këtij dokumenti duke e specifikuar sipas financimit që nevojitet për secilin nga qëllimet, në mënyrë që të realizohen secili prej tyre. </w:t>
      </w:r>
    </w:p>
    <w:p w14:paraId="574E2E5C" w14:textId="40512C00" w:rsidR="007F11BA" w:rsidRPr="00E83C5E" w:rsidRDefault="007F11BA" w:rsidP="007F11BA">
      <w:pPr>
        <w:pStyle w:val="Default"/>
        <w:ind w:firstLine="284"/>
        <w:jc w:val="both"/>
        <w:rPr>
          <w:rFonts w:ascii="Garamond" w:hAnsi="Garamond" w:cs="Times New Roman"/>
          <w:lang w:val="sq-AL"/>
        </w:rPr>
      </w:pPr>
      <w:r w:rsidRPr="00E83C5E">
        <w:rPr>
          <w:rFonts w:ascii="Garamond" w:hAnsi="Garamond" w:cs="Times New Roman"/>
          <w:color w:val="auto"/>
          <w:lang w:val="sq-AL"/>
        </w:rPr>
        <w:t>Më specifikisht, në këtë pjesë të strategjisë fillimisht jepet shpërndarja e burimeve sipas qëllimeve të politikës</w:t>
      </w:r>
      <w:r w:rsidR="00BE7B59">
        <w:rPr>
          <w:rFonts w:ascii="Garamond" w:hAnsi="Garamond" w:cs="Times New Roman"/>
          <w:color w:val="auto"/>
          <w:lang w:val="sq-AL"/>
        </w:rPr>
        <w:t>,</w:t>
      </w:r>
      <w:r w:rsidRPr="00E83C5E">
        <w:rPr>
          <w:rFonts w:ascii="Garamond" w:hAnsi="Garamond" w:cs="Times New Roman"/>
          <w:color w:val="auto"/>
          <w:lang w:val="sq-AL"/>
        </w:rPr>
        <w:t xml:space="preserve"> si dhe nevojat e paplotësuara me financim ose hendeku financiar për secilin nga qëllimet. Hendeku i financimit mund të mbulohet direkt nga buxheti i shtetit, donatorët nëpërmjet granteve apo edhe fonde të tjera të asistencës teknike. </w:t>
      </w:r>
    </w:p>
    <w:p w14:paraId="574E2E5D" w14:textId="77777777" w:rsidR="007F11BA" w:rsidRPr="00E83C5E" w:rsidRDefault="007F11BA" w:rsidP="007F11BA">
      <w:pPr>
        <w:pStyle w:val="Default"/>
        <w:ind w:firstLine="284"/>
        <w:jc w:val="both"/>
        <w:rPr>
          <w:rFonts w:ascii="Garamond" w:eastAsiaTheme="minorHAnsi" w:hAnsi="Garamond" w:cs="Times New Roman"/>
          <w:color w:val="000000" w:themeColor="text1"/>
          <w:lang w:val="sq-AL"/>
        </w:rPr>
      </w:pPr>
      <w:r w:rsidRPr="00E83C5E">
        <w:rPr>
          <w:rFonts w:ascii="Garamond" w:eastAsiaTheme="minorHAnsi" w:hAnsi="Garamond" w:cs="Times New Roman"/>
          <w:color w:val="000000" w:themeColor="text1"/>
          <w:lang w:val="sq-AL"/>
        </w:rPr>
        <w:t xml:space="preserve">Siç edhe është përmendur më lart, strategjia ka 3 qëllime politike dhe MSHRF do jetë institucioni përgjegjës për të koordinuar veprimet dhe për të bërë të mundur që masat e parashikuara në strategji të realizohen me sukses. </w:t>
      </w:r>
    </w:p>
    <w:p w14:paraId="574E2E5E" w14:textId="6F29C3B4" w:rsidR="007F11BA" w:rsidRPr="00E83C5E" w:rsidRDefault="007F11BA" w:rsidP="007F11BA">
      <w:pPr>
        <w:pStyle w:val="Default"/>
        <w:ind w:firstLine="284"/>
        <w:jc w:val="both"/>
        <w:rPr>
          <w:rFonts w:ascii="Garamond" w:eastAsiaTheme="minorHAnsi" w:hAnsi="Garamond" w:cs="Times New Roman"/>
          <w:color w:val="000000" w:themeColor="text1"/>
          <w:lang w:val="sq-AL"/>
        </w:rPr>
      </w:pPr>
      <w:r w:rsidRPr="00E83C5E">
        <w:rPr>
          <w:rFonts w:ascii="Garamond" w:eastAsiaTheme="minorHAnsi" w:hAnsi="Garamond" w:cs="Times New Roman"/>
          <w:color w:val="000000" w:themeColor="text1"/>
          <w:lang w:val="sq-AL"/>
        </w:rPr>
        <w:t>Për</w:t>
      </w:r>
      <w:r w:rsidR="00BE7B59">
        <w:rPr>
          <w:rFonts w:ascii="Garamond" w:eastAsiaTheme="minorHAnsi" w:hAnsi="Garamond" w:cs="Times New Roman"/>
          <w:color w:val="000000" w:themeColor="text1"/>
          <w:lang w:val="sq-AL"/>
        </w:rPr>
        <w:t xml:space="preserve"> </w:t>
      </w:r>
      <w:r w:rsidRPr="00E83C5E">
        <w:rPr>
          <w:rFonts w:ascii="Garamond" w:eastAsiaTheme="minorHAnsi" w:hAnsi="Garamond" w:cs="Times New Roman"/>
          <w:color w:val="000000" w:themeColor="text1"/>
          <w:lang w:val="sq-AL"/>
        </w:rPr>
        <w:t xml:space="preserve">sa i përket hendekut të financimit, pjesa më e madhe e tij përbëhet nga shpenzimet për programe, platformën </w:t>
      </w:r>
      <w:r w:rsidR="00BE7B59">
        <w:rPr>
          <w:rFonts w:ascii="Garamond" w:eastAsiaTheme="minorHAnsi" w:hAnsi="Garamond" w:cs="Times New Roman"/>
          <w:color w:val="000000" w:themeColor="text1"/>
          <w:lang w:val="sq-AL"/>
        </w:rPr>
        <w:t>“T</w:t>
      </w:r>
      <w:r w:rsidRPr="00E83C5E">
        <w:rPr>
          <w:rFonts w:ascii="Garamond" w:eastAsiaTheme="minorHAnsi" w:hAnsi="Garamond" w:cs="Times New Roman"/>
          <w:color w:val="000000" w:themeColor="text1"/>
          <w:lang w:val="sq-AL"/>
        </w:rPr>
        <w:t xml:space="preserve">ë Rinjtë për </w:t>
      </w:r>
      <w:r w:rsidR="00BE7B59">
        <w:rPr>
          <w:rFonts w:ascii="Garamond" w:eastAsiaTheme="minorHAnsi" w:hAnsi="Garamond" w:cs="Times New Roman"/>
          <w:color w:val="000000" w:themeColor="text1"/>
          <w:lang w:val="sq-AL"/>
        </w:rPr>
        <w:t>t</w:t>
      </w:r>
      <w:r w:rsidRPr="00E83C5E">
        <w:rPr>
          <w:rFonts w:ascii="Garamond" w:eastAsiaTheme="minorHAnsi" w:hAnsi="Garamond" w:cs="Times New Roman"/>
          <w:color w:val="000000" w:themeColor="text1"/>
          <w:lang w:val="sq-AL"/>
        </w:rPr>
        <w:t>ë Rinjtë</w:t>
      </w:r>
      <w:r w:rsidR="00BE7B59">
        <w:rPr>
          <w:rFonts w:ascii="Garamond" w:eastAsiaTheme="minorHAnsi" w:hAnsi="Garamond" w:cs="Times New Roman"/>
          <w:color w:val="000000" w:themeColor="text1"/>
          <w:lang w:val="sq-AL"/>
        </w:rPr>
        <w:t>”</w:t>
      </w:r>
      <w:r w:rsidRPr="00E83C5E">
        <w:rPr>
          <w:rFonts w:ascii="Garamond" w:eastAsiaTheme="minorHAnsi" w:hAnsi="Garamond" w:cs="Times New Roman"/>
          <w:color w:val="000000" w:themeColor="text1"/>
          <w:lang w:val="sq-AL"/>
        </w:rPr>
        <w:t xml:space="preserve"> dhe baza të dhënash, ngritje kapacitetesh, punonjës të rinj në institucione si AKR dhe INSTAT dhe infrastruktura apo pajisjet e nevojshme për realizimin sa më të mirë të punës së tyre, dhe studim i situatës për çështje të ndryshme.</w:t>
      </w:r>
    </w:p>
    <w:p w14:paraId="574E2E5F" w14:textId="77777777" w:rsidR="007F11BA" w:rsidRPr="00E83C5E" w:rsidRDefault="007F11BA" w:rsidP="007F11BA">
      <w:pPr>
        <w:pStyle w:val="Default"/>
        <w:ind w:firstLine="284"/>
        <w:jc w:val="both"/>
        <w:rPr>
          <w:rFonts w:ascii="Garamond" w:eastAsiaTheme="minorHAnsi" w:hAnsi="Garamond" w:cs="Times New Roman"/>
          <w:b/>
          <w:bCs/>
          <w:color w:val="000000" w:themeColor="text1"/>
          <w:lang w:val="sq-AL"/>
        </w:rPr>
      </w:pPr>
      <w:r w:rsidRPr="00E83C5E">
        <w:rPr>
          <w:rFonts w:ascii="Garamond" w:eastAsiaTheme="minorHAnsi" w:hAnsi="Garamond" w:cs="Times New Roman"/>
          <w:color w:val="000000" w:themeColor="text1"/>
          <w:lang w:val="sq-AL"/>
        </w:rPr>
        <w:t xml:space="preserve">Kosto totale e strategjisë për të tetë vitet është </w:t>
      </w:r>
      <w:r w:rsidRPr="00E83C5E">
        <w:rPr>
          <w:rFonts w:ascii="Garamond" w:eastAsiaTheme="minorHAnsi" w:hAnsi="Garamond" w:cs="Times New Roman"/>
          <w:b/>
          <w:bCs/>
          <w:color w:val="000000" w:themeColor="text1"/>
          <w:lang w:val="sq-AL"/>
        </w:rPr>
        <w:t xml:space="preserve">5,570,086,793 </w:t>
      </w:r>
      <w:r w:rsidRPr="00E83C5E">
        <w:rPr>
          <w:rFonts w:ascii="Garamond" w:eastAsiaTheme="minorHAnsi" w:hAnsi="Garamond" w:cs="Times New Roman"/>
          <w:bCs/>
          <w:color w:val="000000" w:themeColor="text1"/>
          <w:lang w:val="sq-AL"/>
        </w:rPr>
        <w:t>lekë dhe hendeku financiar është 18.6%</w:t>
      </w:r>
      <w:r w:rsidRPr="00E83C5E">
        <w:rPr>
          <w:rFonts w:ascii="Garamond" w:eastAsia="Arial" w:hAnsi="Garamond" w:cs="Times New Roman"/>
          <w:bCs/>
          <w:color w:val="000000" w:themeColor="text1"/>
          <w:lang w:val="sq-AL"/>
        </w:rPr>
        <w:t xml:space="preserve">. Hendeku financiar në total është </w:t>
      </w:r>
      <w:r w:rsidRPr="00E83C5E">
        <w:rPr>
          <w:rFonts w:ascii="Garamond" w:eastAsia="Arial" w:hAnsi="Garamond" w:cs="Times New Roman"/>
          <w:b/>
          <w:bCs/>
          <w:color w:val="000000" w:themeColor="text1"/>
          <w:lang w:val="sq-AL"/>
        </w:rPr>
        <w:t xml:space="preserve">-1,040,395,542 </w:t>
      </w:r>
      <w:r w:rsidRPr="00E83C5E">
        <w:rPr>
          <w:rFonts w:ascii="Garamond" w:eastAsia="Arial" w:hAnsi="Garamond" w:cs="Times New Roman"/>
          <w:bCs/>
          <w:color w:val="000000" w:themeColor="text1"/>
          <w:lang w:val="sq-AL"/>
        </w:rPr>
        <w:t>lekë. Në grafikun e mëposhtëm jepet hendeku financiar për secilin nga qëllimet e politikës</w:t>
      </w:r>
      <w:r w:rsidRPr="00E83C5E">
        <w:rPr>
          <w:rFonts w:ascii="Garamond" w:eastAsia="Arial" w:hAnsi="Garamond" w:cs="Times New Roman"/>
          <w:lang w:val="sq-AL"/>
        </w:rPr>
        <w:t>.</w:t>
      </w:r>
    </w:p>
    <w:p w14:paraId="574E2E61" w14:textId="77777777" w:rsidR="007F11BA" w:rsidRPr="00E83C5E" w:rsidRDefault="007F11BA" w:rsidP="00D034D6">
      <w:pPr>
        <w:tabs>
          <w:tab w:val="left" w:pos="900"/>
        </w:tabs>
        <w:spacing w:after="0" w:line="240" w:lineRule="auto"/>
        <w:ind w:firstLine="284"/>
        <w:jc w:val="center"/>
        <w:rPr>
          <w:rFonts w:ascii="Garamond" w:eastAsia="Arial" w:hAnsi="Garamond" w:cs="Times New Roman"/>
          <w:i/>
          <w:sz w:val="24"/>
          <w:szCs w:val="24"/>
        </w:rPr>
      </w:pPr>
      <w:r w:rsidRPr="00E83C5E">
        <w:rPr>
          <w:rFonts w:ascii="Garamond" w:eastAsia="Arial" w:hAnsi="Garamond" w:cs="Times New Roman"/>
          <w:i/>
          <w:sz w:val="24"/>
          <w:szCs w:val="24"/>
        </w:rPr>
        <w:t>Grafiku 1: Hendeku financiar për çdo qëllim politike</w:t>
      </w:r>
    </w:p>
    <w:p w14:paraId="574E2E62" w14:textId="77777777" w:rsidR="007F11BA" w:rsidRPr="00E83C5E" w:rsidRDefault="007F11BA" w:rsidP="00D034D6">
      <w:pPr>
        <w:tabs>
          <w:tab w:val="left" w:pos="900"/>
        </w:tabs>
        <w:spacing w:after="0" w:line="240" w:lineRule="auto"/>
        <w:ind w:firstLine="284"/>
        <w:jc w:val="center"/>
        <w:rPr>
          <w:rFonts w:ascii="Garamond" w:eastAsia="Arial" w:hAnsi="Garamond" w:cs="Times New Roman"/>
          <w:sz w:val="24"/>
          <w:szCs w:val="24"/>
        </w:rPr>
      </w:pPr>
      <w:r w:rsidRPr="00E83C5E">
        <w:rPr>
          <w:rFonts w:ascii="Garamond" w:eastAsia="Arial" w:hAnsi="Garamond" w:cs="Times New Roman"/>
          <w:noProof/>
          <w:sz w:val="24"/>
          <w:szCs w:val="24"/>
          <w:lang w:val="en-US"/>
        </w:rPr>
        <w:drawing>
          <wp:inline distT="0" distB="0" distL="0" distR="0" wp14:anchorId="574E356A" wp14:editId="39E1ED06">
            <wp:extent cx="4851400" cy="2051035"/>
            <wp:effectExtent l="0" t="0" r="635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911959" cy="2076638"/>
                    </a:xfrm>
                    <a:prstGeom prst="rect">
                      <a:avLst/>
                    </a:prstGeom>
                    <a:noFill/>
                  </pic:spPr>
                </pic:pic>
              </a:graphicData>
            </a:graphic>
          </wp:inline>
        </w:drawing>
      </w:r>
    </w:p>
    <w:p w14:paraId="574E2E65" w14:textId="2B4EC40A" w:rsidR="007F11BA" w:rsidRPr="00E83C5E" w:rsidRDefault="007F11BA" w:rsidP="007F11BA">
      <w:pPr>
        <w:tabs>
          <w:tab w:val="left" w:pos="900"/>
        </w:tabs>
        <w:spacing w:after="0" w:line="240" w:lineRule="auto"/>
        <w:ind w:firstLine="284"/>
        <w:jc w:val="both"/>
        <w:rPr>
          <w:rFonts w:ascii="Garamond" w:eastAsia="Arial" w:hAnsi="Garamond" w:cs="Times New Roman"/>
          <w:sz w:val="24"/>
          <w:szCs w:val="24"/>
        </w:rPr>
      </w:pPr>
      <w:r w:rsidRPr="00E83C5E">
        <w:rPr>
          <w:rFonts w:ascii="Garamond" w:eastAsia="Arial" w:hAnsi="Garamond" w:cs="Times New Roman"/>
          <w:sz w:val="24"/>
          <w:szCs w:val="24"/>
        </w:rPr>
        <w:t>Siç shihet edhe në grafik 64% e hendekut përbëhet nga fondet që duhen për të realizuar qëllimin e parë, 20.5% e hendekut përbëhet nga fondet që duhen për të realizuar qëllimin e dytë dhe 15.5% janë fondet që duhen për të realizuar qëllimin e tretë të politikës</w:t>
      </w:r>
      <w:r w:rsidR="00D034D6" w:rsidRPr="00E83C5E">
        <w:rPr>
          <w:rFonts w:ascii="Garamond" w:eastAsia="Arial" w:hAnsi="Garamond" w:cs="Times New Roman"/>
          <w:sz w:val="24"/>
          <w:szCs w:val="24"/>
        </w:rPr>
        <w:t>.</w:t>
      </w:r>
    </w:p>
    <w:p w14:paraId="574E2E66" w14:textId="77777777" w:rsidR="007F11BA" w:rsidRPr="00E83C5E" w:rsidRDefault="007F11BA" w:rsidP="007D4822">
      <w:pPr>
        <w:pStyle w:val="TEKSTIII"/>
      </w:pPr>
      <w:r w:rsidRPr="00E83C5E">
        <w:t>NEVOJAT PËR SHPENZIME KAPITALE DHE SHPENZIME KORENTE</w:t>
      </w:r>
    </w:p>
    <w:p w14:paraId="574E2E67" w14:textId="47F6E78D" w:rsidR="007F11BA" w:rsidRPr="00E83C5E" w:rsidRDefault="007F11BA" w:rsidP="007F11BA">
      <w:pPr>
        <w:pStyle w:val="NoSpacing"/>
        <w:ind w:firstLine="284"/>
        <w:jc w:val="both"/>
        <w:rPr>
          <w:rFonts w:ascii="Garamond" w:hAnsi="Garamond"/>
          <w:sz w:val="24"/>
          <w:szCs w:val="24"/>
          <w:lang w:val="sq-AL"/>
        </w:rPr>
      </w:pPr>
      <w:r w:rsidRPr="00E83C5E">
        <w:rPr>
          <w:rFonts w:ascii="Garamond" w:hAnsi="Garamond"/>
          <w:sz w:val="24"/>
          <w:szCs w:val="24"/>
          <w:lang w:val="sq-AL"/>
        </w:rPr>
        <w:t>Nevojat për shpenzimet k</w:t>
      </w:r>
      <w:r w:rsidR="00BC1D73">
        <w:rPr>
          <w:rFonts w:ascii="Garamond" w:hAnsi="Garamond"/>
          <w:sz w:val="24"/>
          <w:szCs w:val="24"/>
          <w:lang w:val="sq-AL"/>
        </w:rPr>
        <w:t>orrente</w:t>
      </w:r>
      <w:r w:rsidRPr="00E83C5E">
        <w:rPr>
          <w:rFonts w:ascii="Garamond" w:hAnsi="Garamond"/>
          <w:sz w:val="24"/>
          <w:szCs w:val="24"/>
          <w:lang w:val="sq-AL"/>
        </w:rPr>
        <w:t xml:space="preserve">dhe kapitale janë identifikuar pasi u përcaktuan qëllimet e politikës, objektivat specifikë dhe treguesit përkatës të performancës me pikësynimet dhe vlerat përkatëse të tyre për periudhën </w:t>
      </w:r>
      <w:r w:rsidR="009F59C4" w:rsidRPr="00E83C5E">
        <w:rPr>
          <w:rFonts w:ascii="Garamond" w:hAnsi="Garamond"/>
          <w:sz w:val="24"/>
          <w:szCs w:val="24"/>
          <w:lang w:val="sq-AL"/>
        </w:rPr>
        <w:t>2022–2029</w:t>
      </w:r>
      <w:r w:rsidRPr="00E83C5E">
        <w:rPr>
          <w:rFonts w:ascii="Garamond" w:hAnsi="Garamond"/>
          <w:sz w:val="24"/>
          <w:szCs w:val="24"/>
          <w:lang w:val="sq-AL"/>
        </w:rPr>
        <w:t>.</w:t>
      </w:r>
      <w:r w:rsidR="00233C37" w:rsidRPr="00E83C5E">
        <w:rPr>
          <w:rFonts w:ascii="Garamond" w:hAnsi="Garamond"/>
          <w:sz w:val="24"/>
          <w:szCs w:val="24"/>
          <w:lang w:val="sq-AL"/>
        </w:rPr>
        <w:t xml:space="preserve"> </w:t>
      </w:r>
      <w:r w:rsidRPr="00E83C5E">
        <w:rPr>
          <w:rFonts w:ascii="Garamond" w:hAnsi="Garamond"/>
          <w:sz w:val="24"/>
          <w:szCs w:val="24"/>
          <w:lang w:val="sq-AL"/>
        </w:rPr>
        <w:t>Tr</w:t>
      </w:r>
      <w:r w:rsidR="00D034D6" w:rsidRPr="00E83C5E">
        <w:rPr>
          <w:rFonts w:ascii="Garamond" w:hAnsi="Garamond"/>
          <w:sz w:val="24"/>
          <w:szCs w:val="24"/>
          <w:lang w:val="sq-AL"/>
        </w:rPr>
        <w:t>i</w:t>
      </w:r>
      <w:r w:rsidRPr="00E83C5E">
        <w:rPr>
          <w:rFonts w:ascii="Garamond" w:hAnsi="Garamond"/>
          <w:sz w:val="24"/>
          <w:szCs w:val="24"/>
          <w:lang w:val="sq-AL"/>
        </w:rPr>
        <w:t xml:space="preserve"> qëllimet e politikës për të cilat janë identifikuar edhe shpenzimet përkatëse</w:t>
      </w:r>
      <w:r w:rsidR="00364633">
        <w:rPr>
          <w:rFonts w:ascii="Garamond" w:hAnsi="Garamond"/>
          <w:sz w:val="24"/>
          <w:szCs w:val="24"/>
          <w:lang w:val="sq-AL"/>
        </w:rPr>
        <w:t>,</w:t>
      </w:r>
      <w:r w:rsidRPr="00E83C5E">
        <w:rPr>
          <w:rFonts w:ascii="Garamond" w:hAnsi="Garamond"/>
          <w:sz w:val="24"/>
          <w:szCs w:val="24"/>
          <w:lang w:val="sq-AL"/>
        </w:rPr>
        <w:t xml:space="preserve"> janë:</w:t>
      </w:r>
    </w:p>
    <w:p w14:paraId="574E2E68" w14:textId="03BB6AA5" w:rsidR="007F11BA" w:rsidRPr="00E83C5E" w:rsidRDefault="007F11BA" w:rsidP="007F11BA">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1. Fuqizimi organizimit rinor dhe rritja e pjesëmarrjes rinore </w:t>
      </w:r>
      <w:r w:rsidR="00D034D6" w:rsidRPr="00E83C5E">
        <w:rPr>
          <w:rFonts w:ascii="Garamond" w:hAnsi="Garamond" w:cs="Times New Roman"/>
          <w:sz w:val="24"/>
          <w:szCs w:val="24"/>
        </w:rPr>
        <w:t>–</w:t>
      </w:r>
      <w:r w:rsidRPr="00E83C5E">
        <w:rPr>
          <w:rFonts w:ascii="Garamond" w:hAnsi="Garamond" w:cs="Times New Roman"/>
          <w:sz w:val="24"/>
          <w:szCs w:val="24"/>
        </w:rPr>
        <w:t xml:space="preserve"> </w:t>
      </w:r>
      <w:r w:rsidR="00D034D6" w:rsidRPr="00E83C5E">
        <w:rPr>
          <w:rFonts w:ascii="Garamond" w:hAnsi="Garamond" w:cs="Times New Roman"/>
          <w:sz w:val="24"/>
          <w:szCs w:val="24"/>
        </w:rPr>
        <w:t>t</w:t>
      </w:r>
      <w:r w:rsidRPr="00E83C5E">
        <w:rPr>
          <w:rFonts w:ascii="Garamond" w:hAnsi="Garamond" w:cs="Times New Roman"/>
          <w:sz w:val="24"/>
          <w:szCs w:val="24"/>
        </w:rPr>
        <w:t>ë rejat dhe të rinjtë marrin pjesë aktivisht në shoqëri dhe ndihen të fuqizuar për t’u shprehur me zërin e tyre. Politikat ndërsektoriale rinore janë të koordinuara, të bazuara në analiza, me mekanizma të mirëfinancuar</w:t>
      </w:r>
      <w:r w:rsidR="00364633">
        <w:rPr>
          <w:rFonts w:ascii="Garamond" w:hAnsi="Garamond" w:cs="Times New Roman"/>
          <w:sz w:val="24"/>
          <w:szCs w:val="24"/>
        </w:rPr>
        <w:t>.</w:t>
      </w:r>
    </w:p>
    <w:p w14:paraId="574E2E69" w14:textId="29E650ED" w:rsidR="007F11BA" w:rsidRPr="00E83C5E" w:rsidRDefault="007F11BA" w:rsidP="007F11BA">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2. Edukimi, autonomia, drejtësia si barazi (equity) dhe novacioni </w:t>
      </w:r>
      <w:r w:rsidR="00D034D6" w:rsidRPr="00E83C5E">
        <w:rPr>
          <w:rFonts w:ascii="Garamond" w:hAnsi="Garamond" w:cs="Times New Roman"/>
          <w:sz w:val="24"/>
          <w:szCs w:val="24"/>
        </w:rPr>
        <w:t>–</w:t>
      </w:r>
      <w:r w:rsidRPr="00E83C5E">
        <w:rPr>
          <w:rFonts w:ascii="Garamond" w:hAnsi="Garamond" w:cs="Times New Roman"/>
          <w:sz w:val="24"/>
          <w:szCs w:val="24"/>
        </w:rPr>
        <w:t xml:space="preserve"> </w:t>
      </w:r>
      <w:r w:rsidR="00D034D6" w:rsidRPr="00E83C5E">
        <w:rPr>
          <w:rFonts w:ascii="Garamond" w:hAnsi="Garamond" w:cs="Times New Roman"/>
          <w:sz w:val="24"/>
          <w:szCs w:val="24"/>
        </w:rPr>
        <w:t>r</w:t>
      </w:r>
      <w:r w:rsidRPr="00E83C5E">
        <w:rPr>
          <w:rFonts w:ascii="Garamond" w:hAnsi="Garamond" w:cs="Times New Roman"/>
          <w:sz w:val="24"/>
          <w:szCs w:val="24"/>
        </w:rPr>
        <w:t>ritja</w:t>
      </w:r>
      <w:r w:rsidR="00D034D6" w:rsidRPr="00E83C5E">
        <w:rPr>
          <w:rFonts w:ascii="Garamond" w:hAnsi="Garamond" w:cs="Times New Roman"/>
          <w:sz w:val="24"/>
          <w:szCs w:val="24"/>
        </w:rPr>
        <w:t xml:space="preserve"> </w:t>
      </w:r>
      <w:r w:rsidRPr="00E83C5E">
        <w:rPr>
          <w:rFonts w:ascii="Garamond" w:hAnsi="Garamond" w:cs="Times New Roman"/>
          <w:sz w:val="24"/>
          <w:szCs w:val="24"/>
        </w:rPr>
        <w:t>e aftësive dhe profesionalizmit të të rejave dhe të rinjve përmes edukimit cilësor, mbështetur nga shërbimet e këshillimit për punësim dhe orientimit në karrierë me prirje nga të rinjtë; rritja dhe përmirësimi i mundësive për të hyrë në tregun e punës në bazë të shanseve të drejta dhe të barabarta për të arritur potencialin e plotë rinor</w:t>
      </w:r>
      <w:r w:rsidR="00364633">
        <w:rPr>
          <w:rFonts w:ascii="Garamond" w:hAnsi="Garamond" w:cs="Times New Roman"/>
          <w:sz w:val="24"/>
          <w:szCs w:val="24"/>
        </w:rPr>
        <w:t>.</w:t>
      </w:r>
    </w:p>
    <w:p w14:paraId="574E2E6A" w14:textId="661DDB1F" w:rsidR="007F11BA" w:rsidRPr="00E83C5E" w:rsidRDefault="007F11BA" w:rsidP="007F11BA">
      <w:pPr>
        <w:spacing w:after="0" w:line="240" w:lineRule="auto"/>
        <w:ind w:firstLine="284"/>
        <w:jc w:val="both"/>
        <w:rPr>
          <w:rFonts w:ascii="Garamond" w:hAnsi="Garamond" w:cs="Times New Roman"/>
          <w:sz w:val="24"/>
          <w:szCs w:val="24"/>
        </w:rPr>
      </w:pPr>
      <w:r w:rsidRPr="00E83C5E">
        <w:rPr>
          <w:rFonts w:ascii="Garamond" w:hAnsi="Garamond" w:cs="Times New Roman"/>
          <w:sz w:val="24"/>
          <w:szCs w:val="24"/>
        </w:rPr>
        <w:t xml:space="preserve">3. Mirëqenia dhe </w:t>
      </w:r>
      <w:r w:rsidR="00D034D6" w:rsidRPr="00E83C5E">
        <w:rPr>
          <w:rFonts w:ascii="Garamond" w:hAnsi="Garamond" w:cs="Times New Roman"/>
          <w:sz w:val="24"/>
          <w:szCs w:val="24"/>
        </w:rPr>
        <w:t xml:space="preserve">përfshirja – mirëqenia </w:t>
      </w:r>
      <w:r w:rsidRPr="00E83C5E">
        <w:rPr>
          <w:rFonts w:ascii="Garamond" w:hAnsi="Garamond" w:cs="Times New Roman"/>
          <w:sz w:val="24"/>
          <w:szCs w:val="24"/>
        </w:rPr>
        <w:t>aktive, e shëndetshme, fizike, sociale dhe mendore e të rejave / rinjve. Siguria, mbrojtja dhe përfshirja e të rejave/ të rinjve/ në të gjithë diversitetin e tyre, veçanërisht për ata të rinj që janë në situatë rreziku apo mënjanimi social (vulnerabiliteti)</w:t>
      </w:r>
      <w:r w:rsidR="00364633">
        <w:rPr>
          <w:rFonts w:ascii="Garamond" w:hAnsi="Garamond" w:cs="Times New Roman"/>
          <w:sz w:val="24"/>
          <w:szCs w:val="24"/>
        </w:rPr>
        <w:t>.</w:t>
      </w:r>
    </w:p>
    <w:p w14:paraId="574E2E6B" w14:textId="7C8F72E4" w:rsidR="007F11BA" w:rsidRPr="00E83C5E" w:rsidRDefault="007F11BA" w:rsidP="007F11BA">
      <w:pPr>
        <w:pStyle w:val="Default"/>
        <w:ind w:firstLine="284"/>
        <w:jc w:val="both"/>
        <w:rPr>
          <w:rFonts w:ascii="Garamond" w:eastAsia="Arial" w:hAnsi="Garamond" w:cs="Times New Roman"/>
          <w:bCs/>
          <w:i/>
          <w:color w:val="000000" w:themeColor="text1"/>
          <w:lang w:val="sq-AL"/>
        </w:rPr>
      </w:pPr>
      <w:r w:rsidRPr="00E83C5E">
        <w:rPr>
          <w:rFonts w:ascii="Garamond" w:eastAsia="Arial" w:hAnsi="Garamond" w:cs="Times New Roman"/>
          <w:bCs/>
          <w:i/>
          <w:color w:val="000000" w:themeColor="text1"/>
          <w:lang w:val="sq-AL"/>
        </w:rPr>
        <w:lastRenderedPageBreak/>
        <w:t>Grafiku 2:</w:t>
      </w:r>
      <w:r w:rsidR="00233C37" w:rsidRPr="00E83C5E">
        <w:rPr>
          <w:rFonts w:ascii="Garamond" w:eastAsia="Arial" w:hAnsi="Garamond" w:cs="Times New Roman"/>
          <w:bCs/>
          <w:i/>
          <w:color w:val="000000" w:themeColor="text1"/>
          <w:lang w:val="sq-AL"/>
        </w:rPr>
        <w:t xml:space="preserve"> </w:t>
      </w:r>
      <w:r w:rsidRPr="00E83C5E">
        <w:rPr>
          <w:rFonts w:ascii="Garamond" w:eastAsia="Arial" w:hAnsi="Garamond" w:cs="Times New Roman"/>
          <w:bCs/>
          <w:i/>
          <w:color w:val="000000" w:themeColor="text1"/>
          <w:lang w:val="sq-AL"/>
        </w:rPr>
        <w:t>Përbërja e kostove sipas burimit të financimit</w:t>
      </w:r>
    </w:p>
    <w:p w14:paraId="574E2E6C" w14:textId="77777777" w:rsidR="007F11BA" w:rsidRPr="00E83C5E" w:rsidRDefault="007F11BA" w:rsidP="007F11BA">
      <w:pPr>
        <w:pStyle w:val="Default"/>
        <w:ind w:firstLine="284"/>
        <w:jc w:val="both"/>
        <w:rPr>
          <w:rFonts w:ascii="Garamond" w:eastAsia="Arial" w:hAnsi="Garamond" w:cs="Times New Roman"/>
          <w:bCs/>
          <w:color w:val="000000" w:themeColor="text1"/>
          <w:lang w:val="sq-AL"/>
        </w:rPr>
      </w:pPr>
      <w:r w:rsidRPr="00E83C5E">
        <w:rPr>
          <w:rFonts w:ascii="Garamond" w:eastAsia="Arial" w:hAnsi="Garamond" w:cs="Times New Roman"/>
          <w:bCs/>
          <w:noProof/>
          <w:color w:val="000000" w:themeColor="text1"/>
        </w:rPr>
        <w:drawing>
          <wp:inline distT="0" distB="0" distL="0" distR="0" wp14:anchorId="574E356C" wp14:editId="574E356D">
            <wp:extent cx="4300080" cy="2348179"/>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09690" cy="2353427"/>
                    </a:xfrm>
                    <a:prstGeom prst="rect">
                      <a:avLst/>
                    </a:prstGeom>
                    <a:noFill/>
                  </pic:spPr>
                </pic:pic>
              </a:graphicData>
            </a:graphic>
          </wp:inline>
        </w:drawing>
      </w:r>
    </w:p>
    <w:p w14:paraId="574E2E6D" w14:textId="77777777" w:rsidR="007D4822" w:rsidRPr="00E83C5E" w:rsidRDefault="007D4822" w:rsidP="007F11BA">
      <w:pPr>
        <w:pStyle w:val="Default"/>
        <w:ind w:firstLine="284"/>
        <w:jc w:val="both"/>
        <w:rPr>
          <w:rFonts w:ascii="Garamond" w:eastAsia="Arial" w:hAnsi="Garamond" w:cs="Times New Roman"/>
          <w:bCs/>
          <w:color w:val="000000" w:themeColor="text1"/>
          <w:lang w:val="sq-AL"/>
        </w:rPr>
      </w:pPr>
    </w:p>
    <w:p w14:paraId="574E2E6E" w14:textId="77777777" w:rsidR="007F11BA" w:rsidRPr="00E83C5E" w:rsidRDefault="007F11BA" w:rsidP="007F11BA">
      <w:pPr>
        <w:pStyle w:val="Default"/>
        <w:ind w:firstLine="284"/>
        <w:jc w:val="both"/>
        <w:rPr>
          <w:rFonts w:ascii="Garamond" w:eastAsia="Arial" w:hAnsi="Garamond" w:cs="Times New Roman"/>
          <w:lang w:val="sq-AL"/>
        </w:rPr>
      </w:pPr>
      <w:r w:rsidRPr="00E83C5E">
        <w:rPr>
          <w:rFonts w:ascii="Garamond" w:eastAsia="Arial" w:hAnsi="Garamond" w:cs="Times New Roman"/>
          <w:bCs/>
          <w:color w:val="000000" w:themeColor="text1"/>
          <w:lang w:val="sq-AL"/>
        </w:rPr>
        <w:t>Siç vihet re, 71 % e kostove mbulohen nga buxheti i shtetit dhe lidhen me pagat, investimet kapitale dhe grantet që qeveria jep nëpërmjet AKR, KOKSH (Ministria e Arsimit dhe Sportit), Fondet për Startup, politikë që zbatohet nga Ministri i Shtetit për Mbështetjen e Sipërmarrjes apo edhe fonde që mbështesin iniciativa si zgjerimi i njohurive për kodimin, 10.3% financohet nga donatorët si organizatat e UN (UNICEF, UNFPA), fondet e BE, RYCO, AADF etj. dhe 18.7% janë kosto të pambuluara.</w:t>
      </w:r>
    </w:p>
    <w:p w14:paraId="574E2E6F" w14:textId="77777777" w:rsidR="007F11BA" w:rsidRPr="00E83C5E" w:rsidRDefault="007F11BA" w:rsidP="007F11BA">
      <w:pPr>
        <w:tabs>
          <w:tab w:val="left" w:pos="900"/>
        </w:tabs>
        <w:spacing w:after="0" w:line="240" w:lineRule="auto"/>
        <w:ind w:firstLine="284"/>
        <w:jc w:val="both"/>
        <w:rPr>
          <w:rFonts w:ascii="Garamond" w:eastAsia="Arial" w:hAnsi="Garamond" w:cs="Times New Roman"/>
          <w:sz w:val="24"/>
          <w:szCs w:val="24"/>
        </w:rPr>
      </w:pPr>
      <w:r w:rsidRPr="00E83C5E">
        <w:rPr>
          <w:rFonts w:ascii="Garamond" w:eastAsia="Arial" w:hAnsi="Garamond" w:cs="Times New Roman"/>
          <w:sz w:val="24"/>
          <w:szCs w:val="24"/>
        </w:rPr>
        <w:t>Hendeku financiar përbëhet kryesisht nga shpenzimet për krijimin e portalit Të Rinjtë për Të Rinjtë, bazës së të dhënave për rininë, studimet e situatës aktuale dhe ngritjen e kapaciteteve të institucioneve që merren dhe janë përgjegjëse për hartimin dhe zbatimin e politikave rinore. Gjithashtu, në hendek përfshihen edhe nevojat për grantdhënie për organizatat rinore në mënyrë që ato të jenë sa më aktive dhe të kontribuojnë drejtpërdrejtë në informimin, ndërgjegjësimin dhe aktivizimin e të rejave dhe të rinjve.</w:t>
      </w:r>
    </w:p>
    <w:p w14:paraId="574E2E71" w14:textId="226C185E" w:rsidR="007D4822" w:rsidRPr="00E83C5E" w:rsidRDefault="007F11BA" w:rsidP="00D034D6">
      <w:pPr>
        <w:tabs>
          <w:tab w:val="left" w:pos="900"/>
        </w:tabs>
        <w:spacing w:after="0" w:line="240" w:lineRule="auto"/>
        <w:ind w:firstLine="284"/>
        <w:jc w:val="both"/>
        <w:rPr>
          <w:rFonts w:ascii="Garamond" w:eastAsia="Arial" w:hAnsi="Garamond" w:cs="Times New Roman"/>
          <w:sz w:val="24"/>
          <w:szCs w:val="24"/>
        </w:rPr>
      </w:pPr>
      <w:r w:rsidRPr="00E83C5E">
        <w:rPr>
          <w:rFonts w:ascii="Garamond" w:eastAsia="Arial" w:hAnsi="Garamond" w:cs="Times New Roman"/>
          <w:sz w:val="24"/>
          <w:szCs w:val="24"/>
        </w:rPr>
        <w:t>Bazuar në klasifikimin ekonomik, 77% e kostos totale përbëhet nga shpenzimet k</w:t>
      </w:r>
      <w:r w:rsidR="00BC1D73">
        <w:rPr>
          <w:rFonts w:ascii="Garamond" w:eastAsia="Arial" w:hAnsi="Garamond" w:cs="Times New Roman"/>
          <w:sz w:val="24"/>
          <w:szCs w:val="24"/>
        </w:rPr>
        <w:t>orrente</w:t>
      </w:r>
      <w:r w:rsidR="00364633">
        <w:rPr>
          <w:rFonts w:ascii="Garamond" w:eastAsia="Arial" w:hAnsi="Garamond" w:cs="Times New Roman"/>
          <w:sz w:val="24"/>
          <w:szCs w:val="24"/>
        </w:rPr>
        <w:t xml:space="preserve"> </w:t>
      </w:r>
      <w:r w:rsidRPr="00E83C5E">
        <w:rPr>
          <w:rFonts w:ascii="Garamond" w:eastAsia="Arial" w:hAnsi="Garamond" w:cs="Times New Roman"/>
          <w:sz w:val="24"/>
          <w:szCs w:val="24"/>
        </w:rPr>
        <w:t xml:space="preserve">dhe 23% përbëhet nga shpenzimet kapitale. </w:t>
      </w:r>
    </w:p>
    <w:p w14:paraId="574E2E72" w14:textId="3C0F36BA" w:rsidR="007F11BA" w:rsidRPr="00E83C5E" w:rsidRDefault="007F11BA" w:rsidP="00D034D6">
      <w:pPr>
        <w:tabs>
          <w:tab w:val="left" w:pos="900"/>
        </w:tabs>
        <w:spacing w:after="0" w:line="240" w:lineRule="auto"/>
        <w:ind w:right="1080" w:firstLine="284"/>
        <w:jc w:val="center"/>
        <w:rPr>
          <w:rFonts w:ascii="Garamond" w:eastAsia="Arial" w:hAnsi="Garamond" w:cs="Times New Roman"/>
          <w:i/>
          <w:sz w:val="24"/>
          <w:szCs w:val="24"/>
        </w:rPr>
      </w:pPr>
      <w:r w:rsidRPr="00E83C5E">
        <w:rPr>
          <w:rFonts w:ascii="Garamond" w:eastAsia="Arial" w:hAnsi="Garamond" w:cs="Times New Roman"/>
          <w:i/>
          <w:sz w:val="24"/>
          <w:szCs w:val="24"/>
        </w:rPr>
        <w:t>Grafiku 3: Përbërja e kostos totale bazuar te klasifikimi ekonomik</w:t>
      </w:r>
    </w:p>
    <w:p w14:paraId="574E2E73" w14:textId="77777777" w:rsidR="007F11BA" w:rsidRPr="00E83C5E" w:rsidRDefault="007F11BA" w:rsidP="00D034D6">
      <w:pPr>
        <w:tabs>
          <w:tab w:val="left" w:pos="900"/>
        </w:tabs>
        <w:spacing w:after="0" w:line="240" w:lineRule="auto"/>
        <w:ind w:right="1080" w:firstLine="284"/>
        <w:jc w:val="center"/>
        <w:rPr>
          <w:rFonts w:ascii="Garamond" w:eastAsia="Arial" w:hAnsi="Garamond" w:cs="Times New Roman"/>
          <w:sz w:val="24"/>
          <w:szCs w:val="24"/>
        </w:rPr>
      </w:pPr>
      <w:r w:rsidRPr="00E83C5E">
        <w:rPr>
          <w:rFonts w:ascii="Garamond" w:eastAsia="Arial" w:hAnsi="Garamond" w:cs="Times New Roman"/>
          <w:noProof/>
          <w:sz w:val="24"/>
          <w:szCs w:val="24"/>
          <w:lang w:val="en-US"/>
        </w:rPr>
        <w:drawing>
          <wp:inline distT="0" distB="0" distL="0" distR="0" wp14:anchorId="574E356E" wp14:editId="3B81507A">
            <wp:extent cx="3702050" cy="1675265"/>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774591" cy="1708092"/>
                    </a:xfrm>
                    <a:prstGeom prst="rect">
                      <a:avLst/>
                    </a:prstGeom>
                    <a:noFill/>
                  </pic:spPr>
                </pic:pic>
              </a:graphicData>
            </a:graphic>
          </wp:inline>
        </w:drawing>
      </w:r>
    </w:p>
    <w:p w14:paraId="574E2E75" w14:textId="6E2462C4" w:rsidR="007F11BA" w:rsidRPr="00E83C5E" w:rsidRDefault="007F11BA" w:rsidP="007F11BA">
      <w:pPr>
        <w:tabs>
          <w:tab w:val="left" w:pos="900"/>
        </w:tabs>
        <w:spacing w:after="0" w:line="240" w:lineRule="auto"/>
        <w:ind w:right="26" w:firstLine="284"/>
        <w:jc w:val="both"/>
        <w:rPr>
          <w:rFonts w:ascii="Garamond" w:eastAsia="Arial" w:hAnsi="Garamond" w:cs="Times New Roman"/>
          <w:sz w:val="24"/>
          <w:szCs w:val="24"/>
        </w:rPr>
      </w:pPr>
      <w:r w:rsidRPr="00E83C5E">
        <w:rPr>
          <w:rFonts w:ascii="Garamond" w:eastAsia="Arial" w:hAnsi="Garamond" w:cs="Times New Roman"/>
          <w:sz w:val="24"/>
          <w:szCs w:val="24"/>
        </w:rPr>
        <w:t>Pjesa më e madhe e shpenzimeve k</w:t>
      </w:r>
      <w:r w:rsidR="00BC1D73">
        <w:rPr>
          <w:rFonts w:ascii="Garamond" w:eastAsia="Arial" w:hAnsi="Garamond" w:cs="Times New Roman"/>
          <w:sz w:val="24"/>
          <w:szCs w:val="24"/>
        </w:rPr>
        <w:t>orrente</w:t>
      </w:r>
      <w:r w:rsidRPr="00E83C5E">
        <w:rPr>
          <w:rFonts w:ascii="Garamond" w:eastAsia="Arial" w:hAnsi="Garamond" w:cs="Times New Roman"/>
          <w:sz w:val="24"/>
          <w:szCs w:val="24"/>
        </w:rPr>
        <w:t>përbëhet nga shpenzimet e tjera korente. Pjesa tjetër janë pagat dhe shpenzimet e punonjësve të AKR, MSHRF, punonjësit rinorë pranë 61 bashkive apo punonjës të institucioneve të tjera buxhetore.</w:t>
      </w:r>
    </w:p>
    <w:p w14:paraId="574E2E76" w14:textId="309DA30E" w:rsidR="007F11BA" w:rsidRPr="00E83C5E" w:rsidRDefault="007F11BA" w:rsidP="007F11BA">
      <w:pPr>
        <w:tabs>
          <w:tab w:val="left" w:pos="900"/>
        </w:tabs>
        <w:spacing w:after="0" w:line="240" w:lineRule="auto"/>
        <w:ind w:firstLine="284"/>
        <w:jc w:val="both"/>
        <w:rPr>
          <w:rFonts w:ascii="Garamond" w:eastAsia="Arial" w:hAnsi="Garamond" w:cs="Times New Roman"/>
          <w:sz w:val="24"/>
          <w:szCs w:val="24"/>
        </w:rPr>
      </w:pPr>
      <w:r w:rsidRPr="00E83C5E">
        <w:rPr>
          <w:rFonts w:ascii="Garamond" w:eastAsia="Arial" w:hAnsi="Garamond" w:cs="Times New Roman"/>
          <w:sz w:val="24"/>
          <w:szCs w:val="24"/>
        </w:rPr>
        <w:t>Duke pasur parasysh se në strategji janë paraqitur tr</w:t>
      </w:r>
      <w:r w:rsidR="00CC519F" w:rsidRPr="00E83C5E">
        <w:rPr>
          <w:rFonts w:ascii="Garamond" w:eastAsia="Arial" w:hAnsi="Garamond" w:cs="Times New Roman"/>
          <w:sz w:val="24"/>
          <w:szCs w:val="24"/>
        </w:rPr>
        <w:t>i</w:t>
      </w:r>
      <w:r w:rsidRPr="00E83C5E">
        <w:rPr>
          <w:rFonts w:ascii="Garamond" w:eastAsia="Arial" w:hAnsi="Garamond" w:cs="Times New Roman"/>
          <w:sz w:val="24"/>
          <w:szCs w:val="24"/>
        </w:rPr>
        <w:t xml:space="preserve"> qëllime politikë, më poshtë jepet kostoja për secilin nga këto qëllime</w:t>
      </w:r>
    </w:p>
    <w:p w14:paraId="574E2E78" w14:textId="77777777" w:rsidR="007F11BA" w:rsidRPr="00E83C5E" w:rsidRDefault="007F11BA" w:rsidP="007667E7">
      <w:pPr>
        <w:pStyle w:val="NoSpacing"/>
        <w:ind w:firstLine="284"/>
        <w:jc w:val="center"/>
        <w:rPr>
          <w:rFonts w:ascii="Garamond" w:eastAsia="Arial" w:hAnsi="Garamond"/>
          <w:i/>
          <w:sz w:val="24"/>
          <w:szCs w:val="24"/>
          <w:lang w:val="sq-AL"/>
        </w:rPr>
      </w:pPr>
      <w:r w:rsidRPr="00E83C5E">
        <w:rPr>
          <w:rFonts w:ascii="Garamond" w:eastAsia="Arial" w:hAnsi="Garamond"/>
          <w:i/>
          <w:sz w:val="24"/>
          <w:szCs w:val="24"/>
          <w:lang w:val="sq-AL"/>
        </w:rPr>
        <w:t>Grafiku 4: Kosto sipas qëllimeve të politikës</w:t>
      </w:r>
    </w:p>
    <w:p w14:paraId="574E2E79" w14:textId="77777777" w:rsidR="007F11BA" w:rsidRPr="00E83C5E" w:rsidRDefault="007F11BA" w:rsidP="007667E7">
      <w:pPr>
        <w:pStyle w:val="NoSpacing"/>
        <w:ind w:firstLine="284"/>
        <w:jc w:val="center"/>
        <w:rPr>
          <w:rFonts w:ascii="Garamond" w:eastAsia="Arial" w:hAnsi="Garamond"/>
          <w:sz w:val="24"/>
          <w:szCs w:val="24"/>
          <w:lang w:val="sq-AL"/>
        </w:rPr>
      </w:pPr>
      <w:r w:rsidRPr="00E83C5E">
        <w:rPr>
          <w:rFonts w:ascii="Garamond" w:eastAsia="Arial" w:hAnsi="Garamond"/>
          <w:noProof/>
          <w:sz w:val="24"/>
          <w:szCs w:val="24"/>
          <w:lang w:val="en-US"/>
        </w:rPr>
        <w:lastRenderedPageBreak/>
        <w:drawing>
          <wp:inline distT="0" distB="0" distL="0" distR="0" wp14:anchorId="574E3570" wp14:editId="2E4A0733">
            <wp:extent cx="5232400" cy="2322854"/>
            <wp:effectExtent l="0" t="0" r="635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86789" cy="2346999"/>
                    </a:xfrm>
                    <a:prstGeom prst="rect">
                      <a:avLst/>
                    </a:prstGeom>
                    <a:noFill/>
                  </pic:spPr>
                </pic:pic>
              </a:graphicData>
            </a:graphic>
          </wp:inline>
        </w:drawing>
      </w:r>
    </w:p>
    <w:p w14:paraId="574E2E7B" w14:textId="3B07408E" w:rsidR="007F11BA" w:rsidRPr="00E83C5E" w:rsidRDefault="007F11BA" w:rsidP="00CC519F">
      <w:pPr>
        <w:pStyle w:val="NoSpacing"/>
        <w:ind w:firstLine="288"/>
        <w:rPr>
          <w:rFonts w:ascii="Garamond" w:eastAsia="Arial" w:hAnsi="Garamond"/>
          <w:sz w:val="24"/>
          <w:szCs w:val="24"/>
          <w:lang w:val="sq-AL"/>
        </w:rPr>
      </w:pPr>
      <w:r w:rsidRPr="00E83C5E">
        <w:rPr>
          <w:rFonts w:ascii="Garamond" w:eastAsia="Arial" w:hAnsi="Garamond"/>
          <w:sz w:val="24"/>
          <w:szCs w:val="24"/>
          <w:lang w:val="sq-AL"/>
        </w:rPr>
        <w:t>Kostot e realizimit të qëllimit të parë janë 36.6% e kostove totale. Peshën më të madhe e zënë</w:t>
      </w:r>
      <w:r w:rsidR="00233C37" w:rsidRPr="00E83C5E">
        <w:rPr>
          <w:rFonts w:ascii="Garamond" w:eastAsia="Arial" w:hAnsi="Garamond"/>
          <w:sz w:val="24"/>
          <w:szCs w:val="24"/>
          <w:lang w:val="sq-AL"/>
        </w:rPr>
        <w:t xml:space="preserve"> </w:t>
      </w:r>
      <w:r w:rsidRPr="00E83C5E">
        <w:rPr>
          <w:rFonts w:ascii="Garamond" w:eastAsia="Arial" w:hAnsi="Garamond"/>
          <w:sz w:val="24"/>
          <w:szCs w:val="24"/>
          <w:lang w:val="sq-AL"/>
        </w:rPr>
        <w:t>kostot për realizimin e qëllimit të dytë të politikës që zënë rreth 56.7% të kostove totale. Ndërkohë kostot e realizimit të qëllimit të tretë zënë 6.7% të kostove totale</w:t>
      </w:r>
    </w:p>
    <w:p w14:paraId="574E2E7C" w14:textId="4EF459CF" w:rsidR="007F11BA" w:rsidRPr="00E83C5E" w:rsidRDefault="007F11BA" w:rsidP="007667E7">
      <w:pPr>
        <w:pStyle w:val="NoSpacing"/>
        <w:ind w:firstLine="288"/>
        <w:jc w:val="center"/>
        <w:rPr>
          <w:rFonts w:ascii="Garamond" w:eastAsia="Arial" w:hAnsi="Garamond"/>
          <w:i/>
          <w:sz w:val="24"/>
          <w:szCs w:val="24"/>
          <w:lang w:val="sq-AL"/>
        </w:rPr>
      </w:pPr>
      <w:r w:rsidRPr="00E83C5E">
        <w:rPr>
          <w:rFonts w:ascii="Garamond" w:eastAsia="Arial" w:hAnsi="Garamond"/>
          <w:i/>
          <w:sz w:val="24"/>
          <w:szCs w:val="24"/>
          <w:lang w:val="sq-AL"/>
        </w:rPr>
        <w:t>Grafiku 5: Përmbledhje e burimeve të financimit për tr</w:t>
      </w:r>
      <w:r w:rsidR="00CC519F" w:rsidRPr="00E83C5E">
        <w:rPr>
          <w:rFonts w:ascii="Garamond" w:eastAsia="Arial" w:hAnsi="Garamond"/>
          <w:i/>
          <w:sz w:val="24"/>
          <w:szCs w:val="24"/>
          <w:lang w:val="sq-AL"/>
        </w:rPr>
        <w:t>i</w:t>
      </w:r>
      <w:r w:rsidRPr="00E83C5E">
        <w:rPr>
          <w:rFonts w:ascii="Garamond" w:eastAsia="Arial" w:hAnsi="Garamond"/>
          <w:i/>
          <w:sz w:val="24"/>
          <w:szCs w:val="24"/>
          <w:lang w:val="sq-AL"/>
        </w:rPr>
        <w:t xml:space="preserve"> qëllimet e politikës</w:t>
      </w:r>
    </w:p>
    <w:p w14:paraId="574E2E7D" w14:textId="77777777" w:rsidR="007F11BA" w:rsidRPr="00E83C5E" w:rsidRDefault="007F11BA" w:rsidP="007667E7">
      <w:pPr>
        <w:pStyle w:val="NoSpacing"/>
        <w:spacing w:before="240"/>
        <w:ind w:firstLine="284"/>
        <w:jc w:val="center"/>
        <w:rPr>
          <w:rFonts w:ascii="Garamond" w:eastAsia="Arial" w:hAnsi="Garamond"/>
          <w:sz w:val="24"/>
          <w:szCs w:val="24"/>
          <w:lang w:val="sq-AL"/>
        </w:rPr>
      </w:pPr>
      <w:r w:rsidRPr="00E83C5E">
        <w:rPr>
          <w:rFonts w:ascii="Garamond" w:eastAsia="Arial" w:hAnsi="Garamond"/>
          <w:noProof/>
          <w:sz w:val="24"/>
          <w:szCs w:val="24"/>
          <w:lang w:val="en-US"/>
        </w:rPr>
        <w:drawing>
          <wp:inline distT="0" distB="0" distL="0" distR="0" wp14:anchorId="574E3572" wp14:editId="574E3573">
            <wp:extent cx="5164953" cy="2012867"/>
            <wp:effectExtent l="0" t="0" r="0"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11579" cy="2031038"/>
                    </a:xfrm>
                    <a:prstGeom prst="rect">
                      <a:avLst/>
                    </a:prstGeom>
                    <a:noFill/>
                  </pic:spPr>
                </pic:pic>
              </a:graphicData>
            </a:graphic>
          </wp:inline>
        </w:drawing>
      </w:r>
    </w:p>
    <w:p w14:paraId="574E2E7F" w14:textId="30B8F2A6" w:rsidR="007F11BA" w:rsidRPr="00E83C5E" w:rsidRDefault="007F11BA" w:rsidP="007F11BA">
      <w:pPr>
        <w:pStyle w:val="NoSpacing"/>
        <w:ind w:firstLine="284"/>
        <w:jc w:val="both"/>
        <w:rPr>
          <w:rFonts w:ascii="Garamond" w:eastAsia="Arial" w:hAnsi="Garamond"/>
          <w:sz w:val="24"/>
          <w:szCs w:val="24"/>
          <w:lang w:val="sq-AL"/>
        </w:rPr>
      </w:pPr>
      <w:r w:rsidRPr="00E83C5E">
        <w:rPr>
          <w:rFonts w:ascii="Garamond" w:eastAsia="Arial" w:hAnsi="Garamond"/>
          <w:sz w:val="24"/>
          <w:szCs w:val="24"/>
          <w:lang w:val="sq-AL"/>
        </w:rPr>
        <w:t>Për të tr</w:t>
      </w:r>
      <w:r w:rsidR="007667E7" w:rsidRPr="00E83C5E">
        <w:rPr>
          <w:rFonts w:ascii="Garamond" w:eastAsia="Arial" w:hAnsi="Garamond"/>
          <w:sz w:val="24"/>
          <w:szCs w:val="24"/>
          <w:lang w:val="sq-AL"/>
        </w:rPr>
        <w:t>ia</w:t>
      </w:r>
      <w:r w:rsidRPr="00E83C5E">
        <w:rPr>
          <w:rFonts w:ascii="Garamond" w:eastAsia="Arial" w:hAnsi="Garamond"/>
          <w:sz w:val="24"/>
          <w:szCs w:val="24"/>
          <w:lang w:val="sq-AL"/>
        </w:rPr>
        <w:t xml:space="preserve"> qëllimet e politikës janë identifikuar në total 9 objektiva specifikë. Grafiku i mëposhtëm jep peshën që zë çdo objektiv në koston totale të llogaritur për strategjinë</w:t>
      </w:r>
      <w:r w:rsidR="00E24B3A" w:rsidRPr="00E83C5E">
        <w:rPr>
          <w:rFonts w:ascii="Garamond" w:eastAsia="Arial" w:hAnsi="Garamond"/>
          <w:sz w:val="24"/>
          <w:szCs w:val="24"/>
          <w:lang w:val="sq-AL"/>
        </w:rPr>
        <w:t>.</w:t>
      </w:r>
    </w:p>
    <w:p w14:paraId="574E2E80" w14:textId="77777777" w:rsidR="007F11BA" w:rsidRPr="00E83C5E" w:rsidRDefault="007F11BA" w:rsidP="007F11BA">
      <w:pPr>
        <w:pStyle w:val="NoSpacing"/>
        <w:ind w:firstLine="284"/>
        <w:jc w:val="both"/>
        <w:rPr>
          <w:rFonts w:ascii="Garamond" w:eastAsia="Arial" w:hAnsi="Garamond"/>
          <w:sz w:val="24"/>
          <w:szCs w:val="24"/>
          <w:lang w:val="sq-AL"/>
        </w:rPr>
      </w:pPr>
    </w:p>
    <w:p w14:paraId="574E2E81" w14:textId="77777777" w:rsidR="007F11BA" w:rsidRPr="00E83C5E" w:rsidRDefault="007F11BA" w:rsidP="007667E7">
      <w:pPr>
        <w:pStyle w:val="NoSpacing"/>
        <w:ind w:firstLine="284"/>
        <w:jc w:val="center"/>
        <w:rPr>
          <w:rFonts w:ascii="Garamond" w:eastAsia="Arial" w:hAnsi="Garamond"/>
          <w:i/>
          <w:sz w:val="24"/>
          <w:szCs w:val="24"/>
          <w:lang w:val="sq-AL"/>
        </w:rPr>
      </w:pPr>
      <w:r w:rsidRPr="00E83C5E">
        <w:rPr>
          <w:rFonts w:ascii="Garamond" w:eastAsia="Arial" w:hAnsi="Garamond"/>
          <w:i/>
          <w:sz w:val="24"/>
          <w:szCs w:val="24"/>
          <w:lang w:val="sq-AL"/>
        </w:rPr>
        <w:t>Grafiku 6: Pesha e objektivave specifikë në koston totale të strategjisë</w:t>
      </w:r>
    </w:p>
    <w:p w14:paraId="574E2E82" w14:textId="77777777" w:rsidR="007F11BA" w:rsidRPr="00E83C5E" w:rsidRDefault="007F11BA" w:rsidP="007667E7">
      <w:pPr>
        <w:pStyle w:val="NoSpacing"/>
        <w:ind w:firstLine="284"/>
        <w:jc w:val="center"/>
        <w:rPr>
          <w:rFonts w:ascii="Garamond" w:eastAsia="Arial" w:hAnsi="Garamond"/>
          <w:i/>
          <w:sz w:val="24"/>
          <w:szCs w:val="24"/>
          <w:lang w:val="sq-AL"/>
        </w:rPr>
      </w:pPr>
      <w:r w:rsidRPr="00E83C5E">
        <w:rPr>
          <w:rFonts w:ascii="Garamond" w:eastAsia="Arial" w:hAnsi="Garamond"/>
          <w:i/>
          <w:noProof/>
          <w:sz w:val="24"/>
          <w:szCs w:val="24"/>
          <w:lang w:val="en-US"/>
        </w:rPr>
        <w:drawing>
          <wp:inline distT="0" distB="0" distL="0" distR="0" wp14:anchorId="574E3574" wp14:editId="574E3575">
            <wp:extent cx="4326831" cy="198973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372474" cy="2010724"/>
                    </a:xfrm>
                    <a:prstGeom prst="rect">
                      <a:avLst/>
                    </a:prstGeom>
                    <a:noFill/>
                  </pic:spPr>
                </pic:pic>
              </a:graphicData>
            </a:graphic>
          </wp:inline>
        </w:drawing>
      </w:r>
    </w:p>
    <w:p w14:paraId="574E2E83" w14:textId="77777777" w:rsidR="007F11BA" w:rsidRPr="00E83C5E" w:rsidRDefault="007F11BA" w:rsidP="007F11BA">
      <w:pPr>
        <w:pStyle w:val="NoSpacing"/>
        <w:ind w:firstLine="284"/>
        <w:jc w:val="both"/>
        <w:rPr>
          <w:rFonts w:ascii="Garamond" w:eastAsia="Arial" w:hAnsi="Garamond"/>
          <w:sz w:val="24"/>
          <w:szCs w:val="24"/>
          <w:lang w:val="sq-AL"/>
        </w:rPr>
      </w:pPr>
    </w:p>
    <w:p w14:paraId="574E2E84" w14:textId="77777777" w:rsidR="007F11BA" w:rsidRPr="00E83C5E" w:rsidRDefault="007F11BA" w:rsidP="007D4822">
      <w:pPr>
        <w:pStyle w:val="TEKSTIII"/>
      </w:pPr>
      <w:r w:rsidRPr="00E83C5E">
        <w:t xml:space="preserve">Siç shihet edhe nga grafiku, objektivi 1.1 dhe objektivi 2.1 kanë peshën më të madhe të shpenzimeve totale me përkatësisht 41% dhe 21.73%. Këta objektivë janë të lidhur drejtpërdrejtë me mbështetjen që jepet nga buxheti i shtetit për organizatat rinore dhe institucionet e tjera që </w:t>
      </w:r>
      <w:r w:rsidRPr="00E83C5E">
        <w:lastRenderedPageBreak/>
        <w:t>merren me rininë dhe me mbështetjen me grantdhënie për vënien në zbatim të politikave rinore. Objektivi 3.3 dhe objektivi 2.3 kanë peshat më të vogla me 0.83% dhe 0.84%.</w:t>
      </w:r>
    </w:p>
    <w:p w14:paraId="574E2E86" w14:textId="290134A0" w:rsidR="007D4822" w:rsidRPr="00E83C5E" w:rsidRDefault="007F11BA" w:rsidP="007D4822">
      <w:pPr>
        <w:pStyle w:val="TEKSTIII"/>
      </w:pPr>
      <w:r w:rsidRPr="00E83C5E">
        <w:t>Nëse analizohen fondet që duhen për të realizuar secilin qëllim të politikës, duke u bazuar te pesha që kanë objektivat te qëllimi, vihet re se për Qëllimin e parë, objektivi i tretë nuk ka financim nga donatorët. Ndërkohë, hendekun financiar më të lartë e ka objektivi 1.1.</w:t>
      </w:r>
    </w:p>
    <w:p w14:paraId="574E2E87" w14:textId="77777777" w:rsidR="007F11BA" w:rsidRPr="00E83C5E" w:rsidRDefault="007F11BA" w:rsidP="007D4822">
      <w:pPr>
        <w:pStyle w:val="NoSpacing"/>
        <w:ind w:firstLine="284"/>
        <w:jc w:val="center"/>
        <w:rPr>
          <w:rFonts w:ascii="Garamond" w:eastAsia="Arial" w:hAnsi="Garamond"/>
          <w:sz w:val="24"/>
          <w:szCs w:val="24"/>
          <w:lang w:val="sq-AL"/>
        </w:rPr>
      </w:pPr>
      <w:r w:rsidRPr="00E83C5E">
        <w:rPr>
          <w:rFonts w:ascii="Garamond" w:hAnsi="Garamond"/>
          <w:noProof/>
          <w:sz w:val="24"/>
          <w:szCs w:val="24"/>
          <w:lang w:val="en-US"/>
        </w:rPr>
        <w:drawing>
          <wp:inline distT="0" distB="0" distL="0" distR="0" wp14:anchorId="574E3576" wp14:editId="574E3577">
            <wp:extent cx="5727412" cy="1704109"/>
            <wp:effectExtent l="0" t="0" r="698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11597" cy="1729157"/>
                    </a:xfrm>
                    <a:prstGeom prst="rect">
                      <a:avLst/>
                    </a:prstGeom>
                    <a:noFill/>
                    <a:ln>
                      <a:noFill/>
                    </a:ln>
                  </pic:spPr>
                </pic:pic>
              </a:graphicData>
            </a:graphic>
          </wp:inline>
        </w:drawing>
      </w:r>
    </w:p>
    <w:p w14:paraId="574E2E89" w14:textId="2E4CA3AA" w:rsidR="007F11BA" w:rsidRPr="00E83C5E" w:rsidRDefault="007F11BA" w:rsidP="007F11BA">
      <w:pPr>
        <w:pStyle w:val="NoSpacing"/>
        <w:ind w:firstLine="284"/>
        <w:jc w:val="both"/>
        <w:rPr>
          <w:rFonts w:ascii="Garamond" w:eastAsia="Arial" w:hAnsi="Garamond"/>
          <w:sz w:val="24"/>
          <w:szCs w:val="24"/>
          <w:lang w:val="sq-AL"/>
        </w:rPr>
      </w:pPr>
      <w:r w:rsidRPr="00E83C5E">
        <w:rPr>
          <w:rFonts w:ascii="Garamond" w:eastAsia="Arial" w:hAnsi="Garamond"/>
          <w:sz w:val="24"/>
          <w:szCs w:val="24"/>
          <w:lang w:val="sq-AL"/>
        </w:rPr>
        <w:t>Tek objektivi i parë përfshihet mbështetja që u jepet institucioneve dhe organizatave për tu bërë më aktive. Fokusi është te krijimi dhe bërja plotësisht funksionale e KVR dhe KKR. Mbështetja e donatorëve është e ndjeshme dhe e dukshme tek objektivi i dytë që lidhet me koordinimin e politikës rinore. Të tre objektivat kanë hendek financiar që pritet të mbulohet kryesisht me mbështetjen e donatorëve dhe më pak me mbështetjen e buxhetit të shtetit. Gjithashtu, një pjesë e kostove lidhet me mirëfunksionimin e AKR</w:t>
      </w:r>
    </w:p>
    <w:p w14:paraId="574E2E8B" w14:textId="169E169A" w:rsidR="007F11BA" w:rsidRPr="00E83C5E" w:rsidRDefault="007F11BA" w:rsidP="007F11BA">
      <w:pPr>
        <w:pStyle w:val="NoSpacing"/>
        <w:ind w:firstLine="284"/>
        <w:jc w:val="both"/>
        <w:rPr>
          <w:rFonts w:ascii="Garamond" w:eastAsia="Arial" w:hAnsi="Garamond"/>
          <w:sz w:val="24"/>
          <w:szCs w:val="24"/>
          <w:lang w:val="sq-AL"/>
        </w:rPr>
      </w:pPr>
      <w:r w:rsidRPr="00E83C5E">
        <w:rPr>
          <w:rFonts w:ascii="Garamond" w:eastAsia="Arial" w:hAnsi="Garamond"/>
          <w:sz w:val="24"/>
          <w:szCs w:val="24"/>
          <w:lang w:val="sq-AL"/>
        </w:rPr>
        <w:t>Ndërkohë nëse analizohet financimi i objektivave të qëllimit të dytë, mund të thuhet se</w:t>
      </w:r>
      <w:r w:rsidR="00233C37" w:rsidRPr="00E83C5E">
        <w:rPr>
          <w:rFonts w:ascii="Garamond" w:eastAsia="Arial" w:hAnsi="Garamond"/>
          <w:sz w:val="24"/>
          <w:szCs w:val="24"/>
          <w:lang w:val="sq-AL"/>
        </w:rPr>
        <w:t xml:space="preserve"> </w:t>
      </w:r>
      <w:r w:rsidRPr="00E83C5E">
        <w:rPr>
          <w:rFonts w:ascii="Garamond" w:eastAsia="Arial" w:hAnsi="Garamond"/>
          <w:sz w:val="24"/>
          <w:szCs w:val="24"/>
          <w:lang w:val="sq-AL"/>
        </w:rPr>
        <w:t>për të tre objektivat e qëllimit ka financim nga donatorët. Objektivi i parë ka vlerën më të lartë të financimit nga donatorët. Te këta objektiva vihet fokusi tek aftësitë digjitale të të rinjve dhe rritja e mëtejshme e tyre dhe informimin dhe aftësimin e studentëve për të bërë zgjedhje autonome kur i bashkohen popullsisë aktive.</w:t>
      </w:r>
    </w:p>
    <w:p w14:paraId="574E2E8C" w14:textId="77777777" w:rsidR="007F11BA" w:rsidRPr="00E83C5E" w:rsidRDefault="007F11BA" w:rsidP="007F11BA">
      <w:pPr>
        <w:pStyle w:val="NoSpacing"/>
        <w:ind w:firstLine="284"/>
        <w:jc w:val="both"/>
        <w:rPr>
          <w:rFonts w:ascii="Garamond" w:eastAsia="Arial" w:hAnsi="Garamond"/>
          <w:sz w:val="24"/>
          <w:szCs w:val="24"/>
          <w:lang w:val="sq-AL"/>
        </w:rPr>
      </w:pPr>
      <w:r w:rsidRPr="00E83C5E">
        <w:rPr>
          <w:rFonts w:ascii="Garamond" w:hAnsi="Garamond"/>
          <w:noProof/>
          <w:sz w:val="24"/>
          <w:szCs w:val="24"/>
          <w:lang w:val="en-US"/>
        </w:rPr>
        <w:drawing>
          <wp:inline distT="0" distB="0" distL="0" distR="0" wp14:anchorId="574E3578" wp14:editId="574E3579">
            <wp:extent cx="5730417" cy="1959428"/>
            <wp:effectExtent l="0" t="0" r="3810"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9930" cy="1962681"/>
                    </a:xfrm>
                    <a:prstGeom prst="rect">
                      <a:avLst/>
                    </a:prstGeom>
                    <a:noFill/>
                    <a:ln>
                      <a:noFill/>
                    </a:ln>
                  </pic:spPr>
                </pic:pic>
              </a:graphicData>
            </a:graphic>
          </wp:inline>
        </w:drawing>
      </w:r>
    </w:p>
    <w:p w14:paraId="574E2E8E" w14:textId="2AF1FBAA" w:rsidR="007F11BA" w:rsidRPr="00E83C5E" w:rsidRDefault="007F11BA" w:rsidP="007F11BA">
      <w:pPr>
        <w:pStyle w:val="NoSpacing"/>
        <w:ind w:firstLine="284"/>
        <w:jc w:val="both"/>
        <w:rPr>
          <w:rFonts w:ascii="Garamond" w:eastAsia="Arial" w:hAnsi="Garamond"/>
          <w:sz w:val="24"/>
          <w:szCs w:val="24"/>
          <w:lang w:val="sq-AL"/>
        </w:rPr>
      </w:pPr>
      <w:r w:rsidRPr="00E83C5E">
        <w:rPr>
          <w:rFonts w:ascii="Garamond" w:eastAsia="Arial" w:hAnsi="Garamond"/>
          <w:sz w:val="24"/>
          <w:szCs w:val="24"/>
          <w:lang w:val="sq-AL"/>
        </w:rPr>
        <w:t>Për</w:t>
      </w:r>
      <w:r w:rsidR="00A83D87">
        <w:rPr>
          <w:rFonts w:ascii="Garamond" w:eastAsia="Arial" w:hAnsi="Garamond"/>
          <w:sz w:val="24"/>
          <w:szCs w:val="24"/>
          <w:lang w:val="sq-AL"/>
        </w:rPr>
        <w:t xml:space="preserve"> </w:t>
      </w:r>
      <w:r w:rsidRPr="00E83C5E">
        <w:rPr>
          <w:rFonts w:ascii="Garamond" w:eastAsia="Arial" w:hAnsi="Garamond"/>
          <w:sz w:val="24"/>
          <w:szCs w:val="24"/>
          <w:lang w:val="sq-AL"/>
        </w:rPr>
        <w:t>sa i përket hendekut financiar, objektivi i parë ka hendekun financiar më të madhe në vlerë dhe në përqindje ndaj totalit të kostos së qëllimit. Pra, vihet re se ka nevojë të madhe për të financuar politikat që i mirinformojnë të rinjtë për mundësitë që kanë kur kalojnë në jetën aktive.. Gjithashtu, te ky qëllim përfshihen edhe shpenzimet në lidhe me novacionin dhe digjitalizimin. Gjithashtu, masa shumë të rëndësishme që kanë nevojë për financim janë edhe masat që lidhen me lehtësitë që mund të krijohen për të rinjtë për të lëvizur brenda dhe jashtë vendit.</w:t>
      </w:r>
    </w:p>
    <w:p w14:paraId="574E2E91" w14:textId="5D9B119A" w:rsidR="007D4822" w:rsidRPr="00E83C5E" w:rsidRDefault="007F11BA" w:rsidP="007F11BA">
      <w:pPr>
        <w:pStyle w:val="NoSpacing"/>
        <w:ind w:firstLine="284"/>
        <w:jc w:val="both"/>
        <w:rPr>
          <w:rFonts w:ascii="Garamond" w:eastAsia="Arial" w:hAnsi="Garamond"/>
          <w:sz w:val="24"/>
          <w:szCs w:val="24"/>
          <w:lang w:val="sq-AL"/>
        </w:rPr>
      </w:pPr>
      <w:r w:rsidRPr="00E83C5E">
        <w:rPr>
          <w:rFonts w:ascii="Garamond" w:eastAsia="Arial" w:hAnsi="Garamond"/>
          <w:sz w:val="24"/>
          <w:szCs w:val="24"/>
          <w:lang w:val="sq-AL"/>
        </w:rPr>
        <w:t xml:space="preserve">Te qëllimi i tretë vetëm një nga tre objektivat ka financim nga donatorët në një vlerë relativisht të vogël. Ky qëllim përfshin masat që do ndërmerren për të përmirësuar Mirëqenien dhe Përfshirjen e të rinjve. </w:t>
      </w:r>
    </w:p>
    <w:p w14:paraId="574E2E92" w14:textId="77777777" w:rsidR="007F11BA" w:rsidRPr="00E83C5E" w:rsidRDefault="007F11BA" w:rsidP="007F11BA">
      <w:pPr>
        <w:pStyle w:val="NoSpacing"/>
        <w:ind w:firstLine="284"/>
        <w:jc w:val="both"/>
        <w:rPr>
          <w:rFonts w:ascii="Garamond" w:eastAsia="Arial" w:hAnsi="Garamond"/>
          <w:sz w:val="24"/>
          <w:szCs w:val="24"/>
          <w:lang w:val="sq-AL"/>
        </w:rPr>
      </w:pPr>
      <w:r w:rsidRPr="00E83C5E">
        <w:rPr>
          <w:rFonts w:ascii="Garamond" w:hAnsi="Garamond"/>
          <w:noProof/>
          <w:sz w:val="24"/>
          <w:szCs w:val="24"/>
          <w:lang w:val="en-US"/>
        </w:rPr>
        <w:lastRenderedPageBreak/>
        <w:drawing>
          <wp:inline distT="0" distB="0" distL="0" distR="0" wp14:anchorId="574E357A" wp14:editId="574E357B">
            <wp:extent cx="5610758" cy="1360627"/>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13146" cy="1361206"/>
                    </a:xfrm>
                    <a:prstGeom prst="rect">
                      <a:avLst/>
                    </a:prstGeom>
                    <a:noFill/>
                    <a:ln>
                      <a:noFill/>
                    </a:ln>
                  </pic:spPr>
                </pic:pic>
              </a:graphicData>
            </a:graphic>
          </wp:inline>
        </w:drawing>
      </w:r>
    </w:p>
    <w:p w14:paraId="574E2E94" w14:textId="77777777" w:rsidR="007F11BA" w:rsidRPr="00E83C5E" w:rsidRDefault="007F11BA" w:rsidP="007D4822">
      <w:pPr>
        <w:pStyle w:val="TEKSTIII"/>
      </w:pPr>
      <w:r w:rsidRPr="00E83C5E">
        <w:t>Në këtë qëllim, përfshihen masat për të ndihmuar dhe nxitur të rinjtë që të kenë sjellje sa më të mira në shoqëri, larg ekstremizmit dhe dhunës, përfshihen masa për të rritur marrjen me sport e të rinjve dhe për të nxitur marrjen me sporte të ndryshme në të gjitha nivelet. Për këtë kërkohen financime për të krijuar hapësira miqësore me të rinjtë dhe për të krijuar sa më shumë terren</w:t>
      </w:r>
      <w:r w:rsidR="00951336" w:rsidRPr="00E83C5E">
        <w:t>.</w:t>
      </w:r>
    </w:p>
    <w:p w14:paraId="574E2E95" w14:textId="77777777" w:rsidR="00951336" w:rsidRPr="00E83C5E" w:rsidRDefault="00951336" w:rsidP="007D4822">
      <w:pPr>
        <w:pStyle w:val="TEKSTIII"/>
      </w:pPr>
    </w:p>
    <w:p w14:paraId="574E2E96" w14:textId="77777777" w:rsidR="00951336" w:rsidRPr="00E83C5E" w:rsidRDefault="00951336" w:rsidP="007D4822">
      <w:pPr>
        <w:pStyle w:val="TEKSTIII"/>
      </w:pPr>
    </w:p>
    <w:p w14:paraId="574E2E97" w14:textId="77777777" w:rsidR="00951336" w:rsidRPr="00E83C5E" w:rsidRDefault="00951336" w:rsidP="007D4822">
      <w:pPr>
        <w:pStyle w:val="TEKSTIII"/>
      </w:pPr>
    </w:p>
    <w:p w14:paraId="574E2E98" w14:textId="77777777" w:rsidR="00951336" w:rsidRPr="00E83C5E" w:rsidRDefault="00951336" w:rsidP="007D4822">
      <w:pPr>
        <w:pStyle w:val="TEKSTIII"/>
      </w:pPr>
    </w:p>
    <w:p w14:paraId="574E2E99" w14:textId="77777777" w:rsidR="00951336" w:rsidRPr="00E83C5E" w:rsidRDefault="00951336" w:rsidP="007D4822">
      <w:pPr>
        <w:pStyle w:val="TEKSTIII"/>
      </w:pPr>
    </w:p>
    <w:p w14:paraId="574E2E9A" w14:textId="77777777" w:rsidR="00951336" w:rsidRPr="00E83C5E" w:rsidRDefault="00951336" w:rsidP="007D4822">
      <w:pPr>
        <w:pStyle w:val="TEKSTIII"/>
      </w:pPr>
    </w:p>
    <w:p w14:paraId="574E2E9B" w14:textId="77777777" w:rsidR="00951336" w:rsidRPr="00E83C5E" w:rsidRDefault="00951336" w:rsidP="007D4822">
      <w:pPr>
        <w:pStyle w:val="TEKSTIII"/>
      </w:pPr>
    </w:p>
    <w:p w14:paraId="574E2E9C" w14:textId="77777777" w:rsidR="00951336" w:rsidRPr="00E83C5E" w:rsidRDefault="00951336" w:rsidP="007D4822">
      <w:pPr>
        <w:pStyle w:val="TEKSTIII"/>
      </w:pPr>
    </w:p>
    <w:p w14:paraId="574E2E9D" w14:textId="77777777" w:rsidR="00951336" w:rsidRPr="00E83C5E" w:rsidRDefault="00951336" w:rsidP="007D4822">
      <w:pPr>
        <w:pStyle w:val="TEKSTIII"/>
      </w:pPr>
    </w:p>
    <w:p w14:paraId="574E2E9E" w14:textId="77777777" w:rsidR="00951336" w:rsidRPr="00E83C5E" w:rsidRDefault="00951336" w:rsidP="007D4822">
      <w:pPr>
        <w:pStyle w:val="TEKSTIII"/>
      </w:pPr>
    </w:p>
    <w:p w14:paraId="574E2E9F" w14:textId="77777777" w:rsidR="00951336" w:rsidRPr="00E83C5E" w:rsidRDefault="00951336" w:rsidP="007D4822">
      <w:pPr>
        <w:pStyle w:val="TEKSTIII"/>
      </w:pPr>
    </w:p>
    <w:p w14:paraId="574E2EA0" w14:textId="77777777" w:rsidR="00951336" w:rsidRPr="00E83C5E" w:rsidRDefault="00951336" w:rsidP="007D4822">
      <w:pPr>
        <w:pStyle w:val="TEKSTIII"/>
      </w:pPr>
    </w:p>
    <w:p w14:paraId="574E2EA1" w14:textId="77777777" w:rsidR="00951336" w:rsidRPr="00E83C5E" w:rsidRDefault="00951336" w:rsidP="007D4822">
      <w:pPr>
        <w:pStyle w:val="TEKSTIII"/>
      </w:pPr>
    </w:p>
    <w:p w14:paraId="574E2EA2" w14:textId="77777777" w:rsidR="00951336" w:rsidRPr="00E83C5E" w:rsidRDefault="00951336" w:rsidP="007D4822">
      <w:pPr>
        <w:pStyle w:val="TEKSTIII"/>
      </w:pPr>
    </w:p>
    <w:p w14:paraId="574E2EA3" w14:textId="77777777" w:rsidR="00951336" w:rsidRPr="00E83C5E" w:rsidRDefault="00951336" w:rsidP="007D4822">
      <w:pPr>
        <w:pStyle w:val="TEKSTIII"/>
      </w:pPr>
    </w:p>
    <w:p w14:paraId="574E2EA4" w14:textId="77777777" w:rsidR="00951336" w:rsidRPr="00E83C5E" w:rsidRDefault="00951336" w:rsidP="007D4822">
      <w:pPr>
        <w:pStyle w:val="TEKSTIII"/>
      </w:pPr>
    </w:p>
    <w:p w14:paraId="574E2EA5" w14:textId="77777777" w:rsidR="00951336" w:rsidRPr="00E83C5E" w:rsidRDefault="00951336" w:rsidP="007D4822">
      <w:pPr>
        <w:pStyle w:val="TEKSTIII"/>
      </w:pPr>
    </w:p>
    <w:p w14:paraId="574E2EA6" w14:textId="77777777" w:rsidR="00951336" w:rsidRPr="00E83C5E" w:rsidRDefault="00951336" w:rsidP="007D4822">
      <w:pPr>
        <w:pStyle w:val="TEKSTIII"/>
      </w:pPr>
    </w:p>
    <w:p w14:paraId="574E2EA7" w14:textId="77777777" w:rsidR="00951336" w:rsidRPr="00E83C5E" w:rsidRDefault="00951336" w:rsidP="007D4822">
      <w:pPr>
        <w:pStyle w:val="TEKSTIII"/>
      </w:pPr>
    </w:p>
    <w:p w14:paraId="574E2EA8" w14:textId="77777777" w:rsidR="00951336" w:rsidRPr="00E83C5E" w:rsidRDefault="00951336" w:rsidP="007D4822">
      <w:pPr>
        <w:pStyle w:val="TEKSTIII"/>
      </w:pPr>
    </w:p>
    <w:p w14:paraId="574E2EA9" w14:textId="77777777" w:rsidR="00951336" w:rsidRPr="00E83C5E" w:rsidRDefault="00951336" w:rsidP="007D4822">
      <w:pPr>
        <w:pStyle w:val="TEKSTIII"/>
      </w:pPr>
    </w:p>
    <w:p w14:paraId="574E2EAA" w14:textId="77777777" w:rsidR="00951336" w:rsidRPr="00E83C5E" w:rsidRDefault="00951336" w:rsidP="007D4822">
      <w:pPr>
        <w:pStyle w:val="TEKSTIII"/>
      </w:pPr>
    </w:p>
    <w:p w14:paraId="574E2EAB" w14:textId="77777777" w:rsidR="00951336" w:rsidRPr="00E83C5E" w:rsidRDefault="00951336" w:rsidP="007D4822">
      <w:pPr>
        <w:pStyle w:val="TEKSTIII"/>
      </w:pPr>
    </w:p>
    <w:p w14:paraId="574E2EAC" w14:textId="77777777" w:rsidR="00951336" w:rsidRPr="00E83C5E" w:rsidRDefault="00951336" w:rsidP="007D4822">
      <w:pPr>
        <w:pStyle w:val="TEKSTIII"/>
      </w:pPr>
    </w:p>
    <w:p w14:paraId="574E2EAD" w14:textId="77777777" w:rsidR="00951336" w:rsidRPr="00E83C5E" w:rsidRDefault="00951336" w:rsidP="007D4822">
      <w:pPr>
        <w:pStyle w:val="TEKSTIII"/>
      </w:pPr>
    </w:p>
    <w:p w14:paraId="574E2EAE" w14:textId="77777777" w:rsidR="00951336" w:rsidRPr="00E83C5E" w:rsidRDefault="00951336" w:rsidP="007D4822">
      <w:pPr>
        <w:pStyle w:val="TEKSTIII"/>
      </w:pPr>
    </w:p>
    <w:p w14:paraId="574E2EAF" w14:textId="77777777" w:rsidR="00951336" w:rsidRPr="00E83C5E" w:rsidRDefault="00951336" w:rsidP="007D4822">
      <w:pPr>
        <w:pStyle w:val="TEKSTIII"/>
      </w:pPr>
    </w:p>
    <w:p w14:paraId="574E2EB0" w14:textId="77777777" w:rsidR="00951336" w:rsidRPr="00E83C5E" w:rsidRDefault="00951336" w:rsidP="007D4822">
      <w:pPr>
        <w:pStyle w:val="TEKSTIII"/>
      </w:pPr>
    </w:p>
    <w:p w14:paraId="574E2EB1" w14:textId="77777777" w:rsidR="00951336" w:rsidRPr="00E83C5E" w:rsidRDefault="00951336" w:rsidP="007D4822">
      <w:pPr>
        <w:pStyle w:val="TEKSTIII"/>
      </w:pPr>
    </w:p>
    <w:p w14:paraId="574E2EB2" w14:textId="77777777" w:rsidR="00951336" w:rsidRPr="00E83C5E" w:rsidRDefault="00951336" w:rsidP="007D4822">
      <w:pPr>
        <w:pStyle w:val="TEKSTIII"/>
      </w:pPr>
    </w:p>
    <w:p w14:paraId="574E2EB3" w14:textId="77777777" w:rsidR="00951336" w:rsidRPr="00E83C5E" w:rsidRDefault="00951336" w:rsidP="007D4822">
      <w:pPr>
        <w:pStyle w:val="TEKSTIII"/>
      </w:pPr>
    </w:p>
    <w:p w14:paraId="574E2EB4" w14:textId="77777777" w:rsidR="00951336" w:rsidRPr="00E83C5E" w:rsidRDefault="00951336" w:rsidP="007D4822">
      <w:pPr>
        <w:pStyle w:val="TEKSTIII"/>
      </w:pPr>
    </w:p>
    <w:p w14:paraId="574E2EB5" w14:textId="77777777" w:rsidR="00951336" w:rsidRPr="00E83C5E" w:rsidRDefault="00951336" w:rsidP="007D4822">
      <w:pPr>
        <w:pStyle w:val="TEKSTIII"/>
        <w:sectPr w:rsidR="00951336" w:rsidRPr="00E83C5E" w:rsidSect="00A34849">
          <w:headerReference w:type="default" r:id="rId31"/>
          <w:footerReference w:type="default" r:id="rId32"/>
          <w:pgSz w:w="11907" w:h="16840" w:code="9"/>
          <w:pgMar w:top="1418" w:right="1418" w:bottom="1418" w:left="1418" w:header="1304" w:footer="1134" w:gutter="0"/>
          <w:cols w:space="720"/>
          <w:docGrid w:linePitch="360"/>
        </w:sectPr>
      </w:pPr>
    </w:p>
    <w:p w14:paraId="574E2EB6" w14:textId="77777777" w:rsidR="00951336" w:rsidRPr="00E83C5E" w:rsidRDefault="00951336" w:rsidP="00951336">
      <w:pPr>
        <w:pStyle w:val="TEKSTIII"/>
        <w:rPr>
          <w:b/>
        </w:rPr>
      </w:pPr>
      <w:r w:rsidRPr="00E83C5E">
        <w:rPr>
          <w:b/>
        </w:rPr>
        <w:lastRenderedPageBreak/>
        <w:t>Aneks: Plani i Veprimit i kostuar</w:t>
      </w:r>
    </w:p>
    <w:tbl>
      <w:tblPr>
        <w:tblW w:w="16377" w:type="dxa"/>
        <w:tblInd w:w="-1165" w:type="dxa"/>
        <w:tblLook w:val="04A0" w:firstRow="1" w:lastRow="0" w:firstColumn="1" w:lastColumn="0" w:noHBand="0" w:noVBand="1"/>
      </w:tblPr>
      <w:tblGrid>
        <w:gridCol w:w="4135"/>
        <w:gridCol w:w="1278"/>
        <w:gridCol w:w="1602"/>
        <w:gridCol w:w="910"/>
        <w:gridCol w:w="1190"/>
        <w:gridCol w:w="1410"/>
        <w:gridCol w:w="1530"/>
        <w:gridCol w:w="1216"/>
        <w:gridCol w:w="1414"/>
        <w:gridCol w:w="1692"/>
      </w:tblGrid>
      <w:tr w:rsidR="00E8745E" w:rsidRPr="00E83C5E" w14:paraId="574E2EBB" w14:textId="77777777" w:rsidTr="00E8745E">
        <w:trPr>
          <w:trHeight w:val="765"/>
        </w:trPr>
        <w:tc>
          <w:tcPr>
            <w:tcW w:w="413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74E2EB7" w14:textId="05BA2C15" w:rsidR="00E8745E" w:rsidRPr="00E83C5E" w:rsidRDefault="00E8745E" w:rsidP="004B2DAF">
            <w:pPr>
              <w:spacing w:after="0" w:line="240" w:lineRule="auto"/>
              <w:rPr>
                <w:rFonts w:ascii="Garamond" w:eastAsia="Times New Roman" w:hAnsi="Garamond" w:cs="Times New Roman"/>
                <w:b/>
                <w:bCs/>
                <w:color w:val="0070C0"/>
                <w:sz w:val="18"/>
                <w:szCs w:val="18"/>
              </w:rPr>
            </w:pPr>
            <w:r w:rsidRPr="00E83C5E">
              <w:rPr>
                <w:rFonts w:ascii="Garamond" w:eastAsia="Times New Roman" w:hAnsi="Garamond" w:cs="Times New Roman"/>
                <w:b/>
                <w:bCs/>
                <w:color w:val="0070C0"/>
                <w:sz w:val="18"/>
                <w:szCs w:val="18"/>
              </w:rPr>
              <w:t xml:space="preserve">Qëllimi i </w:t>
            </w:r>
            <w:r w:rsidR="004B2DAF">
              <w:rPr>
                <w:rFonts w:ascii="Garamond" w:eastAsia="Times New Roman" w:hAnsi="Garamond" w:cs="Times New Roman"/>
                <w:b/>
                <w:bCs/>
                <w:color w:val="0070C0"/>
                <w:sz w:val="18"/>
                <w:szCs w:val="18"/>
              </w:rPr>
              <w:t>p</w:t>
            </w:r>
            <w:r w:rsidRPr="00E83C5E">
              <w:rPr>
                <w:rFonts w:ascii="Garamond" w:eastAsia="Times New Roman" w:hAnsi="Garamond" w:cs="Times New Roman"/>
                <w:b/>
                <w:bCs/>
                <w:color w:val="0070C0"/>
                <w:sz w:val="18"/>
                <w:szCs w:val="18"/>
              </w:rPr>
              <w:t>olitikës I</w:t>
            </w:r>
          </w:p>
        </w:tc>
        <w:tc>
          <w:tcPr>
            <w:tcW w:w="792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4E2EB8" w14:textId="008B897B" w:rsidR="00E8745E" w:rsidRPr="00E83C5E" w:rsidRDefault="00E8745E" w:rsidP="0036463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Fuqizimi organizimit rinor dhe rritja e pjesëmarrjes rinore</w:t>
            </w:r>
            <w:r w:rsidRPr="00E83C5E">
              <w:rPr>
                <w:rFonts w:ascii="Garamond" w:eastAsia="Times New Roman" w:hAnsi="Garamond" w:cs="Times New Roman"/>
                <w:b/>
                <w:bCs/>
                <w:color w:val="000000"/>
                <w:sz w:val="18"/>
                <w:szCs w:val="18"/>
              </w:rPr>
              <w:br/>
              <w:t>Të rejat dhe të rinjtë marrin pjesë aktivisht në shoqëri dhe ndihen të fuqizuar për t’u shprehur me zërin e tyre. Politikat ndërsektoriale rinore janë të koordinuara, të bazuara në analiza, me mekanizma të mirëfinancua</w:t>
            </w:r>
            <w:r w:rsidR="00364633">
              <w:rPr>
                <w:rFonts w:ascii="Garamond" w:eastAsia="Times New Roman" w:hAnsi="Garamond" w:cs="Times New Roman"/>
                <w:b/>
                <w:bCs/>
                <w:color w:val="000000"/>
                <w:sz w:val="18"/>
                <w:szCs w:val="18"/>
              </w:rPr>
              <w:t>r</w:t>
            </w:r>
          </w:p>
        </w:tc>
        <w:tc>
          <w:tcPr>
            <w:tcW w:w="4322" w:type="dxa"/>
            <w:gridSpan w:val="3"/>
            <w:vMerge w:val="restart"/>
            <w:tcBorders>
              <w:top w:val="single" w:sz="4" w:space="0" w:color="auto"/>
              <w:left w:val="single" w:sz="4" w:space="0" w:color="auto"/>
              <w:right w:val="single" w:sz="4" w:space="0" w:color="auto"/>
            </w:tcBorders>
            <w:shd w:val="clear" w:color="auto" w:fill="auto"/>
            <w:vAlign w:val="center"/>
            <w:hideMark/>
          </w:tcPr>
          <w:p w14:paraId="574E2EB9" w14:textId="77777777" w:rsidR="00E8745E" w:rsidRPr="00E83C5E" w:rsidRDefault="00E8745E" w:rsidP="00960B5E">
            <w:pPr>
              <w:spacing w:after="0" w:line="240" w:lineRule="auto"/>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w:t>
            </w:r>
          </w:p>
          <w:p w14:paraId="574E2EBA" w14:textId="77777777" w:rsidR="00E8745E" w:rsidRPr="00E83C5E" w:rsidRDefault="00E8745E" w:rsidP="00960B5E">
            <w:pPr>
              <w:spacing w:after="0" w:line="240" w:lineRule="auto"/>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w:t>
            </w:r>
          </w:p>
        </w:tc>
      </w:tr>
      <w:tr w:rsidR="00E8745E" w:rsidRPr="00E83C5E" w14:paraId="574E2EBF" w14:textId="77777777" w:rsidTr="00BC1D73">
        <w:trPr>
          <w:trHeight w:val="47"/>
        </w:trPr>
        <w:tc>
          <w:tcPr>
            <w:tcW w:w="413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74E2EBC" w14:textId="77777777" w:rsidR="00E8745E" w:rsidRPr="00E83C5E" w:rsidRDefault="00E8745E" w:rsidP="00960B5E">
            <w:pPr>
              <w:spacing w:after="0" w:line="240" w:lineRule="auto"/>
              <w:rPr>
                <w:rFonts w:ascii="Garamond" w:eastAsia="Times New Roman" w:hAnsi="Garamond" w:cs="Times New Roman"/>
                <w:b/>
                <w:bCs/>
                <w:color w:val="0070C0"/>
                <w:sz w:val="18"/>
                <w:szCs w:val="18"/>
              </w:rPr>
            </w:pPr>
            <w:r w:rsidRPr="00E83C5E">
              <w:rPr>
                <w:rFonts w:ascii="Garamond" w:eastAsia="Times New Roman" w:hAnsi="Garamond" w:cs="Times New Roman"/>
                <w:b/>
                <w:bCs/>
                <w:color w:val="0070C0"/>
                <w:sz w:val="18"/>
                <w:szCs w:val="18"/>
              </w:rPr>
              <w:t> </w:t>
            </w:r>
          </w:p>
        </w:tc>
        <w:tc>
          <w:tcPr>
            <w:tcW w:w="7920" w:type="dxa"/>
            <w:gridSpan w:val="6"/>
            <w:vMerge/>
            <w:tcBorders>
              <w:top w:val="single" w:sz="4" w:space="0" w:color="auto"/>
              <w:left w:val="single" w:sz="4" w:space="0" w:color="auto"/>
              <w:bottom w:val="single" w:sz="4" w:space="0" w:color="auto"/>
              <w:right w:val="single" w:sz="4" w:space="0" w:color="auto"/>
            </w:tcBorders>
            <w:vAlign w:val="center"/>
            <w:hideMark/>
          </w:tcPr>
          <w:p w14:paraId="574E2EBD" w14:textId="77777777" w:rsidR="00E8745E" w:rsidRPr="00E83C5E" w:rsidRDefault="00E8745E" w:rsidP="00960B5E">
            <w:pPr>
              <w:spacing w:after="0" w:line="240" w:lineRule="auto"/>
              <w:rPr>
                <w:rFonts w:ascii="Garamond" w:eastAsia="Times New Roman" w:hAnsi="Garamond" w:cs="Times New Roman"/>
                <w:b/>
                <w:bCs/>
                <w:color w:val="000000"/>
                <w:sz w:val="18"/>
                <w:szCs w:val="18"/>
              </w:rPr>
            </w:pPr>
          </w:p>
        </w:tc>
        <w:tc>
          <w:tcPr>
            <w:tcW w:w="4322" w:type="dxa"/>
            <w:gridSpan w:val="3"/>
            <w:vMerge/>
            <w:tcBorders>
              <w:left w:val="single" w:sz="4" w:space="0" w:color="auto"/>
              <w:bottom w:val="single" w:sz="4" w:space="0" w:color="auto"/>
              <w:right w:val="single" w:sz="4" w:space="0" w:color="auto"/>
            </w:tcBorders>
            <w:shd w:val="clear" w:color="auto" w:fill="auto"/>
            <w:vAlign w:val="center"/>
            <w:hideMark/>
          </w:tcPr>
          <w:p w14:paraId="574E2EBE" w14:textId="77777777" w:rsidR="00E8745E" w:rsidRPr="00E83C5E" w:rsidRDefault="00E8745E" w:rsidP="00960B5E">
            <w:pPr>
              <w:spacing w:after="0" w:line="240" w:lineRule="auto"/>
              <w:rPr>
                <w:rFonts w:ascii="Garamond" w:eastAsia="Times New Roman" w:hAnsi="Garamond" w:cs="Times New Roman"/>
                <w:b/>
                <w:bCs/>
                <w:color w:val="000000"/>
                <w:sz w:val="18"/>
                <w:szCs w:val="18"/>
              </w:rPr>
            </w:pPr>
          </w:p>
        </w:tc>
      </w:tr>
      <w:tr w:rsidR="00E8745E" w:rsidRPr="00E83C5E" w14:paraId="574E2ECA" w14:textId="77777777" w:rsidTr="00BC1D73">
        <w:trPr>
          <w:trHeight w:val="47"/>
        </w:trPr>
        <w:tc>
          <w:tcPr>
            <w:tcW w:w="413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74E2EC0" w14:textId="77777777" w:rsidR="00E8745E" w:rsidRPr="00E83C5E" w:rsidRDefault="00E8745E" w:rsidP="00960B5E">
            <w:pPr>
              <w:spacing w:after="0" w:line="240" w:lineRule="auto"/>
              <w:rPr>
                <w:rFonts w:ascii="Garamond" w:eastAsia="Times New Roman" w:hAnsi="Garamond" w:cs="Times New Roman"/>
                <w:b/>
                <w:bCs/>
                <w:color w:val="0070C0"/>
                <w:sz w:val="18"/>
                <w:szCs w:val="18"/>
              </w:rPr>
            </w:pPr>
            <w:r w:rsidRPr="00E83C5E">
              <w:rPr>
                <w:rFonts w:ascii="Garamond" w:eastAsia="Times New Roman" w:hAnsi="Garamond" w:cs="Times New Roman"/>
                <w:b/>
                <w:bCs/>
                <w:color w:val="0070C0"/>
                <w:sz w:val="18"/>
                <w:szCs w:val="18"/>
              </w:rPr>
              <w:t> </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E2EC1" w14:textId="77777777" w:rsidR="00E8745E" w:rsidRPr="00E83C5E" w:rsidRDefault="00E8745E" w:rsidP="00960B5E">
            <w:pPr>
              <w:spacing w:after="0" w:line="240" w:lineRule="auto"/>
              <w:rPr>
                <w:rFonts w:ascii="Garamond" w:eastAsia="Times New Roman" w:hAnsi="Garamond" w:cs="Times New Roman"/>
                <w:b/>
                <w:bCs/>
                <w:color w:val="0070C0"/>
                <w:sz w:val="18"/>
                <w:szCs w:val="18"/>
              </w:rPr>
            </w:pPr>
          </w:p>
        </w:tc>
        <w:tc>
          <w:tcPr>
            <w:tcW w:w="16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E2EC2" w14:textId="77777777" w:rsidR="00E8745E" w:rsidRPr="00E83C5E" w:rsidRDefault="00E8745E" w:rsidP="00960B5E">
            <w:pPr>
              <w:spacing w:after="0" w:line="240" w:lineRule="auto"/>
              <w:rPr>
                <w:rFonts w:ascii="Garamond" w:eastAsia="Times New Roman" w:hAnsi="Garamond" w:cs="Times New Roman"/>
                <w:sz w:val="18"/>
                <w:szCs w:val="18"/>
              </w:rPr>
            </w:pPr>
          </w:p>
        </w:tc>
        <w:tc>
          <w:tcPr>
            <w:tcW w:w="9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E2EC3" w14:textId="77777777" w:rsidR="00E8745E" w:rsidRPr="00E83C5E" w:rsidRDefault="00E8745E" w:rsidP="00960B5E">
            <w:pPr>
              <w:spacing w:after="0" w:line="240" w:lineRule="auto"/>
              <w:rPr>
                <w:rFonts w:ascii="Garamond" w:eastAsia="Times New Roman" w:hAnsi="Garamond" w:cs="Times New Roman"/>
                <w:sz w:val="18"/>
                <w:szCs w:val="18"/>
              </w:rPr>
            </w:pP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E2EC4" w14:textId="77777777" w:rsidR="00E8745E" w:rsidRPr="00E83C5E" w:rsidRDefault="00E8745E" w:rsidP="00960B5E">
            <w:pPr>
              <w:spacing w:after="0" w:line="240" w:lineRule="auto"/>
              <w:rPr>
                <w:rFonts w:ascii="Garamond" w:eastAsia="Times New Roman" w:hAnsi="Garamond" w:cs="Times New Roman"/>
                <w:sz w:val="18"/>
                <w:szCs w:val="18"/>
              </w:rPr>
            </w:pP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E2EC5" w14:textId="77777777" w:rsidR="00E8745E" w:rsidRPr="00E83C5E" w:rsidRDefault="00E8745E" w:rsidP="00960B5E">
            <w:pPr>
              <w:spacing w:after="0" w:line="240" w:lineRule="auto"/>
              <w:rPr>
                <w:rFonts w:ascii="Garamond" w:eastAsia="Times New Roman" w:hAnsi="Garamond" w:cs="Times New Roman"/>
                <w:sz w:val="18"/>
                <w:szCs w:val="18"/>
              </w:rPr>
            </w:pP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E2EC6" w14:textId="77777777" w:rsidR="00E8745E" w:rsidRPr="00E83C5E" w:rsidRDefault="00E8745E" w:rsidP="00960B5E">
            <w:pPr>
              <w:spacing w:after="0" w:line="240" w:lineRule="auto"/>
              <w:rPr>
                <w:rFonts w:ascii="Garamond" w:eastAsia="Times New Roman" w:hAnsi="Garamond" w:cs="Times New Roman"/>
                <w:sz w:val="18"/>
                <w:szCs w:val="18"/>
              </w:rPr>
            </w:pPr>
          </w:p>
        </w:tc>
        <w:tc>
          <w:tcPr>
            <w:tcW w:w="12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E2EC7" w14:textId="77777777" w:rsidR="00E8745E" w:rsidRPr="00E83C5E" w:rsidRDefault="00E8745E" w:rsidP="00960B5E">
            <w:pPr>
              <w:spacing w:after="0" w:line="240" w:lineRule="auto"/>
              <w:jc w:val="center"/>
              <w:rPr>
                <w:rFonts w:ascii="Garamond" w:eastAsia="Times New Roman" w:hAnsi="Garamond" w:cs="Times New Roman"/>
                <w:sz w:val="18"/>
                <w:szCs w:val="18"/>
              </w:rPr>
            </w:pP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E2EC8" w14:textId="77777777" w:rsidR="00E8745E" w:rsidRPr="00E83C5E" w:rsidRDefault="00E8745E" w:rsidP="00960B5E">
            <w:pPr>
              <w:spacing w:after="0" w:line="240" w:lineRule="auto"/>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w:t>
            </w:r>
          </w:p>
        </w:tc>
        <w:tc>
          <w:tcPr>
            <w:tcW w:w="16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4E2EC9" w14:textId="77777777" w:rsidR="00E8745E" w:rsidRPr="00E83C5E" w:rsidRDefault="00E8745E" w:rsidP="00960B5E">
            <w:pPr>
              <w:spacing w:after="0" w:line="240" w:lineRule="auto"/>
              <w:rPr>
                <w:rFonts w:ascii="Garamond" w:eastAsia="Times New Roman" w:hAnsi="Garamond" w:cs="Times New Roman"/>
                <w:b/>
                <w:bCs/>
                <w:color w:val="000000"/>
                <w:sz w:val="18"/>
                <w:szCs w:val="18"/>
              </w:rPr>
            </w:pPr>
          </w:p>
        </w:tc>
      </w:tr>
      <w:tr w:rsidR="00E8745E" w:rsidRPr="00E83C5E" w14:paraId="574E2ED2" w14:textId="77777777" w:rsidTr="00BC1D73">
        <w:trPr>
          <w:trHeight w:val="47"/>
        </w:trPr>
        <w:tc>
          <w:tcPr>
            <w:tcW w:w="41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4E2ECB" w14:textId="5B89C02B"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Objektivi </w:t>
            </w:r>
            <w:r w:rsidR="00A83D87" w:rsidRPr="00E83C5E">
              <w:rPr>
                <w:rFonts w:ascii="Garamond" w:eastAsia="Times New Roman" w:hAnsi="Garamond" w:cs="Times New Roman"/>
                <w:b/>
                <w:bCs/>
                <w:color w:val="000000"/>
                <w:sz w:val="18"/>
                <w:szCs w:val="18"/>
              </w:rPr>
              <w:t>specifik</w:t>
            </w: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74E2ECC"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Institucionet përgjegjëse </w:t>
            </w: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74E2ECD"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Afati i zbatimit </w:t>
            </w: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E2ECE" w14:textId="5AB3E9EA"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Kosto </w:t>
            </w:r>
            <w:r w:rsidR="00CB1F75" w:rsidRPr="00E83C5E">
              <w:rPr>
                <w:rFonts w:ascii="Garamond" w:eastAsia="Times New Roman" w:hAnsi="Garamond" w:cs="Times New Roman"/>
                <w:b/>
                <w:bCs/>
                <w:color w:val="000000"/>
                <w:sz w:val="18"/>
                <w:szCs w:val="18"/>
              </w:rPr>
              <w:t>totale</w:t>
            </w:r>
          </w:p>
        </w:tc>
        <w:tc>
          <w:tcPr>
            <w:tcW w:w="27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74E2ECF" w14:textId="6D1832B3" w:rsidR="00E8745E" w:rsidRPr="00E83C5E" w:rsidRDefault="00E8745E" w:rsidP="00BC1D7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Burimi i mbulimit deri </w:t>
            </w:r>
            <w:r w:rsidR="00BC1D73">
              <w:rPr>
                <w:rFonts w:ascii="Garamond" w:eastAsia="Times New Roman" w:hAnsi="Garamond" w:cs="Times New Roman"/>
                <w:b/>
                <w:bCs/>
                <w:color w:val="000000"/>
                <w:sz w:val="18"/>
                <w:szCs w:val="18"/>
              </w:rPr>
              <w:t>m</w:t>
            </w:r>
            <w:r w:rsidR="00960B5E" w:rsidRPr="00E83C5E">
              <w:rPr>
                <w:rFonts w:ascii="Garamond" w:eastAsia="Times New Roman" w:hAnsi="Garamond" w:cs="Times New Roman"/>
                <w:b/>
                <w:bCs/>
                <w:color w:val="000000"/>
                <w:sz w:val="18"/>
                <w:szCs w:val="18"/>
              </w:rPr>
              <w:t>ë</w:t>
            </w:r>
            <w:r w:rsidRPr="00E83C5E">
              <w:rPr>
                <w:rFonts w:ascii="Garamond" w:eastAsia="Times New Roman" w:hAnsi="Garamond" w:cs="Times New Roman"/>
                <w:b/>
                <w:bCs/>
                <w:color w:val="000000"/>
                <w:sz w:val="18"/>
                <w:szCs w:val="18"/>
              </w:rPr>
              <w:t xml:space="preserve"> 2029</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E2ED0" w14:textId="77777777" w:rsidR="00E8745E" w:rsidRPr="00E83C5E" w:rsidRDefault="00E8745E" w:rsidP="00960B5E">
            <w:pPr>
              <w:spacing w:after="0" w:line="240" w:lineRule="auto"/>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w:t>
            </w:r>
          </w:p>
        </w:tc>
        <w:tc>
          <w:tcPr>
            <w:tcW w:w="16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4E2ED1" w14:textId="77777777" w:rsidR="00E8745E" w:rsidRPr="00E83C5E" w:rsidRDefault="00E8745E" w:rsidP="00960B5E">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 </w:t>
            </w:r>
          </w:p>
        </w:tc>
      </w:tr>
      <w:tr w:rsidR="00E8745E" w:rsidRPr="00E83C5E" w14:paraId="574E2EDD" w14:textId="77777777" w:rsidTr="00960B5E">
        <w:trPr>
          <w:trHeight w:val="50"/>
        </w:trPr>
        <w:tc>
          <w:tcPr>
            <w:tcW w:w="4135" w:type="dxa"/>
            <w:vMerge/>
            <w:tcBorders>
              <w:top w:val="single" w:sz="4" w:space="0" w:color="auto"/>
              <w:left w:val="single" w:sz="8" w:space="0" w:color="auto"/>
              <w:bottom w:val="nil"/>
              <w:right w:val="single" w:sz="8" w:space="0" w:color="auto"/>
            </w:tcBorders>
            <w:vAlign w:val="center"/>
            <w:hideMark/>
          </w:tcPr>
          <w:p w14:paraId="574E2ED3" w14:textId="77777777" w:rsidR="00E8745E" w:rsidRPr="00E83C5E" w:rsidRDefault="00E8745E" w:rsidP="00960B5E">
            <w:pPr>
              <w:spacing w:after="0" w:line="240" w:lineRule="auto"/>
              <w:rPr>
                <w:rFonts w:ascii="Garamond" w:eastAsia="Times New Roman" w:hAnsi="Garamond" w:cs="Times New Roman"/>
                <w:b/>
                <w:bCs/>
                <w:color w:val="000000"/>
                <w:sz w:val="18"/>
                <w:szCs w:val="18"/>
              </w:rPr>
            </w:pPr>
          </w:p>
        </w:tc>
        <w:tc>
          <w:tcPr>
            <w:tcW w:w="1278" w:type="dxa"/>
            <w:tcBorders>
              <w:top w:val="single" w:sz="4" w:space="0" w:color="auto"/>
              <w:left w:val="nil"/>
              <w:bottom w:val="nil"/>
              <w:right w:val="single" w:sz="4" w:space="0" w:color="auto"/>
            </w:tcBorders>
            <w:shd w:val="clear" w:color="auto" w:fill="auto"/>
            <w:vAlign w:val="center"/>
            <w:hideMark/>
          </w:tcPr>
          <w:p w14:paraId="574E2ED4"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Institucioni drejtues</w:t>
            </w:r>
          </w:p>
        </w:tc>
        <w:tc>
          <w:tcPr>
            <w:tcW w:w="1602" w:type="dxa"/>
            <w:tcBorders>
              <w:top w:val="single" w:sz="4" w:space="0" w:color="auto"/>
              <w:left w:val="nil"/>
              <w:bottom w:val="nil"/>
              <w:right w:val="single" w:sz="4" w:space="0" w:color="auto"/>
            </w:tcBorders>
            <w:shd w:val="clear" w:color="auto" w:fill="auto"/>
            <w:vAlign w:val="center"/>
            <w:hideMark/>
          </w:tcPr>
          <w:p w14:paraId="574E2ED5" w14:textId="5AAE2069"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Institucionet </w:t>
            </w:r>
            <w:r w:rsidR="00BC1D73" w:rsidRPr="00E83C5E">
              <w:rPr>
                <w:rFonts w:ascii="Garamond" w:eastAsia="Times New Roman" w:hAnsi="Garamond" w:cs="Times New Roman"/>
                <w:b/>
                <w:bCs/>
                <w:color w:val="000000"/>
                <w:sz w:val="18"/>
                <w:szCs w:val="18"/>
              </w:rPr>
              <w:t>pjesëmarrëse</w:t>
            </w:r>
          </w:p>
        </w:tc>
        <w:tc>
          <w:tcPr>
            <w:tcW w:w="910" w:type="dxa"/>
            <w:tcBorders>
              <w:top w:val="single" w:sz="4" w:space="0" w:color="auto"/>
              <w:left w:val="single" w:sz="8" w:space="0" w:color="auto"/>
              <w:bottom w:val="nil"/>
              <w:right w:val="single" w:sz="4" w:space="0" w:color="auto"/>
            </w:tcBorders>
            <w:shd w:val="clear" w:color="auto" w:fill="auto"/>
            <w:vAlign w:val="center"/>
            <w:hideMark/>
          </w:tcPr>
          <w:p w14:paraId="574E2ED6"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Data e fillimit</w:t>
            </w:r>
          </w:p>
        </w:tc>
        <w:tc>
          <w:tcPr>
            <w:tcW w:w="1190" w:type="dxa"/>
            <w:tcBorders>
              <w:top w:val="single" w:sz="4" w:space="0" w:color="auto"/>
              <w:left w:val="nil"/>
              <w:bottom w:val="nil"/>
              <w:right w:val="single" w:sz="8" w:space="0" w:color="auto"/>
            </w:tcBorders>
            <w:shd w:val="clear" w:color="auto" w:fill="auto"/>
            <w:vAlign w:val="center"/>
            <w:hideMark/>
          </w:tcPr>
          <w:p w14:paraId="574E2ED7"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Data e mbarimit</w:t>
            </w:r>
          </w:p>
        </w:tc>
        <w:tc>
          <w:tcPr>
            <w:tcW w:w="1410" w:type="dxa"/>
            <w:tcBorders>
              <w:top w:val="single" w:sz="4" w:space="0" w:color="auto"/>
              <w:left w:val="nil"/>
              <w:bottom w:val="nil"/>
              <w:right w:val="single" w:sz="8" w:space="0" w:color="auto"/>
            </w:tcBorders>
            <w:vAlign w:val="center"/>
            <w:hideMark/>
          </w:tcPr>
          <w:p w14:paraId="574E2ED8" w14:textId="77777777" w:rsidR="00E8745E" w:rsidRPr="00E83C5E" w:rsidRDefault="00E8745E" w:rsidP="00960B5E">
            <w:pPr>
              <w:spacing w:after="0" w:line="240" w:lineRule="auto"/>
              <w:rPr>
                <w:rFonts w:ascii="Garamond" w:eastAsia="Times New Roman" w:hAnsi="Garamond" w:cs="Times New Roman"/>
                <w:b/>
                <w:bCs/>
                <w:color w:val="000000"/>
                <w:sz w:val="18"/>
                <w:szCs w:val="18"/>
              </w:rPr>
            </w:pPr>
          </w:p>
        </w:tc>
        <w:tc>
          <w:tcPr>
            <w:tcW w:w="1530" w:type="dxa"/>
            <w:tcBorders>
              <w:top w:val="single" w:sz="4" w:space="0" w:color="auto"/>
              <w:left w:val="nil"/>
              <w:bottom w:val="single" w:sz="8" w:space="0" w:color="auto"/>
              <w:right w:val="single" w:sz="8" w:space="0" w:color="auto"/>
            </w:tcBorders>
            <w:shd w:val="clear" w:color="auto" w:fill="auto"/>
            <w:vAlign w:val="center"/>
            <w:hideMark/>
          </w:tcPr>
          <w:p w14:paraId="574E2ED9"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Buxheti i Shtetit</w:t>
            </w:r>
          </w:p>
        </w:tc>
        <w:tc>
          <w:tcPr>
            <w:tcW w:w="1216" w:type="dxa"/>
            <w:tcBorders>
              <w:top w:val="single" w:sz="4" w:space="0" w:color="auto"/>
              <w:left w:val="nil"/>
              <w:bottom w:val="single" w:sz="8" w:space="0" w:color="auto"/>
              <w:right w:val="nil"/>
            </w:tcBorders>
            <w:shd w:val="clear" w:color="auto" w:fill="auto"/>
            <w:vAlign w:val="center"/>
            <w:hideMark/>
          </w:tcPr>
          <w:p w14:paraId="574E2EDA" w14:textId="5E9AB6EB"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Fondet e </w:t>
            </w:r>
            <w:r w:rsidR="00960B5E" w:rsidRPr="00E83C5E">
              <w:rPr>
                <w:rFonts w:ascii="Garamond" w:eastAsia="Times New Roman" w:hAnsi="Garamond" w:cs="Times New Roman"/>
                <w:b/>
                <w:bCs/>
                <w:color w:val="000000"/>
                <w:sz w:val="18"/>
                <w:szCs w:val="18"/>
              </w:rPr>
              <w:t>d</w:t>
            </w:r>
            <w:r w:rsidRPr="00E83C5E">
              <w:rPr>
                <w:rFonts w:ascii="Garamond" w:eastAsia="Times New Roman" w:hAnsi="Garamond" w:cs="Times New Roman"/>
                <w:b/>
                <w:bCs/>
                <w:color w:val="000000"/>
                <w:sz w:val="18"/>
                <w:szCs w:val="18"/>
              </w:rPr>
              <w:t>onatorëve</w:t>
            </w:r>
          </w:p>
        </w:tc>
        <w:tc>
          <w:tcPr>
            <w:tcW w:w="1414"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574E2EDB" w14:textId="04359DE6"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Hendeku financiar</w:t>
            </w:r>
            <w:r w:rsidRPr="00E83C5E">
              <w:rPr>
                <w:rFonts w:ascii="Garamond" w:eastAsia="Times New Roman" w:hAnsi="Garamond" w:cs="Times New Roman"/>
                <w:b/>
                <w:bCs/>
                <w:color w:val="000000"/>
                <w:sz w:val="18"/>
                <w:szCs w:val="18"/>
              </w:rPr>
              <w:br/>
              <w:t>2022-2029</w:t>
            </w:r>
            <w:r w:rsidRPr="00E83C5E">
              <w:rPr>
                <w:rFonts w:ascii="Garamond" w:eastAsia="Times New Roman" w:hAnsi="Garamond" w:cs="Times New Roman"/>
                <w:b/>
                <w:bCs/>
                <w:color w:val="000000"/>
                <w:sz w:val="18"/>
                <w:szCs w:val="18"/>
              </w:rPr>
              <w:br/>
              <w:t xml:space="preserve">(në </w:t>
            </w:r>
            <w:r w:rsidR="00CB1F75" w:rsidRPr="00E83C5E">
              <w:rPr>
                <w:rFonts w:ascii="Garamond" w:eastAsia="Times New Roman" w:hAnsi="Garamond" w:cs="Times New Roman"/>
                <w:b/>
                <w:bCs/>
                <w:color w:val="000000"/>
                <w:sz w:val="18"/>
                <w:szCs w:val="18"/>
              </w:rPr>
              <w:t>lekë</w:t>
            </w:r>
            <w:r w:rsidRPr="00E83C5E">
              <w:rPr>
                <w:rFonts w:ascii="Garamond" w:eastAsia="Times New Roman" w:hAnsi="Garamond" w:cs="Times New Roman"/>
                <w:b/>
                <w:bCs/>
                <w:color w:val="000000"/>
                <w:sz w:val="18"/>
                <w:szCs w:val="18"/>
              </w:rPr>
              <w:t>)</w:t>
            </w:r>
          </w:p>
        </w:tc>
        <w:tc>
          <w:tcPr>
            <w:tcW w:w="1692" w:type="dxa"/>
            <w:tcBorders>
              <w:top w:val="single" w:sz="4" w:space="0" w:color="auto"/>
              <w:left w:val="nil"/>
              <w:bottom w:val="nil"/>
              <w:right w:val="single" w:sz="8" w:space="0" w:color="auto"/>
            </w:tcBorders>
            <w:shd w:val="clear" w:color="auto" w:fill="auto"/>
            <w:vAlign w:val="center"/>
            <w:hideMark/>
          </w:tcPr>
          <w:p w14:paraId="574E2EDC" w14:textId="478BD965"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Financing Gap EUR</w:t>
            </w:r>
            <w:r w:rsidRPr="00E83C5E">
              <w:rPr>
                <w:rFonts w:ascii="Garamond" w:eastAsia="Times New Roman" w:hAnsi="Garamond" w:cs="Times New Roman"/>
                <w:b/>
                <w:bCs/>
                <w:color w:val="000000"/>
                <w:sz w:val="18"/>
                <w:szCs w:val="18"/>
              </w:rPr>
              <w:br/>
              <w:t xml:space="preserve">(kursi </w:t>
            </w:r>
            <w:r w:rsidR="00BC1D73">
              <w:rPr>
                <w:rFonts w:ascii="Garamond" w:eastAsia="Times New Roman" w:hAnsi="Garamond" w:cs="Times New Roman"/>
                <w:b/>
                <w:bCs/>
                <w:color w:val="000000"/>
                <w:sz w:val="18"/>
                <w:szCs w:val="18"/>
              </w:rPr>
              <w:t xml:space="preserve">i </w:t>
            </w:r>
            <w:r w:rsidR="00BC1D73" w:rsidRPr="00E83C5E">
              <w:rPr>
                <w:rFonts w:ascii="Garamond" w:eastAsia="Times New Roman" w:hAnsi="Garamond" w:cs="Times New Roman"/>
                <w:b/>
                <w:bCs/>
                <w:color w:val="000000"/>
                <w:sz w:val="18"/>
                <w:szCs w:val="18"/>
              </w:rPr>
              <w:t>këmbimit</w:t>
            </w:r>
            <w:r w:rsidRPr="00E83C5E">
              <w:rPr>
                <w:rFonts w:ascii="Garamond" w:eastAsia="Times New Roman" w:hAnsi="Garamond" w:cs="Times New Roman"/>
                <w:b/>
                <w:bCs/>
                <w:color w:val="000000"/>
                <w:sz w:val="18"/>
                <w:szCs w:val="18"/>
              </w:rPr>
              <w:t>: 1 EUR = 121 ALL)</w:t>
            </w:r>
          </w:p>
        </w:tc>
      </w:tr>
      <w:tr w:rsidR="00E8745E" w:rsidRPr="00E83C5E" w14:paraId="574E2EE8" w14:textId="77777777" w:rsidTr="00E8745E">
        <w:trPr>
          <w:trHeight w:val="86"/>
        </w:trPr>
        <w:tc>
          <w:tcPr>
            <w:tcW w:w="4135" w:type="dxa"/>
            <w:tcBorders>
              <w:top w:val="nil"/>
              <w:left w:val="single" w:sz="8" w:space="0" w:color="auto"/>
              <w:bottom w:val="nil"/>
              <w:right w:val="nil"/>
            </w:tcBorders>
            <w:shd w:val="clear" w:color="auto" w:fill="auto"/>
            <w:vAlign w:val="center"/>
            <w:hideMark/>
          </w:tcPr>
          <w:p w14:paraId="574E2EDE"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w:t>
            </w:r>
          </w:p>
        </w:tc>
        <w:tc>
          <w:tcPr>
            <w:tcW w:w="1278" w:type="dxa"/>
            <w:tcBorders>
              <w:top w:val="single" w:sz="4" w:space="0" w:color="auto"/>
              <w:left w:val="single" w:sz="8" w:space="0" w:color="auto"/>
              <w:bottom w:val="single" w:sz="8" w:space="0" w:color="auto"/>
              <w:right w:val="single" w:sz="4" w:space="0" w:color="auto"/>
            </w:tcBorders>
            <w:shd w:val="clear" w:color="auto" w:fill="auto"/>
            <w:vAlign w:val="center"/>
            <w:hideMark/>
          </w:tcPr>
          <w:p w14:paraId="574E2EDF" w14:textId="77777777" w:rsidR="00E8745E" w:rsidRPr="00E83C5E" w:rsidRDefault="00E8745E" w:rsidP="00960B5E">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 </w:t>
            </w:r>
          </w:p>
        </w:tc>
        <w:tc>
          <w:tcPr>
            <w:tcW w:w="1602" w:type="dxa"/>
            <w:tcBorders>
              <w:top w:val="single" w:sz="4" w:space="0" w:color="auto"/>
              <w:left w:val="nil"/>
              <w:bottom w:val="single" w:sz="8" w:space="0" w:color="auto"/>
              <w:right w:val="single" w:sz="4" w:space="0" w:color="auto"/>
            </w:tcBorders>
            <w:shd w:val="clear" w:color="auto" w:fill="auto"/>
            <w:vAlign w:val="center"/>
            <w:hideMark/>
          </w:tcPr>
          <w:p w14:paraId="574E2EE0" w14:textId="77777777" w:rsidR="00E8745E" w:rsidRPr="00E83C5E" w:rsidRDefault="00E8745E" w:rsidP="00960B5E">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 </w:t>
            </w:r>
          </w:p>
        </w:tc>
        <w:tc>
          <w:tcPr>
            <w:tcW w:w="910" w:type="dxa"/>
            <w:tcBorders>
              <w:top w:val="single" w:sz="4" w:space="0" w:color="auto"/>
              <w:left w:val="nil"/>
              <w:bottom w:val="single" w:sz="8" w:space="0" w:color="auto"/>
              <w:right w:val="single" w:sz="4" w:space="0" w:color="auto"/>
            </w:tcBorders>
            <w:shd w:val="clear" w:color="auto" w:fill="auto"/>
            <w:vAlign w:val="center"/>
            <w:hideMark/>
          </w:tcPr>
          <w:p w14:paraId="574E2EE1"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w:t>
            </w:r>
          </w:p>
        </w:tc>
        <w:tc>
          <w:tcPr>
            <w:tcW w:w="1190" w:type="dxa"/>
            <w:tcBorders>
              <w:top w:val="single" w:sz="4" w:space="0" w:color="auto"/>
              <w:left w:val="nil"/>
              <w:bottom w:val="single" w:sz="8" w:space="0" w:color="auto"/>
              <w:right w:val="single" w:sz="4" w:space="0" w:color="auto"/>
            </w:tcBorders>
            <w:shd w:val="clear" w:color="auto" w:fill="auto"/>
            <w:vAlign w:val="center"/>
            <w:hideMark/>
          </w:tcPr>
          <w:p w14:paraId="574E2EE2"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w:t>
            </w:r>
          </w:p>
        </w:tc>
        <w:tc>
          <w:tcPr>
            <w:tcW w:w="1410" w:type="dxa"/>
            <w:tcBorders>
              <w:top w:val="nil"/>
              <w:left w:val="nil"/>
              <w:bottom w:val="single" w:sz="8" w:space="0" w:color="auto"/>
              <w:right w:val="single" w:sz="8" w:space="0" w:color="auto"/>
            </w:tcBorders>
            <w:shd w:val="clear" w:color="auto" w:fill="auto"/>
            <w:vAlign w:val="center"/>
            <w:hideMark/>
          </w:tcPr>
          <w:p w14:paraId="574E2EE3" w14:textId="0306B7E6"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Total </w:t>
            </w:r>
            <w:r w:rsidR="00CB1F75" w:rsidRPr="00E83C5E">
              <w:rPr>
                <w:rFonts w:ascii="Garamond" w:eastAsia="Times New Roman" w:hAnsi="Garamond" w:cs="Times New Roman"/>
                <w:b/>
                <w:bCs/>
                <w:color w:val="000000"/>
                <w:sz w:val="18"/>
                <w:szCs w:val="18"/>
              </w:rPr>
              <w:t>kosto</w:t>
            </w:r>
          </w:p>
        </w:tc>
        <w:tc>
          <w:tcPr>
            <w:tcW w:w="1530" w:type="dxa"/>
            <w:tcBorders>
              <w:top w:val="nil"/>
              <w:left w:val="nil"/>
              <w:bottom w:val="single" w:sz="8" w:space="0" w:color="auto"/>
              <w:right w:val="single" w:sz="8" w:space="0" w:color="auto"/>
            </w:tcBorders>
            <w:shd w:val="clear" w:color="auto" w:fill="auto"/>
            <w:vAlign w:val="center"/>
            <w:hideMark/>
          </w:tcPr>
          <w:p w14:paraId="574E2EE4"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Total BSH</w:t>
            </w:r>
          </w:p>
        </w:tc>
        <w:tc>
          <w:tcPr>
            <w:tcW w:w="1216" w:type="dxa"/>
            <w:tcBorders>
              <w:top w:val="nil"/>
              <w:left w:val="nil"/>
              <w:bottom w:val="single" w:sz="8" w:space="0" w:color="auto"/>
              <w:right w:val="single" w:sz="8" w:space="0" w:color="auto"/>
            </w:tcBorders>
            <w:shd w:val="clear" w:color="auto" w:fill="auto"/>
            <w:vAlign w:val="center"/>
            <w:hideMark/>
          </w:tcPr>
          <w:p w14:paraId="574E2EE5"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Total FH</w:t>
            </w:r>
          </w:p>
        </w:tc>
        <w:tc>
          <w:tcPr>
            <w:tcW w:w="1414" w:type="dxa"/>
            <w:vMerge/>
            <w:tcBorders>
              <w:top w:val="single" w:sz="8" w:space="0" w:color="auto"/>
              <w:left w:val="single" w:sz="8" w:space="0" w:color="auto"/>
              <w:bottom w:val="single" w:sz="8" w:space="0" w:color="000000"/>
              <w:right w:val="single" w:sz="8" w:space="0" w:color="auto"/>
            </w:tcBorders>
            <w:vAlign w:val="center"/>
            <w:hideMark/>
          </w:tcPr>
          <w:p w14:paraId="574E2EE6" w14:textId="77777777" w:rsidR="00E8745E" w:rsidRPr="00E83C5E" w:rsidRDefault="00E8745E" w:rsidP="00960B5E">
            <w:pPr>
              <w:spacing w:after="0" w:line="240" w:lineRule="auto"/>
              <w:rPr>
                <w:rFonts w:ascii="Garamond" w:eastAsia="Times New Roman" w:hAnsi="Garamond" w:cs="Times New Roman"/>
                <w:b/>
                <w:bCs/>
                <w:color w:val="000000"/>
                <w:sz w:val="18"/>
                <w:szCs w:val="18"/>
              </w:rPr>
            </w:pPr>
          </w:p>
        </w:tc>
        <w:tc>
          <w:tcPr>
            <w:tcW w:w="1692" w:type="dxa"/>
            <w:tcBorders>
              <w:top w:val="nil"/>
              <w:left w:val="nil"/>
              <w:bottom w:val="nil"/>
              <w:right w:val="single" w:sz="8" w:space="0" w:color="auto"/>
            </w:tcBorders>
            <w:shd w:val="clear" w:color="auto" w:fill="auto"/>
            <w:vAlign w:val="center"/>
            <w:hideMark/>
          </w:tcPr>
          <w:p w14:paraId="574E2EE7"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w:t>
            </w:r>
          </w:p>
        </w:tc>
      </w:tr>
      <w:tr w:rsidR="00E8745E" w:rsidRPr="00E83C5E" w14:paraId="574E2EF3" w14:textId="77777777" w:rsidTr="00E8745E">
        <w:trPr>
          <w:trHeight w:val="1057"/>
        </w:trPr>
        <w:tc>
          <w:tcPr>
            <w:tcW w:w="4135"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574E2EE9" w14:textId="68242DD8" w:rsidR="00E8745E" w:rsidRPr="00E83C5E" w:rsidRDefault="00E8745E" w:rsidP="00960B5E">
            <w:pPr>
              <w:spacing w:after="0" w:line="240" w:lineRule="auto"/>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I. Objektivi </w:t>
            </w:r>
            <w:r w:rsidR="00A83D87" w:rsidRPr="00E83C5E">
              <w:rPr>
                <w:rFonts w:ascii="Garamond" w:eastAsia="Times New Roman" w:hAnsi="Garamond" w:cs="Times New Roman"/>
                <w:b/>
                <w:bCs/>
                <w:color w:val="000000"/>
                <w:sz w:val="18"/>
                <w:szCs w:val="18"/>
              </w:rPr>
              <w:t>specifik</w:t>
            </w:r>
            <w:r w:rsidRPr="00E83C5E">
              <w:rPr>
                <w:rFonts w:ascii="Garamond" w:eastAsia="Times New Roman" w:hAnsi="Garamond" w:cs="Times New Roman"/>
                <w:b/>
                <w:bCs/>
                <w:color w:val="000000"/>
                <w:sz w:val="18"/>
                <w:szCs w:val="18"/>
              </w:rPr>
              <w:t xml:space="preserve">: Të rinjtë janë të </w:t>
            </w:r>
            <w:r w:rsidR="00A83D87">
              <w:rPr>
                <w:rFonts w:ascii="Garamond" w:eastAsia="Times New Roman" w:hAnsi="Garamond" w:cs="Times New Roman"/>
                <w:b/>
                <w:bCs/>
                <w:color w:val="000000"/>
                <w:sz w:val="18"/>
                <w:szCs w:val="18"/>
              </w:rPr>
              <w:t>mirinformuar</w:t>
            </w:r>
            <w:r w:rsidRPr="00E83C5E">
              <w:rPr>
                <w:rFonts w:ascii="Garamond" w:eastAsia="Times New Roman" w:hAnsi="Garamond" w:cs="Times New Roman"/>
                <w:b/>
                <w:bCs/>
                <w:color w:val="000000"/>
                <w:sz w:val="18"/>
                <w:szCs w:val="18"/>
              </w:rPr>
              <w:t xml:space="preserve"> rreth mundësive për të mësuar, fituar përvojë organizative dhe vullnetarizëm, dhe për të marrë pjesë aktivisht në jetën qytetare, sociale dhe politike</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14:paraId="574E2EEA" w14:textId="77777777" w:rsidR="00E8745E" w:rsidRPr="00E83C5E" w:rsidRDefault="00E8745E" w:rsidP="00960B5E">
            <w:pPr>
              <w:spacing w:after="0" w:line="240" w:lineRule="auto"/>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MSHRF, AKR</w:t>
            </w:r>
          </w:p>
        </w:tc>
        <w:tc>
          <w:tcPr>
            <w:tcW w:w="1602" w:type="dxa"/>
            <w:tcBorders>
              <w:top w:val="single" w:sz="4" w:space="0" w:color="auto"/>
              <w:left w:val="nil"/>
              <w:bottom w:val="single" w:sz="4" w:space="0" w:color="auto"/>
              <w:right w:val="single" w:sz="4" w:space="0" w:color="auto"/>
            </w:tcBorders>
            <w:shd w:val="clear" w:color="auto" w:fill="auto"/>
            <w:vAlign w:val="center"/>
            <w:hideMark/>
          </w:tcPr>
          <w:p w14:paraId="574E2EEB" w14:textId="705AA598" w:rsidR="00E8745E" w:rsidRPr="00E83C5E" w:rsidRDefault="00E8745E" w:rsidP="00960B5E">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 xml:space="preserve">AKPA, </w:t>
            </w:r>
            <w:r w:rsidR="00CB1F75" w:rsidRPr="00E83C5E">
              <w:rPr>
                <w:rFonts w:ascii="Garamond" w:eastAsia="Times New Roman" w:hAnsi="Garamond" w:cs="Times New Roman"/>
                <w:color w:val="000000"/>
                <w:sz w:val="18"/>
                <w:szCs w:val="18"/>
              </w:rPr>
              <w:t>njësitë e qeverisjes vendore</w:t>
            </w:r>
            <w:r w:rsidRPr="00E83C5E">
              <w:rPr>
                <w:rFonts w:ascii="Garamond" w:eastAsia="Times New Roman" w:hAnsi="Garamond" w:cs="Times New Roman"/>
                <w:color w:val="000000"/>
                <w:sz w:val="18"/>
                <w:szCs w:val="18"/>
              </w:rPr>
              <w:t>, KQZ, MAS</w:t>
            </w:r>
          </w:p>
        </w:tc>
        <w:tc>
          <w:tcPr>
            <w:tcW w:w="910" w:type="dxa"/>
            <w:tcBorders>
              <w:top w:val="single" w:sz="4" w:space="0" w:color="auto"/>
              <w:left w:val="nil"/>
              <w:bottom w:val="single" w:sz="4" w:space="0" w:color="auto"/>
              <w:right w:val="single" w:sz="4" w:space="0" w:color="auto"/>
            </w:tcBorders>
            <w:shd w:val="clear" w:color="auto" w:fill="auto"/>
            <w:vAlign w:val="center"/>
            <w:hideMark/>
          </w:tcPr>
          <w:p w14:paraId="574E2EEC"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2022</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574E2EED"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2029</w:t>
            </w:r>
          </w:p>
        </w:tc>
        <w:tc>
          <w:tcPr>
            <w:tcW w:w="1410" w:type="dxa"/>
            <w:tcBorders>
              <w:top w:val="single" w:sz="4" w:space="0" w:color="auto"/>
              <w:left w:val="nil"/>
              <w:bottom w:val="single" w:sz="4" w:space="0" w:color="auto"/>
              <w:right w:val="single" w:sz="4" w:space="0" w:color="auto"/>
            </w:tcBorders>
            <w:shd w:val="clear" w:color="auto" w:fill="auto"/>
            <w:vAlign w:val="center"/>
            <w:hideMark/>
          </w:tcPr>
          <w:p w14:paraId="574E2EEE"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1,210,512,841</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574E2EEF" w14:textId="77777777" w:rsidR="00E8745E" w:rsidRPr="00E83C5E" w:rsidRDefault="00E8745E" w:rsidP="00960B5E">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932,427,904</w:t>
            </w:r>
          </w:p>
        </w:tc>
        <w:tc>
          <w:tcPr>
            <w:tcW w:w="1216" w:type="dxa"/>
            <w:tcBorders>
              <w:top w:val="single" w:sz="4" w:space="0" w:color="auto"/>
              <w:left w:val="nil"/>
              <w:bottom w:val="single" w:sz="4" w:space="0" w:color="auto"/>
              <w:right w:val="single" w:sz="4" w:space="0" w:color="auto"/>
            </w:tcBorders>
            <w:shd w:val="clear" w:color="auto" w:fill="auto"/>
            <w:vAlign w:val="center"/>
            <w:hideMark/>
          </w:tcPr>
          <w:p w14:paraId="574E2EF0" w14:textId="77777777" w:rsidR="00E8745E" w:rsidRPr="00E83C5E" w:rsidRDefault="00E8745E" w:rsidP="00960B5E">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14,290,000</w:t>
            </w:r>
          </w:p>
        </w:tc>
        <w:tc>
          <w:tcPr>
            <w:tcW w:w="1414" w:type="dxa"/>
            <w:tcBorders>
              <w:top w:val="single" w:sz="4" w:space="0" w:color="auto"/>
              <w:left w:val="nil"/>
              <w:bottom w:val="single" w:sz="4" w:space="0" w:color="auto"/>
              <w:right w:val="single" w:sz="4" w:space="0" w:color="auto"/>
            </w:tcBorders>
            <w:shd w:val="clear" w:color="auto" w:fill="auto"/>
            <w:vAlign w:val="center"/>
            <w:hideMark/>
          </w:tcPr>
          <w:p w14:paraId="574E2EF1"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-263,794,937</w:t>
            </w:r>
          </w:p>
        </w:tc>
        <w:tc>
          <w:tcPr>
            <w:tcW w:w="1692" w:type="dxa"/>
            <w:tcBorders>
              <w:top w:val="single" w:sz="4" w:space="0" w:color="auto"/>
              <w:left w:val="nil"/>
              <w:bottom w:val="single" w:sz="4" w:space="0" w:color="auto"/>
              <w:right w:val="single" w:sz="8" w:space="0" w:color="auto"/>
            </w:tcBorders>
            <w:shd w:val="clear" w:color="auto" w:fill="auto"/>
            <w:noWrap/>
            <w:vAlign w:val="center"/>
            <w:hideMark/>
          </w:tcPr>
          <w:p w14:paraId="574E2EF2"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-2,180,123</w:t>
            </w:r>
          </w:p>
        </w:tc>
      </w:tr>
      <w:tr w:rsidR="00E8745E" w:rsidRPr="00E83C5E" w14:paraId="574E2EFE" w14:textId="77777777" w:rsidTr="00E8745E">
        <w:trPr>
          <w:trHeight w:val="1485"/>
        </w:trPr>
        <w:tc>
          <w:tcPr>
            <w:tcW w:w="4135" w:type="dxa"/>
            <w:tcBorders>
              <w:top w:val="nil"/>
              <w:left w:val="single" w:sz="8" w:space="0" w:color="auto"/>
              <w:bottom w:val="single" w:sz="4" w:space="0" w:color="auto"/>
              <w:right w:val="single" w:sz="4" w:space="0" w:color="auto"/>
            </w:tcBorders>
            <w:shd w:val="clear" w:color="auto" w:fill="auto"/>
            <w:vAlign w:val="bottom"/>
            <w:hideMark/>
          </w:tcPr>
          <w:p w14:paraId="574E2EF4" w14:textId="01A62326" w:rsidR="00E8745E" w:rsidRPr="00E83C5E" w:rsidRDefault="00E8745E" w:rsidP="00960B5E">
            <w:pPr>
              <w:spacing w:after="0" w:line="240" w:lineRule="auto"/>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Objektivi </w:t>
            </w:r>
            <w:r w:rsidR="00A83D87" w:rsidRPr="00E83C5E">
              <w:rPr>
                <w:rFonts w:ascii="Garamond" w:eastAsia="Times New Roman" w:hAnsi="Garamond" w:cs="Times New Roman"/>
                <w:b/>
                <w:bCs/>
                <w:color w:val="000000"/>
                <w:sz w:val="18"/>
                <w:szCs w:val="18"/>
              </w:rPr>
              <w:t>specifik</w:t>
            </w:r>
            <w:r w:rsidRPr="00E83C5E">
              <w:rPr>
                <w:rFonts w:ascii="Garamond" w:eastAsia="Times New Roman" w:hAnsi="Garamond" w:cs="Times New Roman"/>
                <w:b/>
                <w:bCs/>
                <w:color w:val="000000"/>
                <w:sz w:val="18"/>
                <w:szCs w:val="18"/>
              </w:rPr>
              <w:t>: Politika rinore është e koordinuar, e bazuar në analiza dhe e harmonizuar në sektorë të ndryshëm duke kërkuar kohezionin dhe optimizimin e burimeve dhe duke forcuar si instrument zbatues të këtyre politikave Agjencinë Kombëtare të Rinisë.</w:t>
            </w:r>
          </w:p>
        </w:tc>
        <w:tc>
          <w:tcPr>
            <w:tcW w:w="1278" w:type="dxa"/>
            <w:tcBorders>
              <w:top w:val="nil"/>
              <w:left w:val="nil"/>
              <w:bottom w:val="single" w:sz="4" w:space="0" w:color="auto"/>
              <w:right w:val="single" w:sz="4" w:space="0" w:color="auto"/>
            </w:tcBorders>
            <w:shd w:val="clear" w:color="auto" w:fill="auto"/>
            <w:vAlign w:val="center"/>
            <w:hideMark/>
          </w:tcPr>
          <w:p w14:paraId="574E2EF5" w14:textId="77777777" w:rsidR="00E8745E" w:rsidRPr="00E83C5E" w:rsidRDefault="00E8745E" w:rsidP="00960B5E">
            <w:pPr>
              <w:spacing w:after="0" w:line="240" w:lineRule="auto"/>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MSHRF, AKR</w:t>
            </w:r>
          </w:p>
        </w:tc>
        <w:tc>
          <w:tcPr>
            <w:tcW w:w="1602" w:type="dxa"/>
            <w:tcBorders>
              <w:top w:val="nil"/>
              <w:left w:val="nil"/>
              <w:bottom w:val="single" w:sz="4" w:space="0" w:color="auto"/>
              <w:right w:val="single" w:sz="4" w:space="0" w:color="auto"/>
            </w:tcBorders>
            <w:shd w:val="clear" w:color="auto" w:fill="auto"/>
            <w:vAlign w:val="center"/>
            <w:hideMark/>
          </w:tcPr>
          <w:p w14:paraId="574E2EF6" w14:textId="77777777" w:rsidR="00E8745E" w:rsidRPr="00E83C5E" w:rsidRDefault="00E8745E" w:rsidP="00960B5E">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MFE, Ministritë e Linjës</w:t>
            </w:r>
          </w:p>
        </w:tc>
        <w:tc>
          <w:tcPr>
            <w:tcW w:w="910" w:type="dxa"/>
            <w:tcBorders>
              <w:top w:val="nil"/>
              <w:left w:val="nil"/>
              <w:bottom w:val="single" w:sz="4" w:space="0" w:color="auto"/>
              <w:right w:val="single" w:sz="4" w:space="0" w:color="auto"/>
            </w:tcBorders>
            <w:shd w:val="clear" w:color="auto" w:fill="auto"/>
            <w:vAlign w:val="center"/>
            <w:hideMark/>
          </w:tcPr>
          <w:p w14:paraId="574E2EF7"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2022</w:t>
            </w:r>
          </w:p>
        </w:tc>
        <w:tc>
          <w:tcPr>
            <w:tcW w:w="1190" w:type="dxa"/>
            <w:tcBorders>
              <w:top w:val="nil"/>
              <w:left w:val="nil"/>
              <w:bottom w:val="single" w:sz="4" w:space="0" w:color="auto"/>
              <w:right w:val="single" w:sz="4" w:space="0" w:color="auto"/>
            </w:tcBorders>
            <w:shd w:val="clear" w:color="auto" w:fill="auto"/>
            <w:vAlign w:val="center"/>
            <w:hideMark/>
          </w:tcPr>
          <w:p w14:paraId="574E2EF8"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2029</w:t>
            </w:r>
          </w:p>
        </w:tc>
        <w:tc>
          <w:tcPr>
            <w:tcW w:w="1410" w:type="dxa"/>
            <w:tcBorders>
              <w:top w:val="nil"/>
              <w:left w:val="nil"/>
              <w:bottom w:val="single" w:sz="4" w:space="0" w:color="auto"/>
              <w:right w:val="single" w:sz="4" w:space="0" w:color="auto"/>
            </w:tcBorders>
            <w:shd w:val="clear" w:color="auto" w:fill="auto"/>
            <w:vAlign w:val="center"/>
            <w:hideMark/>
          </w:tcPr>
          <w:p w14:paraId="574E2EF9"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668,536,102</w:t>
            </w:r>
          </w:p>
        </w:tc>
        <w:tc>
          <w:tcPr>
            <w:tcW w:w="1530" w:type="dxa"/>
            <w:tcBorders>
              <w:top w:val="nil"/>
              <w:left w:val="nil"/>
              <w:bottom w:val="single" w:sz="4" w:space="0" w:color="auto"/>
              <w:right w:val="single" w:sz="4" w:space="0" w:color="auto"/>
            </w:tcBorders>
            <w:shd w:val="clear" w:color="auto" w:fill="auto"/>
            <w:vAlign w:val="center"/>
            <w:hideMark/>
          </w:tcPr>
          <w:p w14:paraId="574E2EFA" w14:textId="77777777" w:rsidR="00E8745E" w:rsidRPr="00E83C5E" w:rsidRDefault="00E8745E" w:rsidP="00960B5E">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302,369,622</w:t>
            </w:r>
          </w:p>
        </w:tc>
        <w:tc>
          <w:tcPr>
            <w:tcW w:w="1216" w:type="dxa"/>
            <w:tcBorders>
              <w:top w:val="nil"/>
              <w:left w:val="nil"/>
              <w:bottom w:val="single" w:sz="4" w:space="0" w:color="auto"/>
              <w:right w:val="single" w:sz="4" w:space="0" w:color="auto"/>
            </w:tcBorders>
            <w:shd w:val="clear" w:color="auto" w:fill="auto"/>
            <w:vAlign w:val="center"/>
            <w:hideMark/>
          </w:tcPr>
          <w:p w14:paraId="574E2EFB" w14:textId="77777777" w:rsidR="00E8745E" w:rsidRPr="00E83C5E" w:rsidRDefault="00E8745E" w:rsidP="00960B5E">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102,000,000</w:t>
            </w:r>
          </w:p>
        </w:tc>
        <w:tc>
          <w:tcPr>
            <w:tcW w:w="1414" w:type="dxa"/>
            <w:tcBorders>
              <w:top w:val="nil"/>
              <w:left w:val="nil"/>
              <w:bottom w:val="single" w:sz="4" w:space="0" w:color="auto"/>
              <w:right w:val="single" w:sz="4" w:space="0" w:color="auto"/>
            </w:tcBorders>
            <w:shd w:val="clear" w:color="auto" w:fill="auto"/>
            <w:vAlign w:val="center"/>
            <w:hideMark/>
          </w:tcPr>
          <w:p w14:paraId="574E2EFC"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-264,166,480</w:t>
            </w:r>
          </w:p>
        </w:tc>
        <w:tc>
          <w:tcPr>
            <w:tcW w:w="1692" w:type="dxa"/>
            <w:tcBorders>
              <w:top w:val="nil"/>
              <w:left w:val="nil"/>
              <w:bottom w:val="single" w:sz="4" w:space="0" w:color="auto"/>
              <w:right w:val="single" w:sz="8" w:space="0" w:color="auto"/>
            </w:tcBorders>
            <w:shd w:val="clear" w:color="auto" w:fill="auto"/>
            <w:noWrap/>
            <w:vAlign w:val="center"/>
            <w:hideMark/>
          </w:tcPr>
          <w:p w14:paraId="574E2EFD"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-2,183,194</w:t>
            </w:r>
          </w:p>
        </w:tc>
      </w:tr>
      <w:tr w:rsidR="00E8745E" w:rsidRPr="00E83C5E" w14:paraId="574E2F09" w14:textId="77777777" w:rsidTr="00E8745E">
        <w:trPr>
          <w:trHeight w:val="923"/>
        </w:trPr>
        <w:tc>
          <w:tcPr>
            <w:tcW w:w="4135" w:type="dxa"/>
            <w:tcBorders>
              <w:top w:val="nil"/>
              <w:left w:val="single" w:sz="8" w:space="0" w:color="auto"/>
              <w:bottom w:val="single" w:sz="4" w:space="0" w:color="auto"/>
              <w:right w:val="single" w:sz="4" w:space="0" w:color="auto"/>
            </w:tcBorders>
            <w:shd w:val="clear" w:color="auto" w:fill="auto"/>
            <w:vAlign w:val="bottom"/>
            <w:hideMark/>
          </w:tcPr>
          <w:p w14:paraId="574E2EFF" w14:textId="48E05996" w:rsidR="00E8745E" w:rsidRPr="00E83C5E" w:rsidRDefault="00E8745E" w:rsidP="00960B5E">
            <w:pPr>
              <w:shd w:val="clear" w:color="auto" w:fill="FFFFFF" w:themeFill="background1"/>
              <w:spacing w:after="0" w:line="240" w:lineRule="auto"/>
              <w:jc w:val="both"/>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Objektivi </w:t>
            </w:r>
            <w:r w:rsidR="00A83D87" w:rsidRPr="00E83C5E">
              <w:rPr>
                <w:rFonts w:ascii="Garamond" w:eastAsia="Times New Roman" w:hAnsi="Garamond" w:cs="Times New Roman"/>
                <w:b/>
                <w:bCs/>
                <w:color w:val="000000"/>
                <w:sz w:val="18"/>
                <w:szCs w:val="18"/>
              </w:rPr>
              <w:t>specifik</w:t>
            </w:r>
            <w:r w:rsidRPr="00E83C5E">
              <w:rPr>
                <w:rFonts w:ascii="Garamond" w:eastAsia="Times New Roman" w:hAnsi="Garamond" w:cs="Times New Roman"/>
                <w:b/>
                <w:bCs/>
                <w:color w:val="000000"/>
                <w:sz w:val="18"/>
                <w:szCs w:val="18"/>
              </w:rPr>
              <w:t>: Studimet rinore dhe të dhënat për rininë nxiten të zhvillohen dhe të bëhen pjesë e programeve të studimit në institucionet e arsimit të lartë dhe referenca për zhvillimet e mëtejshme në fushën e rinisë.</w:t>
            </w:r>
          </w:p>
        </w:tc>
        <w:tc>
          <w:tcPr>
            <w:tcW w:w="1278" w:type="dxa"/>
            <w:tcBorders>
              <w:top w:val="nil"/>
              <w:left w:val="nil"/>
              <w:bottom w:val="single" w:sz="4" w:space="0" w:color="auto"/>
              <w:right w:val="single" w:sz="4" w:space="0" w:color="auto"/>
            </w:tcBorders>
            <w:shd w:val="clear" w:color="auto" w:fill="auto"/>
            <w:vAlign w:val="center"/>
            <w:hideMark/>
          </w:tcPr>
          <w:p w14:paraId="574E2F00" w14:textId="77777777" w:rsidR="00E8745E" w:rsidRPr="00E83C5E" w:rsidRDefault="00E8745E" w:rsidP="00960B5E">
            <w:pPr>
              <w:spacing w:after="0" w:line="240" w:lineRule="auto"/>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MSHRF, AKR</w:t>
            </w:r>
          </w:p>
        </w:tc>
        <w:tc>
          <w:tcPr>
            <w:tcW w:w="1602" w:type="dxa"/>
            <w:tcBorders>
              <w:top w:val="nil"/>
              <w:left w:val="nil"/>
              <w:bottom w:val="single" w:sz="4" w:space="0" w:color="auto"/>
              <w:right w:val="single" w:sz="4" w:space="0" w:color="auto"/>
            </w:tcBorders>
            <w:shd w:val="clear" w:color="auto" w:fill="auto"/>
            <w:vAlign w:val="center"/>
            <w:hideMark/>
          </w:tcPr>
          <w:p w14:paraId="574E2F01" w14:textId="77777777" w:rsidR="00E8745E" w:rsidRPr="00E83C5E" w:rsidRDefault="00E8745E" w:rsidP="00960B5E">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 MiSHMS, INSTAT, AKPA</w:t>
            </w:r>
          </w:p>
        </w:tc>
        <w:tc>
          <w:tcPr>
            <w:tcW w:w="910" w:type="dxa"/>
            <w:tcBorders>
              <w:top w:val="nil"/>
              <w:left w:val="nil"/>
              <w:bottom w:val="single" w:sz="4" w:space="0" w:color="auto"/>
              <w:right w:val="single" w:sz="4" w:space="0" w:color="auto"/>
            </w:tcBorders>
            <w:shd w:val="clear" w:color="auto" w:fill="auto"/>
            <w:vAlign w:val="center"/>
            <w:hideMark/>
          </w:tcPr>
          <w:p w14:paraId="574E2F02"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2023</w:t>
            </w:r>
          </w:p>
        </w:tc>
        <w:tc>
          <w:tcPr>
            <w:tcW w:w="1190" w:type="dxa"/>
            <w:tcBorders>
              <w:top w:val="nil"/>
              <w:left w:val="nil"/>
              <w:bottom w:val="single" w:sz="4" w:space="0" w:color="auto"/>
              <w:right w:val="single" w:sz="4" w:space="0" w:color="auto"/>
            </w:tcBorders>
            <w:shd w:val="clear" w:color="auto" w:fill="auto"/>
            <w:vAlign w:val="center"/>
            <w:hideMark/>
          </w:tcPr>
          <w:p w14:paraId="574E2F03"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2029</w:t>
            </w:r>
          </w:p>
        </w:tc>
        <w:tc>
          <w:tcPr>
            <w:tcW w:w="1410" w:type="dxa"/>
            <w:tcBorders>
              <w:top w:val="nil"/>
              <w:left w:val="nil"/>
              <w:bottom w:val="single" w:sz="4" w:space="0" w:color="auto"/>
              <w:right w:val="single" w:sz="4" w:space="0" w:color="auto"/>
            </w:tcBorders>
            <w:shd w:val="clear" w:color="auto" w:fill="auto"/>
            <w:vAlign w:val="center"/>
            <w:hideMark/>
          </w:tcPr>
          <w:p w14:paraId="574E2F04"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160,157,718</w:t>
            </w:r>
          </w:p>
        </w:tc>
        <w:tc>
          <w:tcPr>
            <w:tcW w:w="1530" w:type="dxa"/>
            <w:tcBorders>
              <w:top w:val="nil"/>
              <w:left w:val="nil"/>
              <w:bottom w:val="single" w:sz="4" w:space="0" w:color="auto"/>
              <w:right w:val="single" w:sz="4" w:space="0" w:color="auto"/>
            </w:tcBorders>
            <w:shd w:val="clear" w:color="auto" w:fill="auto"/>
            <w:vAlign w:val="center"/>
            <w:hideMark/>
          </w:tcPr>
          <w:p w14:paraId="574E2F05" w14:textId="77777777" w:rsidR="00E8745E" w:rsidRPr="00E83C5E" w:rsidRDefault="00E8745E" w:rsidP="00960B5E">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23,556,902</w:t>
            </w:r>
          </w:p>
        </w:tc>
        <w:tc>
          <w:tcPr>
            <w:tcW w:w="1216" w:type="dxa"/>
            <w:tcBorders>
              <w:top w:val="nil"/>
              <w:left w:val="nil"/>
              <w:bottom w:val="single" w:sz="4" w:space="0" w:color="auto"/>
              <w:right w:val="single" w:sz="4" w:space="0" w:color="auto"/>
            </w:tcBorders>
            <w:shd w:val="clear" w:color="auto" w:fill="auto"/>
            <w:vAlign w:val="center"/>
            <w:hideMark/>
          </w:tcPr>
          <w:p w14:paraId="574E2F06" w14:textId="77777777" w:rsidR="00E8745E" w:rsidRPr="00E83C5E" w:rsidRDefault="00E8745E" w:rsidP="00960B5E">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0</w:t>
            </w:r>
          </w:p>
        </w:tc>
        <w:tc>
          <w:tcPr>
            <w:tcW w:w="1414" w:type="dxa"/>
            <w:tcBorders>
              <w:top w:val="nil"/>
              <w:left w:val="nil"/>
              <w:bottom w:val="single" w:sz="4" w:space="0" w:color="auto"/>
              <w:right w:val="single" w:sz="4" w:space="0" w:color="auto"/>
            </w:tcBorders>
            <w:shd w:val="clear" w:color="auto" w:fill="auto"/>
            <w:vAlign w:val="center"/>
            <w:hideMark/>
          </w:tcPr>
          <w:p w14:paraId="574E2F07"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-136,600,816</w:t>
            </w:r>
          </w:p>
        </w:tc>
        <w:tc>
          <w:tcPr>
            <w:tcW w:w="1692" w:type="dxa"/>
            <w:tcBorders>
              <w:top w:val="nil"/>
              <w:left w:val="nil"/>
              <w:bottom w:val="single" w:sz="4" w:space="0" w:color="auto"/>
              <w:right w:val="single" w:sz="8" w:space="0" w:color="auto"/>
            </w:tcBorders>
            <w:shd w:val="clear" w:color="auto" w:fill="auto"/>
            <w:noWrap/>
            <w:vAlign w:val="center"/>
            <w:hideMark/>
          </w:tcPr>
          <w:p w14:paraId="574E2F08"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-1,128,932</w:t>
            </w:r>
          </w:p>
        </w:tc>
      </w:tr>
      <w:tr w:rsidR="00E8745E" w:rsidRPr="00E83C5E" w14:paraId="574E2F14" w14:textId="77777777" w:rsidTr="00E8745E">
        <w:trPr>
          <w:trHeight w:val="615"/>
        </w:trPr>
        <w:tc>
          <w:tcPr>
            <w:tcW w:w="413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74E2F0A" w14:textId="50EDE21D" w:rsidR="00E8745E" w:rsidRPr="00E83C5E" w:rsidRDefault="00E8745E" w:rsidP="00A83D87">
            <w:pPr>
              <w:spacing w:after="0" w:line="240" w:lineRule="auto"/>
              <w:rPr>
                <w:rFonts w:ascii="Garamond" w:eastAsia="Times New Roman" w:hAnsi="Garamond" w:cs="Times New Roman"/>
                <w:color w:val="000000"/>
                <w:sz w:val="18"/>
                <w:szCs w:val="18"/>
              </w:rPr>
            </w:pPr>
            <w:r w:rsidRPr="00E83C5E">
              <w:rPr>
                <w:rFonts w:ascii="Garamond" w:eastAsia="Times New Roman" w:hAnsi="Garamond" w:cs="Times New Roman"/>
                <w:b/>
                <w:bCs/>
                <w:color w:val="FF0000"/>
                <w:sz w:val="18"/>
                <w:szCs w:val="18"/>
              </w:rPr>
              <w:t xml:space="preserve">Kosto totale </w:t>
            </w:r>
            <w:r w:rsidR="00A83D87" w:rsidRPr="00E83C5E">
              <w:rPr>
                <w:rFonts w:ascii="Garamond" w:eastAsia="Times New Roman" w:hAnsi="Garamond" w:cs="Times New Roman"/>
                <w:b/>
                <w:bCs/>
                <w:color w:val="FF0000"/>
                <w:sz w:val="18"/>
                <w:szCs w:val="18"/>
              </w:rPr>
              <w:t xml:space="preserve">qëllimi i politikës </w:t>
            </w:r>
            <w:r w:rsidRPr="00E83C5E">
              <w:rPr>
                <w:rFonts w:ascii="Garamond" w:eastAsia="Times New Roman" w:hAnsi="Garamond" w:cs="Times New Roman"/>
                <w:b/>
                <w:bCs/>
                <w:color w:val="FF0000"/>
                <w:sz w:val="18"/>
                <w:szCs w:val="18"/>
              </w:rPr>
              <w:t xml:space="preserve">I </w:t>
            </w:r>
            <w:r w:rsidRPr="00E83C5E">
              <w:rPr>
                <w:rFonts w:ascii="Garamond" w:eastAsia="Times New Roman" w:hAnsi="Garamond" w:cs="Times New Roman"/>
                <w:color w:val="000000"/>
                <w:sz w:val="18"/>
                <w:szCs w:val="18"/>
              </w:rPr>
              <w:br/>
              <w:t>(objektiva specifik</w:t>
            </w:r>
            <w:r w:rsidR="00A83D87">
              <w:rPr>
                <w:rFonts w:ascii="Garamond" w:eastAsia="Times New Roman" w:hAnsi="Garamond" w:cs="Times New Roman"/>
                <w:color w:val="000000"/>
                <w:sz w:val="18"/>
                <w:szCs w:val="18"/>
              </w:rPr>
              <w:t>ë</w:t>
            </w:r>
            <w:r w:rsidRPr="00E83C5E">
              <w:rPr>
                <w:rFonts w:ascii="Garamond" w:eastAsia="Times New Roman" w:hAnsi="Garamond" w:cs="Times New Roman"/>
                <w:color w:val="000000"/>
                <w:sz w:val="18"/>
                <w:szCs w:val="18"/>
              </w:rPr>
              <w:t xml:space="preserve"> 1.1+1.2+1.3)</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14:paraId="574E2F0B" w14:textId="77777777" w:rsidR="00E8745E" w:rsidRPr="00E83C5E" w:rsidRDefault="00E8745E" w:rsidP="00960B5E">
            <w:pPr>
              <w:spacing w:after="0" w:line="240" w:lineRule="auto"/>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 </w:t>
            </w:r>
          </w:p>
        </w:tc>
        <w:tc>
          <w:tcPr>
            <w:tcW w:w="1602" w:type="dxa"/>
            <w:tcBorders>
              <w:top w:val="single" w:sz="4" w:space="0" w:color="auto"/>
              <w:left w:val="nil"/>
              <w:bottom w:val="single" w:sz="4" w:space="0" w:color="auto"/>
              <w:right w:val="single" w:sz="4" w:space="0" w:color="auto"/>
            </w:tcBorders>
            <w:shd w:val="clear" w:color="auto" w:fill="auto"/>
            <w:vAlign w:val="center"/>
            <w:hideMark/>
          </w:tcPr>
          <w:p w14:paraId="574E2F0C" w14:textId="77777777" w:rsidR="00E8745E" w:rsidRPr="00E83C5E" w:rsidRDefault="00E8745E" w:rsidP="00960B5E">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 </w:t>
            </w:r>
          </w:p>
        </w:tc>
        <w:tc>
          <w:tcPr>
            <w:tcW w:w="910" w:type="dxa"/>
            <w:tcBorders>
              <w:top w:val="single" w:sz="4" w:space="0" w:color="auto"/>
              <w:left w:val="nil"/>
              <w:bottom w:val="single" w:sz="4" w:space="0" w:color="auto"/>
              <w:right w:val="single" w:sz="4" w:space="0" w:color="auto"/>
            </w:tcBorders>
            <w:shd w:val="clear" w:color="auto" w:fill="auto"/>
            <w:noWrap/>
            <w:vAlign w:val="bottom"/>
            <w:hideMark/>
          </w:tcPr>
          <w:p w14:paraId="574E2F0D" w14:textId="77777777" w:rsidR="00E8745E" w:rsidRPr="00E83C5E" w:rsidRDefault="00E8745E" w:rsidP="00960B5E">
            <w:pPr>
              <w:spacing w:after="0" w:line="240" w:lineRule="auto"/>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 </w:t>
            </w:r>
          </w:p>
        </w:tc>
        <w:tc>
          <w:tcPr>
            <w:tcW w:w="1190" w:type="dxa"/>
            <w:tcBorders>
              <w:top w:val="single" w:sz="4" w:space="0" w:color="auto"/>
              <w:left w:val="nil"/>
              <w:bottom w:val="single" w:sz="4" w:space="0" w:color="auto"/>
              <w:right w:val="single" w:sz="4" w:space="0" w:color="auto"/>
            </w:tcBorders>
            <w:shd w:val="clear" w:color="auto" w:fill="auto"/>
            <w:noWrap/>
            <w:vAlign w:val="bottom"/>
            <w:hideMark/>
          </w:tcPr>
          <w:p w14:paraId="574E2F0E" w14:textId="77777777" w:rsidR="00E8745E" w:rsidRPr="00E83C5E" w:rsidRDefault="00E8745E" w:rsidP="00960B5E">
            <w:pPr>
              <w:spacing w:after="0" w:line="240" w:lineRule="auto"/>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 </w:t>
            </w:r>
          </w:p>
        </w:tc>
        <w:tc>
          <w:tcPr>
            <w:tcW w:w="1410" w:type="dxa"/>
            <w:tcBorders>
              <w:top w:val="single" w:sz="4" w:space="0" w:color="auto"/>
              <w:left w:val="nil"/>
              <w:bottom w:val="single" w:sz="4" w:space="0" w:color="auto"/>
              <w:right w:val="single" w:sz="4" w:space="0" w:color="auto"/>
            </w:tcBorders>
            <w:shd w:val="clear" w:color="auto" w:fill="auto"/>
            <w:noWrap/>
            <w:vAlign w:val="center"/>
            <w:hideMark/>
          </w:tcPr>
          <w:p w14:paraId="574E2F0F" w14:textId="77777777" w:rsidR="00E8745E" w:rsidRPr="00E83C5E" w:rsidRDefault="00E8745E" w:rsidP="00960B5E">
            <w:pPr>
              <w:spacing w:after="0" w:line="240" w:lineRule="auto"/>
              <w:jc w:val="center"/>
              <w:rPr>
                <w:rFonts w:ascii="Garamond" w:eastAsia="Times New Roman" w:hAnsi="Garamond" w:cs="Times New Roman"/>
                <w:b/>
                <w:bCs/>
                <w:color w:val="FF0000"/>
                <w:sz w:val="18"/>
                <w:szCs w:val="18"/>
              </w:rPr>
            </w:pPr>
            <w:r w:rsidRPr="00E83C5E">
              <w:rPr>
                <w:rFonts w:ascii="Garamond" w:eastAsia="Times New Roman" w:hAnsi="Garamond" w:cs="Times New Roman"/>
                <w:b/>
                <w:bCs/>
                <w:color w:val="FF0000"/>
                <w:sz w:val="18"/>
                <w:szCs w:val="18"/>
              </w:rPr>
              <w:t>2,039,206,661</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14:paraId="574E2F10" w14:textId="77777777" w:rsidR="00E8745E" w:rsidRPr="00E83C5E" w:rsidRDefault="00E8745E" w:rsidP="00960B5E">
            <w:pPr>
              <w:spacing w:after="0" w:line="240" w:lineRule="auto"/>
              <w:jc w:val="center"/>
              <w:rPr>
                <w:rFonts w:ascii="Garamond" w:eastAsia="Times New Roman" w:hAnsi="Garamond" w:cs="Times New Roman"/>
                <w:b/>
                <w:bCs/>
                <w:color w:val="FF0000"/>
                <w:sz w:val="18"/>
                <w:szCs w:val="18"/>
              </w:rPr>
            </w:pPr>
            <w:r w:rsidRPr="00E83C5E">
              <w:rPr>
                <w:rFonts w:ascii="Garamond" w:eastAsia="Times New Roman" w:hAnsi="Garamond" w:cs="Times New Roman"/>
                <w:b/>
                <w:bCs/>
                <w:color w:val="FF0000"/>
                <w:sz w:val="18"/>
                <w:szCs w:val="18"/>
              </w:rPr>
              <w:t>1,258,354,428</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14:paraId="574E2F11" w14:textId="77777777" w:rsidR="00E8745E" w:rsidRPr="00E83C5E" w:rsidRDefault="00E8745E" w:rsidP="00960B5E">
            <w:pPr>
              <w:spacing w:after="0" w:line="240" w:lineRule="auto"/>
              <w:jc w:val="center"/>
              <w:rPr>
                <w:rFonts w:ascii="Garamond" w:eastAsia="Times New Roman" w:hAnsi="Garamond" w:cs="Times New Roman"/>
                <w:b/>
                <w:bCs/>
                <w:color w:val="FF0000"/>
                <w:sz w:val="18"/>
                <w:szCs w:val="18"/>
              </w:rPr>
            </w:pPr>
            <w:r w:rsidRPr="00E83C5E">
              <w:rPr>
                <w:rFonts w:ascii="Garamond" w:eastAsia="Times New Roman" w:hAnsi="Garamond" w:cs="Times New Roman"/>
                <w:b/>
                <w:bCs/>
                <w:color w:val="FF0000"/>
                <w:sz w:val="18"/>
                <w:szCs w:val="18"/>
              </w:rPr>
              <w:t>116,290,000</w:t>
            </w:r>
          </w:p>
        </w:tc>
        <w:tc>
          <w:tcPr>
            <w:tcW w:w="1414" w:type="dxa"/>
            <w:tcBorders>
              <w:top w:val="single" w:sz="4" w:space="0" w:color="auto"/>
              <w:left w:val="nil"/>
              <w:bottom w:val="single" w:sz="4" w:space="0" w:color="auto"/>
              <w:right w:val="single" w:sz="4" w:space="0" w:color="auto"/>
            </w:tcBorders>
            <w:shd w:val="clear" w:color="auto" w:fill="auto"/>
            <w:noWrap/>
            <w:vAlign w:val="center"/>
            <w:hideMark/>
          </w:tcPr>
          <w:p w14:paraId="574E2F12" w14:textId="77777777" w:rsidR="00E8745E" w:rsidRPr="00E83C5E" w:rsidRDefault="00E8745E" w:rsidP="00960B5E">
            <w:pPr>
              <w:spacing w:after="0" w:line="240" w:lineRule="auto"/>
              <w:jc w:val="center"/>
              <w:rPr>
                <w:rFonts w:ascii="Garamond" w:eastAsia="Times New Roman" w:hAnsi="Garamond" w:cs="Times New Roman"/>
                <w:b/>
                <w:bCs/>
                <w:color w:val="FF0000"/>
                <w:sz w:val="18"/>
                <w:szCs w:val="18"/>
              </w:rPr>
            </w:pPr>
            <w:r w:rsidRPr="00E83C5E">
              <w:rPr>
                <w:rFonts w:ascii="Garamond" w:eastAsia="Times New Roman" w:hAnsi="Garamond" w:cs="Times New Roman"/>
                <w:b/>
                <w:bCs/>
                <w:color w:val="FF0000"/>
                <w:sz w:val="18"/>
                <w:szCs w:val="18"/>
              </w:rPr>
              <w:t>-664,562,233</w:t>
            </w:r>
          </w:p>
        </w:tc>
        <w:tc>
          <w:tcPr>
            <w:tcW w:w="1692" w:type="dxa"/>
            <w:tcBorders>
              <w:top w:val="single" w:sz="4" w:space="0" w:color="auto"/>
              <w:left w:val="nil"/>
              <w:bottom w:val="single" w:sz="4" w:space="0" w:color="auto"/>
              <w:right w:val="single" w:sz="4" w:space="0" w:color="auto"/>
            </w:tcBorders>
            <w:shd w:val="clear" w:color="auto" w:fill="auto"/>
            <w:noWrap/>
            <w:vAlign w:val="center"/>
            <w:hideMark/>
          </w:tcPr>
          <w:p w14:paraId="574E2F13" w14:textId="77777777"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-5,492,250</w:t>
            </w:r>
          </w:p>
        </w:tc>
      </w:tr>
    </w:tbl>
    <w:p w14:paraId="574E2F15" w14:textId="77777777" w:rsidR="00E8745E" w:rsidRPr="00E83C5E" w:rsidRDefault="00E8745E" w:rsidP="00951336">
      <w:pPr>
        <w:pStyle w:val="TEKSTIII"/>
      </w:pPr>
    </w:p>
    <w:p w14:paraId="574E2F16" w14:textId="77777777" w:rsidR="00951336" w:rsidRPr="00E83C5E" w:rsidRDefault="00951336" w:rsidP="007D4822">
      <w:pPr>
        <w:pStyle w:val="TEKSTIII"/>
      </w:pPr>
    </w:p>
    <w:p w14:paraId="574E2F17" w14:textId="77777777" w:rsidR="00E8745E" w:rsidRPr="00E83C5E" w:rsidRDefault="00E8745E" w:rsidP="007D4822">
      <w:pPr>
        <w:pStyle w:val="TEKSTIII"/>
      </w:pPr>
    </w:p>
    <w:p w14:paraId="574E2F18" w14:textId="77777777" w:rsidR="00E8745E" w:rsidRPr="00E83C5E" w:rsidRDefault="00E8745E" w:rsidP="007D4822">
      <w:pPr>
        <w:pStyle w:val="TEKSTIII"/>
      </w:pPr>
    </w:p>
    <w:p w14:paraId="574E2F19" w14:textId="77777777" w:rsidR="00E8745E" w:rsidRPr="00E83C5E" w:rsidRDefault="00E8745E" w:rsidP="007D4822">
      <w:pPr>
        <w:pStyle w:val="TEKSTIII"/>
      </w:pPr>
    </w:p>
    <w:p w14:paraId="574E2F1A" w14:textId="77777777" w:rsidR="00E8745E" w:rsidRPr="00E83C5E" w:rsidRDefault="00E8745E" w:rsidP="007D4822">
      <w:pPr>
        <w:pStyle w:val="TEKSTIII"/>
      </w:pPr>
    </w:p>
    <w:tbl>
      <w:tblPr>
        <w:tblW w:w="16299" w:type="dxa"/>
        <w:jc w:val="center"/>
        <w:tblLook w:val="04A0" w:firstRow="1" w:lastRow="0" w:firstColumn="1" w:lastColumn="0" w:noHBand="0" w:noVBand="1"/>
      </w:tblPr>
      <w:tblGrid>
        <w:gridCol w:w="4135"/>
        <w:gridCol w:w="1278"/>
        <w:gridCol w:w="1602"/>
        <w:gridCol w:w="910"/>
        <w:gridCol w:w="1190"/>
        <w:gridCol w:w="1410"/>
        <w:gridCol w:w="1530"/>
        <w:gridCol w:w="1216"/>
        <w:gridCol w:w="1414"/>
        <w:gridCol w:w="1614"/>
      </w:tblGrid>
      <w:tr w:rsidR="00E8745E" w:rsidRPr="00E83C5E" w14:paraId="574E2F1D" w14:textId="77777777" w:rsidTr="00E8745E">
        <w:trPr>
          <w:trHeight w:val="733"/>
          <w:jc w:val="center"/>
        </w:trPr>
        <w:tc>
          <w:tcPr>
            <w:tcW w:w="4135" w:type="dxa"/>
            <w:tcBorders>
              <w:top w:val="single" w:sz="8" w:space="0" w:color="auto"/>
              <w:left w:val="single" w:sz="8" w:space="0" w:color="auto"/>
              <w:bottom w:val="single" w:sz="8" w:space="0" w:color="auto"/>
              <w:right w:val="nil"/>
            </w:tcBorders>
            <w:shd w:val="clear" w:color="auto" w:fill="auto"/>
            <w:vAlign w:val="bottom"/>
            <w:hideMark/>
          </w:tcPr>
          <w:p w14:paraId="574E2F1B" w14:textId="57ECFD31" w:rsidR="00E8745E" w:rsidRPr="00E83C5E" w:rsidRDefault="00E8745E" w:rsidP="00A83D87">
            <w:pPr>
              <w:spacing w:after="0" w:line="240" w:lineRule="auto"/>
              <w:rPr>
                <w:rFonts w:ascii="Garamond" w:eastAsia="Times New Roman" w:hAnsi="Garamond" w:cs="Times New Roman"/>
                <w:b/>
                <w:bCs/>
                <w:color w:val="0070C0"/>
                <w:sz w:val="18"/>
                <w:szCs w:val="18"/>
              </w:rPr>
            </w:pPr>
            <w:r w:rsidRPr="00E83C5E">
              <w:rPr>
                <w:rFonts w:ascii="Garamond" w:eastAsia="Times New Roman" w:hAnsi="Garamond" w:cs="Times New Roman"/>
                <w:b/>
                <w:bCs/>
                <w:color w:val="0070C0"/>
                <w:sz w:val="18"/>
                <w:szCs w:val="18"/>
              </w:rPr>
              <w:lastRenderedPageBreak/>
              <w:t xml:space="preserve">Qëllimi i </w:t>
            </w:r>
            <w:r w:rsidR="00A83D87">
              <w:rPr>
                <w:rFonts w:ascii="Garamond" w:eastAsia="Times New Roman" w:hAnsi="Garamond" w:cs="Times New Roman"/>
                <w:b/>
                <w:bCs/>
                <w:color w:val="0070C0"/>
                <w:sz w:val="18"/>
                <w:szCs w:val="18"/>
              </w:rPr>
              <w:t>p</w:t>
            </w:r>
            <w:r w:rsidRPr="00E83C5E">
              <w:rPr>
                <w:rFonts w:ascii="Garamond" w:eastAsia="Times New Roman" w:hAnsi="Garamond" w:cs="Times New Roman"/>
                <w:b/>
                <w:bCs/>
                <w:color w:val="0070C0"/>
                <w:sz w:val="18"/>
                <w:szCs w:val="18"/>
              </w:rPr>
              <w:t>olitikës II</w:t>
            </w:r>
          </w:p>
        </w:tc>
        <w:tc>
          <w:tcPr>
            <w:tcW w:w="12164" w:type="dxa"/>
            <w:gridSpan w:val="9"/>
            <w:tcBorders>
              <w:top w:val="single" w:sz="8" w:space="0" w:color="auto"/>
              <w:left w:val="single" w:sz="8" w:space="0" w:color="auto"/>
              <w:bottom w:val="single" w:sz="8" w:space="0" w:color="auto"/>
              <w:right w:val="single" w:sz="8" w:space="0" w:color="auto"/>
            </w:tcBorders>
            <w:shd w:val="clear" w:color="auto" w:fill="auto"/>
            <w:vAlign w:val="bottom"/>
            <w:hideMark/>
          </w:tcPr>
          <w:p w14:paraId="574E2F1C" w14:textId="173D483E" w:rsidR="00E8745E" w:rsidRPr="00E83C5E" w:rsidRDefault="00E8745E" w:rsidP="00444B63">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b/>
                <w:bCs/>
                <w:color w:val="0070C0"/>
                <w:sz w:val="18"/>
                <w:szCs w:val="18"/>
              </w:rPr>
              <w:t>Edukimi, autonomia, drejtësia si barazi (equity) dhe novacioni</w:t>
            </w:r>
            <w:r w:rsidRPr="00E83C5E">
              <w:rPr>
                <w:rFonts w:ascii="Garamond" w:eastAsia="Times New Roman" w:hAnsi="Garamond" w:cs="Times New Roman"/>
                <w:b/>
                <w:bCs/>
                <w:color w:val="0070C0"/>
                <w:sz w:val="18"/>
                <w:szCs w:val="18"/>
              </w:rPr>
              <w:br/>
              <w:t>Rritja e aftësive dhe profesionalizmit të të rejave dhe të rinjve përmes edukimit cilësor, mbështetur nga shërbimet e këshillimit për punësim dhe orientimit në karrierë me prirje nga të rinjtë; rritja dhe përmirësimi i mundësive për të hyrë në tregun e punës në bazë të shanseve të drejta dhe të barabarta për të arritur potencialin e plotë rinor</w:t>
            </w:r>
            <w:r w:rsidR="00233C37" w:rsidRPr="00E83C5E">
              <w:rPr>
                <w:rFonts w:ascii="Garamond" w:eastAsia="Times New Roman" w:hAnsi="Garamond" w:cs="Times New Roman"/>
                <w:b/>
                <w:bCs/>
                <w:color w:val="0070C0"/>
                <w:sz w:val="18"/>
                <w:szCs w:val="18"/>
              </w:rPr>
              <w:t xml:space="preserve"> </w:t>
            </w:r>
          </w:p>
        </w:tc>
      </w:tr>
      <w:tr w:rsidR="00E8745E" w:rsidRPr="00E83C5E" w14:paraId="574E2F25" w14:textId="77777777" w:rsidTr="00E8745E">
        <w:trPr>
          <w:trHeight w:val="330"/>
          <w:jc w:val="center"/>
        </w:trPr>
        <w:tc>
          <w:tcPr>
            <w:tcW w:w="4135" w:type="dxa"/>
            <w:vMerge w:val="restart"/>
            <w:tcBorders>
              <w:top w:val="nil"/>
              <w:left w:val="single" w:sz="8" w:space="0" w:color="auto"/>
              <w:bottom w:val="nil"/>
              <w:right w:val="single" w:sz="8" w:space="0" w:color="auto"/>
            </w:tcBorders>
            <w:shd w:val="clear" w:color="auto" w:fill="auto"/>
            <w:vAlign w:val="center"/>
            <w:hideMark/>
          </w:tcPr>
          <w:p w14:paraId="574E2F1E" w14:textId="1D265A4A" w:rsidR="00E8745E" w:rsidRPr="00E83C5E" w:rsidRDefault="00E8745E" w:rsidP="00A83D87">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Objektivi </w:t>
            </w:r>
            <w:r w:rsidR="00A83D87">
              <w:rPr>
                <w:rFonts w:ascii="Garamond" w:eastAsia="Times New Roman" w:hAnsi="Garamond" w:cs="Times New Roman"/>
                <w:b/>
                <w:bCs/>
                <w:color w:val="000000"/>
                <w:sz w:val="18"/>
                <w:szCs w:val="18"/>
              </w:rPr>
              <w:t>s</w:t>
            </w:r>
            <w:r w:rsidRPr="00E83C5E">
              <w:rPr>
                <w:rFonts w:ascii="Garamond" w:eastAsia="Times New Roman" w:hAnsi="Garamond" w:cs="Times New Roman"/>
                <w:b/>
                <w:bCs/>
                <w:color w:val="000000"/>
                <w:sz w:val="18"/>
                <w:szCs w:val="18"/>
              </w:rPr>
              <w:t>pecifik</w:t>
            </w:r>
          </w:p>
        </w:tc>
        <w:tc>
          <w:tcPr>
            <w:tcW w:w="2880" w:type="dxa"/>
            <w:gridSpan w:val="2"/>
            <w:tcBorders>
              <w:top w:val="nil"/>
              <w:left w:val="nil"/>
              <w:bottom w:val="single" w:sz="4" w:space="0" w:color="auto"/>
              <w:right w:val="single" w:sz="8" w:space="0" w:color="000000"/>
            </w:tcBorders>
            <w:shd w:val="clear" w:color="auto" w:fill="auto"/>
            <w:vAlign w:val="center"/>
            <w:hideMark/>
          </w:tcPr>
          <w:p w14:paraId="574E2F1F"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Institucionet përgjegjëse </w:t>
            </w:r>
          </w:p>
        </w:tc>
        <w:tc>
          <w:tcPr>
            <w:tcW w:w="2100" w:type="dxa"/>
            <w:gridSpan w:val="2"/>
            <w:tcBorders>
              <w:top w:val="nil"/>
              <w:left w:val="nil"/>
              <w:bottom w:val="single" w:sz="4" w:space="0" w:color="auto"/>
              <w:right w:val="single" w:sz="8" w:space="0" w:color="000000"/>
            </w:tcBorders>
            <w:shd w:val="clear" w:color="auto" w:fill="auto"/>
            <w:vAlign w:val="center"/>
            <w:hideMark/>
          </w:tcPr>
          <w:p w14:paraId="574E2F20"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Afati i zbatimit </w:t>
            </w:r>
          </w:p>
        </w:tc>
        <w:tc>
          <w:tcPr>
            <w:tcW w:w="1410" w:type="dxa"/>
            <w:tcBorders>
              <w:top w:val="nil"/>
              <w:left w:val="nil"/>
              <w:bottom w:val="nil"/>
              <w:right w:val="single" w:sz="8" w:space="0" w:color="auto"/>
            </w:tcBorders>
            <w:shd w:val="clear" w:color="auto" w:fill="auto"/>
            <w:vAlign w:val="center"/>
            <w:hideMark/>
          </w:tcPr>
          <w:p w14:paraId="574E2F21" w14:textId="4F3BA00A" w:rsidR="00E8745E" w:rsidRPr="00E83C5E" w:rsidRDefault="00E8745E" w:rsidP="00A83D87">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Kosto </w:t>
            </w:r>
            <w:r w:rsidR="00A83D87">
              <w:rPr>
                <w:rFonts w:ascii="Garamond" w:eastAsia="Times New Roman" w:hAnsi="Garamond" w:cs="Times New Roman"/>
                <w:b/>
                <w:bCs/>
                <w:color w:val="000000"/>
                <w:sz w:val="18"/>
                <w:szCs w:val="18"/>
              </w:rPr>
              <w:t>t</w:t>
            </w:r>
            <w:r w:rsidRPr="00E83C5E">
              <w:rPr>
                <w:rFonts w:ascii="Garamond" w:eastAsia="Times New Roman" w:hAnsi="Garamond" w:cs="Times New Roman"/>
                <w:b/>
                <w:bCs/>
                <w:color w:val="000000"/>
                <w:sz w:val="18"/>
                <w:szCs w:val="18"/>
              </w:rPr>
              <w:t>otale</w:t>
            </w:r>
          </w:p>
        </w:tc>
        <w:tc>
          <w:tcPr>
            <w:tcW w:w="2746" w:type="dxa"/>
            <w:gridSpan w:val="2"/>
            <w:tcBorders>
              <w:top w:val="nil"/>
              <w:left w:val="nil"/>
              <w:bottom w:val="single" w:sz="8" w:space="0" w:color="auto"/>
              <w:right w:val="nil"/>
            </w:tcBorders>
            <w:shd w:val="clear" w:color="auto" w:fill="auto"/>
            <w:vAlign w:val="center"/>
            <w:hideMark/>
          </w:tcPr>
          <w:p w14:paraId="574E2F22" w14:textId="3C06FA28"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Burimi i mbulimit deri n</w:t>
            </w:r>
            <w:r w:rsidR="00960B5E" w:rsidRPr="00E83C5E">
              <w:rPr>
                <w:rFonts w:ascii="Garamond" w:eastAsia="Times New Roman" w:hAnsi="Garamond" w:cs="Times New Roman"/>
                <w:b/>
                <w:bCs/>
                <w:color w:val="000000"/>
                <w:sz w:val="18"/>
                <w:szCs w:val="18"/>
              </w:rPr>
              <w:t>ë</w:t>
            </w:r>
            <w:r w:rsidRPr="00E83C5E">
              <w:rPr>
                <w:rFonts w:ascii="Garamond" w:eastAsia="Times New Roman" w:hAnsi="Garamond" w:cs="Times New Roman"/>
                <w:b/>
                <w:bCs/>
                <w:color w:val="000000"/>
                <w:sz w:val="18"/>
                <w:szCs w:val="18"/>
              </w:rPr>
              <w:t xml:space="preserve"> 2029</w:t>
            </w:r>
          </w:p>
        </w:tc>
        <w:tc>
          <w:tcPr>
            <w:tcW w:w="1414" w:type="dxa"/>
            <w:tcBorders>
              <w:top w:val="nil"/>
              <w:left w:val="single" w:sz="8" w:space="0" w:color="auto"/>
              <w:bottom w:val="nil"/>
              <w:right w:val="single" w:sz="8" w:space="0" w:color="auto"/>
            </w:tcBorders>
            <w:shd w:val="clear" w:color="auto" w:fill="auto"/>
            <w:vAlign w:val="center"/>
            <w:hideMark/>
          </w:tcPr>
          <w:p w14:paraId="574E2F23" w14:textId="77777777" w:rsidR="00E8745E" w:rsidRPr="00E83C5E" w:rsidRDefault="00E8745E" w:rsidP="00444B63">
            <w:pPr>
              <w:spacing w:after="0" w:line="240" w:lineRule="auto"/>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w:t>
            </w:r>
          </w:p>
        </w:tc>
        <w:tc>
          <w:tcPr>
            <w:tcW w:w="1614" w:type="dxa"/>
            <w:tcBorders>
              <w:top w:val="nil"/>
              <w:left w:val="nil"/>
              <w:bottom w:val="nil"/>
              <w:right w:val="single" w:sz="8" w:space="0" w:color="auto"/>
            </w:tcBorders>
            <w:shd w:val="clear" w:color="auto" w:fill="auto"/>
            <w:noWrap/>
            <w:vAlign w:val="center"/>
            <w:hideMark/>
          </w:tcPr>
          <w:p w14:paraId="574E2F24" w14:textId="77777777" w:rsidR="00E8745E" w:rsidRPr="00E83C5E" w:rsidRDefault="00E8745E" w:rsidP="00444B63">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 </w:t>
            </w:r>
          </w:p>
        </w:tc>
      </w:tr>
      <w:tr w:rsidR="00E8745E" w:rsidRPr="00E83C5E" w14:paraId="574E2F30" w14:textId="77777777" w:rsidTr="00E8745E">
        <w:trPr>
          <w:trHeight w:val="517"/>
          <w:jc w:val="center"/>
        </w:trPr>
        <w:tc>
          <w:tcPr>
            <w:tcW w:w="4135" w:type="dxa"/>
            <w:vMerge/>
            <w:tcBorders>
              <w:top w:val="nil"/>
              <w:left w:val="single" w:sz="8" w:space="0" w:color="auto"/>
              <w:bottom w:val="nil"/>
              <w:right w:val="single" w:sz="8" w:space="0" w:color="auto"/>
            </w:tcBorders>
            <w:vAlign w:val="center"/>
            <w:hideMark/>
          </w:tcPr>
          <w:p w14:paraId="574E2F26" w14:textId="77777777" w:rsidR="00E8745E" w:rsidRPr="00E83C5E" w:rsidRDefault="00E8745E" w:rsidP="00444B63">
            <w:pPr>
              <w:spacing w:after="0" w:line="240" w:lineRule="auto"/>
              <w:rPr>
                <w:rFonts w:ascii="Garamond" w:eastAsia="Times New Roman" w:hAnsi="Garamond" w:cs="Times New Roman"/>
                <w:b/>
                <w:bCs/>
                <w:color w:val="000000"/>
                <w:sz w:val="18"/>
                <w:szCs w:val="18"/>
              </w:rPr>
            </w:pPr>
          </w:p>
        </w:tc>
        <w:tc>
          <w:tcPr>
            <w:tcW w:w="1278" w:type="dxa"/>
            <w:tcBorders>
              <w:top w:val="nil"/>
              <w:left w:val="nil"/>
              <w:bottom w:val="nil"/>
              <w:right w:val="single" w:sz="4" w:space="0" w:color="auto"/>
            </w:tcBorders>
            <w:shd w:val="clear" w:color="auto" w:fill="auto"/>
            <w:vAlign w:val="center"/>
            <w:hideMark/>
          </w:tcPr>
          <w:p w14:paraId="574E2F27"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Institucioni drejtues</w:t>
            </w:r>
          </w:p>
        </w:tc>
        <w:tc>
          <w:tcPr>
            <w:tcW w:w="1602" w:type="dxa"/>
            <w:tcBorders>
              <w:top w:val="nil"/>
              <w:left w:val="nil"/>
              <w:bottom w:val="nil"/>
              <w:right w:val="single" w:sz="4" w:space="0" w:color="auto"/>
            </w:tcBorders>
            <w:shd w:val="clear" w:color="auto" w:fill="auto"/>
            <w:vAlign w:val="center"/>
            <w:hideMark/>
          </w:tcPr>
          <w:p w14:paraId="574E2F28" w14:textId="53B0468F"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Institucionet </w:t>
            </w:r>
            <w:r w:rsidR="00A83D87" w:rsidRPr="00E83C5E">
              <w:rPr>
                <w:rFonts w:ascii="Garamond" w:eastAsia="Times New Roman" w:hAnsi="Garamond" w:cs="Times New Roman"/>
                <w:b/>
                <w:bCs/>
                <w:color w:val="000000"/>
                <w:sz w:val="18"/>
                <w:szCs w:val="18"/>
              </w:rPr>
              <w:t>pjesëmarrëse</w:t>
            </w:r>
          </w:p>
        </w:tc>
        <w:tc>
          <w:tcPr>
            <w:tcW w:w="910" w:type="dxa"/>
            <w:tcBorders>
              <w:top w:val="nil"/>
              <w:left w:val="single" w:sz="8" w:space="0" w:color="auto"/>
              <w:bottom w:val="nil"/>
              <w:right w:val="single" w:sz="4" w:space="0" w:color="auto"/>
            </w:tcBorders>
            <w:shd w:val="clear" w:color="auto" w:fill="auto"/>
            <w:vAlign w:val="center"/>
            <w:hideMark/>
          </w:tcPr>
          <w:p w14:paraId="574E2F29"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Data e fillimit</w:t>
            </w:r>
          </w:p>
        </w:tc>
        <w:tc>
          <w:tcPr>
            <w:tcW w:w="1190" w:type="dxa"/>
            <w:tcBorders>
              <w:top w:val="nil"/>
              <w:left w:val="nil"/>
              <w:bottom w:val="nil"/>
              <w:right w:val="single" w:sz="8" w:space="0" w:color="auto"/>
            </w:tcBorders>
            <w:shd w:val="clear" w:color="auto" w:fill="auto"/>
            <w:vAlign w:val="center"/>
            <w:hideMark/>
          </w:tcPr>
          <w:p w14:paraId="574E2F2A"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Data e mbarimit</w:t>
            </w:r>
          </w:p>
        </w:tc>
        <w:tc>
          <w:tcPr>
            <w:tcW w:w="1410" w:type="dxa"/>
            <w:tcBorders>
              <w:top w:val="nil"/>
              <w:left w:val="nil"/>
              <w:bottom w:val="nil"/>
              <w:right w:val="single" w:sz="8" w:space="0" w:color="auto"/>
            </w:tcBorders>
            <w:vAlign w:val="center"/>
            <w:hideMark/>
          </w:tcPr>
          <w:p w14:paraId="574E2F2B" w14:textId="77777777" w:rsidR="00E8745E" w:rsidRPr="00E83C5E" w:rsidRDefault="00E8745E" w:rsidP="00444B63">
            <w:pPr>
              <w:spacing w:after="0" w:line="240" w:lineRule="auto"/>
              <w:rPr>
                <w:rFonts w:ascii="Garamond" w:eastAsia="Times New Roman" w:hAnsi="Garamond" w:cs="Times New Roman"/>
                <w:b/>
                <w:bCs/>
                <w:color w:val="000000"/>
                <w:sz w:val="18"/>
                <w:szCs w:val="18"/>
              </w:rPr>
            </w:pPr>
          </w:p>
        </w:tc>
        <w:tc>
          <w:tcPr>
            <w:tcW w:w="1530" w:type="dxa"/>
            <w:tcBorders>
              <w:top w:val="single" w:sz="8" w:space="0" w:color="auto"/>
              <w:left w:val="nil"/>
              <w:bottom w:val="single" w:sz="8" w:space="0" w:color="auto"/>
              <w:right w:val="single" w:sz="8" w:space="0" w:color="auto"/>
            </w:tcBorders>
            <w:shd w:val="clear" w:color="auto" w:fill="auto"/>
            <w:vAlign w:val="center"/>
            <w:hideMark/>
          </w:tcPr>
          <w:p w14:paraId="574E2F2C"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Buxheti i Shtetit</w:t>
            </w:r>
          </w:p>
        </w:tc>
        <w:tc>
          <w:tcPr>
            <w:tcW w:w="1216" w:type="dxa"/>
            <w:tcBorders>
              <w:top w:val="single" w:sz="8" w:space="0" w:color="auto"/>
              <w:left w:val="nil"/>
              <w:bottom w:val="single" w:sz="8" w:space="0" w:color="auto"/>
              <w:right w:val="nil"/>
            </w:tcBorders>
            <w:shd w:val="clear" w:color="auto" w:fill="auto"/>
            <w:vAlign w:val="center"/>
            <w:hideMark/>
          </w:tcPr>
          <w:p w14:paraId="574E2F2D" w14:textId="34AB0B18" w:rsidR="00E8745E" w:rsidRPr="00E83C5E" w:rsidRDefault="00E8745E" w:rsidP="00A83D87">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Fondet e </w:t>
            </w:r>
            <w:r w:rsidR="00A83D87">
              <w:rPr>
                <w:rFonts w:ascii="Garamond" w:eastAsia="Times New Roman" w:hAnsi="Garamond" w:cs="Times New Roman"/>
                <w:b/>
                <w:bCs/>
                <w:color w:val="000000"/>
                <w:sz w:val="18"/>
                <w:szCs w:val="18"/>
              </w:rPr>
              <w:t>d</w:t>
            </w:r>
            <w:r w:rsidRPr="00E83C5E">
              <w:rPr>
                <w:rFonts w:ascii="Garamond" w:eastAsia="Times New Roman" w:hAnsi="Garamond" w:cs="Times New Roman"/>
                <w:b/>
                <w:bCs/>
                <w:color w:val="000000"/>
                <w:sz w:val="18"/>
                <w:szCs w:val="18"/>
              </w:rPr>
              <w:t>onatorëve</w:t>
            </w:r>
          </w:p>
        </w:tc>
        <w:tc>
          <w:tcPr>
            <w:tcW w:w="141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74E2F2E" w14:textId="237C92AE" w:rsidR="00E8745E" w:rsidRPr="00E83C5E" w:rsidRDefault="00E8745E" w:rsidP="00A83D87">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Hendeku financiar</w:t>
            </w:r>
            <w:r w:rsidRPr="00E83C5E">
              <w:rPr>
                <w:rFonts w:ascii="Garamond" w:eastAsia="Times New Roman" w:hAnsi="Garamond" w:cs="Times New Roman"/>
                <w:b/>
                <w:bCs/>
                <w:color w:val="000000"/>
                <w:sz w:val="18"/>
                <w:szCs w:val="18"/>
              </w:rPr>
              <w:br/>
              <w:t>2022-2029</w:t>
            </w:r>
            <w:r w:rsidRPr="00E83C5E">
              <w:rPr>
                <w:rFonts w:ascii="Garamond" w:eastAsia="Times New Roman" w:hAnsi="Garamond" w:cs="Times New Roman"/>
                <w:b/>
                <w:bCs/>
                <w:color w:val="000000"/>
                <w:sz w:val="18"/>
                <w:szCs w:val="18"/>
              </w:rPr>
              <w:br/>
              <w:t xml:space="preserve">(në </w:t>
            </w:r>
            <w:r w:rsidR="00A83D87">
              <w:rPr>
                <w:rFonts w:ascii="Garamond" w:eastAsia="Times New Roman" w:hAnsi="Garamond" w:cs="Times New Roman"/>
                <w:b/>
                <w:bCs/>
                <w:color w:val="000000"/>
                <w:sz w:val="18"/>
                <w:szCs w:val="18"/>
              </w:rPr>
              <w:t>l</w:t>
            </w:r>
            <w:r w:rsidRPr="00E83C5E">
              <w:rPr>
                <w:rFonts w:ascii="Garamond" w:eastAsia="Times New Roman" w:hAnsi="Garamond" w:cs="Times New Roman"/>
                <w:b/>
                <w:bCs/>
                <w:color w:val="000000"/>
                <w:sz w:val="18"/>
                <w:szCs w:val="18"/>
              </w:rPr>
              <w:t>ekë)</w:t>
            </w:r>
          </w:p>
        </w:tc>
        <w:tc>
          <w:tcPr>
            <w:tcW w:w="1614" w:type="dxa"/>
            <w:tcBorders>
              <w:top w:val="nil"/>
              <w:left w:val="nil"/>
              <w:bottom w:val="nil"/>
              <w:right w:val="single" w:sz="8" w:space="0" w:color="auto"/>
            </w:tcBorders>
            <w:shd w:val="clear" w:color="auto" w:fill="auto"/>
            <w:vAlign w:val="center"/>
            <w:hideMark/>
          </w:tcPr>
          <w:p w14:paraId="574E2F2F"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Financing Gap EUR</w:t>
            </w:r>
            <w:r w:rsidRPr="00E83C5E">
              <w:rPr>
                <w:rFonts w:ascii="Garamond" w:eastAsia="Times New Roman" w:hAnsi="Garamond" w:cs="Times New Roman"/>
                <w:b/>
                <w:bCs/>
                <w:color w:val="000000"/>
                <w:sz w:val="18"/>
                <w:szCs w:val="18"/>
              </w:rPr>
              <w:br/>
              <w:t>(kursi kembimit: 1 EUR = 121 ALL)</w:t>
            </w:r>
          </w:p>
        </w:tc>
      </w:tr>
      <w:tr w:rsidR="00E8745E" w:rsidRPr="00E83C5E" w14:paraId="574E2F3B" w14:textId="77777777" w:rsidTr="00E8745E">
        <w:trPr>
          <w:trHeight w:val="166"/>
          <w:jc w:val="center"/>
        </w:trPr>
        <w:tc>
          <w:tcPr>
            <w:tcW w:w="4135" w:type="dxa"/>
            <w:tcBorders>
              <w:top w:val="nil"/>
              <w:left w:val="single" w:sz="8" w:space="0" w:color="auto"/>
              <w:bottom w:val="nil"/>
              <w:right w:val="nil"/>
            </w:tcBorders>
            <w:shd w:val="clear" w:color="auto" w:fill="auto"/>
            <w:vAlign w:val="center"/>
            <w:hideMark/>
          </w:tcPr>
          <w:p w14:paraId="574E2F31"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w:t>
            </w:r>
          </w:p>
        </w:tc>
        <w:tc>
          <w:tcPr>
            <w:tcW w:w="1278" w:type="dxa"/>
            <w:tcBorders>
              <w:top w:val="single" w:sz="4" w:space="0" w:color="auto"/>
              <w:left w:val="single" w:sz="8" w:space="0" w:color="auto"/>
              <w:bottom w:val="single" w:sz="8" w:space="0" w:color="auto"/>
              <w:right w:val="single" w:sz="4" w:space="0" w:color="auto"/>
            </w:tcBorders>
            <w:shd w:val="clear" w:color="auto" w:fill="auto"/>
            <w:vAlign w:val="center"/>
            <w:hideMark/>
          </w:tcPr>
          <w:p w14:paraId="574E2F32" w14:textId="77777777" w:rsidR="00E8745E" w:rsidRPr="00E83C5E" w:rsidRDefault="00E8745E" w:rsidP="00444B63">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 </w:t>
            </w:r>
          </w:p>
        </w:tc>
        <w:tc>
          <w:tcPr>
            <w:tcW w:w="1602" w:type="dxa"/>
            <w:tcBorders>
              <w:top w:val="single" w:sz="4" w:space="0" w:color="auto"/>
              <w:left w:val="nil"/>
              <w:bottom w:val="single" w:sz="8" w:space="0" w:color="auto"/>
              <w:right w:val="single" w:sz="4" w:space="0" w:color="auto"/>
            </w:tcBorders>
            <w:shd w:val="clear" w:color="auto" w:fill="auto"/>
            <w:vAlign w:val="center"/>
            <w:hideMark/>
          </w:tcPr>
          <w:p w14:paraId="574E2F33" w14:textId="77777777" w:rsidR="00E8745E" w:rsidRPr="00E83C5E" w:rsidRDefault="00E8745E" w:rsidP="00444B63">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 </w:t>
            </w:r>
          </w:p>
        </w:tc>
        <w:tc>
          <w:tcPr>
            <w:tcW w:w="910" w:type="dxa"/>
            <w:tcBorders>
              <w:top w:val="single" w:sz="4" w:space="0" w:color="auto"/>
              <w:left w:val="nil"/>
              <w:bottom w:val="single" w:sz="8" w:space="0" w:color="auto"/>
              <w:right w:val="single" w:sz="4" w:space="0" w:color="auto"/>
            </w:tcBorders>
            <w:shd w:val="clear" w:color="auto" w:fill="auto"/>
            <w:vAlign w:val="center"/>
            <w:hideMark/>
          </w:tcPr>
          <w:p w14:paraId="574E2F34"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w:t>
            </w:r>
          </w:p>
        </w:tc>
        <w:tc>
          <w:tcPr>
            <w:tcW w:w="1190" w:type="dxa"/>
            <w:tcBorders>
              <w:top w:val="single" w:sz="4" w:space="0" w:color="auto"/>
              <w:left w:val="nil"/>
              <w:bottom w:val="single" w:sz="8" w:space="0" w:color="auto"/>
              <w:right w:val="single" w:sz="4" w:space="0" w:color="auto"/>
            </w:tcBorders>
            <w:shd w:val="clear" w:color="auto" w:fill="auto"/>
            <w:vAlign w:val="center"/>
            <w:hideMark/>
          </w:tcPr>
          <w:p w14:paraId="574E2F35"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w:t>
            </w:r>
          </w:p>
        </w:tc>
        <w:tc>
          <w:tcPr>
            <w:tcW w:w="1410" w:type="dxa"/>
            <w:tcBorders>
              <w:top w:val="nil"/>
              <w:left w:val="nil"/>
              <w:bottom w:val="single" w:sz="8" w:space="0" w:color="auto"/>
              <w:right w:val="single" w:sz="8" w:space="0" w:color="auto"/>
            </w:tcBorders>
            <w:shd w:val="clear" w:color="auto" w:fill="auto"/>
            <w:vAlign w:val="center"/>
            <w:hideMark/>
          </w:tcPr>
          <w:p w14:paraId="574E2F36" w14:textId="36D153DD" w:rsidR="00E8745E" w:rsidRPr="00E83C5E" w:rsidRDefault="00E8745E" w:rsidP="00A83D87">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Total </w:t>
            </w:r>
            <w:r w:rsidR="00A83D87">
              <w:rPr>
                <w:rFonts w:ascii="Garamond" w:eastAsia="Times New Roman" w:hAnsi="Garamond" w:cs="Times New Roman"/>
                <w:b/>
                <w:bCs/>
                <w:color w:val="000000"/>
                <w:sz w:val="18"/>
                <w:szCs w:val="18"/>
              </w:rPr>
              <w:t>k</w:t>
            </w:r>
            <w:r w:rsidRPr="00E83C5E">
              <w:rPr>
                <w:rFonts w:ascii="Garamond" w:eastAsia="Times New Roman" w:hAnsi="Garamond" w:cs="Times New Roman"/>
                <w:b/>
                <w:bCs/>
                <w:color w:val="000000"/>
                <w:sz w:val="18"/>
                <w:szCs w:val="18"/>
              </w:rPr>
              <w:t>osto</w:t>
            </w:r>
          </w:p>
        </w:tc>
        <w:tc>
          <w:tcPr>
            <w:tcW w:w="1530" w:type="dxa"/>
            <w:tcBorders>
              <w:top w:val="nil"/>
              <w:left w:val="nil"/>
              <w:bottom w:val="single" w:sz="8" w:space="0" w:color="auto"/>
              <w:right w:val="single" w:sz="8" w:space="0" w:color="auto"/>
            </w:tcBorders>
            <w:shd w:val="clear" w:color="auto" w:fill="auto"/>
            <w:vAlign w:val="center"/>
            <w:hideMark/>
          </w:tcPr>
          <w:p w14:paraId="574E2F37"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Total BSH</w:t>
            </w:r>
          </w:p>
        </w:tc>
        <w:tc>
          <w:tcPr>
            <w:tcW w:w="1216" w:type="dxa"/>
            <w:tcBorders>
              <w:top w:val="nil"/>
              <w:left w:val="nil"/>
              <w:bottom w:val="single" w:sz="8" w:space="0" w:color="auto"/>
              <w:right w:val="single" w:sz="8" w:space="0" w:color="auto"/>
            </w:tcBorders>
            <w:shd w:val="clear" w:color="auto" w:fill="auto"/>
            <w:vAlign w:val="center"/>
            <w:hideMark/>
          </w:tcPr>
          <w:p w14:paraId="574E2F38"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Total FH</w:t>
            </w:r>
          </w:p>
        </w:tc>
        <w:tc>
          <w:tcPr>
            <w:tcW w:w="1414" w:type="dxa"/>
            <w:vMerge/>
            <w:tcBorders>
              <w:top w:val="single" w:sz="8" w:space="0" w:color="auto"/>
              <w:left w:val="single" w:sz="8" w:space="0" w:color="auto"/>
              <w:bottom w:val="single" w:sz="8" w:space="0" w:color="000000"/>
              <w:right w:val="single" w:sz="8" w:space="0" w:color="auto"/>
            </w:tcBorders>
            <w:vAlign w:val="center"/>
            <w:hideMark/>
          </w:tcPr>
          <w:p w14:paraId="574E2F39" w14:textId="77777777" w:rsidR="00E8745E" w:rsidRPr="00E83C5E" w:rsidRDefault="00E8745E" w:rsidP="00444B63">
            <w:pPr>
              <w:spacing w:after="0" w:line="240" w:lineRule="auto"/>
              <w:rPr>
                <w:rFonts w:ascii="Garamond" w:eastAsia="Times New Roman" w:hAnsi="Garamond" w:cs="Times New Roman"/>
                <w:b/>
                <w:bCs/>
                <w:color w:val="000000"/>
                <w:sz w:val="18"/>
                <w:szCs w:val="18"/>
              </w:rPr>
            </w:pPr>
          </w:p>
        </w:tc>
        <w:tc>
          <w:tcPr>
            <w:tcW w:w="1614" w:type="dxa"/>
            <w:tcBorders>
              <w:top w:val="nil"/>
              <w:left w:val="nil"/>
              <w:bottom w:val="nil"/>
              <w:right w:val="single" w:sz="8" w:space="0" w:color="auto"/>
            </w:tcBorders>
            <w:shd w:val="clear" w:color="auto" w:fill="auto"/>
            <w:vAlign w:val="center"/>
            <w:hideMark/>
          </w:tcPr>
          <w:p w14:paraId="574E2F3A"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w:t>
            </w:r>
          </w:p>
        </w:tc>
      </w:tr>
      <w:tr w:rsidR="00E8745E" w:rsidRPr="00E83C5E" w14:paraId="574E2F46" w14:textId="77777777" w:rsidTr="00E8745E">
        <w:trPr>
          <w:trHeight w:val="994"/>
          <w:jc w:val="center"/>
        </w:trPr>
        <w:tc>
          <w:tcPr>
            <w:tcW w:w="4135"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574E2F3C" w14:textId="3CF692DC" w:rsidR="00E8745E" w:rsidRPr="00E83C5E" w:rsidRDefault="00E8745E" w:rsidP="00A83D87">
            <w:pPr>
              <w:spacing w:after="0" w:line="240" w:lineRule="auto"/>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Objektivi </w:t>
            </w:r>
            <w:r w:rsidR="00A83D87">
              <w:rPr>
                <w:rFonts w:ascii="Garamond" w:eastAsia="Times New Roman" w:hAnsi="Garamond" w:cs="Times New Roman"/>
                <w:b/>
                <w:bCs/>
                <w:color w:val="000000"/>
                <w:sz w:val="18"/>
                <w:szCs w:val="18"/>
              </w:rPr>
              <w:t>s</w:t>
            </w:r>
            <w:r w:rsidRPr="00E83C5E">
              <w:rPr>
                <w:rFonts w:ascii="Garamond" w:eastAsia="Times New Roman" w:hAnsi="Garamond" w:cs="Times New Roman"/>
                <w:b/>
                <w:bCs/>
                <w:color w:val="000000"/>
                <w:sz w:val="18"/>
                <w:szCs w:val="18"/>
              </w:rPr>
              <w:t>pecifik 1</w:t>
            </w:r>
            <w:r w:rsidR="00A83D87">
              <w:rPr>
                <w:rFonts w:ascii="Garamond" w:eastAsia="Times New Roman" w:hAnsi="Garamond" w:cs="Times New Roman"/>
                <w:b/>
                <w:bCs/>
                <w:color w:val="000000"/>
                <w:sz w:val="18"/>
                <w:szCs w:val="18"/>
              </w:rPr>
              <w:t>:</w:t>
            </w:r>
            <w:r w:rsidRPr="00E83C5E">
              <w:rPr>
                <w:rFonts w:ascii="Garamond" w:eastAsia="Times New Roman" w:hAnsi="Garamond" w:cs="Times New Roman"/>
                <w:b/>
                <w:bCs/>
                <w:color w:val="000000"/>
                <w:sz w:val="18"/>
                <w:szCs w:val="18"/>
              </w:rPr>
              <w:t xml:space="preserve"> Të rinjtë janë të aftësuar, të mirinformuar në lidhje me mundësitë për punësim dhe në gjendje të bëjnë zgjedhje autonome kur i bashkohen popullsisë ekonomikisht aktive</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14:paraId="574E2F3D" w14:textId="77777777" w:rsidR="00E8745E" w:rsidRPr="00E83C5E" w:rsidRDefault="00E8745E" w:rsidP="00444B63">
            <w:pPr>
              <w:spacing w:after="0" w:line="240" w:lineRule="auto"/>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MSHRF, MFE, AKPA</w:t>
            </w:r>
          </w:p>
        </w:tc>
        <w:tc>
          <w:tcPr>
            <w:tcW w:w="1602" w:type="dxa"/>
            <w:tcBorders>
              <w:top w:val="single" w:sz="4" w:space="0" w:color="auto"/>
              <w:left w:val="nil"/>
              <w:bottom w:val="single" w:sz="4" w:space="0" w:color="auto"/>
              <w:right w:val="single" w:sz="4" w:space="0" w:color="auto"/>
            </w:tcBorders>
            <w:shd w:val="clear" w:color="auto" w:fill="auto"/>
            <w:vAlign w:val="center"/>
            <w:hideMark/>
          </w:tcPr>
          <w:p w14:paraId="574E2F3E" w14:textId="77777777" w:rsidR="00E8745E" w:rsidRPr="00E83C5E" w:rsidRDefault="00E8745E" w:rsidP="00444B63">
            <w:pPr>
              <w:spacing w:after="0" w:line="240" w:lineRule="auto"/>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MAS, MiSHMS, AKR, MAS, RASH, Njësitë e Qeverishes Vendore, MIE</w:t>
            </w:r>
          </w:p>
        </w:tc>
        <w:tc>
          <w:tcPr>
            <w:tcW w:w="910" w:type="dxa"/>
            <w:tcBorders>
              <w:top w:val="single" w:sz="4" w:space="0" w:color="auto"/>
              <w:left w:val="nil"/>
              <w:bottom w:val="single" w:sz="4" w:space="0" w:color="auto"/>
              <w:right w:val="single" w:sz="4" w:space="0" w:color="auto"/>
            </w:tcBorders>
            <w:shd w:val="clear" w:color="auto" w:fill="auto"/>
            <w:vAlign w:val="center"/>
            <w:hideMark/>
          </w:tcPr>
          <w:p w14:paraId="574E2F3F"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2022</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574E2F40"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2029</w:t>
            </w:r>
          </w:p>
        </w:tc>
        <w:tc>
          <w:tcPr>
            <w:tcW w:w="1410" w:type="dxa"/>
            <w:tcBorders>
              <w:top w:val="single" w:sz="4" w:space="0" w:color="auto"/>
              <w:left w:val="nil"/>
              <w:bottom w:val="single" w:sz="4" w:space="0" w:color="auto"/>
              <w:right w:val="single" w:sz="4" w:space="0" w:color="auto"/>
            </w:tcBorders>
            <w:shd w:val="clear" w:color="auto" w:fill="auto"/>
            <w:vAlign w:val="center"/>
            <w:hideMark/>
          </w:tcPr>
          <w:p w14:paraId="574E2F41"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2,283,870,421</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574E2F42" w14:textId="77777777" w:rsidR="00E8745E" w:rsidRPr="00E83C5E" w:rsidRDefault="00E8745E" w:rsidP="00444B63">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1,686,515,139</w:t>
            </w:r>
          </w:p>
        </w:tc>
        <w:tc>
          <w:tcPr>
            <w:tcW w:w="1216" w:type="dxa"/>
            <w:tcBorders>
              <w:top w:val="single" w:sz="4" w:space="0" w:color="auto"/>
              <w:left w:val="nil"/>
              <w:bottom w:val="single" w:sz="4" w:space="0" w:color="auto"/>
              <w:right w:val="single" w:sz="4" w:space="0" w:color="auto"/>
            </w:tcBorders>
            <w:shd w:val="clear" w:color="auto" w:fill="auto"/>
            <w:vAlign w:val="center"/>
            <w:hideMark/>
          </w:tcPr>
          <w:p w14:paraId="574E2F43" w14:textId="77777777" w:rsidR="00E8745E" w:rsidRPr="00E83C5E" w:rsidRDefault="00E8745E" w:rsidP="00444B63">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435,000,000</w:t>
            </w:r>
          </w:p>
        </w:tc>
        <w:tc>
          <w:tcPr>
            <w:tcW w:w="1414" w:type="dxa"/>
            <w:tcBorders>
              <w:top w:val="single" w:sz="4" w:space="0" w:color="auto"/>
              <w:left w:val="nil"/>
              <w:bottom w:val="single" w:sz="4" w:space="0" w:color="auto"/>
              <w:right w:val="single" w:sz="4" w:space="0" w:color="auto"/>
            </w:tcBorders>
            <w:shd w:val="clear" w:color="auto" w:fill="auto"/>
            <w:vAlign w:val="center"/>
            <w:hideMark/>
          </w:tcPr>
          <w:p w14:paraId="574E2F44"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-162,355,282</w:t>
            </w:r>
          </w:p>
        </w:tc>
        <w:tc>
          <w:tcPr>
            <w:tcW w:w="1614" w:type="dxa"/>
            <w:tcBorders>
              <w:top w:val="single" w:sz="4" w:space="0" w:color="auto"/>
              <w:left w:val="nil"/>
              <w:bottom w:val="single" w:sz="4" w:space="0" w:color="auto"/>
              <w:right w:val="single" w:sz="8" w:space="0" w:color="auto"/>
            </w:tcBorders>
            <w:shd w:val="clear" w:color="auto" w:fill="auto"/>
            <w:noWrap/>
            <w:vAlign w:val="center"/>
            <w:hideMark/>
          </w:tcPr>
          <w:p w14:paraId="574E2F45"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-1,341,779</w:t>
            </w:r>
          </w:p>
        </w:tc>
      </w:tr>
      <w:tr w:rsidR="00E8745E" w:rsidRPr="00E83C5E" w14:paraId="574E2F51" w14:textId="77777777" w:rsidTr="00E8745E">
        <w:trPr>
          <w:trHeight w:val="1427"/>
          <w:jc w:val="center"/>
        </w:trPr>
        <w:tc>
          <w:tcPr>
            <w:tcW w:w="4135" w:type="dxa"/>
            <w:tcBorders>
              <w:top w:val="nil"/>
              <w:left w:val="single" w:sz="8" w:space="0" w:color="auto"/>
              <w:bottom w:val="single" w:sz="4" w:space="0" w:color="auto"/>
              <w:right w:val="single" w:sz="4" w:space="0" w:color="auto"/>
            </w:tcBorders>
            <w:shd w:val="clear" w:color="auto" w:fill="auto"/>
            <w:hideMark/>
          </w:tcPr>
          <w:p w14:paraId="574E2F47" w14:textId="5F28A7EC" w:rsidR="00E8745E" w:rsidRPr="00E83C5E" w:rsidRDefault="00E8745E" w:rsidP="00A83D87">
            <w:pPr>
              <w:spacing w:after="0" w:line="240" w:lineRule="auto"/>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2.2 Objektivi </w:t>
            </w:r>
            <w:r w:rsidR="00A83D87">
              <w:rPr>
                <w:rFonts w:ascii="Garamond" w:eastAsia="Times New Roman" w:hAnsi="Garamond" w:cs="Times New Roman"/>
                <w:b/>
                <w:bCs/>
                <w:color w:val="000000"/>
                <w:sz w:val="18"/>
                <w:szCs w:val="18"/>
              </w:rPr>
              <w:t>s</w:t>
            </w:r>
            <w:r w:rsidRPr="00E83C5E">
              <w:rPr>
                <w:rFonts w:ascii="Garamond" w:eastAsia="Times New Roman" w:hAnsi="Garamond" w:cs="Times New Roman"/>
                <w:b/>
                <w:bCs/>
                <w:color w:val="000000"/>
                <w:sz w:val="18"/>
                <w:szCs w:val="18"/>
              </w:rPr>
              <w:t>pecifik 2: Të rinjtë janë të informuar mirë për mundësitë arsimore të lidhura me tregun e punës dhe</w:t>
            </w:r>
            <w:r w:rsidR="00233C37" w:rsidRPr="00E83C5E">
              <w:rPr>
                <w:rFonts w:ascii="Garamond" w:eastAsia="Times New Roman" w:hAnsi="Garamond" w:cs="Times New Roman"/>
                <w:b/>
                <w:bCs/>
                <w:color w:val="000000"/>
                <w:sz w:val="18"/>
                <w:szCs w:val="18"/>
              </w:rPr>
              <w:t xml:space="preserve"> </w:t>
            </w:r>
            <w:r w:rsidRPr="00E83C5E">
              <w:rPr>
                <w:rFonts w:ascii="Garamond" w:eastAsia="Times New Roman" w:hAnsi="Garamond" w:cs="Times New Roman"/>
                <w:b/>
                <w:bCs/>
                <w:color w:val="000000"/>
                <w:sz w:val="18"/>
                <w:szCs w:val="18"/>
              </w:rPr>
              <w:t>ju mundësohet i mësuari cilësor si në arsimin formal ashtu edhe në atë joformal duke kontribuar në zhvillimin e</w:t>
            </w:r>
            <w:r w:rsidR="00233C37" w:rsidRPr="00E83C5E">
              <w:rPr>
                <w:rFonts w:ascii="Garamond" w:eastAsia="Times New Roman" w:hAnsi="Garamond" w:cs="Times New Roman"/>
                <w:b/>
                <w:bCs/>
                <w:color w:val="000000"/>
                <w:sz w:val="18"/>
                <w:szCs w:val="18"/>
              </w:rPr>
              <w:t xml:space="preserve"> </w:t>
            </w:r>
            <w:r w:rsidRPr="00E83C5E">
              <w:rPr>
                <w:rFonts w:ascii="Garamond" w:eastAsia="Times New Roman" w:hAnsi="Garamond" w:cs="Times New Roman"/>
                <w:b/>
                <w:bCs/>
                <w:color w:val="000000"/>
                <w:sz w:val="18"/>
                <w:szCs w:val="18"/>
              </w:rPr>
              <w:t>kompetencave, aftësive dhe virtyteve të tyre.</w:t>
            </w:r>
          </w:p>
        </w:tc>
        <w:tc>
          <w:tcPr>
            <w:tcW w:w="1278" w:type="dxa"/>
            <w:tcBorders>
              <w:top w:val="single" w:sz="4" w:space="0" w:color="auto"/>
              <w:left w:val="nil"/>
              <w:bottom w:val="single" w:sz="4" w:space="0" w:color="auto"/>
              <w:right w:val="single" w:sz="4" w:space="0" w:color="auto"/>
            </w:tcBorders>
            <w:shd w:val="clear" w:color="auto" w:fill="auto"/>
            <w:vAlign w:val="bottom"/>
            <w:hideMark/>
          </w:tcPr>
          <w:p w14:paraId="574E2F48" w14:textId="77777777" w:rsidR="00E8745E" w:rsidRPr="00E83C5E" w:rsidRDefault="00E8745E" w:rsidP="00444B63">
            <w:pPr>
              <w:spacing w:after="0" w:line="240" w:lineRule="auto"/>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MSHRF, MAS, AKR</w:t>
            </w:r>
            <w:r w:rsidRPr="00E83C5E">
              <w:rPr>
                <w:rFonts w:ascii="Garamond" w:eastAsia="Times New Roman" w:hAnsi="Garamond" w:cs="Times New Roman"/>
                <w:color w:val="000000"/>
                <w:sz w:val="18"/>
                <w:szCs w:val="18"/>
              </w:rPr>
              <w:br/>
            </w:r>
          </w:p>
        </w:tc>
        <w:tc>
          <w:tcPr>
            <w:tcW w:w="1602" w:type="dxa"/>
            <w:tcBorders>
              <w:top w:val="single" w:sz="4" w:space="0" w:color="auto"/>
              <w:left w:val="single" w:sz="4" w:space="0" w:color="auto"/>
              <w:bottom w:val="single" w:sz="4" w:space="0" w:color="auto"/>
              <w:right w:val="nil"/>
            </w:tcBorders>
            <w:shd w:val="clear" w:color="auto" w:fill="auto"/>
            <w:vAlign w:val="bottom"/>
            <w:hideMark/>
          </w:tcPr>
          <w:p w14:paraId="574E2F49" w14:textId="77777777" w:rsidR="00E8745E" w:rsidRPr="00E83C5E" w:rsidRDefault="00E8745E" w:rsidP="00444B63">
            <w:pPr>
              <w:spacing w:after="0" w:line="240" w:lineRule="auto"/>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MFE, AKPA, AKSHI, RASH, AKCESK</w:t>
            </w:r>
          </w:p>
        </w:tc>
        <w:tc>
          <w:tcPr>
            <w:tcW w:w="910" w:type="dxa"/>
            <w:tcBorders>
              <w:top w:val="nil"/>
              <w:left w:val="single" w:sz="4" w:space="0" w:color="auto"/>
              <w:bottom w:val="single" w:sz="4" w:space="0" w:color="auto"/>
              <w:right w:val="single" w:sz="4" w:space="0" w:color="auto"/>
            </w:tcBorders>
            <w:shd w:val="clear" w:color="auto" w:fill="auto"/>
            <w:vAlign w:val="center"/>
            <w:hideMark/>
          </w:tcPr>
          <w:p w14:paraId="574E2F4A"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2023</w:t>
            </w:r>
          </w:p>
        </w:tc>
        <w:tc>
          <w:tcPr>
            <w:tcW w:w="1190" w:type="dxa"/>
            <w:tcBorders>
              <w:top w:val="nil"/>
              <w:left w:val="nil"/>
              <w:bottom w:val="single" w:sz="4" w:space="0" w:color="auto"/>
              <w:right w:val="single" w:sz="4" w:space="0" w:color="auto"/>
            </w:tcBorders>
            <w:shd w:val="clear" w:color="auto" w:fill="auto"/>
            <w:vAlign w:val="center"/>
            <w:hideMark/>
          </w:tcPr>
          <w:p w14:paraId="574E2F4B"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2029</w:t>
            </w:r>
          </w:p>
        </w:tc>
        <w:tc>
          <w:tcPr>
            <w:tcW w:w="1410" w:type="dxa"/>
            <w:tcBorders>
              <w:top w:val="nil"/>
              <w:left w:val="nil"/>
              <w:bottom w:val="single" w:sz="4" w:space="0" w:color="auto"/>
              <w:right w:val="single" w:sz="4" w:space="0" w:color="auto"/>
            </w:tcBorders>
            <w:shd w:val="clear" w:color="auto" w:fill="auto"/>
            <w:vAlign w:val="center"/>
            <w:hideMark/>
          </w:tcPr>
          <w:p w14:paraId="574E2F4C"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826,935,027</w:t>
            </w:r>
          </w:p>
        </w:tc>
        <w:tc>
          <w:tcPr>
            <w:tcW w:w="1530" w:type="dxa"/>
            <w:tcBorders>
              <w:top w:val="nil"/>
              <w:left w:val="nil"/>
              <w:bottom w:val="single" w:sz="4" w:space="0" w:color="auto"/>
              <w:right w:val="single" w:sz="4" w:space="0" w:color="auto"/>
            </w:tcBorders>
            <w:shd w:val="clear" w:color="auto" w:fill="auto"/>
            <w:vAlign w:val="center"/>
            <w:hideMark/>
          </w:tcPr>
          <w:p w14:paraId="574E2F4D" w14:textId="77777777" w:rsidR="00E8745E" w:rsidRPr="00E83C5E" w:rsidRDefault="00E8745E" w:rsidP="00444B63">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792,489,027</w:t>
            </w:r>
          </w:p>
        </w:tc>
        <w:tc>
          <w:tcPr>
            <w:tcW w:w="1216" w:type="dxa"/>
            <w:tcBorders>
              <w:top w:val="nil"/>
              <w:left w:val="nil"/>
              <w:bottom w:val="single" w:sz="4" w:space="0" w:color="auto"/>
              <w:right w:val="single" w:sz="4" w:space="0" w:color="auto"/>
            </w:tcBorders>
            <w:shd w:val="clear" w:color="auto" w:fill="auto"/>
            <w:vAlign w:val="center"/>
            <w:hideMark/>
          </w:tcPr>
          <w:p w14:paraId="574E2F4E" w14:textId="77777777" w:rsidR="00E8745E" w:rsidRPr="00E83C5E" w:rsidRDefault="00E8745E" w:rsidP="00444B63">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14,000,000</w:t>
            </w:r>
          </w:p>
        </w:tc>
        <w:tc>
          <w:tcPr>
            <w:tcW w:w="1414" w:type="dxa"/>
            <w:tcBorders>
              <w:top w:val="nil"/>
              <w:left w:val="nil"/>
              <w:bottom w:val="single" w:sz="4" w:space="0" w:color="auto"/>
              <w:right w:val="single" w:sz="4" w:space="0" w:color="auto"/>
            </w:tcBorders>
            <w:shd w:val="clear" w:color="auto" w:fill="auto"/>
            <w:vAlign w:val="center"/>
            <w:hideMark/>
          </w:tcPr>
          <w:p w14:paraId="574E2F4F"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-20,446,000</w:t>
            </w:r>
          </w:p>
        </w:tc>
        <w:tc>
          <w:tcPr>
            <w:tcW w:w="1614" w:type="dxa"/>
            <w:tcBorders>
              <w:top w:val="nil"/>
              <w:left w:val="nil"/>
              <w:bottom w:val="single" w:sz="4" w:space="0" w:color="auto"/>
              <w:right w:val="single" w:sz="8" w:space="0" w:color="auto"/>
            </w:tcBorders>
            <w:shd w:val="clear" w:color="auto" w:fill="auto"/>
            <w:noWrap/>
            <w:vAlign w:val="center"/>
            <w:hideMark/>
          </w:tcPr>
          <w:p w14:paraId="574E2F50"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-168,975</w:t>
            </w:r>
          </w:p>
        </w:tc>
      </w:tr>
      <w:tr w:rsidR="00E8745E" w:rsidRPr="00E83C5E" w14:paraId="574E2F5C" w14:textId="77777777" w:rsidTr="00E8745E">
        <w:trPr>
          <w:trHeight w:val="617"/>
          <w:jc w:val="center"/>
        </w:trPr>
        <w:tc>
          <w:tcPr>
            <w:tcW w:w="4135" w:type="dxa"/>
            <w:tcBorders>
              <w:top w:val="nil"/>
              <w:left w:val="single" w:sz="8" w:space="0" w:color="auto"/>
              <w:bottom w:val="single" w:sz="4" w:space="0" w:color="auto"/>
              <w:right w:val="single" w:sz="4" w:space="0" w:color="auto"/>
            </w:tcBorders>
            <w:shd w:val="clear" w:color="auto" w:fill="auto"/>
            <w:hideMark/>
          </w:tcPr>
          <w:p w14:paraId="574E2F52" w14:textId="2BBC554E" w:rsidR="00E8745E" w:rsidRPr="00E83C5E" w:rsidRDefault="00E8745E" w:rsidP="00A83D87">
            <w:pPr>
              <w:spacing w:after="0" w:line="240" w:lineRule="auto"/>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2.3 Objektivi </w:t>
            </w:r>
            <w:r w:rsidR="00A83D87">
              <w:rPr>
                <w:rFonts w:ascii="Garamond" w:eastAsia="Times New Roman" w:hAnsi="Garamond" w:cs="Times New Roman"/>
                <w:b/>
                <w:bCs/>
                <w:color w:val="000000"/>
                <w:sz w:val="18"/>
                <w:szCs w:val="18"/>
              </w:rPr>
              <w:t>s</w:t>
            </w:r>
            <w:r w:rsidRPr="00E83C5E">
              <w:rPr>
                <w:rFonts w:ascii="Garamond" w:eastAsia="Times New Roman" w:hAnsi="Garamond" w:cs="Times New Roman"/>
                <w:b/>
                <w:bCs/>
                <w:color w:val="000000"/>
                <w:sz w:val="18"/>
                <w:szCs w:val="18"/>
              </w:rPr>
              <w:t>pecifik 3: Të rinjtë, në të gjitha kushtet dhe situatat,</w:t>
            </w:r>
            <w:r w:rsidR="00233C37" w:rsidRPr="00E83C5E">
              <w:rPr>
                <w:rFonts w:ascii="Garamond" w:eastAsia="Times New Roman" w:hAnsi="Garamond" w:cs="Times New Roman"/>
                <w:b/>
                <w:bCs/>
                <w:color w:val="000000"/>
                <w:sz w:val="18"/>
                <w:szCs w:val="18"/>
              </w:rPr>
              <w:t xml:space="preserve"> </w:t>
            </w:r>
            <w:r w:rsidRPr="00E83C5E">
              <w:rPr>
                <w:rFonts w:ascii="Garamond" w:eastAsia="Times New Roman" w:hAnsi="Garamond" w:cs="Times New Roman"/>
                <w:b/>
                <w:bCs/>
                <w:color w:val="000000"/>
                <w:sz w:val="18"/>
                <w:szCs w:val="18"/>
              </w:rPr>
              <w:t>përfaqësojnë një fokus të veçantë në aftësim, punësim, sipërmarrje dhe politika punësimi që ofrojnë një shumëllojshmëri të modaliteteve specifike rinore për rritjen e mbështetjes për ta në tranzicionin nga sistemi arsimor drejt tregut të punës dhe moshës madhore.</w:t>
            </w:r>
          </w:p>
        </w:tc>
        <w:tc>
          <w:tcPr>
            <w:tcW w:w="1278" w:type="dxa"/>
            <w:tcBorders>
              <w:top w:val="single" w:sz="4" w:space="0" w:color="auto"/>
              <w:left w:val="nil"/>
              <w:bottom w:val="single" w:sz="4" w:space="0" w:color="auto"/>
              <w:right w:val="single" w:sz="4" w:space="0" w:color="auto"/>
            </w:tcBorders>
            <w:shd w:val="clear" w:color="auto" w:fill="auto"/>
            <w:vAlign w:val="bottom"/>
            <w:hideMark/>
          </w:tcPr>
          <w:p w14:paraId="574E2F53" w14:textId="77777777" w:rsidR="00E8745E" w:rsidRPr="00E83C5E" w:rsidRDefault="00E8745E" w:rsidP="00444B63">
            <w:pPr>
              <w:spacing w:after="0" w:line="240" w:lineRule="auto"/>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MSHR, MFE, MAS</w:t>
            </w:r>
          </w:p>
        </w:tc>
        <w:tc>
          <w:tcPr>
            <w:tcW w:w="1602" w:type="dxa"/>
            <w:tcBorders>
              <w:top w:val="single" w:sz="4" w:space="0" w:color="auto"/>
              <w:left w:val="single" w:sz="4" w:space="0" w:color="auto"/>
              <w:bottom w:val="single" w:sz="4" w:space="0" w:color="auto"/>
              <w:right w:val="nil"/>
            </w:tcBorders>
            <w:shd w:val="clear" w:color="auto" w:fill="auto"/>
            <w:vAlign w:val="bottom"/>
            <w:hideMark/>
          </w:tcPr>
          <w:p w14:paraId="574E2F54" w14:textId="77777777" w:rsidR="00E8745E" w:rsidRPr="00E83C5E" w:rsidRDefault="00E8745E" w:rsidP="00444B63">
            <w:pPr>
              <w:spacing w:after="0" w:line="240" w:lineRule="auto"/>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br/>
              <w:t>MiSHMS, AKR, AKPA, AKAPFK</w:t>
            </w:r>
          </w:p>
        </w:tc>
        <w:tc>
          <w:tcPr>
            <w:tcW w:w="910" w:type="dxa"/>
            <w:tcBorders>
              <w:top w:val="nil"/>
              <w:left w:val="single" w:sz="4" w:space="0" w:color="auto"/>
              <w:bottom w:val="single" w:sz="4" w:space="0" w:color="auto"/>
              <w:right w:val="single" w:sz="4" w:space="0" w:color="auto"/>
            </w:tcBorders>
            <w:shd w:val="clear" w:color="auto" w:fill="auto"/>
            <w:vAlign w:val="center"/>
            <w:hideMark/>
          </w:tcPr>
          <w:p w14:paraId="574E2F55"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2023</w:t>
            </w:r>
          </w:p>
        </w:tc>
        <w:tc>
          <w:tcPr>
            <w:tcW w:w="1190" w:type="dxa"/>
            <w:tcBorders>
              <w:top w:val="nil"/>
              <w:left w:val="nil"/>
              <w:bottom w:val="single" w:sz="4" w:space="0" w:color="auto"/>
              <w:right w:val="single" w:sz="4" w:space="0" w:color="auto"/>
            </w:tcBorders>
            <w:shd w:val="clear" w:color="auto" w:fill="auto"/>
            <w:vAlign w:val="center"/>
            <w:hideMark/>
          </w:tcPr>
          <w:p w14:paraId="574E2F56"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2029</w:t>
            </w:r>
          </w:p>
        </w:tc>
        <w:tc>
          <w:tcPr>
            <w:tcW w:w="1410" w:type="dxa"/>
            <w:tcBorders>
              <w:top w:val="nil"/>
              <w:left w:val="nil"/>
              <w:bottom w:val="single" w:sz="4" w:space="0" w:color="auto"/>
              <w:right w:val="single" w:sz="4" w:space="0" w:color="auto"/>
            </w:tcBorders>
            <w:shd w:val="clear" w:color="auto" w:fill="auto"/>
            <w:vAlign w:val="center"/>
            <w:hideMark/>
          </w:tcPr>
          <w:p w14:paraId="574E2F57"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46,539,280</w:t>
            </w:r>
          </w:p>
        </w:tc>
        <w:tc>
          <w:tcPr>
            <w:tcW w:w="1530" w:type="dxa"/>
            <w:tcBorders>
              <w:top w:val="nil"/>
              <w:left w:val="nil"/>
              <w:bottom w:val="single" w:sz="4" w:space="0" w:color="auto"/>
              <w:right w:val="single" w:sz="4" w:space="0" w:color="auto"/>
            </w:tcBorders>
            <w:shd w:val="clear" w:color="auto" w:fill="auto"/>
            <w:vAlign w:val="center"/>
            <w:hideMark/>
          </w:tcPr>
          <w:p w14:paraId="574E2F58" w14:textId="77777777" w:rsidR="00E8745E" w:rsidRPr="00E83C5E" w:rsidRDefault="00E8745E" w:rsidP="00444B63">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13,021,312</w:t>
            </w:r>
          </w:p>
        </w:tc>
        <w:tc>
          <w:tcPr>
            <w:tcW w:w="1216" w:type="dxa"/>
            <w:tcBorders>
              <w:top w:val="nil"/>
              <w:left w:val="nil"/>
              <w:bottom w:val="single" w:sz="4" w:space="0" w:color="auto"/>
              <w:right w:val="single" w:sz="4" w:space="0" w:color="auto"/>
            </w:tcBorders>
            <w:shd w:val="clear" w:color="auto" w:fill="auto"/>
            <w:vAlign w:val="center"/>
            <w:hideMark/>
          </w:tcPr>
          <w:p w14:paraId="574E2F59" w14:textId="77777777" w:rsidR="00E8745E" w:rsidRPr="00E83C5E" w:rsidRDefault="00E8745E" w:rsidP="00444B63">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3,000,000</w:t>
            </w:r>
          </w:p>
        </w:tc>
        <w:tc>
          <w:tcPr>
            <w:tcW w:w="1414" w:type="dxa"/>
            <w:tcBorders>
              <w:top w:val="nil"/>
              <w:left w:val="nil"/>
              <w:bottom w:val="single" w:sz="4" w:space="0" w:color="auto"/>
              <w:right w:val="single" w:sz="4" w:space="0" w:color="auto"/>
            </w:tcBorders>
            <w:shd w:val="clear" w:color="auto" w:fill="auto"/>
            <w:vAlign w:val="center"/>
            <w:hideMark/>
          </w:tcPr>
          <w:p w14:paraId="574E2F5A"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-30,517,968</w:t>
            </w:r>
          </w:p>
        </w:tc>
        <w:tc>
          <w:tcPr>
            <w:tcW w:w="1614" w:type="dxa"/>
            <w:tcBorders>
              <w:top w:val="nil"/>
              <w:left w:val="nil"/>
              <w:bottom w:val="single" w:sz="4" w:space="0" w:color="auto"/>
              <w:right w:val="single" w:sz="8" w:space="0" w:color="auto"/>
            </w:tcBorders>
            <w:shd w:val="clear" w:color="auto" w:fill="auto"/>
            <w:noWrap/>
            <w:vAlign w:val="center"/>
            <w:hideMark/>
          </w:tcPr>
          <w:p w14:paraId="574E2F5B"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-252,215</w:t>
            </w:r>
          </w:p>
        </w:tc>
      </w:tr>
      <w:tr w:rsidR="00E8745E" w:rsidRPr="00E83C5E" w14:paraId="574E2F67" w14:textId="77777777" w:rsidTr="00E8745E">
        <w:trPr>
          <w:trHeight w:val="615"/>
          <w:jc w:val="center"/>
        </w:trPr>
        <w:tc>
          <w:tcPr>
            <w:tcW w:w="4135" w:type="dxa"/>
            <w:tcBorders>
              <w:top w:val="nil"/>
              <w:left w:val="single" w:sz="8" w:space="0" w:color="auto"/>
              <w:bottom w:val="single" w:sz="8" w:space="0" w:color="auto"/>
              <w:right w:val="single" w:sz="4" w:space="0" w:color="auto"/>
            </w:tcBorders>
            <w:shd w:val="clear" w:color="auto" w:fill="auto"/>
            <w:vAlign w:val="bottom"/>
            <w:hideMark/>
          </w:tcPr>
          <w:p w14:paraId="574E2F5D" w14:textId="654719E6" w:rsidR="00E8745E" w:rsidRPr="00E83C5E" w:rsidRDefault="00E8745E" w:rsidP="00A83D87">
            <w:pPr>
              <w:spacing w:after="0" w:line="240" w:lineRule="auto"/>
              <w:rPr>
                <w:rFonts w:ascii="Garamond" w:eastAsia="Times New Roman" w:hAnsi="Garamond" w:cs="Times New Roman"/>
                <w:color w:val="000000"/>
                <w:sz w:val="18"/>
                <w:szCs w:val="18"/>
              </w:rPr>
            </w:pPr>
            <w:r w:rsidRPr="00E83C5E">
              <w:rPr>
                <w:rFonts w:ascii="Garamond" w:eastAsia="Times New Roman" w:hAnsi="Garamond" w:cs="Times New Roman"/>
                <w:b/>
                <w:bCs/>
                <w:color w:val="FF0000"/>
                <w:sz w:val="18"/>
                <w:szCs w:val="18"/>
              </w:rPr>
              <w:t xml:space="preserve">Kosto totale </w:t>
            </w:r>
            <w:r w:rsidR="00A83D87" w:rsidRPr="00E83C5E">
              <w:rPr>
                <w:rFonts w:ascii="Garamond" w:eastAsia="Times New Roman" w:hAnsi="Garamond" w:cs="Times New Roman"/>
                <w:b/>
                <w:bCs/>
                <w:color w:val="FF0000"/>
                <w:sz w:val="18"/>
                <w:szCs w:val="18"/>
              </w:rPr>
              <w:t xml:space="preserve">qëllimi i politikës </w:t>
            </w:r>
            <w:r w:rsidRPr="00E83C5E">
              <w:rPr>
                <w:rFonts w:ascii="Garamond" w:eastAsia="Times New Roman" w:hAnsi="Garamond" w:cs="Times New Roman"/>
                <w:b/>
                <w:bCs/>
                <w:color w:val="FF0000"/>
                <w:sz w:val="18"/>
                <w:szCs w:val="18"/>
              </w:rPr>
              <w:t xml:space="preserve">II </w:t>
            </w:r>
            <w:r w:rsidRPr="00E83C5E">
              <w:rPr>
                <w:rFonts w:ascii="Garamond" w:eastAsia="Times New Roman" w:hAnsi="Garamond" w:cs="Times New Roman"/>
                <w:color w:val="000000"/>
                <w:sz w:val="18"/>
                <w:szCs w:val="18"/>
              </w:rPr>
              <w:br/>
              <w:t>(objektiva specifik</w:t>
            </w:r>
            <w:r w:rsidR="00A83D87">
              <w:rPr>
                <w:rFonts w:ascii="Garamond" w:eastAsia="Times New Roman" w:hAnsi="Garamond" w:cs="Times New Roman"/>
                <w:color w:val="000000"/>
                <w:sz w:val="18"/>
                <w:szCs w:val="18"/>
              </w:rPr>
              <w:t>ë</w:t>
            </w:r>
            <w:r w:rsidRPr="00E83C5E">
              <w:rPr>
                <w:rFonts w:ascii="Garamond" w:eastAsia="Times New Roman" w:hAnsi="Garamond" w:cs="Times New Roman"/>
                <w:color w:val="000000"/>
                <w:sz w:val="18"/>
                <w:szCs w:val="18"/>
              </w:rPr>
              <w:t xml:space="preserve"> 2.1+2.2+2.3)</w:t>
            </w:r>
          </w:p>
        </w:tc>
        <w:tc>
          <w:tcPr>
            <w:tcW w:w="1278" w:type="dxa"/>
            <w:tcBorders>
              <w:top w:val="single" w:sz="4" w:space="0" w:color="auto"/>
              <w:left w:val="nil"/>
              <w:bottom w:val="single" w:sz="4" w:space="0" w:color="auto"/>
              <w:right w:val="single" w:sz="4" w:space="0" w:color="auto"/>
            </w:tcBorders>
            <w:shd w:val="clear" w:color="auto" w:fill="auto"/>
            <w:noWrap/>
            <w:vAlign w:val="bottom"/>
            <w:hideMark/>
          </w:tcPr>
          <w:p w14:paraId="574E2F5E" w14:textId="77777777" w:rsidR="00E8745E" w:rsidRPr="00E83C5E" w:rsidRDefault="00E8745E" w:rsidP="00444B63">
            <w:pPr>
              <w:spacing w:after="0" w:line="240" w:lineRule="auto"/>
              <w:rPr>
                <w:rFonts w:ascii="Garamond" w:eastAsia="Times New Roman" w:hAnsi="Garamond" w:cs="Times New Roman"/>
                <w:color w:val="000000"/>
                <w:sz w:val="18"/>
                <w:szCs w:val="18"/>
              </w:rPr>
            </w:pPr>
          </w:p>
        </w:tc>
        <w:tc>
          <w:tcPr>
            <w:tcW w:w="1602" w:type="dxa"/>
            <w:tcBorders>
              <w:top w:val="single" w:sz="4" w:space="0" w:color="auto"/>
              <w:left w:val="single" w:sz="4" w:space="0" w:color="auto"/>
              <w:bottom w:val="single" w:sz="4" w:space="0" w:color="auto"/>
              <w:right w:val="nil"/>
            </w:tcBorders>
            <w:shd w:val="clear" w:color="auto" w:fill="auto"/>
            <w:noWrap/>
            <w:vAlign w:val="bottom"/>
            <w:hideMark/>
          </w:tcPr>
          <w:p w14:paraId="574E2F5F" w14:textId="77777777" w:rsidR="00E8745E" w:rsidRPr="00E83C5E" w:rsidRDefault="00E8745E" w:rsidP="00444B63">
            <w:pPr>
              <w:spacing w:after="0" w:line="240" w:lineRule="auto"/>
              <w:rPr>
                <w:rFonts w:ascii="Garamond" w:eastAsia="Times New Roman" w:hAnsi="Garamond" w:cs="Times New Roman"/>
                <w:sz w:val="18"/>
                <w:szCs w:val="18"/>
              </w:rPr>
            </w:pPr>
          </w:p>
        </w:tc>
        <w:tc>
          <w:tcPr>
            <w:tcW w:w="910" w:type="dxa"/>
            <w:tcBorders>
              <w:top w:val="nil"/>
              <w:left w:val="single" w:sz="4" w:space="0" w:color="auto"/>
              <w:bottom w:val="single" w:sz="4" w:space="0" w:color="auto"/>
              <w:right w:val="single" w:sz="4" w:space="0" w:color="auto"/>
            </w:tcBorders>
            <w:shd w:val="clear" w:color="auto" w:fill="auto"/>
            <w:vAlign w:val="center"/>
            <w:hideMark/>
          </w:tcPr>
          <w:p w14:paraId="574E2F60"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2022</w:t>
            </w:r>
          </w:p>
        </w:tc>
        <w:tc>
          <w:tcPr>
            <w:tcW w:w="1190" w:type="dxa"/>
            <w:tcBorders>
              <w:top w:val="nil"/>
              <w:left w:val="nil"/>
              <w:bottom w:val="single" w:sz="4" w:space="0" w:color="auto"/>
              <w:right w:val="single" w:sz="4" w:space="0" w:color="auto"/>
            </w:tcBorders>
            <w:shd w:val="clear" w:color="auto" w:fill="auto"/>
            <w:vAlign w:val="center"/>
            <w:hideMark/>
          </w:tcPr>
          <w:p w14:paraId="574E2F61"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2029</w:t>
            </w:r>
          </w:p>
        </w:tc>
        <w:tc>
          <w:tcPr>
            <w:tcW w:w="1410" w:type="dxa"/>
            <w:tcBorders>
              <w:top w:val="nil"/>
              <w:left w:val="nil"/>
              <w:bottom w:val="single" w:sz="4" w:space="0" w:color="auto"/>
              <w:right w:val="single" w:sz="4" w:space="0" w:color="auto"/>
            </w:tcBorders>
            <w:shd w:val="clear" w:color="auto" w:fill="auto"/>
            <w:vAlign w:val="center"/>
            <w:hideMark/>
          </w:tcPr>
          <w:p w14:paraId="574E2F62"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3,157,344,728</w:t>
            </w:r>
          </w:p>
        </w:tc>
        <w:tc>
          <w:tcPr>
            <w:tcW w:w="1530" w:type="dxa"/>
            <w:tcBorders>
              <w:top w:val="nil"/>
              <w:left w:val="nil"/>
              <w:bottom w:val="single" w:sz="4" w:space="0" w:color="auto"/>
              <w:right w:val="single" w:sz="4" w:space="0" w:color="auto"/>
            </w:tcBorders>
            <w:shd w:val="clear" w:color="auto" w:fill="auto"/>
            <w:vAlign w:val="center"/>
            <w:hideMark/>
          </w:tcPr>
          <w:p w14:paraId="574E2F63"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2,492,025,478</w:t>
            </w:r>
          </w:p>
        </w:tc>
        <w:tc>
          <w:tcPr>
            <w:tcW w:w="1216" w:type="dxa"/>
            <w:tcBorders>
              <w:top w:val="nil"/>
              <w:left w:val="nil"/>
              <w:bottom w:val="single" w:sz="4" w:space="0" w:color="auto"/>
              <w:right w:val="single" w:sz="4" w:space="0" w:color="auto"/>
            </w:tcBorders>
            <w:shd w:val="clear" w:color="auto" w:fill="auto"/>
            <w:vAlign w:val="center"/>
            <w:hideMark/>
          </w:tcPr>
          <w:p w14:paraId="574E2F64"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452,000,000</w:t>
            </w:r>
          </w:p>
        </w:tc>
        <w:tc>
          <w:tcPr>
            <w:tcW w:w="1414" w:type="dxa"/>
            <w:tcBorders>
              <w:top w:val="nil"/>
              <w:left w:val="nil"/>
              <w:bottom w:val="single" w:sz="4" w:space="0" w:color="auto"/>
              <w:right w:val="single" w:sz="4" w:space="0" w:color="auto"/>
            </w:tcBorders>
            <w:shd w:val="clear" w:color="auto" w:fill="auto"/>
            <w:vAlign w:val="center"/>
            <w:hideMark/>
          </w:tcPr>
          <w:p w14:paraId="574E2F65"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-213,319,250</w:t>
            </w:r>
          </w:p>
        </w:tc>
        <w:tc>
          <w:tcPr>
            <w:tcW w:w="1614" w:type="dxa"/>
            <w:tcBorders>
              <w:top w:val="nil"/>
              <w:left w:val="nil"/>
              <w:bottom w:val="single" w:sz="4" w:space="0" w:color="auto"/>
              <w:right w:val="single" w:sz="4" w:space="0" w:color="auto"/>
            </w:tcBorders>
            <w:shd w:val="clear" w:color="auto" w:fill="auto"/>
            <w:vAlign w:val="center"/>
            <w:hideMark/>
          </w:tcPr>
          <w:p w14:paraId="574E2F66"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-1,762,969</w:t>
            </w:r>
          </w:p>
        </w:tc>
      </w:tr>
    </w:tbl>
    <w:p w14:paraId="574E2F68" w14:textId="77777777" w:rsidR="00E8745E" w:rsidRPr="00E83C5E" w:rsidRDefault="00E8745E" w:rsidP="007D4822">
      <w:pPr>
        <w:pStyle w:val="TEKSTIII"/>
      </w:pPr>
    </w:p>
    <w:p w14:paraId="574E2F69" w14:textId="77777777" w:rsidR="00E8745E" w:rsidRPr="00E83C5E" w:rsidRDefault="00E8745E" w:rsidP="007D4822">
      <w:pPr>
        <w:pStyle w:val="TEKSTIII"/>
      </w:pPr>
    </w:p>
    <w:p w14:paraId="574E2F6A" w14:textId="77777777" w:rsidR="00E8745E" w:rsidRPr="00E83C5E" w:rsidRDefault="00E8745E" w:rsidP="007D4822">
      <w:pPr>
        <w:pStyle w:val="TEKSTIII"/>
      </w:pPr>
    </w:p>
    <w:p w14:paraId="574E2F6B" w14:textId="77777777" w:rsidR="00E8745E" w:rsidRPr="00E83C5E" w:rsidRDefault="00E8745E" w:rsidP="007D4822">
      <w:pPr>
        <w:pStyle w:val="TEKSTIII"/>
      </w:pPr>
    </w:p>
    <w:p w14:paraId="574E2F6C" w14:textId="77777777" w:rsidR="00E8745E" w:rsidRPr="00E83C5E" w:rsidRDefault="00E8745E" w:rsidP="007D4822">
      <w:pPr>
        <w:pStyle w:val="TEKSTIII"/>
      </w:pPr>
    </w:p>
    <w:p w14:paraId="574E2F6D" w14:textId="77777777" w:rsidR="00E8745E" w:rsidRPr="00E83C5E" w:rsidRDefault="00E8745E" w:rsidP="007D4822">
      <w:pPr>
        <w:pStyle w:val="TEKSTIII"/>
      </w:pPr>
    </w:p>
    <w:p w14:paraId="574E2F6E" w14:textId="77777777" w:rsidR="00E8745E" w:rsidRPr="00E83C5E" w:rsidRDefault="00E8745E" w:rsidP="007D4822">
      <w:pPr>
        <w:pStyle w:val="TEKSTIII"/>
      </w:pPr>
    </w:p>
    <w:p w14:paraId="574E2F6F" w14:textId="77777777" w:rsidR="00E8745E" w:rsidRPr="00E83C5E" w:rsidRDefault="00E8745E" w:rsidP="007D4822">
      <w:pPr>
        <w:pStyle w:val="TEKSTIII"/>
      </w:pPr>
    </w:p>
    <w:tbl>
      <w:tblPr>
        <w:tblW w:w="16299" w:type="dxa"/>
        <w:jc w:val="center"/>
        <w:tblLook w:val="04A0" w:firstRow="1" w:lastRow="0" w:firstColumn="1" w:lastColumn="0" w:noHBand="0" w:noVBand="1"/>
      </w:tblPr>
      <w:tblGrid>
        <w:gridCol w:w="4135"/>
        <w:gridCol w:w="1278"/>
        <w:gridCol w:w="1602"/>
        <w:gridCol w:w="910"/>
        <w:gridCol w:w="1190"/>
        <w:gridCol w:w="1410"/>
        <w:gridCol w:w="1530"/>
        <w:gridCol w:w="1216"/>
        <w:gridCol w:w="1414"/>
        <w:gridCol w:w="1614"/>
      </w:tblGrid>
      <w:tr w:rsidR="00E8745E" w:rsidRPr="00E83C5E" w14:paraId="574E2F72" w14:textId="77777777" w:rsidTr="00E8745E">
        <w:trPr>
          <w:trHeight w:val="535"/>
          <w:jc w:val="center"/>
        </w:trPr>
        <w:tc>
          <w:tcPr>
            <w:tcW w:w="4135" w:type="dxa"/>
            <w:tcBorders>
              <w:top w:val="single" w:sz="4" w:space="0" w:color="auto"/>
              <w:left w:val="single" w:sz="8" w:space="0" w:color="auto"/>
              <w:bottom w:val="single" w:sz="8" w:space="0" w:color="auto"/>
              <w:right w:val="nil"/>
            </w:tcBorders>
            <w:shd w:val="clear" w:color="auto" w:fill="auto"/>
            <w:vAlign w:val="bottom"/>
            <w:hideMark/>
          </w:tcPr>
          <w:p w14:paraId="574E2F70" w14:textId="0F74E133" w:rsidR="00E8745E" w:rsidRPr="00E83C5E" w:rsidRDefault="00E8745E" w:rsidP="00444B63">
            <w:pPr>
              <w:spacing w:after="0" w:line="240" w:lineRule="auto"/>
              <w:rPr>
                <w:rFonts w:ascii="Garamond" w:eastAsia="Times New Roman" w:hAnsi="Garamond" w:cs="Times New Roman"/>
                <w:b/>
                <w:bCs/>
                <w:color w:val="0070C0"/>
                <w:sz w:val="18"/>
                <w:szCs w:val="18"/>
              </w:rPr>
            </w:pPr>
            <w:r w:rsidRPr="00E83C5E">
              <w:rPr>
                <w:rFonts w:ascii="Garamond" w:eastAsia="Times New Roman" w:hAnsi="Garamond" w:cs="Times New Roman"/>
                <w:b/>
                <w:bCs/>
                <w:color w:val="0070C0"/>
                <w:sz w:val="18"/>
                <w:szCs w:val="18"/>
              </w:rPr>
              <w:t xml:space="preserve">Qëllimi i </w:t>
            </w:r>
            <w:r w:rsidR="004B2DAF" w:rsidRPr="00E83C5E">
              <w:rPr>
                <w:rFonts w:ascii="Garamond" w:eastAsia="Times New Roman" w:hAnsi="Garamond" w:cs="Times New Roman"/>
                <w:b/>
                <w:bCs/>
                <w:color w:val="0070C0"/>
                <w:sz w:val="18"/>
                <w:szCs w:val="18"/>
              </w:rPr>
              <w:t xml:space="preserve">politikës </w:t>
            </w:r>
            <w:r w:rsidRPr="00E83C5E">
              <w:rPr>
                <w:rFonts w:ascii="Garamond" w:eastAsia="Times New Roman" w:hAnsi="Garamond" w:cs="Times New Roman"/>
                <w:b/>
                <w:bCs/>
                <w:color w:val="0070C0"/>
                <w:sz w:val="18"/>
                <w:szCs w:val="18"/>
              </w:rPr>
              <w:t>III</w:t>
            </w:r>
          </w:p>
        </w:tc>
        <w:tc>
          <w:tcPr>
            <w:tcW w:w="12164" w:type="dxa"/>
            <w:gridSpan w:val="9"/>
            <w:tcBorders>
              <w:top w:val="single" w:sz="8" w:space="0" w:color="auto"/>
              <w:left w:val="single" w:sz="8" w:space="0" w:color="auto"/>
              <w:bottom w:val="single" w:sz="8" w:space="0" w:color="auto"/>
              <w:right w:val="single" w:sz="8" w:space="0" w:color="auto"/>
            </w:tcBorders>
            <w:shd w:val="clear" w:color="auto" w:fill="auto"/>
            <w:vAlign w:val="bottom"/>
            <w:hideMark/>
          </w:tcPr>
          <w:p w14:paraId="574E2F71" w14:textId="43C9E8DF" w:rsidR="00E8745E" w:rsidRPr="00E83C5E" w:rsidRDefault="00E8745E" w:rsidP="00444B63">
            <w:pPr>
              <w:spacing w:after="0" w:line="240" w:lineRule="auto"/>
              <w:jc w:val="center"/>
              <w:rPr>
                <w:rFonts w:ascii="Garamond" w:eastAsia="Times New Roman" w:hAnsi="Garamond" w:cs="Times New Roman"/>
                <w:b/>
                <w:bCs/>
                <w:color w:val="0070C0"/>
                <w:sz w:val="18"/>
                <w:szCs w:val="18"/>
              </w:rPr>
            </w:pPr>
            <w:r w:rsidRPr="00E83C5E">
              <w:rPr>
                <w:rFonts w:ascii="Garamond" w:eastAsia="Times New Roman" w:hAnsi="Garamond" w:cs="Times New Roman"/>
                <w:b/>
                <w:bCs/>
                <w:color w:val="0070C0"/>
                <w:sz w:val="18"/>
                <w:szCs w:val="18"/>
              </w:rPr>
              <w:t xml:space="preserve">Mirëqenia dhe </w:t>
            </w:r>
            <w:r w:rsidR="004B2DAF" w:rsidRPr="00E83C5E">
              <w:rPr>
                <w:rFonts w:ascii="Garamond" w:eastAsia="Times New Roman" w:hAnsi="Garamond" w:cs="Times New Roman"/>
                <w:b/>
                <w:bCs/>
                <w:color w:val="0070C0"/>
                <w:sz w:val="18"/>
                <w:szCs w:val="18"/>
              </w:rPr>
              <w:t>përfshirja</w:t>
            </w:r>
            <w:r w:rsidRPr="00E83C5E">
              <w:rPr>
                <w:rFonts w:ascii="Garamond" w:eastAsia="Times New Roman" w:hAnsi="Garamond" w:cs="Times New Roman"/>
                <w:b/>
                <w:bCs/>
                <w:color w:val="0070C0"/>
                <w:sz w:val="18"/>
                <w:szCs w:val="18"/>
              </w:rPr>
              <w:br/>
              <w:t>Mirëqenia aktive, e shëndetshme, fizike, sociale dhe mendore e të rejave / rinjve. Siguria, mbrojtja dhe përfshirja e të rinjve/rejave në të gjithë diversitetin e tyre, veçanërisht për ata të rinj që janë në situatë rreziku apo mënjanimi social (vulnerabiliteti)</w:t>
            </w:r>
          </w:p>
        </w:tc>
      </w:tr>
      <w:tr w:rsidR="00E8745E" w:rsidRPr="00E83C5E" w14:paraId="574E2F7A" w14:textId="77777777" w:rsidTr="00444B63">
        <w:trPr>
          <w:trHeight w:val="330"/>
          <w:jc w:val="center"/>
        </w:trPr>
        <w:tc>
          <w:tcPr>
            <w:tcW w:w="4135" w:type="dxa"/>
            <w:vMerge w:val="restart"/>
            <w:tcBorders>
              <w:top w:val="nil"/>
              <w:left w:val="single" w:sz="8" w:space="0" w:color="auto"/>
              <w:bottom w:val="nil"/>
              <w:right w:val="single" w:sz="8" w:space="0" w:color="auto"/>
            </w:tcBorders>
            <w:shd w:val="clear" w:color="auto" w:fill="auto"/>
            <w:vAlign w:val="center"/>
            <w:hideMark/>
          </w:tcPr>
          <w:p w14:paraId="574E2F73" w14:textId="404ED42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Objektivi </w:t>
            </w:r>
            <w:r w:rsidR="004B2DAF" w:rsidRPr="00E83C5E">
              <w:rPr>
                <w:rFonts w:ascii="Garamond" w:eastAsia="Times New Roman" w:hAnsi="Garamond" w:cs="Times New Roman"/>
                <w:b/>
                <w:bCs/>
                <w:color w:val="000000"/>
                <w:sz w:val="18"/>
                <w:szCs w:val="18"/>
              </w:rPr>
              <w:t>specifik</w:t>
            </w:r>
          </w:p>
        </w:tc>
        <w:tc>
          <w:tcPr>
            <w:tcW w:w="2880" w:type="dxa"/>
            <w:gridSpan w:val="2"/>
            <w:tcBorders>
              <w:top w:val="nil"/>
              <w:left w:val="nil"/>
              <w:bottom w:val="single" w:sz="4" w:space="0" w:color="auto"/>
              <w:right w:val="single" w:sz="8" w:space="0" w:color="000000"/>
            </w:tcBorders>
            <w:shd w:val="clear" w:color="auto" w:fill="auto"/>
            <w:vAlign w:val="center"/>
            <w:hideMark/>
          </w:tcPr>
          <w:p w14:paraId="574E2F74"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Institucionet përgjegjëse </w:t>
            </w:r>
          </w:p>
        </w:tc>
        <w:tc>
          <w:tcPr>
            <w:tcW w:w="2100" w:type="dxa"/>
            <w:gridSpan w:val="2"/>
            <w:tcBorders>
              <w:top w:val="nil"/>
              <w:left w:val="nil"/>
              <w:bottom w:val="single" w:sz="4" w:space="0" w:color="auto"/>
              <w:right w:val="single" w:sz="8" w:space="0" w:color="000000"/>
            </w:tcBorders>
            <w:shd w:val="clear" w:color="auto" w:fill="auto"/>
            <w:vAlign w:val="center"/>
            <w:hideMark/>
          </w:tcPr>
          <w:p w14:paraId="574E2F75"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Afati i zbatimit </w:t>
            </w:r>
          </w:p>
        </w:tc>
        <w:tc>
          <w:tcPr>
            <w:tcW w:w="1410" w:type="dxa"/>
            <w:tcBorders>
              <w:top w:val="nil"/>
              <w:left w:val="nil"/>
              <w:bottom w:val="nil"/>
              <w:right w:val="single" w:sz="8" w:space="0" w:color="auto"/>
            </w:tcBorders>
            <w:shd w:val="clear" w:color="auto" w:fill="auto"/>
            <w:vAlign w:val="center"/>
            <w:hideMark/>
          </w:tcPr>
          <w:p w14:paraId="574E2F76" w14:textId="385C95F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Kosto </w:t>
            </w:r>
            <w:r w:rsidR="004B2DAF" w:rsidRPr="00E83C5E">
              <w:rPr>
                <w:rFonts w:ascii="Garamond" w:eastAsia="Times New Roman" w:hAnsi="Garamond" w:cs="Times New Roman"/>
                <w:b/>
                <w:bCs/>
                <w:color w:val="000000"/>
                <w:sz w:val="18"/>
                <w:szCs w:val="18"/>
              </w:rPr>
              <w:t>totale</w:t>
            </w:r>
          </w:p>
        </w:tc>
        <w:tc>
          <w:tcPr>
            <w:tcW w:w="2746" w:type="dxa"/>
            <w:gridSpan w:val="2"/>
            <w:tcBorders>
              <w:top w:val="nil"/>
              <w:left w:val="nil"/>
              <w:bottom w:val="single" w:sz="8" w:space="0" w:color="auto"/>
              <w:right w:val="nil"/>
            </w:tcBorders>
            <w:shd w:val="clear" w:color="auto" w:fill="auto"/>
            <w:vAlign w:val="center"/>
            <w:hideMark/>
          </w:tcPr>
          <w:p w14:paraId="574E2F77" w14:textId="089D2C61" w:rsidR="00E8745E" w:rsidRPr="00E83C5E" w:rsidRDefault="00E8745E" w:rsidP="00960B5E">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Burimi i mbulimit deri n</w:t>
            </w:r>
            <w:r w:rsidR="00960B5E" w:rsidRPr="00E83C5E">
              <w:rPr>
                <w:rFonts w:ascii="Garamond" w:eastAsia="Times New Roman" w:hAnsi="Garamond" w:cs="Times New Roman"/>
                <w:b/>
                <w:bCs/>
                <w:color w:val="000000"/>
                <w:sz w:val="18"/>
                <w:szCs w:val="18"/>
              </w:rPr>
              <w:t>ë</w:t>
            </w:r>
            <w:r w:rsidRPr="00E83C5E">
              <w:rPr>
                <w:rFonts w:ascii="Garamond" w:eastAsia="Times New Roman" w:hAnsi="Garamond" w:cs="Times New Roman"/>
                <w:b/>
                <w:bCs/>
                <w:color w:val="000000"/>
                <w:sz w:val="18"/>
                <w:szCs w:val="18"/>
              </w:rPr>
              <w:t xml:space="preserve"> 2029</w:t>
            </w:r>
          </w:p>
        </w:tc>
        <w:tc>
          <w:tcPr>
            <w:tcW w:w="1414" w:type="dxa"/>
            <w:tcBorders>
              <w:top w:val="nil"/>
              <w:left w:val="single" w:sz="8" w:space="0" w:color="auto"/>
              <w:bottom w:val="nil"/>
              <w:right w:val="single" w:sz="8" w:space="0" w:color="auto"/>
            </w:tcBorders>
            <w:shd w:val="clear" w:color="auto" w:fill="auto"/>
            <w:vAlign w:val="center"/>
            <w:hideMark/>
          </w:tcPr>
          <w:p w14:paraId="574E2F78" w14:textId="77777777" w:rsidR="00E8745E" w:rsidRPr="00E83C5E" w:rsidRDefault="00E8745E" w:rsidP="00444B63">
            <w:pPr>
              <w:spacing w:after="0" w:line="240" w:lineRule="auto"/>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w:t>
            </w:r>
          </w:p>
        </w:tc>
        <w:tc>
          <w:tcPr>
            <w:tcW w:w="1614" w:type="dxa"/>
            <w:tcBorders>
              <w:top w:val="nil"/>
              <w:left w:val="nil"/>
              <w:bottom w:val="nil"/>
              <w:right w:val="single" w:sz="8" w:space="0" w:color="auto"/>
            </w:tcBorders>
            <w:shd w:val="clear" w:color="auto" w:fill="auto"/>
            <w:noWrap/>
            <w:vAlign w:val="center"/>
            <w:hideMark/>
          </w:tcPr>
          <w:p w14:paraId="574E2F79" w14:textId="77777777" w:rsidR="00E8745E" w:rsidRPr="00E83C5E" w:rsidRDefault="00E8745E" w:rsidP="00444B63">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 </w:t>
            </w:r>
          </w:p>
        </w:tc>
      </w:tr>
      <w:tr w:rsidR="00E8745E" w:rsidRPr="00E83C5E" w14:paraId="574E2F85" w14:textId="77777777" w:rsidTr="00444B63">
        <w:trPr>
          <w:trHeight w:val="652"/>
          <w:jc w:val="center"/>
        </w:trPr>
        <w:tc>
          <w:tcPr>
            <w:tcW w:w="4135" w:type="dxa"/>
            <w:vMerge/>
            <w:tcBorders>
              <w:top w:val="nil"/>
              <w:left w:val="single" w:sz="8" w:space="0" w:color="auto"/>
              <w:bottom w:val="nil"/>
              <w:right w:val="single" w:sz="8" w:space="0" w:color="auto"/>
            </w:tcBorders>
            <w:vAlign w:val="center"/>
            <w:hideMark/>
          </w:tcPr>
          <w:p w14:paraId="574E2F7B" w14:textId="77777777" w:rsidR="00E8745E" w:rsidRPr="00E83C5E" w:rsidRDefault="00E8745E" w:rsidP="00444B63">
            <w:pPr>
              <w:spacing w:after="0" w:line="240" w:lineRule="auto"/>
              <w:rPr>
                <w:rFonts w:ascii="Garamond" w:eastAsia="Times New Roman" w:hAnsi="Garamond" w:cs="Times New Roman"/>
                <w:b/>
                <w:bCs/>
                <w:color w:val="000000"/>
                <w:sz w:val="18"/>
                <w:szCs w:val="18"/>
              </w:rPr>
            </w:pPr>
          </w:p>
        </w:tc>
        <w:tc>
          <w:tcPr>
            <w:tcW w:w="1278" w:type="dxa"/>
            <w:tcBorders>
              <w:top w:val="nil"/>
              <w:left w:val="nil"/>
              <w:bottom w:val="nil"/>
              <w:right w:val="single" w:sz="4" w:space="0" w:color="auto"/>
            </w:tcBorders>
            <w:shd w:val="clear" w:color="auto" w:fill="auto"/>
            <w:vAlign w:val="center"/>
            <w:hideMark/>
          </w:tcPr>
          <w:p w14:paraId="574E2F7C"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Institucioni drejtues</w:t>
            </w:r>
          </w:p>
        </w:tc>
        <w:tc>
          <w:tcPr>
            <w:tcW w:w="1602" w:type="dxa"/>
            <w:tcBorders>
              <w:top w:val="nil"/>
              <w:left w:val="nil"/>
              <w:bottom w:val="nil"/>
              <w:right w:val="single" w:sz="4" w:space="0" w:color="auto"/>
            </w:tcBorders>
            <w:shd w:val="clear" w:color="auto" w:fill="auto"/>
            <w:vAlign w:val="center"/>
            <w:hideMark/>
          </w:tcPr>
          <w:p w14:paraId="574E2F7D"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Institucionet pjesmarrëse</w:t>
            </w:r>
          </w:p>
        </w:tc>
        <w:tc>
          <w:tcPr>
            <w:tcW w:w="910" w:type="dxa"/>
            <w:tcBorders>
              <w:top w:val="nil"/>
              <w:left w:val="single" w:sz="8" w:space="0" w:color="auto"/>
              <w:bottom w:val="nil"/>
              <w:right w:val="single" w:sz="4" w:space="0" w:color="auto"/>
            </w:tcBorders>
            <w:shd w:val="clear" w:color="auto" w:fill="auto"/>
            <w:vAlign w:val="center"/>
            <w:hideMark/>
          </w:tcPr>
          <w:p w14:paraId="574E2F7E"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Data e fillimit</w:t>
            </w:r>
          </w:p>
        </w:tc>
        <w:tc>
          <w:tcPr>
            <w:tcW w:w="1190" w:type="dxa"/>
            <w:tcBorders>
              <w:top w:val="nil"/>
              <w:left w:val="nil"/>
              <w:bottom w:val="nil"/>
              <w:right w:val="single" w:sz="8" w:space="0" w:color="auto"/>
            </w:tcBorders>
            <w:shd w:val="clear" w:color="auto" w:fill="auto"/>
            <w:vAlign w:val="center"/>
            <w:hideMark/>
          </w:tcPr>
          <w:p w14:paraId="574E2F7F"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Data e mbarimit</w:t>
            </w:r>
          </w:p>
        </w:tc>
        <w:tc>
          <w:tcPr>
            <w:tcW w:w="1410" w:type="dxa"/>
            <w:tcBorders>
              <w:top w:val="nil"/>
              <w:left w:val="nil"/>
              <w:bottom w:val="nil"/>
              <w:right w:val="single" w:sz="8" w:space="0" w:color="auto"/>
            </w:tcBorders>
            <w:vAlign w:val="center"/>
            <w:hideMark/>
          </w:tcPr>
          <w:p w14:paraId="574E2F80" w14:textId="77777777" w:rsidR="00E8745E" w:rsidRPr="00E83C5E" w:rsidRDefault="00E8745E" w:rsidP="00444B63">
            <w:pPr>
              <w:spacing w:after="0" w:line="240" w:lineRule="auto"/>
              <w:rPr>
                <w:rFonts w:ascii="Garamond" w:eastAsia="Times New Roman" w:hAnsi="Garamond" w:cs="Times New Roman"/>
                <w:b/>
                <w:bCs/>
                <w:color w:val="000000"/>
                <w:sz w:val="18"/>
                <w:szCs w:val="18"/>
              </w:rPr>
            </w:pPr>
          </w:p>
        </w:tc>
        <w:tc>
          <w:tcPr>
            <w:tcW w:w="1530" w:type="dxa"/>
            <w:tcBorders>
              <w:top w:val="single" w:sz="8" w:space="0" w:color="auto"/>
              <w:left w:val="nil"/>
              <w:bottom w:val="single" w:sz="8" w:space="0" w:color="auto"/>
              <w:right w:val="single" w:sz="8" w:space="0" w:color="auto"/>
            </w:tcBorders>
            <w:shd w:val="clear" w:color="auto" w:fill="auto"/>
            <w:vAlign w:val="center"/>
            <w:hideMark/>
          </w:tcPr>
          <w:p w14:paraId="574E2F81"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Buxheti i Shtetit</w:t>
            </w:r>
          </w:p>
        </w:tc>
        <w:tc>
          <w:tcPr>
            <w:tcW w:w="1216" w:type="dxa"/>
            <w:tcBorders>
              <w:top w:val="single" w:sz="8" w:space="0" w:color="auto"/>
              <w:left w:val="nil"/>
              <w:bottom w:val="single" w:sz="8" w:space="0" w:color="auto"/>
              <w:right w:val="nil"/>
            </w:tcBorders>
            <w:shd w:val="clear" w:color="auto" w:fill="auto"/>
            <w:vAlign w:val="center"/>
            <w:hideMark/>
          </w:tcPr>
          <w:p w14:paraId="574E2F82"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Fondet e Donatorëve</w:t>
            </w:r>
          </w:p>
        </w:tc>
        <w:tc>
          <w:tcPr>
            <w:tcW w:w="141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74E2F83"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Hendeku financiar</w:t>
            </w:r>
            <w:r w:rsidRPr="00E83C5E">
              <w:rPr>
                <w:rFonts w:ascii="Garamond" w:eastAsia="Times New Roman" w:hAnsi="Garamond" w:cs="Times New Roman"/>
                <w:b/>
                <w:bCs/>
                <w:color w:val="000000"/>
                <w:sz w:val="18"/>
                <w:szCs w:val="18"/>
              </w:rPr>
              <w:br/>
              <w:t>2022-2029</w:t>
            </w:r>
            <w:r w:rsidRPr="00E83C5E">
              <w:rPr>
                <w:rFonts w:ascii="Garamond" w:eastAsia="Times New Roman" w:hAnsi="Garamond" w:cs="Times New Roman"/>
                <w:b/>
                <w:bCs/>
                <w:color w:val="000000"/>
                <w:sz w:val="18"/>
                <w:szCs w:val="18"/>
              </w:rPr>
              <w:br/>
              <w:t>(në Lekë)</w:t>
            </w:r>
          </w:p>
        </w:tc>
        <w:tc>
          <w:tcPr>
            <w:tcW w:w="1614" w:type="dxa"/>
            <w:tcBorders>
              <w:top w:val="nil"/>
              <w:left w:val="nil"/>
              <w:bottom w:val="nil"/>
              <w:right w:val="single" w:sz="8" w:space="0" w:color="auto"/>
            </w:tcBorders>
            <w:shd w:val="clear" w:color="auto" w:fill="auto"/>
            <w:vAlign w:val="center"/>
            <w:hideMark/>
          </w:tcPr>
          <w:p w14:paraId="574E2F84"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Financing Gap EUR</w:t>
            </w:r>
            <w:r w:rsidRPr="00E83C5E">
              <w:rPr>
                <w:rFonts w:ascii="Garamond" w:eastAsia="Times New Roman" w:hAnsi="Garamond" w:cs="Times New Roman"/>
                <w:b/>
                <w:bCs/>
                <w:color w:val="000000"/>
                <w:sz w:val="18"/>
                <w:szCs w:val="18"/>
              </w:rPr>
              <w:br/>
              <w:t>(kursi kembimit: 1 EUR = 121 ALL)</w:t>
            </w:r>
          </w:p>
        </w:tc>
      </w:tr>
      <w:tr w:rsidR="00E8745E" w:rsidRPr="00E83C5E" w14:paraId="574E2F90" w14:textId="77777777" w:rsidTr="00444B63">
        <w:trPr>
          <w:trHeight w:val="330"/>
          <w:jc w:val="center"/>
        </w:trPr>
        <w:tc>
          <w:tcPr>
            <w:tcW w:w="4135" w:type="dxa"/>
            <w:tcBorders>
              <w:top w:val="nil"/>
              <w:left w:val="single" w:sz="8" w:space="0" w:color="auto"/>
              <w:bottom w:val="nil"/>
              <w:right w:val="nil"/>
            </w:tcBorders>
            <w:shd w:val="clear" w:color="auto" w:fill="auto"/>
            <w:vAlign w:val="center"/>
            <w:hideMark/>
          </w:tcPr>
          <w:p w14:paraId="574E2F86"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w:t>
            </w:r>
          </w:p>
        </w:tc>
        <w:tc>
          <w:tcPr>
            <w:tcW w:w="1278" w:type="dxa"/>
            <w:tcBorders>
              <w:top w:val="single" w:sz="4" w:space="0" w:color="auto"/>
              <w:left w:val="single" w:sz="8" w:space="0" w:color="auto"/>
              <w:bottom w:val="single" w:sz="8" w:space="0" w:color="auto"/>
              <w:right w:val="single" w:sz="4" w:space="0" w:color="auto"/>
            </w:tcBorders>
            <w:shd w:val="clear" w:color="auto" w:fill="auto"/>
            <w:vAlign w:val="center"/>
            <w:hideMark/>
          </w:tcPr>
          <w:p w14:paraId="574E2F87" w14:textId="77777777" w:rsidR="00E8745E" w:rsidRPr="00E83C5E" w:rsidRDefault="00E8745E" w:rsidP="00444B63">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 </w:t>
            </w:r>
          </w:p>
        </w:tc>
        <w:tc>
          <w:tcPr>
            <w:tcW w:w="1602" w:type="dxa"/>
            <w:tcBorders>
              <w:top w:val="single" w:sz="4" w:space="0" w:color="auto"/>
              <w:left w:val="nil"/>
              <w:bottom w:val="single" w:sz="8" w:space="0" w:color="auto"/>
              <w:right w:val="single" w:sz="4" w:space="0" w:color="auto"/>
            </w:tcBorders>
            <w:shd w:val="clear" w:color="auto" w:fill="auto"/>
            <w:vAlign w:val="center"/>
            <w:hideMark/>
          </w:tcPr>
          <w:p w14:paraId="574E2F88" w14:textId="77777777" w:rsidR="00E8745E" w:rsidRPr="00E83C5E" w:rsidRDefault="00E8745E" w:rsidP="00444B63">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 </w:t>
            </w:r>
          </w:p>
        </w:tc>
        <w:tc>
          <w:tcPr>
            <w:tcW w:w="910" w:type="dxa"/>
            <w:tcBorders>
              <w:top w:val="single" w:sz="4" w:space="0" w:color="auto"/>
              <w:left w:val="nil"/>
              <w:bottom w:val="single" w:sz="8" w:space="0" w:color="auto"/>
              <w:right w:val="single" w:sz="4" w:space="0" w:color="auto"/>
            </w:tcBorders>
            <w:shd w:val="clear" w:color="auto" w:fill="auto"/>
            <w:vAlign w:val="center"/>
            <w:hideMark/>
          </w:tcPr>
          <w:p w14:paraId="574E2F89"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w:t>
            </w:r>
          </w:p>
        </w:tc>
        <w:tc>
          <w:tcPr>
            <w:tcW w:w="1190" w:type="dxa"/>
            <w:tcBorders>
              <w:top w:val="single" w:sz="4" w:space="0" w:color="auto"/>
              <w:left w:val="nil"/>
              <w:bottom w:val="single" w:sz="8" w:space="0" w:color="auto"/>
              <w:right w:val="single" w:sz="4" w:space="0" w:color="auto"/>
            </w:tcBorders>
            <w:shd w:val="clear" w:color="auto" w:fill="auto"/>
            <w:vAlign w:val="center"/>
            <w:hideMark/>
          </w:tcPr>
          <w:p w14:paraId="574E2F8A"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w:t>
            </w:r>
          </w:p>
        </w:tc>
        <w:tc>
          <w:tcPr>
            <w:tcW w:w="1410" w:type="dxa"/>
            <w:tcBorders>
              <w:top w:val="nil"/>
              <w:left w:val="nil"/>
              <w:bottom w:val="single" w:sz="8" w:space="0" w:color="auto"/>
              <w:right w:val="single" w:sz="8" w:space="0" w:color="auto"/>
            </w:tcBorders>
            <w:shd w:val="clear" w:color="auto" w:fill="auto"/>
            <w:vAlign w:val="center"/>
            <w:hideMark/>
          </w:tcPr>
          <w:p w14:paraId="574E2F8B" w14:textId="29A8CE3D"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Total </w:t>
            </w:r>
            <w:r w:rsidR="004B2DAF" w:rsidRPr="00E83C5E">
              <w:rPr>
                <w:rFonts w:ascii="Garamond" w:eastAsia="Times New Roman" w:hAnsi="Garamond" w:cs="Times New Roman"/>
                <w:b/>
                <w:bCs/>
                <w:color w:val="000000"/>
                <w:sz w:val="18"/>
                <w:szCs w:val="18"/>
              </w:rPr>
              <w:t>kosto</w:t>
            </w:r>
          </w:p>
        </w:tc>
        <w:tc>
          <w:tcPr>
            <w:tcW w:w="1530" w:type="dxa"/>
            <w:tcBorders>
              <w:top w:val="nil"/>
              <w:left w:val="nil"/>
              <w:bottom w:val="single" w:sz="8" w:space="0" w:color="auto"/>
              <w:right w:val="single" w:sz="8" w:space="0" w:color="auto"/>
            </w:tcBorders>
            <w:shd w:val="clear" w:color="auto" w:fill="auto"/>
            <w:vAlign w:val="center"/>
            <w:hideMark/>
          </w:tcPr>
          <w:p w14:paraId="574E2F8C"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Total BSH</w:t>
            </w:r>
          </w:p>
        </w:tc>
        <w:tc>
          <w:tcPr>
            <w:tcW w:w="1216" w:type="dxa"/>
            <w:tcBorders>
              <w:top w:val="nil"/>
              <w:left w:val="nil"/>
              <w:bottom w:val="single" w:sz="8" w:space="0" w:color="auto"/>
              <w:right w:val="single" w:sz="8" w:space="0" w:color="auto"/>
            </w:tcBorders>
            <w:shd w:val="clear" w:color="auto" w:fill="auto"/>
            <w:vAlign w:val="center"/>
            <w:hideMark/>
          </w:tcPr>
          <w:p w14:paraId="574E2F8D"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Total FH</w:t>
            </w:r>
          </w:p>
        </w:tc>
        <w:tc>
          <w:tcPr>
            <w:tcW w:w="1414" w:type="dxa"/>
            <w:vMerge/>
            <w:tcBorders>
              <w:top w:val="single" w:sz="8" w:space="0" w:color="auto"/>
              <w:left w:val="single" w:sz="8" w:space="0" w:color="auto"/>
              <w:bottom w:val="single" w:sz="8" w:space="0" w:color="000000"/>
              <w:right w:val="single" w:sz="8" w:space="0" w:color="auto"/>
            </w:tcBorders>
            <w:vAlign w:val="center"/>
            <w:hideMark/>
          </w:tcPr>
          <w:p w14:paraId="574E2F8E" w14:textId="77777777" w:rsidR="00E8745E" w:rsidRPr="00E83C5E" w:rsidRDefault="00E8745E" w:rsidP="00444B63">
            <w:pPr>
              <w:spacing w:after="0" w:line="240" w:lineRule="auto"/>
              <w:rPr>
                <w:rFonts w:ascii="Garamond" w:eastAsia="Times New Roman" w:hAnsi="Garamond" w:cs="Times New Roman"/>
                <w:b/>
                <w:bCs/>
                <w:color w:val="000000"/>
                <w:sz w:val="18"/>
                <w:szCs w:val="18"/>
              </w:rPr>
            </w:pPr>
          </w:p>
        </w:tc>
        <w:tc>
          <w:tcPr>
            <w:tcW w:w="1614" w:type="dxa"/>
            <w:tcBorders>
              <w:top w:val="nil"/>
              <w:left w:val="nil"/>
              <w:bottom w:val="nil"/>
              <w:right w:val="single" w:sz="8" w:space="0" w:color="auto"/>
            </w:tcBorders>
            <w:shd w:val="clear" w:color="auto" w:fill="auto"/>
            <w:vAlign w:val="center"/>
            <w:hideMark/>
          </w:tcPr>
          <w:p w14:paraId="574E2F8F"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w:t>
            </w:r>
          </w:p>
        </w:tc>
      </w:tr>
      <w:tr w:rsidR="00E8745E" w:rsidRPr="00E83C5E" w14:paraId="574E2F9B" w14:textId="77777777" w:rsidTr="00444B63">
        <w:trPr>
          <w:trHeight w:val="427"/>
          <w:jc w:val="center"/>
        </w:trPr>
        <w:tc>
          <w:tcPr>
            <w:tcW w:w="4135"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574E2F91" w14:textId="77D5DEF3" w:rsidR="00E8745E" w:rsidRPr="00E83C5E" w:rsidRDefault="00E8745E" w:rsidP="00444B63">
            <w:pPr>
              <w:spacing w:after="0" w:line="240" w:lineRule="auto"/>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3.1 Objektivi </w:t>
            </w:r>
            <w:r w:rsidR="004B2DAF" w:rsidRPr="00E83C5E">
              <w:rPr>
                <w:rFonts w:ascii="Garamond" w:eastAsia="Times New Roman" w:hAnsi="Garamond" w:cs="Times New Roman"/>
                <w:b/>
                <w:bCs/>
                <w:color w:val="000000"/>
                <w:sz w:val="18"/>
                <w:szCs w:val="18"/>
              </w:rPr>
              <w:t xml:space="preserve">specifik </w:t>
            </w:r>
            <w:r w:rsidRPr="00E83C5E">
              <w:rPr>
                <w:rFonts w:ascii="Garamond" w:eastAsia="Times New Roman" w:hAnsi="Garamond" w:cs="Times New Roman"/>
                <w:b/>
                <w:bCs/>
                <w:color w:val="000000"/>
                <w:sz w:val="18"/>
                <w:szCs w:val="18"/>
              </w:rPr>
              <w:t>3.1</w:t>
            </w:r>
            <w:r w:rsidR="004B2DAF">
              <w:rPr>
                <w:rFonts w:ascii="Garamond" w:eastAsia="Times New Roman" w:hAnsi="Garamond" w:cs="Times New Roman"/>
                <w:b/>
                <w:bCs/>
                <w:color w:val="000000"/>
                <w:sz w:val="18"/>
                <w:szCs w:val="18"/>
              </w:rPr>
              <w:t>:</w:t>
            </w:r>
            <w:r w:rsidRPr="00E83C5E">
              <w:rPr>
                <w:rFonts w:ascii="Garamond" w:eastAsia="Times New Roman" w:hAnsi="Garamond" w:cs="Times New Roman"/>
                <w:b/>
                <w:bCs/>
                <w:color w:val="000000"/>
                <w:sz w:val="18"/>
                <w:szCs w:val="18"/>
              </w:rPr>
              <w:t xml:space="preserve"> Mbrojtja mbështetja dhe siguria e të rejave dhe të rinjve, veçanërisht e atyre në situatë rreziku, në vendin ku jetojnë dhe hapësirën digjitale</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14:paraId="574E2F92" w14:textId="77777777" w:rsidR="00E8745E" w:rsidRPr="00E83C5E" w:rsidRDefault="00E8745E" w:rsidP="00444B63">
            <w:pPr>
              <w:spacing w:after="0" w:line="240" w:lineRule="auto"/>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MSHRF, AKR, MAS, MD dhe MB</w:t>
            </w:r>
          </w:p>
        </w:tc>
        <w:tc>
          <w:tcPr>
            <w:tcW w:w="1602" w:type="dxa"/>
            <w:tcBorders>
              <w:top w:val="single" w:sz="4" w:space="0" w:color="auto"/>
              <w:left w:val="nil"/>
              <w:bottom w:val="single" w:sz="4" w:space="0" w:color="auto"/>
              <w:right w:val="single" w:sz="4" w:space="0" w:color="auto"/>
            </w:tcBorders>
            <w:shd w:val="clear" w:color="auto" w:fill="auto"/>
            <w:vAlign w:val="center"/>
            <w:hideMark/>
          </w:tcPr>
          <w:p w14:paraId="574E2F93" w14:textId="77777777" w:rsidR="00E8745E" w:rsidRPr="00E83C5E" w:rsidRDefault="00E8745E" w:rsidP="00444B63">
            <w:pPr>
              <w:spacing w:after="0" w:line="240" w:lineRule="auto"/>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AKSHI, AKCESK, AMA, Agjencia e Mbrojtjes së Të Drejtave të Fëmijëve, Drejtoria e Përgjithshme e Policisë, Bashkitë</w:t>
            </w:r>
          </w:p>
        </w:tc>
        <w:tc>
          <w:tcPr>
            <w:tcW w:w="910" w:type="dxa"/>
            <w:tcBorders>
              <w:top w:val="single" w:sz="4" w:space="0" w:color="auto"/>
              <w:left w:val="nil"/>
              <w:bottom w:val="single" w:sz="4" w:space="0" w:color="auto"/>
              <w:right w:val="single" w:sz="4" w:space="0" w:color="auto"/>
            </w:tcBorders>
            <w:shd w:val="clear" w:color="auto" w:fill="auto"/>
            <w:vAlign w:val="center"/>
            <w:hideMark/>
          </w:tcPr>
          <w:p w14:paraId="574E2F94"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2022</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574E2F95"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2029</w:t>
            </w:r>
          </w:p>
        </w:tc>
        <w:tc>
          <w:tcPr>
            <w:tcW w:w="1410" w:type="dxa"/>
            <w:tcBorders>
              <w:top w:val="single" w:sz="4" w:space="0" w:color="auto"/>
              <w:left w:val="nil"/>
              <w:bottom w:val="single" w:sz="4" w:space="0" w:color="auto"/>
              <w:right w:val="single" w:sz="4" w:space="0" w:color="auto"/>
            </w:tcBorders>
            <w:shd w:val="clear" w:color="auto" w:fill="auto"/>
            <w:vAlign w:val="center"/>
            <w:hideMark/>
          </w:tcPr>
          <w:p w14:paraId="574E2F96"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165,967,773</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574E2F97" w14:textId="77777777" w:rsidR="00E8745E" w:rsidRPr="00E83C5E" w:rsidRDefault="00E8745E" w:rsidP="00444B63">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115,318,936</w:t>
            </w:r>
          </w:p>
        </w:tc>
        <w:tc>
          <w:tcPr>
            <w:tcW w:w="1216" w:type="dxa"/>
            <w:tcBorders>
              <w:top w:val="single" w:sz="4" w:space="0" w:color="auto"/>
              <w:left w:val="nil"/>
              <w:bottom w:val="single" w:sz="4" w:space="0" w:color="auto"/>
              <w:right w:val="single" w:sz="4" w:space="0" w:color="auto"/>
            </w:tcBorders>
            <w:shd w:val="clear" w:color="auto" w:fill="auto"/>
            <w:vAlign w:val="center"/>
            <w:hideMark/>
          </w:tcPr>
          <w:p w14:paraId="574E2F98" w14:textId="77777777" w:rsidR="00E8745E" w:rsidRPr="00E83C5E" w:rsidRDefault="00E8745E" w:rsidP="00444B63">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0</w:t>
            </w:r>
          </w:p>
        </w:tc>
        <w:tc>
          <w:tcPr>
            <w:tcW w:w="1414" w:type="dxa"/>
            <w:tcBorders>
              <w:top w:val="single" w:sz="4" w:space="0" w:color="auto"/>
              <w:left w:val="nil"/>
              <w:bottom w:val="single" w:sz="4" w:space="0" w:color="auto"/>
              <w:right w:val="single" w:sz="4" w:space="0" w:color="auto"/>
            </w:tcBorders>
            <w:shd w:val="clear" w:color="auto" w:fill="auto"/>
            <w:vAlign w:val="center"/>
            <w:hideMark/>
          </w:tcPr>
          <w:p w14:paraId="574E2F99"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-50,648,837</w:t>
            </w:r>
          </w:p>
        </w:tc>
        <w:tc>
          <w:tcPr>
            <w:tcW w:w="1614" w:type="dxa"/>
            <w:tcBorders>
              <w:top w:val="single" w:sz="4" w:space="0" w:color="auto"/>
              <w:left w:val="nil"/>
              <w:bottom w:val="single" w:sz="4" w:space="0" w:color="auto"/>
              <w:right w:val="single" w:sz="8" w:space="0" w:color="auto"/>
            </w:tcBorders>
            <w:shd w:val="clear" w:color="auto" w:fill="auto"/>
            <w:noWrap/>
            <w:vAlign w:val="center"/>
            <w:hideMark/>
          </w:tcPr>
          <w:p w14:paraId="574E2F9A"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-418,585</w:t>
            </w:r>
          </w:p>
        </w:tc>
      </w:tr>
      <w:tr w:rsidR="00E8745E" w:rsidRPr="00E83C5E" w14:paraId="574E2FA6" w14:textId="77777777" w:rsidTr="00444B63">
        <w:trPr>
          <w:trHeight w:val="1200"/>
          <w:jc w:val="center"/>
        </w:trPr>
        <w:tc>
          <w:tcPr>
            <w:tcW w:w="4135" w:type="dxa"/>
            <w:tcBorders>
              <w:top w:val="nil"/>
              <w:left w:val="single" w:sz="8" w:space="0" w:color="auto"/>
              <w:bottom w:val="single" w:sz="4" w:space="0" w:color="auto"/>
              <w:right w:val="single" w:sz="4" w:space="0" w:color="auto"/>
            </w:tcBorders>
            <w:shd w:val="clear" w:color="auto" w:fill="auto"/>
            <w:vAlign w:val="bottom"/>
            <w:hideMark/>
          </w:tcPr>
          <w:p w14:paraId="574E2F9C" w14:textId="3944A4E0" w:rsidR="00E8745E" w:rsidRPr="00E83C5E" w:rsidRDefault="00E8745E" w:rsidP="00444B63">
            <w:pPr>
              <w:spacing w:after="0" w:line="240" w:lineRule="auto"/>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3.2 Objektivi </w:t>
            </w:r>
            <w:r w:rsidR="004B2DAF" w:rsidRPr="00E83C5E">
              <w:rPr>
                <w:rFonts w:ascii="Garamond" w:eastAsia="Times New Roman" w:hAnsi="Garamond" w:cs="Times New Roman"/>
                <w:b/>
                <w:bCs/>
                <w:color w:val="000000"/>
                <w:sz w:val="18"/>
                <w:szCs w:val="18"/>
              </w:rPr>
              <w:t xml:space="preserve">specifik </w:t>
            </w:r>
            <w:r w:rsidRPr="00E83C5E">
              <w:rPr>
                <w:rFonts w:ascii="Garamond" w:eastAsia="Times New Roman" w:hAnsi="Garamond" w:cs="Times New Roman"/>
                <w:b/>
                <w:bCs/>
                <w:color w:val="000000"/>
                <w:sz w:val="18"/>
                <w:szCs w:val="18"/>
              </w:rPr>
              <w:t>2: Të rejave dhe të rinjve ju ofrohen shërbime shëndetësore miqësore dhe</w:t>
            </w:r>
            <w:r w:rsidR="00233C37" w:rsidRPr="00E83C5E">
              <w:rPr>
                <w:rFonts w:ascii="Garamond" w:eastAsia="Times New Roman" w:hAnsi="Garamond" w:cs="Times New Roman"/>
                <w:b/>
                <w:bCs/>
                <w:color w:val="000000"/>
                <w:sz w:val="18"/>
                <w:szCs w:val="18"/>
              </w:rPr>
              <w:t xml:space="preserve"> </w:t>
            </w:r>
            <w:r w:rsidRPr="00E83C5E">
              <w:rPr>
                <w:rFonts w:ascii="Garamond" w:eastAsia="Times New Roman" w:hAnsi="Garamond" w:cs="Times New Roman"/>
                <w:b/>
                <w:bCs/>
                <w:color w:val="000000"/>
                <w:sz w:val="18"/>
                <w:szCs w:val="18"/>
              </w:rPr>
              <w:t>ata praktikojnë stile jetese të shëndetshme, veçanërisht në lidhje me shëndetin dhe mirëqenien e tyre fizike, sociale, mendore dhe seksuale</w:t>
            </w:r>
          </w:p>
        </w:tc>
        <w:tc>
          <w:tcPr>
            <w:tcW w:w="1278" w:type="dxa"/>
            <w:tcBorders>
              <w:top w:val="nil"/>
              <w:left w:val="nil"/>
              <w:bottom w:val="single" w:sz="4" w:space="0" w:color="auto"/>
              <w:right w:val="single" w:sz="4" w:space="0" w:color="auto"/>
            </w:tcBorders>
            <w:shd w:val="clear" w:color="auto" w:fill="auto"/>
            <w:vAlign w:val="center"/>
            <w:hideMark/>
          </w:tcPr>
          <w:p w14:paraId="574E2F9D" w14:textId="77777777" w:rsidR="00E8745E" w:rsidRPr="00E83C5E" w:rsidRDefault="00E8745E" w:rsidP="00444B63">
            <w:pPr>
              <w:spacing w:after="0" w:line="240" w:lineRule="auto"/>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MSHRF dhe MSHMS</w:t>
            </w:r>
          </w:p>
        </w:tc>
        <w:tc>
          <w:tcPr>
            <w:tcW w:w="1602" w:type="dxa"/>
            <w:tcBorders>
              <w:top w:val="nil"/>
              <w:left w:val="nil"/>
              <w:bottom w:val="single" w:sz="4" w:space="0" w:color="auto"/>
              <w:right w:val="single" w:sz="4" w:space="0" w:color="auto"/>
            </w:tcBorders>
            <w:shd w:val="clear" w:color="auto" w:fill="auto"/>
            <w:vAlign w:val="center"/>
            <w:hideMark/>
          </w:tcPr>
          <w:p w14:paraId="574E2F9E" w14:textId="77777777" w:rsidR="00E8745E" w:rsidRPr="00E83C5E" w:rsidRDefault="00E8745E" w:rsidP="00444B63">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br/>
              <w:t>AKR, ISHP</w:t>
            </w:r>
          </w:p>
        </w:tc>
        <w:tc>
          <w:tcPr>
            <w:tcW w:w="910" w:type="dxa"/>
            <w:tcBorders>
              <w:top w:val="nil"/>
              <w:left w:val="nil"/>
              <w:bottom w:val="single" w:sz="4" w:space="0" w:color="auto"/>
              <w:right w:val="single" w:sz="4" w:space="0" w:color="auto"/>
            </w:tcBorders>
            <w:shd w:val="clear" w:color="auto" w:fill="auto"/>
            <w:vAlign w:val="center"/>
            <w:hideMark/>
          </w:tcPr>
          <w:p w14:paraId="574E2F9F"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2022</w:t>
            </w:r>
          </w:p>
        </w:tc>
        <w:tc>
          <w:tcPr>
            <w:tcW w:w="1190" w:type="dxa"/>
            <w:tcBorders>
              <w:top w:val="nil"/>
              <w:left w:val="nil"/>
              <w:bottom w:val="single" w:sz="4" w:space="0" w:color="auto"/>
              <w:right w:val="single" w:sz="4" w:space="0" w:color="auto"/>
            </w:tcBorders>
            <w:shd w:val="clear" w:color="auto" w:fill="auto"/>
            <w:vAlign w:val="center"/>
            <w:hideMark/>
          </w:tcPr>
          <w:p w14:paraId="574E2FA0"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2029</w:t>
            </w:r>
          </w:p>
        </w:tc>
        <w:tc>
          <w:tcPr>
            <w:tcW w:w="1410" w:type="dxa"/>
            <w:tcBorders>
              <w:top w:val="nil"/>
              <w:left w:val="nil"/>
              <w:bottom w:val="single" w:sz="4" w:space="0" w:color="auto"/>
              <w:right w:val="single" w:sz="4" w:space="0" w:color="auto"/>
            </w:tcBorders>
            <w:shd w:val="clear" w:color="auto" w:fill="auto"/>
            <w:vAlign w:val="center"/>
            <w:hideMark/>
          </w:tcPr>
          <w:p w14:paraId="574E2FA1"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161,297,116</w:t>
            </w:r>
          </w:p>
        </w:tc>
        <w:tc>
          <w:tcPr>
            <w:tcW w:w="1530" w:type="dxa"/>
            <w:tcBorders>
              <w:top w:val="nil"/>
              <w:left w:val="nil"/>
              <w:bottom w:val="single" w:sz="4" w:space="0" w:color="auto"/>
              <w:right w:val="single" w:sz="4" w:space="0" w:color="auto"/>
            </w:tcBorders>
            <w:shd w:val="clear" w:color="auto" w:fill="auto"/>
            <w:vAlign w:val="center"/>
            <w:hideMark/>
          </w:tcPr>
          <w:p w14:paraId="574E2FA2" w14:textId="77777777" w:rsidR="00E8745E" w:rsidRPr="00E83C5E" w:rsidRDefault="00E8745E" w:rsidP="00444B63">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85,214,170</w:t>
            </w:r>
          </w:p>
        </w:tc>
        <w:tc>
          <w:tcPr>
            <w:tcW w:w="1216" w:type="dxa"/>
            <w:tcBorders>
              <w:top w:val="nil"/>
              <w:left w:val="nil"/>
              <w:bottom w:val="single" w:sz="4" w:space="0" w:color="auto"/>
              <w:right w:val="single" w:sz="4" w:space="0" w:color="auto"/>
            </w:tcBorders>
            <w:shd w:val="clear" w:color="auto" w:fill="auto"/>
            <w:vAlign w:val="center"/>
            <w:hideMark/>
          </w:tcPr>
          <w:p w14:paraId="574E2FA3" w14:textId="77777777" w:rsidR="00E8745E" w:rsidRPr="00E83C5E" w:rsidRDefault="00E8745E" w:rsidP="00444B63">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4,800,000</w:t>
            </w:r>
          </w:p>
        </w:tc>
        <w:tc>
          <w:tcPr>
            <w:tcW w:w="1414" w:type="dxa"/>
            <w:tcBorders>
              <w:top w:val="nil"/>
              <w:left w:val="nil"/>
              <w:bottom w:val="single" w:sz="4" w:space="0" w:color="auto"/>
              <w:right w:val="single" w:sz="4" w:space="0" w:color="auto"/>
            </w:tcBorders>
            <w:shd w:val="clear" w:color="auto" w:fill="auto"/>
            <w:vAlign w:val="center"/>
            <w:hideMark/>
          </w:tcPr>
          <w:p w14:paraId="574E2FA4"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-71,282,946</w:t>
            </w:r>
          </w:p>
        </w:tc>
        <w:tc>
          <w:tcPr>
            <w:tcW w:w="1614" w:type="dxa"/>
            <w:tcBorders>
              <w:top w:val="nil"/>
              <w:left w:val="nil"/>
              <w:bottom w:val="single" w:sz="4" w:space="0" w:color="auto"/>
              <w:right w:val="single" w:sz="8" w:space="0" w:color="auto"/>
            </w:tcBorders>
            <w:shd w:val="clear" w:color="auto" w:fill="auto"/>
            <w:noWrap/>
            <w:vAlign w:val="center"/>
            <w:hideMark/>
          </w:tcPr>
          <w:p w14:paraId="574E2FA5"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-589,115</w:t>
            </w:r>
          </w:p>
        </w:tc>
      </w:tr>
      <w:tr w:rsidR="00E8745E" w:rsidRPr="00E83C5E" w14:paraId="574E2FB1" w14:textId="77777777" w:rsidTr="00444B63">
        <w:trPr>
          <w:trHeight w:val="1170"/>
          <w:jc w:val="center"/>
        </w:trPr>
        <w:tc>
          <w:tcPr>
            <w:tcW w:w="4135" w:type="dxa"/>
            <w:tcBorders>
              <w:top w:val="nil"/>
              <w:left w:val="single" w:sz="8" w:space="0" w:color="auto"/>
              <w:bottom w:val="single" w:sz="4" w:space="0" w:color="auto"/>
              <w:right w:val="single" w:sz="4" w:space="0" w:color="auto"/>
            </w:tcBorders>
            <w:shd w:val="clear" w:color="auto" w:fill="auto"/>
            <w:vAlign w:val="bottom"/>
            <w:hideMark/>
          </w:tcPr>
          <w:p w14:paraId="574E2FA7" w14:textId="15C2E459" w:rsidR="00E8745E" w:rsidRPr="00E83C5E" w:rsidRDefault="00E8745E" w:rsidP="00444B63">
            <w:pPr>
              <w:spacing w:after="0" w:line="240" w:lineRule="auto"/>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 xml:space="preserve">3.3 Objektivi </w:t>
            </w:r>
            <w:r w:rsidR="004B2DAF" w:rsidRPr="00E83C5E">
              <w:rPr>
                <w:rFonts w:ascii="Garamond" w:eastAsia="Times New Roman" w:hAnsi="Garamond" w:cs="Times New Roman"/>
                <w:b/>
                <w:bCs/>
                <w:color w:val="000000"/>
                <w:sz w:val="18"/>
                <w:szCs w:val="18"/>
              </w:rPr>
              <w:t xml:space="preserve">specifik </w:t>
            </w:r>
            <w:r w:rsidRPr="00E83C5E">
              <w:rPr>
                <w:rFonts w:ascii="Garamond" w:eastAsia="Times New Roman" w:hAnsi="Garamond" w:cs="Times New Roman"/>
                <w:b/>
                <w:bCs/>
                <w:color w:val="000000"/>
                <w:sz w:val="18"/>
                <w:szCs w:val="18"/>
              </w:rPr>
              <w:t>3: Të rejat dhe të rinjtë mbështeten në përfshirjen dhe integrimi në tyre në shoqëri dhe kanë mundësi</w:t>
            </w:r>
            <w:r w:rsidR="00233C37" w:rsidRPr="00E83C5E">
              <w:rPr>
                <w:rFonts w:ascii="Garamond" w:eastAsia="Times New Roman" w:hAnsi="Garamond" w:cs="Times New Roman"/>
                <w:b/>
                <w:bCs/>
                <w:color w:val="000000"/>
                <w:sz w:val="18"/>
                <w:szCs w:val="18"/>
              </w:rPr>
              <w:t xml:space="preserve"> </w:t>
            </w:r>
            <w:r w:rsidRPr="00E83C5E">
              <w:rPr>
                <w:rFonts w:ascii="Garamond" w:eastAsia="Times New Roman" w:hAnsi="Garamond" w:cs="Times New Roman"/>
                <w:b/>
                <w:bCs/>
                <w:color w:val="000000"/>
                <w:sz w:val="18"/>
                <w:szCs w:val="18"/>
              </w:rPr>
              <w:t>rekreative dhe kulturore, duke përfshirë artet dhe sportet.</w:t>
            </w:r>
          </w:p>
        </w:tc>
        <w:tc>
          <w:tcPr>
            <w:tcW w:w="1278" w:type="dxa"/>
            <w:tcBorders>
              <w:top w:val="nil"/>
              <w:left w:val="nil"/>
              <w:bottom w:val="single" w:sz="4" w:space="0" w:color="auto"/>
              <w:right w:val="single" w:sz="4" w:space="0" w:color="auto"/>
            </w:tcBorders>
            <w:shd w:val="clear" w:color="auto" w:fill="auto"/>
            <w:vAlign w:val="center"/>
            <w:hideMark/>
          </w:tcPr>
          <w:p w14:paraId="574E2FA8" w14:textId="77777777" w:rsidR="00E8745E" w:rsidRPr="00E83C5E" w:rsidRDefault="00E8745E" w:rsidP="00444B63">
            <w:pPr>
              <w:spacing w:after="0" w:line="240" w:lineRule="auto"/>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MSHRF, MSHMS dhe MIE</w:t>
            </w:r>
          </w:p>
        </w:tc>
        <w:tc>
          <w:tcPr>
            <w:tcW w:w="1602" w:type="dxa"/>
            <w:tcBorders>
              <w:top w:val="nil"/>
              <w:left w:val="nil"/>
              <w:bottom w:val="single" w:sz="4" w:space="0" w:color="auto"/>
              <w:right w:val="single" w:sz="4" w:space="0" w:color="auto"/>
            </w:tcBorders>
            <w:shd w:val="clear" w:color="auto" w:fill="auto"/>
            <w:vAlign w:val="center"/>
            <w:hideMark/>
          </w:tcPr>
          <w:p w14:paraId="574E2FA9" w14:textId="77777777" w:rsidR="00E8745E" w:rsidRPr="00E83C5E" w:rsidRDefault="00E8745E" w:rsidP="00444B63">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AKR, AMMV, Bashkitë, MAS, MSHMS, MB, MD, ASCAP</w:t>
            </w:r>
          </w:p>
        </w:tc>
        <w:tc>
          <w:tcPr>
            <w:tcW w:w="910" w:type="dxa"/>
            <w:tcBorders>
              <w:top w:val="nil"/>
              <w:left w:val="nil"/>
              <w:bottom w:val="single" w:sz="4" w:space="0" w:color="auto"/>
              <w:right w:val="single" w:sz="4" w:space="0" w:color="auto"/>
            </w:tcBorders>
            <w:shd w:val="clear" w:color="auto" w:fill="auto"/>
            <w:vAlign w:val="center"/>
            <w:hideMark/>
          </w:tcPr>
          <w:p w14:paraId="574E2FAA"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2022</w:t>
            </w:r>
          </w:p>
        </w:tc>
        <w:tc>
          <w:tcPr>
            <w:tcW w:w="1190" w:type="dxa"/>
            <w:tcBorders>
              <w:top w:val="nil"/>
              <w:left w:val="nil"/>
              <w:bottom w:val="single" w:sz="4" w:space="0" w:color="auto"/>
              <w:right w:val="single" w:sz="4" w:space="0" w:color="auto"/>
            </w:tcBorders>
            <w:shd w:val="clear" w:color="auto" w:fill="auto"/>
            <w:vAlign w:val="center"/>
            <w:hideMark/>
          </w:tcPr>
          <w:p w14:paraId="574E2FAB"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2029</w:t>
            </w:r>
          </w:p>
        </w:tc>
        <w:tc>
          <w:tcPr>
            <w:tcW w:w="1410" w:type="dxa"/>
            <w:tcBorders>
              <w:top w:val="nil"/>
              <w:left w:val="nil"/>
              <w:bottom w:val="single" w:sz="4" w:space="0" w:color="auto"/>
              <w:right w:val="single" w:sz="4" w:space="0" w:color="auto"/>
            </w:tcBorders>
            <w:shd w:val="clear" w:color="auto" w:fill="auto"/>
            <w:vAlign w:val="center"/>
            <w:hideMark/>
          </w:tcPr>
          <w:p w14:paraId="574E2FAC"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46,270,515</w:t>
            </w:r>
          </w:p>
        </w:tc>
        <w:tc>
          <w:tcPr>
            <w:tcW w:w="1530" w:type="dxa"/>
            <w:tcBorders>
              <w:top w:val="nil"/>
              <w:left w:val="nil"/>
              <w:bottom w:val="single" w:sz="4" w:space="0" w:color="auto"/>
              <w:right w:val="single" w:sz="4" w:space="0" w:color="auto"/>
            </w:tcBorders>
            <w:shd w:val="clear" w:color="auto" w:fill="auto"/>
            <w:vAlign w:val="center"/>
            <w:hideMark/>
          </w:tcPr>
          <w:p w14:paraId="574E2FAD" w14:textId="77777777" w:rsidR="00E8745E" w:rsidRPr="00E83C5E" w:rsidRDefault="00E8745E" w:rsidP="00444B63">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5,688,239</w:t>
            </w:r>
          </w:p>
        </w:tc>
        <w:tc>
          <w:tcPr>
            <w:tcW w:w="1216" w:type="dxa"/>
            <w:tcBorders>
              <w:top w:val="nil"/>
              <w:left w:val="nil"/>
              <w:bottom w:val="single" w:sz="4" w:space="0" w:color="auto"/>
              <w:right w:val="single" w:sz="4" w:space="0" w:color="auto"/>
            </w:tcBorders>
            <w:shd w:val="clear" w:color="auto" w:fill="auto"/>
            <w:vAlign w:val="center"/>
            <w:hideMark/>
          </w:tcPr>
          <w:p w14:paraId="574E2FAE" w14:textId="77777777" w:rsidR="00E8745E" w:rsidRPr="00E83C5E" w:rsidRDefault="00E8745E" w:rsidP="00444B63">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0</w:t>
            </w:r>
          </w:p>
        </w:tc>
        <w:tc>
          <w:tcPr>
            <w:tcW w:w="1414" w:type="dxa"/>
            <w:tcBorders>
              <w:top w:val="nil"/>
              <w:left w:val="nil"/>
              <w:bottom w:val="single" w:sz="4" w:space="0" w:color="auto"/>
              <w:right w:val="single" w:sz="4" w:space="0" w:color="auto"/>
            </w:tcBorders>
            <w:shd w:val="clear" w:color="auto" w:fill="auto"/>
            <w:vAlign w:val="center"/>
            <w:hideMark/>
          </w:tcPr>
          <w:p w14:paraId="574E2FAF"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-40,582,276</w:t>
            </w:r>
          </w:p>
        </w:tc>
        <w:tc>
          <w:tcPr>
            <w:tcW w:w="1614" w:type="dxa"/>
            <w:tcBorders>
              <w:top w:val="nil"/>
              <w:left w:val="nil"/>
              <w:bottom w:val="single" w:sz="4" w:space="0" w:color="auto"/>
              <w:right w:val="single" w:sz="8" w:space="0" w:color="auto"/>
            </w:tcBorders>
            <w:shd w:val="clear" w:color="auto" w:fill="auto"/>
            <w:noWrap/>
            <w:vAlign w:val="center"/>
            <w:hideMark/>
          </w:tcPr>
          <w:p w14:paraId="574E2FB0"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-335,391</w:t>
            </w:r>
          </w:p>
        </w:tc>
      </w:tr>
      <w:tr w:rsidR="00E8745E" w:rsidRPr="00E83C5E" w14:paraId="574E2FBC" w14:textId="77777777" w:rsidTr="00444B63">
        <w:trPr>
          <w:trHeight w:val="615"/>
          <w:jc w:val="center"/>
        </w:trPr>
        <w:tc>
          <w:tcPr>
            <w:tcW w:w="4135" w:type="dxa"/>
            <w:tcBorders>
              <w:top w:val="nil"/>
              <w:left w:val="single" w:sz="8" w:space="0" w:color="auto"/>
              <w:bottom w:val="single" w:sz="8" w:space="0" w:color="auto"/>
              <w:right w:val="single" w:sz="4" w:space="0" w:color="auto"/>
            </w:tcBorders>
            <w:shd w:val="clear" w:color="auto" w:fill="auto"/>
            <w:vAlign w:val="bottom"/>
            <w:hideMark/>
          </w:tcPr>
          <w:p w14:paraId="574E2FB2" w14:textId="6CCE90D0" w:rsidR="00E8745E" w:rsidRPr="00E83C5E" w:rsidRDefault="00E8745E" w:rsidP="004B2DAF">
            <w:pPr>
              <w:spacing w:after="0" w:line="240" w:lineRule="auto"/>
              <w:rPr>
                <w:rFonts w:ascii="Garamond" w:eastAsia="Times New Roman" w:hAnsi="Garamond" w:cs="Times New Roman"/>
                <w:color w:val="000000"/>
                <w:sz w:val="18"/>
                <w:szCs w:val="18"/>
              </w:rPr>
            </w:pPr>
            <w:r w:rsidRPr="00E83C5E">
              <w:rPr>
                <w:rFonts w:ascii="Garamond" w:eastAsia="Times New Roman" w:hAnsi="Garamond" w:cs="Times New Roman"/>
                <w:b/>
                <w:bCs/>
                <w:color w:val="FF0000"/>
                <w:sz w:val="18"/>
                <w:szCs w:val="18"/>
              </w:rPr>
              <w:t xml:space="preserve">Kosto totale </w:t>
            </w:r>
            <w:r w:rsidR="004B2DAF" w:rsidRPr="00E83C5E">
              <w:rPr>
                <w:rFonts w:ascii="Garamond" w:eastAsia="Times New Roman" w:hAnsi="Garamond" w:cs="Times New Roman"/>
                <w:b/>
                <w:bCs/>
                <w:color w:val="FF0000"/>
                <w:sz w:val="18"/>
                <w:szCs w:val="18"/>
              </w:rPr>
              <w:t xml:space="preserve">qëllimi i politikës </w:t>
            </w:r>
            <w:r w:rsidRPr="00E83C5E">
              <w:rPr>
                <w:rFonts w:ascii="Garamond" w:eastAsia="Times New Roman" w:hAnsi="Garamond" w:cs="Times New Roman"/>
                <w:b/>
                <w:bCs/>
                <w:color w:val="FF0000"/>
                <w:sz w:val="18"/>
                <w:szCs w:val="18"/>
              </w:rPr>
              <w:t>III</w:t>
            </w:r>
            <w:r w:rsidRPr="00E83C5E">
              <w:rPr>
                <w:rFonts w:ascii="Garamond" w:eastAsia="Times New Roman" w:hAnsi="Garamond" w:cs="Times New Roman"/>
                <w:color w:val="000000"/>
                <w:sz w:val="18"/>
                <w:szCs w:val="18"/>
              </w:rPr>
              <w:br/>
              <w:t>(objektiva specifik</w:t>
            </w:r>
            <w:r w:rsidR="004B2DAF">
              <w:rPr>
                <w:rFonts w:ascii="Garamond" w:eastAsia="Times New Roman" w:hAnsi="Garamond" w:cs="Times New Roman"/>
                <w:color w:val="000000"/>
                <w:sz w:val="18"/>
                <w:szCs w:val="18"/>
              </w:rPr>
              <w:t>ë</w:t>
            </w:r>
            <w:r w:rsidRPr="00E83C5E">
              <w:rPr>
                <w:rFonts w:ascii="Garamond" w:eastAsia="Times New Roman" w:hAnsi="Garamond" w:cs="Times New Roman"/>
                <w:color w:val="000000"/>
                <w:sz w:val="18"/>
                <w:szCs w:val="18"/>
              </w:rPr>
              <w:t xml:space="preserve"> 3.1+3.2+3.3)</w:t>
            </w:r>
          </w:p>
        </w:tc>
        <w:tc>
          <w:tcPr>
            <w:tcW w:w="1278" w:type="dxa"/>
            <w:tcBorders>
              <w:top w:val="nil"/>
              <w:left w:val="nil"/>
              <w:bottom w:val="single" w:sz="4" w:space="0" w:color="auto"/>
              <w:right w:val="single" w:sz="4" w:space="0" w:color="auto"/>
            </w:tcBorders>
            <w:shd w:val="clear" w:color="auto" w:fill="auto"/>
            <w:vAlign w:val="center"/>
            <w:hideMark/>
          </w:tcPr>
          <w:p w14:paraId="574E2FB3" w14:textId="77777777" w:rsidR="00E8745E" w:rsidRPr="00E83C5E" w:rsidRDefault="00E8745E" w:rsidP="00444B63">
            <w:pPr>
              <w:spacing w:after="0" w:line="240" w:lineRule="auto"/>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 </w:t>
            </w:r>
          </w:p>
        </w:tc>
        <w:tc>
          <w:tcPr>
            <w:tcW w:w="1602" w:type="dxa"/>
            <w:tcBorders>
              <w:top w:val="nil"/>
              <w:left w:val="nil"/>
              <w:bottom w:val="single" w:sz="4" w:space="0" w:color="auto"/>
              <w:right w:val="single" w:sz="4" w:space="0" w:color="auto"/>
            </w:tcBorders>
            <w:shd w:val="clear" w:color="auto" w:fill="auto"/>
            <w:vAlign w:val="center"/>
            <w:hideMark/>
          </w:tcPr>
          <w:p w14:paraId="574E2FB4" w14:textId="77777777" w:rsidR="00E8745E" w:rsidRPr="00E83C5E" w:rsidRDefault="00E8745E" w:rsidP="00444B63">
            <w:pPr>
              <w:spacing w:after="0" w:line="240" w:lineRule="auto"/>
              <w:jc w:val="center"/>
              <w:rPr>
                <w:rFonts w:ascii="Garamond" w:eastAsia="Times New Roman" w:hAnsi="Garamond" w:cs="Times New Roman"/>
                <w:color w:val="000000"/>
                <w:sz w:val="18"/>
                <w:szCs w:val="18"/>
              </w:rPr>
            </w:pPr>
            <w:r w:rsidRPr="00E83C5E">
              <w:rPr>
                <w:rFonts w:ascii="Garamond" w:eastAsia="Times New Roman" w:hAnsi="Garamond" w:cs="Times New Roman"/>
                <w:color w:val="000000"/>
                <w:sz w:val="18"/>
                <w:szCs w:val="18"/>
              </w:rPr>
              <w:t> </w:t>
            </w:r>
          </w:p>
        </w:tc>
        <w:tc>
          <w:tcPr>
            <w:tcW w:w="910" w:type="dxa"/>
            <w:tcBorders>
              <w:top w:val="nil"/>
              <w:left w:val="nil"/>
              <w:bottom w:val="single" w:sz="4" w:space="0" w:color="auto"/>
              <w:right w:val="single" w:sz="4" w:space="0" w:color="auto"/>
            </w:tcBorders>
            <w:shd w:val="clear" w:color="auto" w:fill="auto"/>
            <w:vAlign w:val="center"/>
            <w:hideMark/>
          </w:tcPr>
          <w:p w14:paraId="574E2FB5"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2022</w:t>
            </w:r>
          </w:p>
        </w:tc>
        <w:tc>
          <w:tcPr>
            <w:tcW w:w="1190" w:type="dxa"/>
            <w:tcBorders>
              <w:top w:val="nil"/>
              <w:left w:val="nil"/>
              <w:bottom w:val="single" w:sz="4" w:space="0" w:color="auto"/>
              <w:right w:val="single" w:sz="4" w:space="0" w:color="auto"/>
            </w:tcBorders>
            <w:shd w:val="clear" w:color="auto" w:fill="auto"/>
            <w:vAlign w:val="center"/>
            <w:hideMark/>
          </w:tcPr>
          <w:p w14:paraId="574E2FB6"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2029</w:t>
            </w:r>
          </w:p>
        </w:tc>
        <w:tc>
          <w:tcPr>
            <w:tcW w:w="1410" w:type="dxa"/>
            <w:tcBorders>
              <w:top w:val="nil"/>
              <w:left w:val="nil"/>
              <w:bottom w:val="single" w:sz="4" w:space="0" w:color="auto"/>
              <w:right w:val="single" w:sz="4" w:space="0" w:color="auto"/>
            </w:tcBorders>
            <w:shd w:val="clear" w:color="auto" w:fill="auto"/>
            <w:vAlign w:val="center"/>
            <w:hideMark/>
          </w:tcPr>
          <w:p w14:paraId="574E2FB7"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373,535,404</w:t>
            </w:r>
          </w:p>
        </w:tc>
        <w:tc>
          <w:tcPr>
            <w:tcW w:w="1530" w:type="dxa"/>
            <w:tcBorders>
              <w:top w:val="nil"/>
              <w:left w:val="nil"/>
              <w:bottom w:val="single" w:sz="4" w:space="0" w:color="auto"/>
              <w:right w:val="single" w:sz="4" w:space="0" w:color="auto"/>
            </w:tcBorders>
            <w:shd w:val="clear" w:color="auto" w:fill="auto"/>
            <w:vAlign w:val="center"/>
            <w:hideMark/>
          </w:tcPr>
          <w:p w14:paraId="574E2FB8"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206,221,345</w:t>
            </w:r>
          </w:p>
        </w:tc>
        <w:tc>
          <w:tcPr>
            <w:tcW w:w="1216" w:type="dxa"/>
            <w:tcBorders>
              <w:top w:val="nil"/>
              <w:left w:val="nil"/>
              <w:bottom w:val="single" w:sz="4" w:space="0" w:color="auto"/>
              <w:right w:val="single" w:sz="4" w:space="0" w:color="auto"/>
            </w:tcBorders>
            <w:shd w:val="clear" w:color="auto" w:fill="auto"/>
            <w:vAlign w:val="center"/>
            <w:hideMark/>
          </w:tcPr>
          <w:p w14:paraId="574E2FB9"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4,800,000</w:t>
            </w:r>
          </w:p>
        </w:tc>
        <w:tc>
          <w:tcPr>
            <w:tcW w:w="1414" w:type="dxa"/>
            <w:tcBorders>
              <w:top w:val="nil"/>
              <w:left w:val="nil"/>
              <w:bottom w:val="single" w:sz="4" w:space="0" w:color="auto"/>
              <w:right w:val="single" w:sz="4" w:space="0" w:color="auto"/>
            </w:tcBorders>
            <w:shd w:val="clear" w:color="auto" w:fill="auto"/>
            <w:vAlign w:val="center"/>
            <w:hideMark/>
          </w:tcPr>
          <w:p w14:paraId="574E2FBA"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-162,514,059</w:t>
            </w:r>
          </w:p>
        </w:tc>
        <w:tc>
          <w:tcPr>
            <w:tcW w:w="1614" w:type="dxa"/>
            <w:tcBorders>
              <w:top w:val="nil"/>
              <w:left w:val="nil"/>
              <w:bottom w:val="single" w:sz="4" w:space="0" w:color="auto"/>
              <w:right w:val="single" w:sz="8" w:space="0" w:color="auto"/>
            </w:tcBorders>
            <w:shd w:val="clear" w:color="auto" w:fill="auto"/>
            <w:noWrap/>
            <w:vAlign w:val="center"/>
            <w:hideMark/>
          </w:tcPr>
          <w:p w14:paraId="574E2FBB" w14:textId="77777777" w:rsidR="00E8745E" w:rsidRPr="00E83C5E" w:rsidRDefault="00E8745E" w:rsidP="00444B63">
            <w:pPr>
              <w:spacing w:after="0" w:line="240" w:lineRule="auto"/>
              <w:jc w:val="center"/>
              <w:rPr>
                <w:rFonts w:ascii="Garamond" w:eastAsia="Times New Roman" w:hAnsi="Garamond" w:cs="Times New Roman"/>
                <w:b/>
                <w:bCs/>
                <w:color w:val="000000"/>
                <w:sz w:val="18"/>
                <w:szCs w:val="18"/>
              </w:rPr>
            </w:pPr>
            <w:r w:rsidRPr="00E83C5E">
              <w:rPr>
                <w:rFonts w:ascii="Garamond" w:eastAsia="Times New Roman" w:hAnsi="Garamond" w:cs="Times New Roman"/>
                <w:b/>
                <w:bCs/>
                <w:color w:val="000000"/>
                <w:sz w:val="18"/>
                <w:szCs w:val="18"/>
              </w:rPr>
              <w:t>-1,343,091</w:t>
            </w:r>
          </w:p>
        </w:tc>
      </w:tr>
      <w:tr w:rsidR="00E8745E" w:rsidRPr="00E83C5E" w14:paraId="574E2FC7" w14:textId="77777777" w:rsidTr="00444B63">
        <w:trPr>
          <w:trHeight w:val="886"/>
          <w:jc w:val="center"/>
        </w:trPr>
        <w:tc>
          <w:tcPr>
            <w:tcW w:w="4135" w:type="dxa"/>
            <w:tcBorders>
              <w:top w:val="single" w:sz="4" w:space="0" w:color="auto"/>
              <w:left w:val="single" w:sz="8" w:space="0" w:color="auto"/>
              <w:bottom w:val="single" w:sz="8" w:space="0" w:color="auto"/>
              <w:right w:val="single" w:sz="4" w:space="0" w:color="auto"/>
            </w:tcBorders>
            <w:shd w:val="clear" w:color="000000" w:fill="BDD7EE"/>
            <w:vAlign w:val="center"/>
            <w:hideMark/>
          </w:tcPr>
          <w:p w14:paraId="574E2FBD" w14:textId="3A054932" w:rsidR="00E8745E" w:rsidRPr="00E83C5E" w:rsidRDefault="00E8745E" w:rsidP="00444B63">
            <w:pPr>
              <w:spacing w:after="0" w:line="240" w:lineRule="auto"/>
              <w:rPr>
                <w:rFonts w:ascii="Garamond" w:eastAsia="Times New Roman" w:hAnsi="Garamond" w:cs="Times New Roman"/>
                <w:b/>
                <w:bCs/>
                <w:color w:val="FF0000"/>
                <w:sz w:val="18"/>
                <w:szCs w:val="18"/>
              </w:rPr>
            </w:pPr>
            <w:r w:rsidRPr="00E83C5E">
              <w:rPr>
                <w:rFonts w:ascii="Garamond" w:eastAsia="Times New Roman" w:hAnsi="Garamond" w:cs="Times New Roman"/>
                <w:b/>
                <w:bCs/>
                <w:color w:val="FF0000"/>
                <w:sz w:val="18"/>
                <w:szCs w:val="18"/>
              </w:rPr>
              <w:t xml:space="preserve">Kosto </w:t>
            </w:r>
            <w:r w:rsidR="004B2DAF" w:rsidRPr="00E83C5E">
              <w:rPr>
                <w:rFonts w:ascii="Garamond" w:eastAsia="Times New Roman" w:hAnsi="Garamond" w:cs="Times New Roman"/>
                <w:b/>
                <w:bCs/>
                <w:color w:val="FF0000"/>
                <w:sz w:val="18"/>
                <w:szCs w:val="18"/>
              </w:rPr>
              <w:t xml:space="preserve">totale </w:t>
            </w:r>
            <w:r w:rsidRPr="00E83C5E">
              <w:rPr>
                <w:rFonts w:ascii="Garamond" w:eastAsia="Times New Roman" w:hAnsi="Garamond" w:cs="Times New Roman"/>
                <w:b/>
                <w:bCs/>
                <w:color w:val="FF0000"/>
                <w:sz w:val="18"/>
                <w:szCs w:val="18"/>
              </w:rPr>
              <w:t>Strategjia Ndërsektoriale e Rinisë</w:t>
            </w:r>
          </w:p>
        </w:tc>
        <w:tc>
          <w:tcPr>
            <w:tcW w:w="1278" w:type="dxa"/>
            <w:tcBorders>
              <w:top w:val="nil"/>
              <w:left w:val="nil"/>
              <w:bottom w:val="single" w:sz="8" w:space="0" w:color="auto"/>
              <w:right w:val="single" w:sz="4" w:space="0" w:color="auto"/>
            </w:tcBorders>
            <w:shd w:val="clear" w:color="000000" w:fill="BDD7EE"/>
            <w:noWrap/>
            <w:vAlign w:val="center"/>
            <w:hideMark/>
          </w:tcPr>
          <w:p w14:paraId="574E2FBE" w14:textId="77777777" w:rsidR="00E8745E" w:rsidRPr="00E83C5E" w:rsidRDefault="00E8745E" w:rsidP="00444B63">
            <w:pPr>
              <w:spacing w:after="0" w:line="240" w:lineRule="auto"/>
              <w:rPr>
                <w:rFonts w:ascii="Garamond" w:eastAsia="Times New Roman" w:hAnsi="Garamond" w:cs="Times New Roman"/>
                <w:b/>
                <w:bCs/>
                <w:color w:val="FF0000"/>
                <w:sz w:val="18"/>
                <w:szCs w:val="18"/>
              </w:rPr>
            </w:pPr>
            <w:r w:rsidRPr="00E83C5E">
              <w:rPr>
                <w:rFonts w:ascii="Garamond" w:eastAsia="Times New Roman" w:hAnsi="Garamond" w:cs="Times New Roman"/>
                <w:b/>
                <w:bCs/>
                <w:color w:val="FF0000"/>
                <w:sz w:val="18"/>
                <w:szCs w:val="18"/>
              </w:rPr>
              <w:t> </w:t>
            </w:r>
          </w:p>
        </w:tc>
        <w:tc>
          <w:tcPr>
            <w:tcW w:w="1602" w:type="dxa"/>
            <w:tcBorders>
              <w:top w:val="nil"/>
              <w:left w:val="nil"/>
              <w:bottom w:val="single" w:sz="8" w:space="0" w:color="auto"/>
              <w:right w:val="single" w:sz="4" w:space="0" w:color="auto"/>
            </w:tcBorders>
            <w:shd w:val="clear" w:color="000000" w:fill="BDD7EE"/>
            <w:noWrap/>
            <w:vAlign w:val="center"/>
            <w:hideMark/>
          </w:tcPr>
          <w:p w14:paraId="574E2FBF" w14:textId="77777777" w:rsidR="00E8745E" w:rsidRPr="00E83C5E" w:rsidRDefault="00E8745E" w:rsidP="00444B63">
            <w:pPr>
              <w:spacing w:after="0" w:line="240" w:lineRule="auto"/>
              <w:rPr>
                <w:rFonts w:ascii="Garamond" w:eastAsia="Times New Roman" w:hAnsi="Garamond" w:cs="Times New Roman"/>
                <w:b/>
                <w:bCs/>
                <w:color w:val="FF0000"/>
                <w:sz w:val="18"/>
                <w:szCs w:val="18"/>
              </w:rPr>
            </w:pPr>
            <w:r w:rsidRPr="00E83C5E">
              <w:rPr>
                <w:rFonts w:ascii="Garamond" w:eastAsia="Times New Roman" w:hAnsi="Garamond" w:cs="Times New Roman"/>
                <w:b/>
                <w:bCs/>
                <w:color w:val="FF0000"/>
                <w:sz w:val="18"/>
                <w:szCs w:val="18"/>
              </w:rPr>
              <w:t> </w:t>
            </w:r>
          </w:p>
        </w:tc>
        <w:tc>
          <w:tcPr>
            <w:tcW w:w="910" w:type="dxa"/>
            <w:tcBorders>
              <w:top w:val="nil"/>
              <w:left w:val="nil"/>
              <w:bottom w:val="single" w:sz="8" w:space="0" w:color="auto"/>
              <w:right w:val="single" w:sz="4" w:space="0" w:color="auto"/>
            </w:tcBorders>
            <w:shd w:val="clear" w:color="000000" w:fill="BDD7EE"/>
            <w:noWrap/>
            <w:vAlign w:val="center"/>
            <w:hideMark/>
          </w:tcPr>
          <w:p w14:paraId="574E2FC0" w14:textId="77777777" w:rsidR="00E8745E" w:rsidRPr="00E83C5E" w:rsidRDefault="00E8745E" w:rsidP="00444B63">
            <w:pPr>
              <w:spacing w:after="0" w:line="240" w:lineRule="auto"/>
              <w:rPr>
                <w:rFonts w:ascii="Garamond" w:eastAsia="Times New Roman" w:hAnsi="Garamond" w:cs="Times New Roman"/>
                <w:b/>
                <w:bCs/>
                <w:color w:val="FF0000"/>
                <w:sz w:val="18"/>
                <w:szCs w:val="18"/>
              </w:rPr>
            </w:pPr>
            <w:r w:rsidRPr="00E83C5E">
              <w:rPr>
                <w:rFonts w:ascii="Garamond" w:eastAsia="Times New Roman" w:hAnsi="Garamond" w:cs="Times New Roman"/>
                <w:b/>
                <w:bCs/>
                <w:color w:val="FF0000"/>
                <w:sz w:val="18"/>
                <w:szCs w:val="18"/>
              </w:rPr>
              <w:t> </w:t>
            </w:r>
          </w:p>
        </w:tc>
        <w:tc>
          <w:tcPr>
            <w:tcW w:w="1190" w:type="dxa"/>
            <w:tcBorders>
              <w:top w:val="nil"/>
              <w:left w:val="nil"/>
              <w:bottom w:val="single" w:sz="8" w:space="0" w:color="auto"/>
              <w:right w:val="single" w:sz="4" w:space="0" w:color="auto"/>
            </w:tcBorders>
            <w:shd w:val="clear" w:color="000000" w:fill="BDD7EE"/>
            <w:noWrap/>
            <w:vAlign w:val="center"/>
            <w:hideMark/>
          </w:tcPr>
          <w:p w14:paraId="574E2FC1" w14:textId="77777777" w:rsidR="00E8745E" w:rsidRPr="00E83C5E" w:rsidRDefault="00E8745E" w:rsidP="00444B63">
            <w:pPr>
              <w:spacing w:after="0" w:line="240" w:lineRule="auto"/>
              <w:rPr>
                <w:rFonts w:ascii="Garamond" w:eastAsia="Times New Roman" w:hAnsi="Garamond" w:cs="Times New Roman"/>
                <w:b/>
                <w:bCs/>
                <w:color w:val="FF0000"/>
                <w:sz w:val="18"/>
                <w:szCs w:val="18"/>
              </w:rPr>
            </w:pPr>
            <w:r w:rsidRPr="00E83C5E">
              <w:rPr>
                <w:rFonts w:ascii="Garamond" w:eastAsia="Times New Roman" w:hAnsi="Garamond" w:cs="Times New Roman"/>
                <w:b/>
                <w:bCs/>
                <w:color w:val="FF0000"/>
                <w:sz w:val="18"/>
                <w:szCs w:val="18"/>
              </w:rPr>
              <w:t> </w:t>
            </w:r>
          </w:p>
        </w:tc>
        <w:tc>
          <w:tcPr>
            <w:tcW w:w="1410" w:type="dxa"/>
            <w:tcBorders>
              <w:top w:val="nil"/>
              <w:left w:val="nil"/>
              <w:bottom w:val="single" w:sz="8" w:space="0" w:color="auto"/>
              <w:right w:val="single" w:sz="4" w:space="0" w:color="auto"/>
            </w:tcBorders>
            <w:shd w:val="clear" w:color="000000" w:fill="BDD7EE"/>
            <w:noWrap/>
            <w:vAlign w:val="center"/>
            <w:hideMark/>
          </w:tcPr>
          <w:p w14:paraId="574E2FC2" w14:textId="77777777" w:rsidR="00E8745E" w:rsidRPr="00E83C5E" w:rsidRDefault="00E8745E" w:rsidP="00444B63">
            <w:pPr>
              <w:spacing w:after="0" w:line="240" w:lineRule="auto"/>
              <w:jc w:val="center"/>
              <w:rPr>
                <w:rFonts w:ascii="Garamond" w:eastAsia="Times New Roman" w:hAnsi="Garamond" w:cs="Times New Roman"/>
                <w:b/>
                <w:bCs/>
                <w:color w:val="FF0000"/>
                <w:sz w:val="18"/>
                <w:szCs w:val="18"/>
              </w:rPr>
            </w:pPr>
            <w:r w:rsidRPr="00E83C5E">
              <w:rPr>
                <w:rFonts w:ascii="Garamond" w:eastAsia="Times New Roman" w:hAnsi="Garamond" w:cs="Times New Roman"/>
                <w:b/>
                <w:bCs/>
                <w:color w:val="FF0000"/>
                <w:sz w:val="18"/>
                <w:szCs w:val="18"/>
              </w:rPr>
              <w:t>5,570,086,793</w:t>
            </w:r>
          </w:p>
        </w:tc>
        <w:tc>
          <w:tcPr>
            <w:tcW w:w="1530" w:type="dxa"/>
            <w:tcBorders>
              <w:top w:val="nil"/>
              <w:left w:val="nil"/>
              <w:bottom w:val="single" w:sz="8" w:space="0" w:color="auto"/>
              <w:right w:val="single" w:sz="4" w:space="0" w:color="auto"/>
            </w:tcBorders>
            <w:shd w:val="clear" w:color="000000" w:fill="BDD7EE"/>
            <w:noWrap/>
            <w:vAlign w:val="center"/>
            <w:hideMark/>
          </w:tcPr>
          <w:p w14:paraId="574E2FC3" w14:textId="77777777" w:rsidR="00E8745E" w:rsidRPr="00E83C5E" w:rsidRDefault="00E8745E" w:rsidP="00444B63">
            <w:pPr>
              <w:spacing w:after="0" w:line="240" w:lineRule="auto"/>
              <w:jc w:val="center"/>
              <w:rPr>
                <w:rFonts w:ascii="Garamond" w:eastAsia="Times New Roman" w:hAnsi="Garamond" w:cs="Times New Roman"/>
                <w:b/>
                <w:bCs/>
                <w:color w:val="FF0000"/>
                <w:sz w:val="18"/>
                <w:szCs w:val="18"/>
              </w:rPr>
            </w:pPr>
            <w:r w:rsidRPr="00E83C5E">
              <w:rPr>
                <w:rFonts w:ascii="Garamond" w:eastAsia="Times New Roman" w:hAnsi="Garamond" w:cs="Times New Roman"/>
                <w:b/>
                <w:bCs/>
                <w:color w:val="FF0000"/>
                <w:sz w:val="18"/>
                <w:szCs w:val="18"/>
              </w:rPr>
              <w:t>3,956,601,251</w:t>
            </w:r>
          </w:p>
        </w:tc>
        <w:tc>
          <w:tcPr>
            <w:tcW w:w="1216" w:type="dxa"/>
            <w:tcBorders>
              <w:top w:val="nil"/>
              <w:left w:val="nil"/>
              <w:bottom w:val="single" w:sz="8" w:space="0" w:color="auto"/>
              <w:right w:val="single" w:sz="4" w:space="0" w:color="auto"/>
            </w:tcBorders>
            <w:shd w:val="clear" w:color="000000" w:fill="BDD7EE"/>
            <w:noWrap/>
            <w:vAlign w:val="center"/>
            <w:hideMark/>
          </w:tcPr>
          <w:p w14:paraId="574E2FC4" w14:textId="77777777" w:rsidR="00E8745E" w:rsidRPr="00E83C5E" w:rsidRDefault="00E8745E" w:rsidP="00444B63">
            <w:pPr>
              <w:spacing w:after="0" w:line="240" w:lineRule="auto"/>
              <w:jc w:val="center"/>
              <w:rPr>
                <w:rFonts w:ascii="Garamond" w:eastAsia="Times New Roman" w:hAnsi="Garamond" w:cs="Times New Roman"/>
                <w:b/>
                <w:bCs/>
                <w:color w:val="FF0000"/>
                <w:sz w:val="18"/>
                <w:szCs w:val="18"/>
              </w:rPr>
            </w:pPr>
            <w:r w:rsidRPr="00E83C5E">
              <w:rPr>
                <w:rFonts w:ascii="Garamond" w:eastAsia="Times New Roman" w:hAnsi="Garamond" w:cs="Times New Roman"/>
                <w:b/>
                <w:bCs/>
                <w:color w:val="FF0000"/>
                <w:sz w:val="18"/>
                <w:szCs w:val="18"/>
              </w:rPr>
              <w:t>573,090,000</w:t>
            </w:r>
          </w:p>
        </w:tc>
        <w:tc>
          <w:tcPr>
            <w:tcW w:w="1414" w:type="dxa"/>
            <w:tcBorders>
              <w:top w:val="nil"/>
              <w:left w:val="nil"/>
              <w:bottom w:val="single" w:sz="8" w:space="0" w:color="auto"/>
              <w:right w:val="single" w:sz="4" w:space="0" w:color="auto"/>
            </w:tcBorders>
            <w:shd w:val="clear" w:color="000000" w:fill="BDD7EE"/>
            <w:noWrap/>
            <w:vAlign w:val="center"/>
            <w:hideMark/>
          </w:tcPr>
          <w:p w14:paraId="574E2FC5" w14:textId="77777777" w:rsidR="00E8745E" w:rsidRPr="00E83C5E" w:rsidRDefault="00E8745E" w:rsidP="00444B63">
            <w:pPr>
              <w:spacing w:after="0" w:line="240" w:lineRule="auto"/>
              <w:jc w:val="center"/>
              <w:rPr>
                <w:rFonts w:ascii="Garamond" w:eastAsia="Times New Roman" w:hAnsi="Garamond" w:cs="Times New Roman"/>
                <w:b/>
                <w:bCs/>
                <w:color w:val="FF0000"/>
                <w:sz w:val="18"/>
                <w:szCs w:val="18"/>
              </w:rPr>
            </w:pPr>
            <w:r w:rsidRPr="00E83C5E">
              <w:rPr>
                <w:rFonts w:ascii="Garamond" w:eastAsia="Times New Roman" w:hAnsi="Garamond" w:cs="Times New Roman"/>
                <w:b/>
                <w:bCs/>
                <w:color w:val="FF0000"/>
                <w:sz w:val="18"/>
                <w:szCs w:val="18"/>
              </w:rPr>
              <w:t>-1,040,395,542</w:t>
            </w:r>
          </w:p>
        </w:tc>
        <w:tc>
          <w:tcPr>
            <w:tcW w:w="1614" w:type="dxa"/>
            <w:tcBorders>
              <w:top w:val="nil"/>
              <w:left w:val="nil"/>
              <w:bottom w:val="single" w:sz="8" w:space="0" w:color="auto"/>
              <w:right w:val="single" w:sz="8" w:space="0" w:color="auto"/>
            </w:tcBorders>
            <w:shd w:val="clear" w:color="000000" w:fill="BDD7EE"/>
            <w:noWrap/>
            <w:vAlign w:val="center"/>
            <w:hideMark/>
          </w:tcPr>
          <w:p w14:paraId="574E2FC6" w14:textId="77777777" w:rsidR="00E8745E" w:rsidRPr="00E83C5E" w:rsidRDefault="00E8745E" w:rsidP="00444B63">
            <w:pPr>
              <w:spacing w:after="0" w:line="240" w:lineRule="auto"/>
              <w:jc w:val="center"/>
              <w:rPr>
                <w:rFonts w:ascii="Garamond" w:eastAsia="Times New Roman" w:hAnsi="Garamond" w:cs="Times New Roman"/>
                <w:b/>
                <w:bCs/>
                <w:color w:val="FF0000"/>
                <w:sz w:val="18"/>
                <w:szCs w:val="18"/>
              </w:rPr>
            </w:pPr>
            <w:r w:rsidRPr="00E83C5E">
              <w:rPr>
                <w:rFonts w:ascii="Garamond" w:eastAsia="Times New Roman" w:hAnsi="Garamond" w:cs="Times New Roman"/>
                <w:b/>
                <w:bCs/>
                <w:color w:val="FF0000"/>
                <w:sz w:val="18"/>
                <w:szCs w:val="18"/>
              </w:rPr>
              <w:t>-8,598,310</w:t>
            </w:r>
          </w:p>
        </w:tc>
      </w:tr>
    </w:tbl>
    <w:p w14:paraId="574E2FC8" w14:textId="77777777" w:rsidR="00E8745E" w:rsidRPr="00E83C5E" w:rsidRDefault="00E8745E" w:rsidP="007D4822">
      <w:pPr>
        <w:pStyle w:val="TEKSTIII"/>
      </w:pPr>
    </w:p>
    <w:p w14:paraId="574E2FC9" w14:textId="77777777" w:rsidR="0093348A" w:rsidRPr="00E83C5E" w:rsidRDefault="0093348A" w:rsidP="007D4822">
      <w:pPr>
        <w:pStyle w:val="TEKSTIII"/>
      </w:pPr>
    </w:p>
    <w:p w14:paraId="574E2FCA" w14:textId="77777777" w:rsidR="0093348A" w:rsidRPr="00E83C5E" w:rsidRDefault="0093348A" w:rsidP="007D4822">
      <w:pPr>
        <w:pStyle w:val="TEKSTIII"/>
      </w:pPr>
    </w:p>
    <w:p w14:paraId="574E2FCB" w14:textId="77777777" w:rsidR="0093348A" w:rsidRPr="00E83C5E" w:rsidRDefault="0093348A" w:rsidP="007D4822">
      <w:pPr>
        <w:pStyle w:val="TEKSTIII"/>
      </w:pPr>
    </w:p>
    <w:p w14:paraId="574E2FCC" w14:textId="77777777" w:rsidR="0093348A" w:rsidRPr="00E83C5E" w:rsidRDefault="0093348A" w:rsidP="007D4822">
      <w:pPr>
        <w:pStyle w:val="TEKSTIII"/>
      </w:pPr>
    </w:p>
    <w:p w14:paraId="574E2FCD" w14:textId="77777777" w:rsidR="0093348A" w:rsidRPr="00E83C5E" w:rsidRDefault="0093348A" w:rsidP="007D4822">
      <w:pPr>
        <w:pStyle w:val="TEKSTIII"/>
        <w:sectPr w:rsidR="0093348A" w:rsidRPr="00E83C5E" w:rsidSect="00951336">
          <w:pgSz w:w="16840" w:h="11907" w:orient="landscape" w:code="9"/>
          <w:pgMar w:top="1418" w:right="1418" w:bottom="1418" w:left="1418" w:header="1304" w:footer="1134" w:gutter="0"/>
          <w:cols w:space="720"/>
          <w:docGrid w:linePitch="360"/>
        </w:sectPr>
      </w:pPr>
    </w:p>
    <w:p w14:paraId="574E2FCE" w14:textId="00B629C7" w:rsidR="0093348A" w:rsidRPr="00E83C5E" w:rsidRDefault="0093348A" w:rsidP="0093348A">
      <w:pPr>
        <w:pStyle w:val="TEKSTIII"/>
        <w:rPr>
          <w:b/>
        </w:rPr>
      </w:pPr>
      <w:r w:rsidRPr="00E83C5E">
        <w:rPr>
          <w:b/>
        </w:rPr>
        <w:lastRenderedPageBreak/>
        <w:t xml:space="preserve">Treguesit e </w:t>
      </w:r>
      <w:r w:rsidR="00E24B3A" w:rsidRPr="00E83C5E">
        <w:rPr>
          <w:b/>
        </w:rPr>
        <w:t>m</w:t>
      </w:r>
      <w:r w:rsidRPr="00E83C5E">
        <w:rPr>
          <w:b/>
        </w:rPr>
        <w:t>onitorimit të dokumentit të Strategjisë</w:t>
      </w:r>
    </w:p>
    <w:p w14:paraId="574E2FD0" w14:textId="3DA82BA4" w:rsidR="0093348A" w:rsidRPr="00E83C5E" w:rsidRDefault="0093348A" w:rsidP="0093348A">
      <w:pPr>
        <w:pStyle w:val="TEKSTIII"/>
      </w:pPr>
      <w:r w:rsidRPr="00E83C5E">
        <w:t xml:space="preserve">Treguesit e </w:t>
      </w:r>
      <w:r w:rsidR="00E24B3A" w:rsidRPr="00E83C5E">
        <w:t>m</w:t>
      </w:r>
      <w:r w:rsidRPr="00E83C5E">
        <w:t>onitorimit të SKR</w:t>
      </w:r>
      <w:r w:rsidR="00E24B3A" w:rsidRPr="00E83C5E">
        <w:t>-së</w:t>
      </w:r>
      <w:r w:rsidRPr="00E83C5E">
        <w:t xml:space="preserve"> do të bazohen në përdorimin e një numri treguesish kryesorë të performancës në lidhje me qëllimet e politikës dhe objektivat specifikë të planit të veprimit, siç pasqyrohen në këtë të fundit. Progresi i zbatimit të SKR</w:t>
      </w:r>
      <w:r w:rsidR="00E24B3A" w:rsidRPr="00E83C5E">
        <w:t>-së</w:t>
      </w:r>
      <w:r w:rsidRPr="00E83C5E">
        <w:t xml:space="preserve"> do të monitorohet dhe vlerësohet duke matur periodikisht treguesit, të cilët janë vendosur në përputhje me qëllimet dhe objektivat e politikës përkatëse. Më poshtë tabela e </w:t>
      </w:r>
      <w:r w:rsidR="00E24B3A" w:rsidRPr="00E83C5E">
        <w:t xml:space="preserve">tregueseve kryesorë të performancës </w:t>
      </w:r>
      <w:r w:rsidRPr="00E83C5E">
        <w:t>sipas tr</w:t>
      </w:r>
      <w:r w:rsidR="00E24B3A" w:rsidRPr="00E83C5E">
        <w:t>i</w:t>
      </w:r>
      <w:r w:rsidRPr="00E83C5E">
        <w:t xml:space="preserve"> qëllimeve të politikës të SKR</w:t>
      </w:r>
      <w:r w:rsidR="00E24B3A" w:rsidRPr="00E83C5E">
        <w:t>-së</w:t>
      </w:r>
      <w:r w:rsidRPr="00E83C5E">
        <w:t>.</w:t>
      </w:r>
    </w:p>
    <w:p w14:paraId="574E2FD1" w14:textId="05A8B5B1" w:rsidR="0093348A" w:rsidRPr="00E83C5E" w:rsidRDefault="0093348A" w:rsidP="0093348A">
      <w:pPr>
        <w:pStyle w:val="Caption"/>
        <w:keepNext/>
        <w:spacing w:after="0"/>
        <w:rPr>
          <w:rFonts w:ascii="Garamond" w:hAnsi="Garamond"/>
          <w:color w:val="000000" w:themeColor="text1"/>
          <w:sz w:val="22"/>
        </w:rPr>
      </w:pPr>
      <w:r w:rsidRPr="00E83C5E">
        <w:rPr>
          <w:rFonts w:ascii="Garamond" w:hAnsi="Garamond"/>
          <w:color w:val="000000" w:themeColor="text1"/>
          <w:sz w:val="22"/>
        </w:rPr>
        <w:t xml:space="preserve">Tabela </w:t>
      </w:r>
      <w:r w:rsidRPr="00E83C5E">
        <w:rPr>
          <w:rFonts w:ascii="Garamond" w:hAnsi="Garamond"/>
          <w:color w:val="000000" w:themeColor="text1"/>
          <w:sz w:val="22"/>
        </w:rPr>
        <w:fldChar w:fldCharType="begin"/>
      </w:r>
      <w:r w:rsidRPr="00E83C5E">
        <w:rPr>
          <w:rFonts w:ascii="Garamond" w:hAnsi="Garamond"/>
          <w:color w:val="000000" w:themeColor="text1"/>
          <w:sz w:val="22"/>
        </w:rPr>
        <w:instrText xml:space="preserve"> SEQ Tabela \* ARABIC </w:instrText>
      </w:r>
      <w:r w:rsidRPr="00E83C5E">
        <w:rPr>
          <w:rFonts w:ascii="Garamond" w:hAnsi="Garamond"/>
          <w:color w:val="000000" w:themeColor="text1"/>
          <w:sz w:val="22"/>
        </w:rPr>
        <w:fldChar w:fldCharType="separate"/>
      </w:r>
      <w:r w:rsidRPr="00E83C5E">
        <w:rPr>
          <w:rFonts w:ascii="Garamond" w:hAnsi="Garamond"/>
          <w:color w:val="000000" w:themeColor="text1"/>
          <w:sz w:val="22"/>
        </w:rPr>
        <w:t>21</w:t>
      </w:r>
      <w:r w:rsidRPr="00E83C5E">
        <w:rPr>
          <w:rFonts w:ascii="Garamond" w:hAnsi="Garamond"/>
          <w:color w:val="000000" w:themeColor="text1"/>
          <w:sz w:val="22"/>
        </w:rPr>
        <w:fldChar w:fldCharType="end"/>
      </w:r>
      <w:r w:rsidRPr="00E83C5E">
        <w:rPr>
          <w:rFonts w:ascii="Garamond" w:hAnsi="Garamond"/>
          <w:color w:val="000000" w:themeColor="text1"/>
          <w:sz w:val="22"/>
        </w:rPr>
        <w:t>: Treguesit e Monitorimit të</w:t>
      </w:r>
      <w:r w:rsidR="00233C37" w:rsidRPr="00E83C5E">
        <w:rPr>
          <w:rFonts w:ascii="Garamond" w:hAnsi="Garamond"/>
          <w:color w:val="000000" w:themeColor="text1"/>
          <w:sz w:val="22"/>
        </w:rPr>
        <w:t xml:space="preserve"> </w:t>
      </w:r>
      <w:r w:rsidRPr="00E83C5E">
        <w:rPr>
          <w:rFonts w:ascii="Garamond" w:hAnsi="Garamond"/>
          <w:color w:val="000000" w:themeColor="text1"/>
          <w:sz w:val="22"/>
        </w:rPr>
        <w:t>SKR</w:t>
      </w:r>
      <w:r w:rsidR="00E24B3A" w:rsidRPr="00E83C5E">
        <w:rPr>
          <w:rFonts w:ascii="Garamond" w:hAnsi="Garamond"/>
          <w:sz w:val="20"/>
        </w:rPr>
        <w:t>-së</w:t>
      </w:r>
      <w:r w:rsidRPr="00E83C5E">
        <w:rPr>
          <w:rFonts w:ascii="Garamond" w:hAnsi="Garamond"/>
          <w:color w:val="000000" w:themeColor="text1"/>
          <w:sz w:val="24"/>
        </w:rPr>
        <w:t xml:space="preserve"> </w:t>
      </w:r>
      <w:r w:rsidRPr="00E83C5E">
        <w:rPr>
          <w:rFonts w:ascii="Garamond" w:hAnsi="Garamond"/>
          <w:color w:val="000000" w:themeColor="text1"/>
          <w:sz w:val="22"/>
        </w:rPr>
        <w:t>2022</w:t>
      </w:r>
      <w:r w:rsidR="00E24B3A" w:rsidRPr="00E83C5E">
        <w:rPr>
          <w:rFonts w:ascii="Garamond" w:hAnsi="Garamond"/>
          <w:color w:val="000000" w:themeColor="text1"/>
          <w:sz w:val="22"/>
        </w:rPr>
        <w:t>–</w:t>
      </w:r>
      <w:r w:rsidRPr="00E83C5E">
        <w:rPr>
          <w:rFonts w:ascii="Garamond" w:hAnsi="Garamond"/>
          <w:color w:val="000000" w:themeColor="text1"/>
          <w:sz w:val="22"/>
        </w:rPr>
        <w:t>29</w:t>
      </w:r>
    </w:p>
    <w:tbl>
      <w:tblPr>
        <w:tblStyle w:val="GridTable1Light-Accent11"/>
        <w:tblpPr w:leftFromText="180" w:rightFromText="180" w:vertAnchor="text" w:horzAnchor="margin" w:tblpY="266"/>
        <w:tblW w:w="9273" w:type="dxa"/>
        <w:tblLayout w:type="fixed"/>
        <w:tblLook w:val="04A0" w:firstRow="1" w:lastRow="0" w:firstColumn="1" w:lastColumn="0" w:noHBand="0" w:noVBand="1"/>
      </w:tblPr>
      <w:tblGrid>
        <w:gridCol w:w="985"/>
        <w:gridCol w:w="2700"/>
        <w:gridCol w:w="1103"/>
        <w:gridCol w:w="1260"/>
        <w:gridCol w:w="3219"/>
        <w:gridCol w:w="6"/>
      </w:tblGrid>
      <w:tr w:rsidR="0093348A" w:rsidRPr="00E83C5E" w14:paraId="574E2FD7" w14:textId="77777777" w:rsidTr="00BE7B59">
        <w:trPr>
          <w:gridAfter w:val="1"/>
          <w:cnfStyle w:val="100000000000" w:firstRow="1" w:lastRow="0" w:firstColumn="0" w:lastColumn="0" w:oddVBand="0" w:evenVBand="0" w:oddHBand="0" w:evenHBand="0" w:firstRowFirstColumn="0" w:firstRowLastColumn="0" w:lastRowFirstColumn="0" w:lastRowLastColumn="0"/>
          <w:wAfter w:w="6" w:type="dxa"/>
          <w:trHeight w:val="50"/>
        </w:trPr>
        <w:tc>
          <w:tcPr>
            <w:cnfStyle w:val="001000000000" w:firstRow="0" w:lastRow="0" w:firstColumn="1" w:lastColumn="0" w:oddVBand="0" w:evenVBand="0" w:oddHBand="0" w:evenHBand="0" w:firstRowFirstColumn="0" w:firstRowLastColumn="0" w:lastRowFirstColumn="0" w:lastRowLastColumn="0"/>
            <w:tcW w:w="985" w:type="dxa"/>
          </w:tcPr>
          <w:p w14:paraId="574E2FD2" w14:textId="77777777" w:rsidR="0093348A" w:rsidRPr="00E83C5E" w:rsidRDefault="0093348A" w:rsidP="0093348A">
            <w:pPr>
              <w:pStyle w:val="NoSpacing"/>
              <w:jc w:val="both"/>
              <w:rPr>
                <w:rFonts w:ascii="Garamond" w:hAnsi="Garamond"/>
                <w:color w:val="000000" w:themeColor="text1"/>
                <w:sz w:val="20"/>
                <w:szCs w:val="20"/>
                <w:lang w:val="sq-AL"/>
              </w:rPr>
            </w:pPr>
            <w:r w:rsidRPr="00E83C5E">
              <w:rPr>
                <w:rFonts w:ascii="Garamond" w:hAnsi="Garamond"/>
                <w:color w:val="000000" w:themeColor="text1"/>
                <w:sz w:val="20"/>
                <w:szCs w:val="20"/>
                <w:lang w:val="sq-AL"/>
              </w:rPr>
              <w:t>Nr.</w:t>
            </w:r>
          </w:p>
        </w:tc>
        <w:tc>
          <w:tcPr>
            <w:tcW w:w="2700" w:type="dxa"/>
          </w:tcPr>
          <w:p w14:paraId="574E2FD3" w14:textId="77777777" w:rsidR="0093348A" w:rsidRPr="00E83C5E" w:rsidRDefault="0093348A" w:rsidP="0093348A">
            <w:pPr>
              <w:pStyle w:val="NoSpacing"/>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Treguesit</w:t>
            </w:r>
          </w:p>
        </w:tc>
        <w:tc>
          <w:tcPr>
            <w:tcW w:w="1103" w:type="dxa"/>
          </w:tcPr>
          <w:p w14:paraId="574E2FD4" w14:textId="6087B14A" w:rsidR="0093348A" w:rsidRPr="00E83C5E" w:rsidRDefault="0093348A" w:rsidP="00E24B3A">
            <w:pPr>
              <w:pStyle w:val="NoSpacing"/>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 xml:space="preserve">Vlera </w:t>
            </w:r>
            <w:r w:rsidR="00E24B3A" w:rsidRPr="00E83C5E">
              <w:rPr>
                <w:rFonts w:ascii="Garamond" w:hAnsi="Garamond"/>
                <w:sz w:val="20"/>
                <w:szCs w:val="20"/>
                <w:lang w:val="sq-AL"/>
              </w:rPr>
              <w:t>b</w:t>
            </w:r>
            <w:r w:rsidRPr="00E83C5E">
              <w:rPr>
                <w:rFonts w:ascii="Garamond" w:hAnsi="Garamond"/>
                <w:sz w:val="20"/>
                <w:szCs w:val="20"/>
                <w:lang w:val="sq-AL"/>
              </w:rPr>
              <w:t>azë</w:t>
            </w:r>
          </w:p>
        </w:tc>
        <w:tc>
          <w:tcPr>
            <w:tcW w:w="1260" w:type="dxa"/>
          </w:tcPr>
          <w:p w14:paraId="574E2FD5" w14:textId="77777777" w:rsidR="0093348A" w:rsidRPr="00E83C5E" w:rsidRDefault="0093348A" w:rsidP="0093348A">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Vlera e synuar 2029</w:t>
            </w:r>
          </w:p>
        </w:tc>
        <w:tc>
          <w:tcPr>
            <w:tcW w:w="3219" w:type="dxa"/>
          </w:tcPr>
          <w:p w14:paraId="574E2FD6" w14:textId="77777777" w:rsidR="0093348A" w:rsidRPr="00E83C5E" w:rsidRDefault="0093348A" w:rsidP="0093348A">
            <w:pPr>
              <w:pStyle w:val="NoSpacing"/>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Burimi i verifikimit</w:t>
            </w:r>
          </w:p>
        </w:tc>
      </w:tr>
      <w:tr w:rsidR="0093348A" w:rsidRPr="00E83C5E" w14:paraId="574E2FDB" w14:textId="77777777" w:rsidTr="00364633">
        <w:trPr>
          <w:trHeight w:val="145"/>
        </w:trPr>
        <w:tc>
          <w:tcPr>
            <w:cnfStyle w:val="001000000000" w:firstRow="0" w:lastRow="0" w:firstColumn="1" w:lastColumn="0" w:oddVBand="0" w:evenVBand="0" w:oddHBand="0" w:evenHBand="0" w:firstRowFirstColumn="0" w:firstRowLastColumn="0" w:lastRowFirstColumn="0" w:lastRowLastColumn="0"/>
            <w:tcW w:w="9273" w:type="dxa"/>
            <w:gridSpan w:val="6"/>
          </w:tcPr>
          <w:p w14:paraId="574E2FDA" w14:textId="0425E943" w:rsidR="0093348A" w:rsidRPr="00E83C5E" w:rsidRDefault="0093348A" w:rsidP="00364633">
            <w:pPr>
              <w:contextualSpacing/>
              <w:jc w:val="both"/>
              <w:rPr>
                <w:rFonts w:ascii="Garamond" w:hAnsi="Garamond"/>
                <w:sz w:val="20"/>
                <w:szCs w:val="20"/>
              </w:rPr>
            </w:pPr>
            <w:r w:rsidRPr="00E83C5E">
              <w:rPr>
                <w:rFonts w:ascii="Garamond" w:hAnsi="Garamond" w:cs="Times New Roman"/>
                <w:sz w:val="20"/>
                <w:szCs w:val="20"/>
              </w:rPr>
              <w:t xml:space="preserve">Qëllimi i </w:t>
            </w:r>
            <w:r w:rsidR="002346C5" w:rsidRPr="00E83C5E">
              <w:rPr>
                <w:rFonts w:ascii="Garamond" w:hAnsi="Garamond" w:cs="Times New Roman"/>
                <w:sz w:val="20"/>
                <w:szCs w:val="20"/>
              </w:rPr>
              <w:t>p</w:t>
            </w:r>
            <w:r w:rsidRPr="00E83C5E">
              <w:rPr>
                <w:rFonts w:ascii="Garamond" w:hAnsi="Garamond" w:cs="Times New Roman"/>
                <w:sz w:val="20"/>
                <w:szCs w:val="20"/>
              </w:rPr>
              <w:t>olitikës 1:</w:t>
            </w:r>
            <w:r w:rsidR="00233C37" w:rsidRPr="00E83C5E">
              <w:rPr>
                <w:rFonts w:ascii="Garamond" w:hAnsi="Garamond" w:cs="Times New Roman"/>
                <w:sz w:val="20"/>
                <w:szCs w:val="20"/>
              </w:rPr>
              <w:t xml:space="preserve"> </w:t>
            </w:r>
            <w:r w:rsidRPr="00E83C5E">
              <w:rPr>
                <w:rFonts w:ascii="Garamond" w:hAnsi="Garamond" w:cs="Times New Roman"/>
                <w:sz w:val="20"/>
                <w:szCs w:val="20"/>
              </w:rPr>
              <w:t>Të rejat dhe të rinjtë marrin pjesë aktivisht në shoqëri dhe ndihen të fuqizuar për t’u shprehur me zërin e tyre. Politikat ndërsektoriale rinore janë të koordinuara, të bazuara në analiza, me mekanizma të mirëfinancuar</w:t>
            </w:r>
          </w:p>
        </w:tc>
      </w:tr>
      <w:tr w:rsidR="0093348A" w:rsidRPr="00E83C5E" w14:paraId="574E2FE2" w14:textId="77777777" w:rsidTr="00BE7B59">
        <w:trPr>
          <w:gridAfter w:val="1"/>
          <w:wAfter w:w="6" w:type="dxa"/>
          <w:trHeight w:val="50"/>
        </w:trPr>
        <w:tc>
          <w:tcPr>
            <w:cnfStyle w:val="001000000000" w:firstRow="0" w:lastRow="0" w:firstColumn="1" w:lastColumn="0" w:oddVBand="0" w:evenVBand="0" w:oddHBand="0" w:evenHBand="0" w:firstRowFirstColumn="0" w:firstRowLastColumn="0" w:lastRowFirstColumn="0" w:lastRowLastColumn="0"/>
            <w:tcW w:w="985" w:type="dxa"/>
          </w:tcPr>
          <w:p w14:paraId="574E2FDC" w14:textId="77777777" w:rsidR="0093348A" w:rsidRPr="00E83C5E" w:rsidRDefault="0093348A" w:rsidP="002346C5">
            <w:pPr>
              <w:pStyle w:val="NoSpacing"/>
              <w:rPr>
                <w:rFonts w:ascii="Garamond" w:hAnsi="Garamond"/>
                <w:sz w:val="20"/>
                <w:szCs w:val="20"/>
                <w:lang w:val="sq-AL"/>
              </w:rPr>
            </w:pPr>
            <w:r w:rsidRPr="00E83C5E">
              <w:rPr>
                <w:rFonts w:ascii="Garamond" w:hAnsi="Garamond"/>
                <w:sz w:val="20"/>
                <w:szCs w:val="20"/>
                <w:lang w:val="sq-AL"/>
              </w:rPr>
              <w:t>1.</w:t>
            </w:r>
          </w:p>
        </w:tc>
        <w:tc>
          <w:tcPr>
            <w:tcW w:w="2700" w:type="dxa"/>
          </w:tcPr>
          <w:p w14:paraId="574E2FDD" w14:textId="0AC376F6"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Indeksi botëror i zhvillimit të rinisë</w:t>
            </w:r>
            <w:r w:rsidR="00233C37" w:rsidRPr="00E83C5E">
              <w:rPr>
                <w:rFonts w:ascii="Garamond" w:hAnsi="Garamond"/>
                <w:sz w:val="20"/>
                <w:szCs w:val="20"/>
                <w:lang w:val="sq-AL"/>
              </w:rPr>
              <w:t xml:space="preserve"> </w:t>
            </w:r>
          </w:p>
        </w:tc>
        <w:tc>
          <w:tcPr>
            <w:tcW w:w="1103" w:type="dxa"/>
          </w:tcPr>
          <w:p w14:paraId="574E2FDE"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 xml:space="preserve">2020 </w:t>
            </w:r>
          </w:p>
          <w:p w14:paraId="574E2FDF"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0.764/1</w:t>
            </w:r>
          </w:p>
        </w:tc>
        <w:tc>
          <w:tcPr>
            <w:tcW w:w="1260" w:type="dxa"/>
          </w:tcPr>
          <w:p w14:paraId="574E2FE0"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0.8/1</w:t>
            </w:r>
          </w:p>
        </w:tc>
        <w:tc>
          <w:tcPr>
            <w:tcW w:w="3219" w:type="dxa"/>
          </w:tcPr>
          <w:p w14:paraId="574E2FE1" w14:textId="5AC1A395"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Raporti Vjetor i Common</w:t>
            </w:r>
            <w:r w:rsidR="002346C5" w:rsidRPr="00E83C5E">
              <w:rPr>
                <w:rFonts w:ascii="Garamond" w:hAnsi="Garamond"/>
                <w:sz w:val="20"/>
                <w:szCs w:val="20"/>
                <w:lang w:val="sq-AL"/>
              </w:rPr>
              <w:t>w</w:t>
            </w:r>
            <w:r w:rsidRPr="00E83C5E">
              <w:rPr>
                <w:rFonts w:ascii="Garamond" w:hAnsi="Garamond"/>
                <w:sz w:val="20"/>
                <w:szCs w:val="20"/>
                <w:lang w:val="sq-AL"/>
              </w:rPr>
              <w:t xml:space="preserve">ealth </w:t>
            </w:r>
            <w:r w:rsidR="00D540B0" w:rsidRPr="00E83C5E">
              <w:rPr>
                <w:rFonts w:ascii="Garamond" w:hAnsi="Garamond"/>
                <w:sz w:val="20"/>
                <w:szCs w:val="20"/>
                <w:lang w:val="sq-AL"/>
              </w:rPr>
              <w:t>“</w:t>
            </w:r>
            <w:r w:rsidRPr="00E83C5E">
              <w:rPr>
                <w:rFonts w:ascii="Garamond" w:hAnsi="Garamond"/>
                <w:sz w:val="20"/>
                <w:szCs w:val="20"/>
                <w:lang w:val="sq-AL"/>
              </w:rPr>
              <w:t>Raporti Vjetor i Zhvillimit të Rinisë</w:t>
            </w:r>
            <w:r w:rsidR="00D540B0" w:rsidRPr="00E83C5E">
              <w:rPr>
                <w:rFonts w:ascii="Garamond" w:hAnsi="Garamond"/>
                <w:sz w:val="20"/>
                <w:szCs w:val="20"/>
                <w:lang w:val="sq-AL"/>
              </w:rPr>
              <w:t>”</w:t>
            </w:r>
          </w:p>
        </w:tc>
      </w:tr>
      <w:tr w:rsidR="0093348A" w:rsidRPr="00E83C5E" w14:paraId="574E2FE9" w14:textId="77777777" w:rsidTr="00BE7B59">
        <w:trPr>
          <w:gridAfter w:val="1"/>
          <w:wAfter w:w="6" w:type="dxa"/>
        </w:trPr>
        <w:tc>
          <w:tcPr>
            <w:cnfStyle w:val="001000000000" w:firstRow="0" w:lastRow="0" w:firstColumn="1" w:lastColumn="0" w:oddVBand="0" w:evenVBand="0" w:oddHBand="0" w:evenHBand="0" w:firstRowFirstColumn="0" w:firstRowLastColumn="0" w:lastRowFirstColumn="0" w:lastRowLastColumn="0"/>
            <w:tcW w:w="985" w:type="dxa"/>
          </w:tcPr>
          <w:p w14:paraId="574E2FE3" w14:textId="77777777" w:rsidR="0093348A" w:rsidRPr="00E83C5E" w:rsidRDefault="0093348A" w:rsidP="002346C5">
            <w:pPr>
              <w:pStyle w:val="NoSpacing"/>
              <w:rPr>
                <w:rFonts w:ascii="Garamond" w:hAnsi="Garamond"/>
                <w:sz w:val="20"/>
                <w:szCs w:val="20"/>
                <w:lang w:val="sq-AL"/>
              </w:rPr>
            </w:pPr>
            <w:r w:rsidRPr="00E83C5E">
              <w:rPr>
                <w:rFonts w:ascii="Garamond" w:hAnsi="Garamond"/>
                <w:sz w:val="20"/>
                <w:szCs w:val="20"/>
                <w:lang w:val="sq-AL"/>
              </w:rPr>
              <w:t>2.</w:t>
            </w:r>
          </w:p>
        </w:tc>
        <w:tc>
          <w:tcPr>
            <w:tcW w:w="2700" w:type="dxa"/>
          </w:tcPr>
          <w:p w14:paraId="574E2FE4" w14:textId="07EFA2C4"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 e të rinjve që raportojnë se ndihen të përfaqësuar në politikat rinore të zbatuara në nivel</w:t>
            </w:r>
            <w:r w:rsidR="002346C5" w:rsidRPr="00E83C5E">
              <w:rPr>
                <w:rFonts w:ascii="Garamond" w:hAnsi="Garamond"/>
                <w:sz w:val="20"/>
                <w:szCs w:val="20"/>
                <w:lang w:val="sq-AL"/>
              </w:rPr>
              <w:t xml:space="preserve"> qendror</w:t>
            </w:r>
            <w:r w:rsidRPr="00E83C5E">
              <w:rPr>
                <w:rFonts w:ascii="Garamond" w:hAnsi="Garamond"/>
                <w:sz w:val="20"/>
                <w:szCs w:val="20"/>
                <w:lang w:val="sq-AL"/>
              </w:rPr>
              <w:t>/vendor</w:t>
            </w:r>
          </w:p>
        </w:tc>
        <w:tc>
          <w:tcPr>
            <w:tcW w:w="1103" w:type="dxa"/>
          </w:tcPr>
          <w:p w14:paraId="574E2FE5"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 xml:space="preserve">2020 </w:t>
            </w:r>
          </w:p>
          <w:p w14:paraId="574E2FE6"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20%</w:t>
            </w:r>
          </w:p>
        </w:tc>
        <w:tc>
          <w:tcPr>
            <w:tcW w:w="1260" w:type="dxa"/>
          </w:tcPr>
          <w:p w14:paraId="574E2FE7"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80%</w:t>
            </w:r>
          </w:p>
        </w:tc>
        <w:tc>
          <w:tcPr>
            <w:tcW w:w="3219" w:type="dxa"/>
          </w:tcPr>
          <w:p w14:paraId="574E2FE8" w14:textId="3996FB02"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 xml:space="preserve">Raport specifik i studimit </w:t>
            </w:r>
            <w:r w:rsidR="00D540B0" w:rsidRPr="00E83C5E">
              <w:rPr>
                <w:rFonts w:ascii="Garamond" w:hAnsi="Garamond"/>
                <w:sz w:val="20"/>
                <w:szCs w:val="20"/>
                <w:lang w:val="sq-AL"/>
              </w:rPr>
              <w:t>“</w:t>
            </w:r>
            <w:r w:rsidRPr="00E83C5E">
              <w:rPr>
                <w:rFonts w:ascii="Garamond" w:hAnsi="Garamond"/>
                <w:sz w:val="20"/>
                <w:szCs w:val="20"/>
                <w:lang w:val="sq-AL"/>
              </w:rPr>
              <w:t>Përfaqësimi i të rinjve në politikat rinore në nivel</w:t>
            </w:r>
            <w:r w:rsidR="002346C5" w:rsidRPr="00E83C5E">
              <w:rPr>
                <w:rFonts w:ascii="Garamond" w:hAnsi="Garamond"/>
                <w:sz w:val="20"/>
                <w:szCs w:val="20"/>
                <w:lang w:val="sq-AL"/>
              </w:rPr>
              <w:t xml:space="preserve"> qendror</w:t>
            </w:r>
            <w:r w:rsidRPr="00E83C5E">
              <w:rPr>
                <w:rFonts w:ascii="Garamond" w:hAnsi="Garamond"/>
                <w:sz w:val="20"/>
                <w:szCs w:val="20"/>
                <w:lang w:val="sq-AL"/>
              </w:rPr>
              <w:t xml:space="preserve"> dhe vendor</w:t>
            </w:r>
            <w:r w:rsidR="00D540B0" w:rsidRPr="00E83C5E">
              <w:rPr>
                <w:rFonts w:ascii="Garamond" w:hAnsi="Garamond"/>
                <w:sz w:val="20"/>
                <w:szCs w:val="20"/>
                <w:lang w:val="sq-AL"/>
              </w:rPr>
              <w:t>”</w:t>
            </w:r>
            <w:r w:rsidRPr="00E83C5E">
              <w:rPr>
                <w:rFonts w:ascii="Garamond" w:hAnsi="Garamond"/>
                <w:sz w:val="20"/>
                <w:szCs w:val="20"/>
                <w:lang w:val="sq-AL"/>
              </w:rPr>
              <w:t xml:space="preserve"> Sondazhi i MSHFR</w:t>
            </w:r>
          </w:p>
        </w:tc>
      </w:tr>
      <w:tr w:rsidR="0093348A" w:rsidRPr="00E83C5E" w14:paraId="574E2FF0" w14:textId="77777777" w:rsidTr="00BE7B59">
        <w:trPr>
          <w:gridAfter w:val="1"/>
          <w:wAfter w:w="6" w:type="dxa"/>
        </w:trPr>
        <w:tc>
          <w:tcPr>
            <w:cnfStyle w:val="001000000000" w:firstRow="0" w:lastRow="0" w:firstColumn="1" w:lastColumn="0" w:oddVBand="0" w:evenVBand="0" w:oddHBand="0" w:evenHBand="0" w:firstRowFirstColumn="0" w:firstRowLastColumn="0" w:lastRowFirstColumn="0" w:lastRowLastColumn="0"/>
            <w:tcW w:w="985" w:type="dxa"/>
          </w:tcPr>
          <w:p w14:paraId="574E2FEA" w14:textId="77777777" w:rsidR="0093348A" w:rsidRPr="00E83C5E" w:rsidRDefault="0093348A" w:rsidP="002346C5">
            <w:pPr>
              <w:pStyle w:val="NoSpacing"/>
              <w:rPr>
                <w:rFonts w:ascii="Garamond" w:hAnsi="Garamond"/>
                <w:sz w:val="20"/>
                <w:szCs w:val="20"/>
                <w:lang w:val="sq-AL"/>
              </w:rPr>
            </w:pPr>
            <w:r w:rsidRPr="00E83C5E">
              <w:rPr>
                <w:rFonts w:ascii="Garamond" w:hAnsi="Garamond"/>
                <w:sz w:val="20"/>
                <w:szCs w:val="20"/>
                <w:lang w:val="sq-AL"/>
              </w:rPr>
              <w:t>3.</w:t>
            </w:r>
          </w:p>
        </w:tc>
        <w:tc>
          <w:tcPr>
            <w:tcW w:w="2700" w:type="dxa"/>
          </w:tcPr>
          <w:p w14:paraId="574E2FEB"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 e buxhetit të shtetit dedikuar për programet mbi rininë</w:t>
            </w:r>
          </w:p>
        </w:tc>
        <w:tc>
          <w:tcPr>
            <w:tcW w:w="1103" w:type="dxa"/>
          </w:tcPr>
          <w:p w14:paraId="574E2FEC"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2021</w:t>
            </w:r>
          </w:p>
          <w:p w14:paraId="574E2FED"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0.05%</w:t>
            </w:r>
          </w:p>
        </w:tc>
        <w:tc>
          <w:tcPr>
            <w:tcW w:w="1260" w:type="dxa"/>
          </w:tcPr>
          <w:p w14:paraId="574E2FEE"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2.4%</w:t>
            </w:r>
          </w:p>
        </w:tc>
        <w:tc>
          <w:tcPr>
            <w:tcW w:w="3219" w:type="dxa"/>
          </w:tcPr>
          <w:p w14:paraId="574E2FEF"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Raportet e MFE/ MSHRF</w:t>
            </w:r>
          </w:p>
        </w:tc>
      </w:tr>
      <w:tr w:rsidR="0093348A" w:rsidRPr="00E83C5E" w14:paraId="574E2FF7" w14:textId="77777777" w:rsidTr="00BE7B59">
        <w:trPr>
          <w:gridAfter w:val="1"/>
          <w:wAfter w:w="6" w:type="dxa"/>
        </w:trPr>
        <w:tc>
          <w:tcPr>
            <w:cnfStyle w:val="001000000000" w:firstRow="0" w:lastRow="0" w:firstColumn="1" w:lastColumn="0" w:oddVBand="0" w:evenVBand="0" w:oddHBand="0" w:evenHBand="0" w:firstRowFirstColumn="0" w:firstRowLastColumn="0" w:lastRowFirstColumn="0" w:lastRowLastColumn="0"/>
            <w:tcW w:w="985" w:type="dxa"/>
          </w:tcPr>
          <w:p w14:paraId="574E2FF1" w14:textId="77777777" w:rsidR="0093348A" w:rsidRPr="00E83C5E" w:rsidRDefault="0093348A" w:rsidP="002346C5">
            <w:pPr>
              <w:pStyle w:val="NoSpacing"/>
              <w:rPr>
                <w:rFonts w:ascii="Garamond" w:hAnsi="Garamond"/>
                <w:sz w:val="20"/>
                <w:szCs w:val="20"/>
                <w:lang w:val="sq-AL"/>
              </w:rPr>
            </w:pPr>
            <w:r w:rsidRPr="00E83C5E">
              <w:rPr>
                <w:rFonts w:ascii="Garamond" w:hAnsi="Garamond"/>
                <w:sz w:val="20"/>
                <w:szCs w:val="20"/>
                <w:lang w:val="sq-AL"/>
              </w:rPr>
              <w:t>OS1.1a</w:t>
            </w:r>
          </w:p>
        </w:tc>
        <w:tc>
          <w:tcPr>
            <w:tcW w:w="2700" w:type="dxa"/>
          </w:tcPr>
          <w:p w14:paraId="574E2FF2" w14:textId="1795856A"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eastAsia="en-GB"/>
              </w:rPr>
              <w:t xml:space="preserve">% e bashkive ku janë ngritur </w:t>
            </w:r>
            <w:r w:rsidR="004A51E8" w:rsidRPr="00E83C5E">
              <w:rPr>
                <w:rFonts w:ascii="Garamond" w:hAnsi="Garamond"/>
                <w:sz w:val="20"/>
                <w:szCs w:val="20"/>
                <w:lang w:val="sq-AL" w:eastAsia="en-GB"/>
              </w:rPr>
              <w:t>qendrat rinore multifunksionale</w:t>
            </w:r>
          </w:p>
        </w:tc>
        <w:tc>
          <w:tcPr>
            <w:tcW w:w="1103" w:type="dxa"/>
          </w:tcPr>
          <w:p w14:paraId="574E2FF3"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2022</w:t>
            </w:r>
          </w:p>
          <w:p w14:paraId="574E2FF4"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16%</w:t>
            </w:r>
          </w:p>
        </w:tc>
        <w:tc>
          <w:tcPr>
            <w:tcW w:w="1260" w:type="dxa"/>
          </w:tcPr>
          <w:p w14:paraId="574E2FF5"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100%</w:t>
            </w:r>
          </w:p>
        </w:tc>
        <w:tc>
          <w:tcPr>
            <w:tcW w:w="3219" w:type="dxa"/>
          </w:tcPr>
          <w:p w14:paraId="574E2FF6"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Raportet e AKR</w:t>
            </w:r>
          </w:p>
        </w:tc>
      </w:tr>
      <w:tr w:rsidR="0093348A" w:rsidRPr="00E83C5E" w14:paraId="574E2FFE" w14:textId="77777777" w:rsidTr="00BE7B59">
        <w:trPr>
          <w:gridAfter w:val="1"/>
          <w:wAfter w:w="6" w:type="dxa"/>
        </w:trPr>
        <w:tc>
          <w:tcPr>
            <w:cnfStyle w:val="001000000000" w:firstRow="0" w:lastRow="0" w:firstColumn="1" w:lastColumn="0" w:oddVBand="0" w:evenVBand="0" w:oddHBand="0" w:evenHBand="0" w:firstRowFirstColumn="0" w:firstRowLastColumn="0" w:lastRowFirstColumn="0" w:lastRowLastColumn="0"/>
            <w:tcW w:w="985" w:type="dxa"/>
          </w:tcPr>
          <w:p w14:paraId="574E2FF8" w14:textId="77777777" w:rsidR="0093348A" w:rsidRPr="00E83C5E" w:rsidRDefault="0093348A" w:rsidP="002346C5">
            <w:pPr>
              <w:pStyle w:val="NoSpacing"/>
              <w:rPr>
                <w:rFonts w:ascii="Garamond" w:hAnsi="Garamond"/>
                <w:sz w:val="20"/>
                <w:szCs w:val="20"/>
                <w:lang w:val="sq-AL"/>
              </w:rPr>
            </w:pPr>
            <w:r w:rsidRPr="00E83C5E">
              <w:rPr>
                <w:rFonts w:ascii="Garamond" w:hAnsi="Garamond"/>
                <w:sz w:val="20"/>
                <w:szCs w:val="20"/>
                <w:lang w:val="sq-AL"/>
              </w:rPr>
              <w:t>1.1b</w:t>
            </w:r>
          </w:p>
        </w:tc>
        <w:tc>
          <w:tcPr>
            <w:tcW w:w="2700" w:type="dxa"/>
          </w:tcPr>
          <w:p w14:paraId="574E2FF9" w14:textId="5225290C" w:rsidR="0093348A" w:rsidRPr="00E83C5E" w:rsidRDefault="0093348A" w:rsidP="004A51E8">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eastAsia="en-GB"/>
              </w:rPr>
              <w:t xml:space="preserve">Numri i </w:t>
            </w:r>
            <w:r w:rsidR="004A51E8" w:rsidRPr="00E83C5E">
              <w:rPr>
                <w:rFonts w:ascii="Garamond" w:hAnsi="Garamond"/>
                <w:sz w:val="20"/>
                <w:szCs w:val="20"/>
                <w:lang w:val="sq-AL" w:eastAsia="en-GB"/>
              </w:rPr>
              <w:t xml:space="preserve">këshillave vendorë </w:t>
            </w:r>
            <w:r w:rsidRPr="00E83C5E">
              <w:rPr>
                <w:rFonts w:ascii="Garamond" w:hAnsi="Garamond"/>
                <w:sz w:val="20"/>
                <w:szCs w:val="20"/>
                <w:lang w:val="sq-AL" w:eastAsia="en-GB"/>
              </w:rPr>
              <w:t>të ngritur dhe funksionale</w:t>
            </w:r>
            <w:r w:rsidR="002346C5" w:rsidRPr="00E83C5E">
              <w:rPr>
                <w:rFonts w:ascii="Garamond" w:hAnsi="Garamond"/>
                <w:sz w:val="20"/>
                <w:szCs w:val="20"/>
                <w:lang w:val="sq-AL" w:eastAsia="en-GB"/>
              </w:rPr>
              <w:t xml:space="preserve"> (</w:t>
            </w:r>
            <w:r w:rsidRPr="00E83C5E">
              <w:rPr>
                <w:rFonts w:ascii="Garamond" w:hAnsi="Garamond"/>
                <w:sz w:val="20"/>
                <w:szCs w:val="20"/>
                <w:lang w:val="sq-AL" w:eastAsia="en-GB"/>
              </w:rPr>
              <w:t>në nivel bashkie)</w:t>
            </w:r>
          </w:p>
        </w:tc>
        <w:tc>
          <w:tcPr>
            <w:tcW w:w="1103" w:type="dxa"/>
          </w:tcPr>
          <w:p w14:paraId="574E2FFA"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2022</w:t>
            </w:r>
          </w:p>
          <w:p w14:paraId="574E2FFB"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21 Bashki</w:t>
            </w:r>
          </w:p>
        </w:tc>
        <w:tc>
          <w:tcPr>
            <w:tcW w:w="1260" w:type="dxa"/>
          </w:tcPr>
          <w:p w14:paraId="574E2FFC"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100%</w:t>
            </w:r>
          </w:p>
        </w:tc>
        <w:tc>
          <w:tcPr>
            <w:tcW w:w="3219" w:type="dxa"/>
          </w:tcPr>
          <w:p w14:paraId="574E2FFD"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Raportet e AKR</w:t>
            </w:r>
          </w:p>
        </w:tc>
      </w:tr>
      <w:tr w:rsidR="0093348A" w:rsidRPr="00E83C5E" w14:paraId="574E3005" w14:textId="77777777" w:rsidTr="00BE7B59">
        <w:trPr>
          <w:gridAfter w:val="1"/>
          <w:wAfter w:w="6" w:type="dxa"/>
        </w:trPr>
        <w:tc>
          <w:tcPr>
            <w:cnfStyle w:val="001000000000" w:firstRow="0" w:lastRow="0" w:firstColumn="1" w:lastColumn="0" w:oddVBand="0" w:evenVBand="0" w:oddHBand="0" w:evenHBand="0" w:firstRowFirstColumn="0" w:firstRowLastColumn="0" w:lastRowFirstColumn="0" w:lastRowLastColumn="0"/>
            <w:tcW w:w="985" w:type="dxa"/>
          </w:tcPr>
          <w:p w14:paraId="574E2FFF" w14:textId="77777777" w:rsidR="0093348A" w:rsidRPr="00E83C5E" w:rsidRDefault="0093348A" w:rsidP="002346C5">
            <w:pPr>
              <w:pStyle w:val="NoSpacing"/>
              <w:rPr>
                <w:rFonts w:ascii="Garamond" w:hAnsi="Garamond"/>
                <w:sz w:val="20"/>
                <w:szCs w:val="20"/>
                <w:lang w:val="sq-AL"/>
              </w:rPr>
            </w:pPr>
            <w:r w:rsidRPr="00E83C5E">
              <w:rPr>
                <w:rFonts w:ascii="Garamond" w:hAnsi="Garamond"/>
                <w:sz w:val="20"/>
                <w:szCs w:val="20"/>
                <w:lang w:val="sq-AL"/>
              </w:rPr>
              <w:t>1.1.c</w:t>
            </w:r>
          </w:p>
        </w:tc>
        <w:tc>
          <w:tcPr>
            <w:tcW w:w="2700" w:type="dxa"/>
          </w:tcPr>
          <w:p w14:paraId="574E3000" w14:textId="45254812"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20"/>
                <w:szCs w:val="20"/>
                <w:lang w:val="sq-AL" w:eastAsia="en-GB"/>
              </w:rPr>
            </w:pPr>
            <w:r w:rsidRPr="00E83C5E">
              <w:rPr>
                <w:rFonts w:ascii="Garamond" w:hAnsi="Garamond"/>
                <w:sz w:val="20"/>
                <w:szCs w:val="20"/>
                <w:lang w:val="sq-AL" w:eastAsia="en-GB"/>
              </w:rPr>
              <w:t xml:space="preserve">Ligji </w:t>
            </w:r>
            <w:r w:rsidR="00D540B0" w:rsidRPr="00E83C5E">
              <w:rPr>
                <w:rFonts w:ascii="Garamond" w:hAnsi="Garamond"/>
                <w:sz w:val="20"/>
                <w:szCs w:val="20"/>
                <w:lang w:val="sq-AL" w:eastAsia="en-GB"/>
              </w:rPr>
              <w:t>“</w:t>
            </w:r>
            <w:r w:rsidRPr="00E83C5E">
              <w:rPr>
                <w:rFonts w:ascii="Garamond" w:hAnsi="Garamond"/>
                <w:sz w:val="20"/>
                <w:szCs w:val="20"/>
                <w:lang w:val="sq-AL" w:eastAsia="en-GB"/>
              </w:rPr>
              <w:t xml:space="preserve">Për </w:t>
            </w:r>
            <w:r w:rsidR="005511CC" w:rsidRPr="00E83C5E">
              <w:rPr>
                <w:rFonts w:ascii="Garamond" w:hAnsi="Garamond"/>
                <w:sz w:val="20"/>
                <w:szCs w:val="20"/>
                <w:lang w:val="sq-AL" w:eastAsia="en-GB"/>
              </w:rPr>
              <w:t>rininë</w:t>
            </w:r>
            <w:r w:rsidR="00D540B0" w:rsidRPr="00E83C5E">
              <w:rPr>
                <w:rFonts w:ascii="Garamond" w:hAnsi="Garamond"/>
                <w:sz w:val="20"/>
                <w:szCs w:val="20"/>
                <w:lang w:val="sq-AL" w:eastAsia="en-GB"/>
              </w:rPr>
              <w:t>”</w:t>
            </w:r>
            <w:r w:rsidRPr="00E83C5E">
              <w:rPr>
                <w:rFonts w:ascii="Garamond" w:hAnsi="Garamond"/>
                <w:sz w:val="20"/>
                <w:szCs w:val="20"/>
                <w:lang w:val="sq-AL" w:eastAsia="en-GB"/>
              </w:rPr>
              <w:t xml:space="preserve"> i rishikuar dhe miratuar</w:t>
            </w:r>
          </w:p>
        </w:tc>
        <w:tc>
          <w:tcPr>
            <w:tcW w:w="1103" w:type="dxa"/>
          </w:tcPr>
          <w:p w14:paraId="574E3001"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2021</w:t>
            </w:r>
          </w:p>
          <w:p w14:paraId="574E3002"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Ligji jo i rishikuar</w:t>
            </w:r>
          </w:p>
        </w:tc>
        <w:tc>
          <w:tcPr>
            <w:tcW w:w="1260" w:type="dxa"/>
          </w:tcPr>
          <w:p w14:paraId="574E3003"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Ligji i rishikuar dhe miratuar</w:t>
            </w:r>
          </w:p>
        </w:tc>
        <w:tc>
          <w:tcPr>
            <w:tcW w:w="3219" w:type="dxa"/>
          </w:tcPr>
          <w:p w14:paraId="574E3004"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Raportet e MSHRF</w:t>
            </w:r>
          </w:p>
        </w:tc>
      </w:tr>
      <w:tr w:rsidR="0093348A" w:rsidRPr="00E83C5E" w14:paraId="574E300B" w14:textId="77777777" w:rsidTr="00BE7B59">
        <w:trPr>
          <w:gridAfter w:val="1"/>
          <w:wAfter w:w="6" w:type="dxa"/>
        </w:trPr>
        <w:tc>
          <w:tcPr>
            <w:cnfStyle w:val="001000000000" w:firstRow="0" w:lastRow="0" w:firstColumn="1" w:lastColumn="0" w:oddVBand="0" w:evenVBand="0" w:oddHBand="0" w:evenHBand="0" w:firstRowFirstColumn="0" w:firstRowLastColumn="0" w:lastRowFirstColumn="0" w:lastRowLastColumn="0"/>
            <w:tcW w:w="985" w:type="dxa"/>
          </w:tcPr>
          <w:p w14:paraId="574E3006" w14:textId="77777777" w:rsidR="0093348A" w:rsidRPr="00E83C5E" w:rsidRDefault="0093348A" w:rsidP="002346C5">
            <w:pPr>
              <w:pStyle w:val="NoSpacing"/>
              <w:rPr>
                <w:rFonts w:ascii="Garamond" w:hAnsi="Garamond"/>
                <w:sz w:val="20"/>
                <w:szCs w:val="20"/>
                <w:lang w:val="sq-AL"/>
              </w:rPr>
            </w:pPr>
            <w:r w:rsidRPr="00E83C5E">
              <w:rPr>
                <w:rFonts w:ascii="Garamond" w:hAnsi="Garamond"/>
                <w:sz w:val="20"/>
                <w:szCs w:val="20"/>
                <w:lang w:val="sq-AL"/>
              </w:rPr>
              <w:t>1.1 d</w:t>
            </w:r>
          </w:p>
        </w:tc>
        <w:tc>
          <w:tcPr>
            <w:tcW w:w="2700" w:type="dxa"/>
          </w:tcPr>
          <w:p w14:paraId="574E3007" w14:textId="2EC003D3"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eastAsia="en-GB"/>
              </w:rPr>
            </w:pPr>
            <w:r w:rsidRPr="00E83C5E">
              <w:rPr>
                <w:rFonts w:ascii="Garamond" w:hAnsi="Garamond"/>
                <w:sz w:val="20"/>
                <w:szCs w:val="20"/>
                <w:lang w:val="sq-AL" w:eastAsia="en-GB"/>
              </w:rPr>
              <w:t xml:space="preserve">Ligji </w:t>
            </w:r>
            <w:r w:rsidR="00D540B0" w:rsidRPr="00E83C5E">
              <w:rPr>
                <w:rFonts w:ascii="Garamond" w:hAnsi="Garamond"/>
                <w:sz w:val="20"/>
                <w:szCs w:val="20"/>
                <w:lang w:val="sq-AL" w:eastAsia="en-GB"/>
              </w:rPr>
              <w:t>“</w:t>
            </w:r>
            <w:r w:rsidRPr="00E83C5E">
              <w:rPr>
                <w:rFonts w:ascii="Garamond" w:hAnsi="Garamond"/>
                <w:sz w:val="20"/>
                <w:szCs w:val="20"/>
                <w:lang w:val="sq-AL" w:eastAsia="en-GB"/>
              </w:rPr>
              <w:t xml:space="preserve">Për </w:t>
            </w:r>
            <w:r w:rsidR="005511CC" w:rsidRPr="00E83C5E">
              <w:rPr>
                <w:rFonts w:ascii="Garamond" w:hAnsi="Garamond"/>
                <w:sz w:val="20"/>
                <w:szCs w:val="20"/>
                <w:lang w:val="sq-AL" w:eastAsia="en-GB"/>
              </w:rPr>
              <w:t>vullnetarizmin</w:t>
            </w:r>
            <w:r w:rsidR="00D540B0" w:rsidRPr="00E83C5E">
              <w:rPr>
                <w:rFonts w:ascii="Garamond" w:hAnsi="Garamond"/>
                <w:sz w:val="20"/>
                <w:szCs w:val="20"/>
                <w:lang w:val="sq-AL" w:eastAsia="en-GB"/>
              </w:rPr>
              <w:t>”</w:t>
            </w:r>
            <w:r w:rsidRPr="00E83C5E">
              <w:rPr>
                <w:rFonts w:ascii="Garamond" w:hAnsi="Garamond"/>
                <w:sz w:val="20"/>
                <w:szCs w:val="20"/>
                <w:lang w:val="sq-AL" w:eastAsia="en-GB"/>
              </w:rPr>
              <w:t xml:space="preserve"> i rishikuar dhe miratuar</w:t>
            </w:r>
          </w:p>
        </w:tc>
        <w:tc>
          <w:tcPr>
            <w:tcW w:w="1103" w:type="dxa"/>
          </w:tcPr>
          <w:p w14:paraId="574E3008"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2021 Ligji jo i rishikuar</w:t>
            </w:r>
          </w:p>
        </w:tc>
        <w:tc>
          <w:tcPr>
            <w:tcW w:w="1260" w:type="dxa"/>
          </w:tcPr>
          <w:p w14:paraId="574E3009"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Ligji i rishikuar dhe miratuar</w:t>
            </w:r>
          </w:p>
        </w:tc>
        <w:tc>
          <w:tcPr>
            <w:tcW w:w="3219" w:type="dxa"/>
          </w:tcPr>
          <w:p w14:paraId="574E300A"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Raportet e AKPA, MFE, MSHRF</w:t>
            </w:r>
          </w:p>
        </w:tc>
      </w:tr>
      <w:tr w:rsidR="0093348A" w:rsidRPr="00E83C5E" w14:paraId="574E3011" w14:textId="77777777" w:rsidTr="00BE7B59">
        <w:trPr>
          <w:gridAfter w:val="1"/>
          <w:wAfter w:w="6" w:type="dxa"/>
        </w:trPr>
        <w:tc>
          <w:tcPr>
            <w:cnfStyle w:val="001000000000" w:firstRow="0" w:lastRow="0" w:firstColumn="1" w:lastColumn="0" w:oddVBand="0" w:evenVBand="0" w:oddHBand="0" w:evenHBand="0" w:firstRowFirstColumn="0" w:firstRowLastColumn="0" w:lastRowFirstColumn="0" w:lastRowLastColumn="0"/>
            <w:tcW w:w="985" w:type="dxa"/>
          </w:tcPr>
          <w:p w14:paraId="574E300C" w14:textId="77777777" w:rsidR="0093348A" w:rsidRPr="00E83C5E" w:rsidRDefault="0093348A" w:rsidP="002346C5">
            <w:pPr>
              <w:pStyle w:val="NoSpacing"/>
              <w:rPr>
                <w:rFonts w:ascii="Garamond" w:hAnsi="Garamond"/>
                <w:sz w:val="20"/>
                <w:szCs w:val="20"/>
                <w:lang w:val="sq-AL"/>
              </w:rPr>
            </w:pPr>
            <w:r w:rsidRPr="00E83C5E">
              <w:rPr>
                <w:rFonts w:ascii="Garamond" w:hAnsi="Garamond"/>
                <w:sz w:val="20"/>
                <w:szCs w:val="20"/>
                <w:lang w:val="sq-AL"/>
              </w:rPr>
              <w:t xml:space="preserve">1.2 a </w:t>
            </w:r>
          </w:p>
        </w:tc>
        <w:tc>
          <w:tcPr>
            <w:tcW w:w="2700" w:type="dxa"/>
          </w:tcPr>
          <w:p w14:paraId="574E300D" w14:textId="35FBB1F6"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eastAsia="en-GB"/>
              </w:rPr>
            </w:pPr>
            <w:r w:rsidRPr="00E83C5E">
              <w:rPr>
                <w:rFonts w:ascii="Garamond" w:hAnsi="Garamond"/>
                <w:sz w:val="20"/>
                <w:szCs w:val="20"/>
                <w:lang w:val="sq-AL" w:eastAsia="en-GB"/>
              </w:rPr>
              <w:t>Numri/përqindja i/e bashkive që kanë ngritur kënde digjitale të informimit rinor</w:t>
            </w:r>
            <w:r w:rsidR="002346C5" w:rsidRPr="00E83C5E">
              <w:rPr>
                <w:rFonts w:ascii="Garamond" w:hAnsi="Garamond"/>
                <w:sz w:val="20"/>
                <w:szCs w:val="20"/>
                <w:lang w:val="sq-AL" w:eastAsia="en-GB"/>
              </w:rPr>
              <w:t xml:space="preserve"> (</w:t>
            </w:r>
            <w:r w:rsidRPr="00E83C5E">
              <w:rPr>
                <w:rFonts w:ascii="Garamond" w:hAnsi="Garamond"/>
                <w:sz w:val="20"/>
                <w:szCs w:val="20"/>
                <w:lang w:val="sq-AL" w:eastAsia="en-GB"/>
              </w:rPr>
              <w:t>info-points)</w:t>
            </w:r>
          </w:p>
        </w:tc>
        <w:tc>
          <w:tcPr>
            <w:tcW w:w="1103" w:type="dxa"/>
          </w:tcPr>
          <w:p w14:paraId="574E300E"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2022 2 bashki/ 3.27%</w:t>
            </w:r>
          </w:p>
        </w:tc>
        <w:tc>
          <w:tcPr>
            <w:tcW w:w="1260" w:type="dxa"/>
          </w:tcPr>
          <w:p w14:paraId="574E300F" w14:textId="77B86B45" w:rsidR="0093348A" w:rsidRPr="00E83C5E" w:rsidRDefault="00233C37"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 xml:space="preserve">    </w:t>
            </w:r>
            <w:r w:rsidR="0093348A" w:rsidRPr="00E83C5E">
              <w:rPr>
                <w:rFonts w:ascii="Garamond" w:hAnsi="Garamond"/>
                <w:sz w:val="20"/>
                <w:szCs w:val="20"/>
                <w:lang w:val="sq-AL"/>
              </w:rPr>
              <w:t>100%</w:t>
            </w:r>
          </w:p>
        </w:tc>
        <w:tc>
          <w:tcPr>
            <w:tcW w:w="3219" w:type="dxa"/>
          </w:tcPr>
          <w:p w14:paraId="574E3010"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Raportet e AKR</w:t>
            </w:r>
          </w:p>
        </w:tc>
      </w:tr>
      <w:tr w:rsidR="0093348A" w:rsidRPr="00E83C5E" w14:paraId="574E3018" w14:textId="77777777" w:rsidTr="00BE7B59">
        <w:trPr>
          <w:gridAfter w:val="1"/>
          <w:wAfter w:w="6" w:type="dxa"/>
        </w:trPr>
        <w:tc>
          <w:tcPr>
            <w:cnfStyle w:val="001000000000" w:firstRow="0" w:lastRow="0" w:firstColumn="1" w:lastColumn="0" w:oddVBand="0" w:evenVBand="0" w:oddHBand="0" w:evenHBand="0" w:firstRowFirstColumn="0" w:firstRowLastColumn="0" w:lastRowFirstColumn="0" w:lastRowLastColumn="0"/>
            <w:tcW w:w="985" w:type="dxa"/>
          </w:tcPr>
          <w:p w14:paraId="574E3012" w14:textId="77777777" w:rsidR="0093348A" w:rsidRPr="00E83C5E" w:rsidRDefault="0093348A" w:rsidP="002346C5">
            <w:pPr>
              <w:pStyle w:val="NoSpacing"/>
              <w:rPr>
                <w:rFonts w:ascii="Garamond" w:hAnsi="Garamond"/>
                <w:sz w:val="20"/>
                <w:szCs w:val="20"/>
                <w:lang w:val="sq-AL"/>
              </w:rPr>
            </w:pPr>
            <w:r w:rsidRPr="00E83C5E">
              <w:rPr>
                <w:rFonts w:ascii="Garamond" w:hAnsi="Garamond"/>
                <w:sz w:val="20"/>
                <w:szCs w:val="20"/>
                <w:lang w:val="sq-AL"/>
              </w:rPr>
              <w:t>1.2 b</w:t>
            </w:r>
          </w:p>
        </w:tc>
        <w:tc>
          <w:tcPr>
            <w:tcW w:w="2700" w:type="dxa"/>
          </w:tcPr>
          <w:p w14:paraId="574E3013" w14:textId="073A288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eastAsia="en-GB"/>
              </w:rPr>
            </w:pPr>
            <w:r w:rsidRPr="00E83C5E">
              <w:rPr>
                <w:rFonts w:ascii="Garamond" w:hAnsi="Garamond"/>
                <w:sz w:val="20"/>
                <w:szCs w:val="20"/>
                <w:lang w:val="sq-AL" w:eastAsia="en-GB"/>
              </w:rPr>
              <w:t xml:space="preserve">Platforma rinore </w:t>
            </w:r>
            <w:r w:rsidR="00D540B0" w:rsidRPr="00E83C5E">
              <w:rPr>
                <w:rFonts w:ascii="Garamond" w:hAnsi="Garamond"/>
                <w:sz w:val="20"/>
                <w:szCs w:val="20"/>
                <w:lang w:val="sq-AL" w:eastAsia="en-GB"/>
              </w:rPr>
              <w:t>“</w:t>
            </w:r>
            <w:r w:rsidRPr="00E83C5E">
              <w:rPr>
                <w:rFonts w:ascii="Garamond" w:hAnsi="Garamond"/>
                <w:sz w:val="20"/>
                <w:szCs w:val="20"/>
                <w:lang w:val="sq-AL" w:eastAsia="en-GB"/>
              </w:rPr>
              <w:t>Të rinjtë për të rinjtë</w:t>
            </w:r>
            <w:r w:rsidR="00D540B0" w:rsidRPr="00E83C5E">
              <w:rPr>
                <w:rFonts w:ascii="Garamond" w:hAnsi="Garamond"/>
                <w:sz w:val="20"/>
                <w:szCs w:val="20"/>
                <w:lang w:val="sq-AL" w:eastAsia="en-GB"/>
              </w:rPr>
              <w:t>”</w:t>
            </w:r>
            <w:r w:rsidRPr="00E83C5E">
              <w:rPr>
                <w:rFonts w:ascii="Garamond" w:hAnsi="Garamond"/>
                <w:sz w:val="20"/>
                <w:szCs w:val="20"/>
                <w:lang w:val="sq-AL" w:eastAsia="en-GB"/>
              </w:rPr>
              <w:t xml:space="preserve"> e ngritur, funksionale dhe e përditësuar</w:t>
            </w:r>
          </w:p>
        </w:tc>
        <w:tc>
          <w:tcPr>
            <w:tcW w:w="1103" w:type="dxa"/>
          </w:tcPr>
          <w:p w14:paraId="574E3014"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2021</w:t>
            </w:r>
          </w:p>
          <w:p w14:paraId="574E3015"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Platforma jo e ngritur</w:t>
            </w:r>
          </w:p>
        </w:tc>
        <w:tc>
          <w:tcPr>
            <w:tcW w:w="1260" w:type="dxa"/>
          </w:tcPr>
          <w:p w14:paraId="574E3016"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Platforma e ngritur, funksionale dhe e rishikuar</w:t>
            </w:r>
          </w:p>
        </w:tc>
        <w:tc>
          <w:tcPr>
            <w:tcW w:w="3219" w:type="dxa"/>
          </w:tcPr>
          <w:p w14:paraId="574E3017"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Raportet e AKR</w:t>
            </w:r>
          </w:p>
        </w:tc>
      </w:tr>
      <w:tr w:rsidR="0093348A" w:rsidRPr="00E83C5E" w14:paraId="574E301F" w14:textId="77777777" w:rsidTr="00BE7B59">
        <w:trPr>
          <w:gridAfter w:val="1"/>
          <w:wAfter w:w="6" w:type="dxa"/>
        </w:trPr>
        <w:tc>
          <w:tcPr>
            <w:cnfStyle w:val="001000000000" w:firstRow="0" w:lastRow="0" w:firstColumn="1" w:lastColumn="0" w:oddVBand="0" w:evenVBand="0" w:oddHBand="0" w:evenHBand="0" w:firstRowFirstColumn="0" w:firstRowLastColumn="0" w:lastRowFirstColumn="0" w:lastRowLastColumn="0"/>
            <w:tcW w:w="985" w:type="dxa"/>
          </w:tcPr>
          <w:p w14:paraId="574E3019" w14:textId="77777777" w:rsidR="0093348A" w:rsidRPr="00E83C5E" w:rsidRDefault="0093348A" w:rsidP="002346C5">
            <w:pPr>
              <w:pStyle w:val="NoSpacing"/>
              <w:rPr>
                <w:rFonts w:ascii="Garamond" w:hAnsi="Garamond"/>
                <w:sz w:val="20"/>
                <w:szCs w:val="20"/>
                <w:lang w:val="sq-AL"/>
              </w:rPr>
            </w:pPr>
            <w:r w:rsidRPr="00E83C5E">
              <w:rPr>
                <w:rFonts w:ascii="Garamond" w:hAnsi="Garamond"/>
                <w:sz w:val="20"/>
                <w:szCs w:val="20"/>
                <w:lang w:val="sq-AL"/>
              </w:rPr>
              <w:t>1.3 a</w:t>
            </w:r>
          </w:p>
        </w:tc>
        <w:tc>
          <w:tcPr>
            <w:tcW w:w="2700" w:type="dxa"/>
          </w:tcPr>
          <w:p w14:paraId="574E301A"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eastAsia="en-GB"/>
              </w:rPr>
            </w:pPr>
            <w:r w:rsidRPr="00E83C5E">
              <w:rPr>
                <w:rFonts w:ascii="Garamond" w:hAnsi="Garamond"/>
                <w:sz w:val="20"/>
                <w:szCs w:val="20"/>
                <w:lang w:val="sq-AL" w:eastAsia="en-GB"/>
              </w:rPr>
              <w:t>Politikat zhvillimore rinore të hartuara bazuar në analizë</w:t>
            </w:r>
          </w:p>
        </w:tc>
        <w:tc>
          <w:tcPr>
            <w:tcW w:w="1103" w:type="dxa"/>
          </w:tcPr>
          <w:p w14:paraId="574E301B"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2021</w:t>
            </w:r>
          </w:p>
          <w:p w14:paraId="574E301C"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w:t>
            </w:r>
          </w:p>
        </w:tc>
        <w:tc>
          <w:tcPr>
            <w:tcW w:w="1260" w:type="dxa"/>
          </w:tcPr>
          <w:p w14:paraId="574E301D"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8</w:t>
            </w:r>
          </w:p>
        </w:tc>
        <w:tc>
          <w:tcPr>
            <w:tcW w:w="3219" w:type="dxa"/>
          </w:tcPr>
          <w:p w14:paraId="574E301E" w14:textId="77777777" w:rsidR="0093348A" w:rsidRPr="00E83C5E" w:rsidRDefault="0093348A" w:rsidP="002346C5">
            <w:pPr>
              <w:pStyle w:val="NoSpacing"/>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83C5E">
              <w:rPr>
                <w:rFonts w:ascii="Garamond" w:hAnsi="Garamond"/>
                <w:sz w:val="20"/>
                <w:szCs w:val="20"/>
                <w:lang w:val="sq-AL"/>
              </w:rPr>
              <w:t>Të dhënat e MSHRF, AKR</w:t>
            </w:r>
          </w:p>
        </w:tc>
      </w:tr>
      <w:tr w:rsidR="0093348A" w:rsidRPr="00E83C5E" w14:paraId="574E3022" w14:textId="77777777" w:rsidTr="00444B63">
        <w:trPr>
          <w:trHeight w:val="717"/>
        </w:trPr>
        <w:tc>
          <w:tcPr>
            <w:cnfStyle w:val="001000000000" w:firstRow="0" w:lastRow="0" w:firstColumn="1" w:lastColumn="0" w:oddVBand="0" w:evenVBand="0" w:oddHBand="0" w:evenHBand="0" w:firstRowFirstColumn="0" w:firstRowLastColumn="0" w:lastRowFirstColumn="0" w:lastRowLastColumn="0"/>
            <w:tcW w:w="9273" w:type="dxa"/>
            <w:gridSpan w:val="6"/>
          </w:tcPr>
          <w:p w14:paraId="574E3021" w14:textId="56BCB066" w:rsidR="0093348A" w:rsidRPr="00E83C5E" w:rsidRDefault="0093348A" w:rsidP="00840F2D">
            <w:pPr>
              <w:contextualSpacing/>
              <w:jc w:val="both"/>
              <w:rPr>
                <w:rFonts w:ascii="Garamond" w:hAnsi="Garamond" w:cs="Times New Roman"/>
                <w:sz w:val="20"/>
                <w:szCs w:val="20"/>
              </w:rPr>
            </w:pPr>
            <w:r w:rsidRPr="00E83C5E">
              <w:rPr>
                <w:rFonts w:ascii="Garamond" w:hAnsi="Garamond" w:cs="Times New Roman"/>
                <w:sz w:val="20"/>
                <w:szCs w:val="20"/>
              </w:rPr>
              <w:t>Qëllimi i politikës 2:</w:t>
            </w:r>
            <w:r w:rsidR="00233C37" w:rsidRPr="00E83C5E">
              <w:rPr>
                <w:rFonts w:ascii="Garamond" w:hAnsi="Garamond" w:cs="Times New Roman"/>
                <w:sz w:val="20"/>
                <w:szCs w:val="20"/>
              </w:rPr>
              <w:t xml:space="preserve"> </w:t>
            </w:r>
            <w:r w:rsidRPr="00E83C5E">
              <w:rPr>
                <w:rFonts w:ascii="Garamond" w:hAnsi="Garamond" w:cs="Times New Roman"/>
                <w:sz w:val="20"/>
                <w:szCs w:val="20"/>
              </w:rPr>
              <w:t xml:space="preserve"> Mbështetet dhe nxitet novacioni rinor dhe rritja e aftësive dhe profesionalizmit të të rejave dhe të rinjve përmes edukimit cilësor në TIK dhe fusha të tjera të zhvillimit digjital duke rritur dhe përmirësuar kështu mundësitë për të hyrë në tregun e punës.</w:t>
            </w:r>
          </w:p>
        </w:tc>
      </w:tr>
      <w:tr w:rsidR="0093348A" w:rsidRPr="00E83C5E" w14:paraId="574E3029" w14:textId="77777777" w:rsidTr="00BE7B59">
        <w:trPr>
          <w:gridAfter w:val="1"/>
          <w:wAfter w:w="6" w:type="dxa"/>
        </w:trPr>
        <w:tc>
          <w:tcPr>
            <w:cnfStyle w:val="001000000000" w:firstRow="0" w:lastRow="0" w:firstColumn="1" w:lastColumn="0" w:oddVBand="0" w:evenVBand="0" w:oddHBand="0" w:evenHBand="0" w:firstRowFirstColumn="0" w:firstRowLastColumn="0" w:lastRowFirstColumn="0" w:lastRowLastColumn="0"/>
            <w:tcW w:w="985" w:type="dxa"/>
          </w:tcPr>
          <w:p w14:paraId="574E3023" w14:textId="77777777" w:rsidR="0093348A" w:rsidRPr="00E83C5E" w:rsidRDefault="0093348A" w:rsidP="0093348A">
            <w:pPr>
              <w:jc w:val="both"/>
              <w:rPr>
                <w:rFonts w:ascii="Garamond" w:hAnsi="Garamond" w:cs="Times New Roman"/>
                <w:sz w:val="20"/>
                <w:szCs w:val="20"/>
              </w:rPr>
            </w:pPr>
            <w:r w:rsidRPr="00E83C5E">
              <w:rPr>
                <w:rFonts w:ascii="Garamond" w:hAnsi="Garamond" w:cs="Times New Roman"/>
                <w:sz w:val="20"/>
                <w:szCs w:val="20"/>
              </w:rPr>
              <w:t>2.1.a</w:t>
            </w:r>
          </w:p>
        </w:tc>
        <w:tc>
          <w:tcPr>
            <w:tcW w:w="2700" w:type="dxa"/>
          </w:tcPr>
          <w:p w14:paraId="574E3024"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eastAsia="PMingLiU-ExtB" w:hAnsi="Garamond" w:cs="Times New Roman"/>
                <w:sz w:val="20"/>
                <w:szCs w:val="20"/>
              </w:rPr>
            </w:pPr>
            <w:r w:rsidRPr="00E83C5E">
              <w:rPr>
                <w:rFonts w:ascii="Garamond" w:hAnsi="Garamond" w:cs="Times New Roman"/>
                <w:sz w:val="20"/>
                <w:szCs w:val="20"/>
                <w:lang w:eastAsia="en-GB"/>
              </w:rPr>
              <w:t>Shkalla e pjesëmarrjes së të rinjve në tregun e punës sipas gjinisë</w:t>
            </w:r>
          </w:p>
        </w:tc>
        <w:tc>
          <w:tcPr>
            <w:tcW w:w="1103" w:type="dxa"/>
          </w:tcPr>
          <w:p w14:paraId="574E3025"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2021</w:t>
            </w:r>
          </w:p>
          <w:p w14:paraId="574E3026"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52.5% e të rinjve nga të cilët 58.6% meshkuj dhe 46.3 % femra</w:t>
            </w:r>
          </w:p>
        </w:tc>
        <w:tc>
          <w:tcPr>
            <w:tcW w:w="1260" w:type="dxa"/>
          </w:tcPr>
          <w:p w14:paraId="574E3027"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60% e të rinjve</w:t>
            </w:r>
          </w:p>
        </w:tc>
        <w:tc>
          <w:tcPr>
            <w:tcW w:w="3219" w:type="dxa"/>
          </w:tcPr>
          <w:p w14:paraId="574E3028" w14:textId="1FC8191D"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Të dhënat e INSTAT</w:t>
            </w:r>
            <w:r w:rsidR="00840F2D" w:rsidRPr="00E83C5E">
              <w:rPr>
                <w:rFonts w:ascii="Garamond" w:hAnsi="Garamond" w:cs="Times New Roman"/>
                <w:sz w:val="20"/>
                <w:szCs w:val="20"/>
              </w:rPr>
              <w:t>-it</w:t>
            </w:r>
          </w:p>
        </w:tc>
      </w:tr>
      <w:tr w:rsidR="0093348A" w:rsidRPr="00E83C5E" w14:paraId="574E3030" w14:textId="77777777" w:rsidTr="00BE7B59">
        <w:trPr>
          <w:gridAfter w:val="1"/>
          <w:wAfter w:w="6" w:type="dxa"/>
        </w:trPr>
        <w:tc>
          <w:tcPr>
            <w:cnfStyle w:val="001000000000" w:firstRow="0" w:lastRow="0" w:firstColumn="1" w:lastColumn="0" w:oddVBand="0" w:evenVBand="0" w:oddHBand="0" w:evenHBand="0" w:firstRowFirstColumn="0" w:firstRowLastColumn="0" w:lastRowFirstColumn="0" w:lastRowLastColumn="0"/>
            <w:tcW w:w="985" w:type="dxa"/>
          </w:tcPr>
          <w:p w14:paraId="574E302A" w14:textId="77777777" w:rsidR="0093348A" w:rsidRPr="00E83C5E" w:rsidRDefault="0093348A" w:rsidP="0093348A">
            <w:pPr>
              <w:jc w:val="both"/>
              <w:rPr>
                <w:rFonts w:ascii="Garamond" w:hAnsi="Garamond" w:cs="Times New Roman"/>
                <w:sz w:val="20"/>
                <w:szCs w:val="20"/>
              </w:rPr>
            </w:pPr>
            <w:r w:rsidRPr="00E83C5E">
              <w:rPr>
                <w:rFonts w:ascii="Garamond" w:hAnsi="Garamond" w:cs="Times New Roman"/>
                <w:sz w:val="20"/>
                <w:szCs w:val="20"/>
              </w:rPr>
              <w:t>2.2.a</w:t>
            </w:r>
          </w:p>
        </w:tc>
        <w:tc>
          <w:tcPr>
            <w:tcW w:w="2700" w:type="dxa"/>
          </w:tcPr>
          <w:p w14:paraId="574E302B"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lang w:eastAsia="en-GB"/>
              </w:rPr>
              <w:t>Numri i të rinjve që kanë marrë pjesë në programe shkëmbimi/mobiliteti arsimore</w:t>
            </w:r>
          </w:p>
        </w:tc>
        <w:tc>
          <w:tcPr>
            <w:tcW w:w="1103" w:type="dxa"/>
          </w:tcPr>
          <w:p w14:paraId="574E302C"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2021</w:t>
            </w:r>
          </w:p>
          <w:p w14:paraId="574E302D"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4347 të rinj</w:t>
            </w:r>
          </w:p>
        </w:tc>
        <w:tc>
          <w:tcPr>
            <w:tcW w:w="1260" w:type="dxa"/>
          </w:tcPr>
          <w:p w14:paraId="574E302E" w14:textId="467E0457" w:rsidR="0093348A" w:rsidRPr="00E83C5E" w:rsidRDefault="0093348A" w:rsidP="005511CC">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 xml:space="preserve">Trend </w:t>
            </w:r>
            <w:r w:rsidR="005511CC" w:rsidRPr="00E83C5E">
              <w:rPr>
                <w:rFonts w:ascii="Garamond" w:hAnsi="Garamond" w:cs="Times New Roman"/>
                <w:sz w:val="20"/>
                <w:szCs w:val="20"/>
              </w:rPr>
              <w:t>r</w:t>
            </w:r>
            <w:r w:rsidRPr="00E83C5E">
              <w:rPr>
                <w:rFonts w:ascii="Garamond" w:hAnsi="Garamond" w:cs="Times New Roman"/>
                <w:sz w:val="20"/>
                <w:szCs w:val="20"/>
              </w:rPr>
              <w:t>ritës</w:t>
            </w:r>
          </w:p>
        </w:tc>
        <w:tc>
          <w:tcPr>
            <w:tcW w:w="3219" w:type="dxa"/>
          </w:tcPr>
          <w:p w14:paraId="574E302F"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Të dhënat e MAS, AKKSHI, AKPA</w:t>
            </w:r>
          </w:p>
        </w:tc>
      </w:tr>
      <w:tr w:rsidR="0093348A" w:rsidRPr="00E83C5E" w14:paraId="574E3037" w14:textId="77777777" w:rsidTr="00BE7B59">
        <w:trPr>
          <w:gridAfter w:val="1"/>
          <w:wAfter w:w="6" w:type="dxa"/>
        </w:trPr>
        <w:tc>
          <w:tcPr>
            <w:cnfStyle w:val="001000000000" w:firstRow="0" w:lastRow="0" w:firstColumn="1" w:lastColumn="0" w:oddVBand="0" w:evenVBand="0" w:oddHBand="0" w:evenHBand="0" w:firstRowFirstColumn="0" w:firstRowLastColumn="0" w:lastRowFirstColumn="0" w:lastRowLastColumn="0"/>
            <w:tcW w:w="985" w:type="dxa"/>
          </w:tcPr>
          <w:p w14:paraId="574E3031" w14:textId="77777777" w:rsidR="0093348A" w:rsidRPr="00E83C5E" w:rsidRDefault="0093348A" w:rsidP="0093348A">
            <w:pPr>
              <w:jc w:val="both"/>
              <w:rPr>
                <w:rFonts w:ascii="Garamond" w:hAnsi="Garamond" w:cs="Times New Roman"/>
                <w:sz w:val="20"/>
                <w:szCs w:val="20"/>
              </w:rPr>
            </w:pPr>
            <w:r w:rsidRPr="00E83C5E">
              <w:rPr>
                <w:rFonts w:ascii="Garamond" w:hAnsi="Garamond" w:cs="Times New Roman"/>
                <w:sz w:val="20"/>
                <w:szCs w:val="20"/>
              </w:rPr>
              <w:lastRenderedPageBreak/>
              <w:t>2.3.a</w:t>
            </w:r>
          </w:p>
        </w:tc>
        <w:tc>
          <w:tcPr>
            <w:tcW w:w="2700" w:type="dxa"/>
          </w:tcPr>
          <w:p w14:paraId="574E3032"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lang w:eastAsia="en-GB"/>
              </w:rPr>
              <w:t>Shkalla e papunësisë së të rinjve (%) të ndarë sipas gjinisë</w:t>
            </w:r>
          </w:p>
        </w:tc>
        <w:tc>
          <w:tcPr>
            <w:tcW w:w="1103" w:type="dxa"/>
          </w:tcPr>
          <w:p w14:paraId="574E3033"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2021</w:t>
            </w:r>
          </w:p>
          <w:p w14:paraId="574E3034"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20.9% e të rinjve nga të cilët 20.5% meshkuj dhe 21.4 5 femra</w:t>
            </w:r>
          </w:p>
        </w:tc>
        <w:tc>
          <w:tcPr>
            <w:tcW w:w="1260" w:type="dxa"/>
          </w:tcPr>
          <w:p w14:paraId="574E3035"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18.3% e të rinjve</w:t>
            </w:r>
          </w:p>
        </w:tc>
        <w:tc>
          <w:tcPr>
            <w:tcW w:w="3219" w:type="dxa"/>
          </w:tcPr>
          <w:p w14:paraId="574E3036" w14:textId="5A784221"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Të dhënat e INSTAT</w:t>
            </w:r>
            <w:r w:rsidR="00840F2D" w:rsidRPr="00E83C5E">
              <w:rPr>
                <w:rFonts w:ascii="Garamond" w:hAnsi="Garamond" w:cs="Times New Roman"/>
                <w:sz w:val="20"/>
                <w:szCs w:val="20"/>
              </w:rPr>
              <w:t>-it</w:t>
            </w:r>
          </w:p>
        </w:tc>
      </w:tr>
      <w:tr w:rsidR="0093348A" w:rsidRPr="00E83C5E" w14:paraId="574E303E" w14:textId="77777777" w:rsidTr="00BE7B59">
        <w:trPr>
          <w:gridAfter w:val="1"/>
          <w:wAfter w:w="6" w:type="dxa"/>
        </w:trPr>
        <w:tc>
          <w:tcPr>
            <w:cnfStyle w:val="001000000000" w:firstRow="0" w:lastRow="0" w:firstColumn="1" w:lastColumn="0" w:oddVBand="0" w:evenVBand="0" w:oddHBand="0" w:evenHBand="0" w:firstRowFirstColumn="0" w:firstRowLastColumn="0" w:lastRowFirstColumn="0" w:lastRowLastColumn="0"/>
            <w:tcW w:w="985" w:type="dxa"/>
          </w:tcPr>
          <w:p w14:paraId="574E3038" w14:textId="77777777" w:rsidR="0093348A" w:rsidRPr="00E83C5E" w:rsidRDefault="0093348A" w:rsidP="0093348A">
            <w:pPr>
              <w:jc w:val="both"/>
              <w:rPr>
                <w:rFonts w:ascii="Garamond" w:hAnsi="Garamond" w:cs="Times New Roman"/>
                <w:sz w:val="20"/>
                <w:szCs w:val="20"/>
              </w:rPr>
            </w:pPr>
            <w:r w:rsidRPr="00E83C5E">
              <w:rPr>
                <w:rFonts w:ascii="Garamond" w:hAnsi="Garamond" w:cs="Times New Roman"/>
                <w:sz w:val="20"/>
                <w:szCs w:val="20"/>
              </w:rPr>
              <w:t>2.3.b</w:t>
            </w:r>
          </w:p>
        </w:tc>
        <w:tc>
          <w:tcPr>
            <w:tcW w:w="2700" w:type="dxa"/>
          </w:tcPr>
          <w:p w14:paraId="574E3039"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lang w:eastAsia="en-GB"/>
              </w:rPr>
            </w:pPr>
            <w:r w:rsidRPr="00E83C5E">
              <w:rPr>
                <w:rFonts w:ascii="Garamond" w:hAnsi="Garamond" w:cs="Times New Roman"/>
                <w:sz w:val="20"/>
                <w:szCs w:val="20"/>
                <w:lang w:eastAsia="en-GB"/>
              </w:rPr>
              <w:t>% e të rinjve që janë përfshirë në programet e nxitjes së punësimit</w:t>
            </w:r>
          </w:p>
        </w:tc>
        <w:tc>
          <w:tcPr>
            <w:tcW w:w="1103" w:type="dxa"/>
          </w:tcPr>
          <w:p w14:paraId="574E303A"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2021</w:t>
            </w:r>
          </w:p>
          <w:p w14:paraId="574E303B"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45%</w:t>
            </w:r>
          </w:p>
        </w:tc>
        <w:tc>
          <w:tcPr>
            <w:tcW w:w="1260" w:type="dxa"/>
          </w:tcPr>
          <w:p w14:paraId="574E303C" w14:textId="2BFC60FB" w:rsidR="0093348A" w:rsidRPr="00E83C5E" w:rsidRDefault="0093348A" w:rsidP="005511CC">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 xml:space="preserve">Trend </w:t>
            </w:r>
            <w:r w:rsidR="005511CC" w:rsidRPr="00E83C5E">
              <w:rPr>
                <w:rFonts w:ascii="Garamond" w:hAnsi="Garamond" w:cs="Times New Roman"/>
                <w:sz w:val="20"/>
                <w:szCs w:val="20"/>
              </w:rPr>
              <w:t>r</w:t>
            </w:r>
            <w:r w:rsidRPr="00E83C5E">
              <w:rPr>
                <w:rFonts w:ascii="Garamond" w:hAnsi="Garamond" w:cs="Times New Roman"/>
                <w:sz w:val="20"/>
                <w:szCs w:val="20"/>
              </w:rPr>
              <w:t>ritës</w:t>
            </w:r>
          </w:p>
        </w:tc>
        <w:tc>
          <w:tcPr>
            <w:tcW w:w="3219" w:type="dxa"/>
          </w:tcPr>
          <w:p w14:paraId="574E303D"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Të dhënat e AKPA</w:t>
            </w:r>
          </w:p>
        </w:tc>
      </w:tr>
      <w:tr w:rsidR="0093348A" w:rsidRPr="00E83C5E" w14:paraId="574E3045" w14:textId="77777777" w:rsidTr="00BE7B59">
        <w:trPr>
          <w:gridAfter w:val="1"/>
          <w:wAfter w:w="6" w:type="dxa"/>
        </w:trPr>
        <w:tc>
          <w:tcPr>
            <w:cnfStyle w:val="001000000000" w:firstRow="0" w:lastRow="0" w:firstColumn="1" w:lastColumn="0" w:oddVBand="0" w:evenVBand="0" w:oddHBand="0" w:evenHBand="0" w:firstRowFirstColumn="0" w:firstRowLastColumn="0" w:lastRowFirstColumn="0" w:lastRowLastColumn="0"/>
            <w:tcW w:w="985" w:type="dxa"/>
          </w:tcPr>
          <w:p w14:paraId="574E303F" w14:textId="77777777" w:rsidR="0093348A" w:rsidRPr="00E83C5E" w:rsidRDefault="0093348A" w:rsidP="0093348A">
            <w:pPr>
              <w:jc w:val="both"/>
              <w:rPr>
                <w:rFonts w:ascii="Garamond" w:hAnsi="Garamond" w:cs="Times New Roman"/>
                <w:sz w:val="20"/>
                <w:szCs w:val="20"/>
              </w:rPr>
            </w:pPr>
            <w:r w:rsidRPr="00E83C5E">
              <w:rPr>
                <w:rFonts w:ascii="Garamond" w:hAnsi="Garamond" w:cs="Times New Roman"/>
                <w:sz w:val="20"/>
                <w:szCs w:val="20"/>
              </w:rPr>
              <w:t>2.3.c</w:t>
            </w:r>
          </w:p>
        </w:tc>
        <w:tc>
          <w:tcPr>
            <w:tcW w:w="2700" w:type="dxa"/>
          </w:tcPr>
          <w:p w14:paraId="574E3040"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20"/>
                <w:szCs w:val="20"/>
                <w:lang w:eastAsia="ja-JP"/>
              </w:rPr>
            </w:pPr>
            <w:r w:rsidRPr="00E83C5E">
              <w:rPr>
                <w:rFonts w:ascii="Garamond" w:hAnsi="Garamond" w:cs="Times New Roman"/>
                <w:sz w:val="20"/>
                <w:szCs w:val="20"/>
                <w:lang w:eastAsia="en-GB"/>
              </w:rPr>
              <w:t>% e të rinjve që kanë filluar biznesin me mbështetjen financiare të shtetit.</w:t>
            </w:r>
          </w:p>
        </w:tc>
        <w:tc>
          <w:tcPr>
            <w:tcW w:w="1103" w:type="dxa"/>
          </w:tcPr>
          <w:p w14:paraId="574E3041"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2019</w:t>
            </w:r>
          </w:p>
          <w:p w14:paraId="574E3042"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26%</w:t>
            </w:r>
          </w:p>
        </w:tc>
        <w:tc>
          <w:tcPr>
            <w:tcW w:w="1260" w:type="dxa"/>
          </w:tcPr>
          <w:p w14:paraId="574E3043"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5% mbi vitin paraardhës</w:t>
            </w:r>
          </w:p>
        </w:tc>
        <w:tc>
          <w:tcPr>
            <w:tcW w:w="3219" w:type="dxa"/>
          </w:tcPr>
          <w:p w14:paraId="574E3044"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Raportet e studimeve të kryera nga MSHRF, MFE organizata</w:t>
            </w:r>
          </w:p>
        </w:tc>
      </w:tr>
      <w:tr w:rsidR="0093348A" w:rsidRPr="00E83C5E" w14:paraId="574E3048" w14:textId="77777777" w:rsidTr="0093348A">
        <w:tc>
          <w:tcPr>
            <w:cnfStyle w:val="001000000000" w:firstRow="0" w:lastRow="0" w:firstColumn="1" w:lastColumn="0" w:oddVBand="0" w:evenVBand="0" w:oddHBand="0" w:evenHBand="0" w:firstRowFirstColumn="0" w:firstRowLastColumn="0" w:lastRowFirstColumn="0" w:lastRowLastColumn="0"/>
            <w:tcW w:w="9273" w:type="dxa"/>
            <w:gridSpan w:val="6"/>
          </w:tcPr>
          <w:p w14:paraId="574E3047" w14:textId="4F9B6F7D" w:rsidR="0093348A" w:rsidRPr="00E83C5E" w:rsidRDefault="0093348A" w:rsidP="00364633">
            <w:pPr>
              <w:contextualSpacing/>
              <w:jc w:val="both"/>
              <w:rPr>
                <w:rFonts w:ascii="Garamond" w:hAnsi="Garamond" w:cs="Times New Roman"/>
                <w:sz w:val="20"/>
                <w:szCs w:val="20"/>
              </w:rPr>
            </w:pPr>
            <w:r w:rsidRPr="00E83C5E">
              <w:rPr>
                <w:rFonts w:ascii="Garamond" w:hAnsi="Garamond" w:cs="Times New Roman"/>
                <w:sz w:val="20"/>
                <w:szCs w:val="20"/>
              </w:rPr>
              <w:t>Qëllimi i politikave 3:</w:t>
            </w:r>
            <w:r w:rsidR="00233C37" w:rsidRPr="00E83C5E">
              <w:rPr>
                <w:rFonts w:ascii="Garamond" w:hAnsi="Garamond" w:cs="Times New Roman"/>
                <w:sz w:val="20"/>
                <w:szCs w:val="20"/>
              </w:rPr>
              <w:t xml:space="preserve"> </w:t>
            </w:r>
            <w:r w:rsidRPr="00E83C5E">
              <w:rPr>
                <w:rFonts w:ascii="Garamond" w:hAnsi="Garamond" w:cs="Times New Roman"/>
                <w:sz w:val="20"/>
                <w:szCs w:val="20"/>
              </w:rPr>
              <w:t>Mirëqenia aktive, e shëndetshme, fizike, sociale dhe mendore e të rinjve. Siguria, mbrojtja dhe përfshirja e të rinjve në të gjithë diversitetin e tyre, veçanërisht për ata të rinj që janë në situatë rreziku apo mënjanimi social (vulnerabiliteti)</w:t>
            </w:r>
          </w:p>
        </w:tc>
      </w:tr>
      <w:tr w:rsidR="0093348A" w:rsidRPr="00E83C5E" w14:paraId="574E304E" w14:textId="77777777" w:rsidTr="00BE7B59">
        <w:trPr>
          <w:gridAfter w:val="1"/>
          <w:wAfter w:w="6" w:type="dxa"/>
        </w:trPr>
        <w:tc>
          <w:tcPr>
            <w:cnfStyle w:val="001000000000" w:firstRow="0" w:lastRow="0" w:firstColumn="1" w:lastColumn="0" w:oddVBand="0" w:evenVBand="0" w:oddHBand="0" w:evenHBand="0" w:firstRowFirstColumn="0" w:firstRowLastColumn="0" w:lastRowFirstColumn="0" w:lastRowLastColumn="0"/>
            <w:tcW w:w="985" w:type="dxa"/>
          </w:tcPr>
          <w:p w14:paraId="574E3049" w14:textId="77777777" w:rsidR="0093348A" w:rsidRPr="00E83C5E" w:rsidRDefault="0093348A" w:rsidP="0093348A">
            <w:pPr>
              <w:jc w:val="both"/>
              <w:rPr>
                <w:rFonts w:ascii="Garamond" w:hAnsi="Garamond" w:cs="Times New Roman"/>
                <w:sz w:val="20"/>
                <w:szCs w:val="20"/>
              </w:rPr>
            </w:pPr>
            <w:r w:rsidRPr="00E83C5E">
              <w:rPr>
                <w:rFonts w:ascii="Garamond" w:hAnsi="Garamond" w:cs="Times New Roman"/>
                <w:sz w:val="20"/>
                <w:szCs w:val="20"/>
              </w:rPr>
              <w:t>3</w:t>
            </w:r>
          </w:p>
        </w:tc>
        <w:tc>
          <w:tcPr>
            <w:tcW w:w="2700" w:type="dxa"/>
          </w:tcPr>
          <w:p w14:paraId="574E304A" w14:textId="22B48088"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 xml:space="preserve">Indeksi i </w:t>
            </w:r>
            <w:r w:rsidR="00BE7B59" w:rsidRPr="00E83C5E">
              <w:rPr>
                <w:rFonts w:ascii="Garamond" w:hAnsi="Garamond" w:cs="Times New Roman"/>
                <w:sz w:val="20"/>
                <w:szCs w:val="20"/>
              </w:rPr>
              <w:t>progresit të të rinjve</w:t>
            </w:r>
          </w:p>
        </w:tc>
        <w:tc>
          <w:tcPr>
            <w:tcW w:w="1103" w:type="dxa"/>
          </w:tcPr>
          <w:p w14:paraId="574E304B"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2020 68.49/100</w:t>
            </w:r>
          </w:p>
        </w:tc>
        <w:tc>
          <w:tcPr>
            <w:tcW w:w="1260" w:type="dxa"/>
          </w:tcPr>
          <w:p w14:paraId="574E304C"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55/100</w:t>
            </w:r>
          </w:p>
        </w:tc>
        <w:tc>
          <w:tcPr>
            <w:tcW w:w="3219" w:type="dxa"/>
          </w:tcPr>
          <w:p w14:paraId="574E304D" w14:textId="4A90AA7D" w:rsidR="0093348A" w:rsidRPr="00E83C5E" w:rsidRDefault="0093348A" w:rsidP="0093348A">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Raport vjetor i European Youth Forum</w:t>
            </w:r>
            <w:r w:rsidR="002346C5" w:rsidRPr="00E83C5E">
              <w:rPr>
                <w:rFonts w:ascii="Garamond" w:hAnsi="Garamond" w:cs="Times New Roman"/>
                <w:sz w:val="20"/>
                <w:szCs w:val="20"/>
              </w:rPr>
              <w:t xml:space="preserve"> (</w:t>
            </w:r>
            <w:r w:rsidRPr="00E83C5E">
              <w:rPr>
                <w:rFonts w:ascii="Garamond" w:hAnsi="Garamond" w:cs="Times New Roman"/>
                <w:sz w:val="20"/>
                <w:szCs w:val="20"/>
              </w:rPr>
              <w:t>Forumi Evropian i të Rinjve)</w:t>
            </w:r>
          </w:p>
        </w:tc>
      </w:tr>
      <w:tr w:rsidR="0093348A" w:rsidRPr="00E83C5E" w14:paraId="574E3055" w14:textId="77777777" w:rsidTr="00BE7B59">
        <w:trPr>
          <w:gridAfter w:val="1"/>
          <w:wAfter w:w="6" w:type="dxa"/>
        </w:trPr>
        <w:tc>
          <w:tcPr>
            <w:cnfStyle w:val="001000000000" w:firstRow="0" w:lastRow="0" w:firstColumn="1" w:lastColumn="0" w:oddVBand="0" w:evenVBand="0" w:oddHBand="0" w:evenHBand="0" w:firstRowFirstColumn="0" w:firstRowLastColumn="0" w:lastRowFirstColumn="0" w:lastRowLastColumn="0"/>
            <w:tcW w:w="985" w:type="dxa"/>
          </w:tcPr>
          <w:p w14:paraId="574E304F" w14:textId="77777777" w:rsidR="0093348A" w:rsidRPr="00E83C5E" w:rsidRDefault="0093348A" w:rsidP="0093348A">
            <w:pPr>
              <w:jc w:val="both"/>
              <w:rPr>
                <w:rFonts w:ascii="Garamond" w:hAnsi="Garamond" w:cs="Times New Roman"/>
                <w:sz w:val="20"/>
                <w:szCs w:val="20"/>
              </w:rPr>
            </w:pPr>
            <w:r w:rsidRPr="00E83C5E">
              <w:rPr>
                <w:rFonts w:ascii="Garamond" w:hAnsi="Garamond" w:cs="Times New Roman"/>
                <w:sz w:val="20"/>
                <w:szCs w:val="20"/>
              </w:rPr>
              <w:t>3.2.a</w:t>
            </w:r>
          </w:p>
        </w:tc>
        <w:tc>
          <w:tcPr>
            <w:tcW w:w="2700" w:type="dxa"/>
          </w:tcPr>
          <w:p w14:paraId="574E3050" w14:textId="77777777" w:rsidR="0093348A" w:rsidRPr="00E83C5E" w:rsidRDefault="0093348A" w:rsidP="0093348A">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lang w:eastAsia="en-GB"/>
              </w:rPr>
              <w:t>% e të rinjve që raportojnë se praktikojnë stile jetese të shëndetshme</w:t>
            </w:r>
          </w:p>
        </w:tc>
        <w:tc>
          <w:tcPr>
            <w:tcW w:w="1103" w:type="dxa"/>
          </w:tcPr>
          <w:p w14:paraId="574E3051"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2021</w:t>
            </w:r>
          </w:p>
          <w:p w14:paraId="574E3052"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w:t>
            </w:r>
          </w:p>
        </w:tc>
        <w:tc>
          <w:tcPr>
            <w:tcW w:w="1260" w:type="dxa"/>
          </w:tcPr>
          <w:p w14:paraId="574E3053"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 xml:space="preserve">5% rritje mbi vitin paraardhës </w:t>
            </w:r>
          </w:p>
        </w:tc>
        <w:tc>
          <w:tcPr>
            <w:tcW w:w="3219" w:type="dxa"/>
          </w:tcPr>
          <w:p w14:paraId="574E3054" w14:textId="77777777" w:rsidR="0093348A" w:rsidRPr="00E83C5E" w:rsidRDefault="0093348A" w:rsidP="0093348A">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Sondazhi i kyer nga MSHRF</w:t>
            </w:r>
          </w:p>
        </w:tc>
      </w:tr>
      <w:tr w:rsidR="0093348A" w:rsidRPr="00E83C5E" w14:paraId="574E305C" w14:textId="77777777" w:rsidTr="00BE7B59">
        <w:trPr>
          <w:gridAfter w:val="1"/>
          <w:wAfter w:w="6" w:type="dxa"/>
        </w:trPr>
        <w:tc>
          <w:tcPr>
            <w:cnfStyle w:val="001000000000" w:firstRow="0" w:lastRow="0" w:firstColumn="1" w:lastColumn="0" w:oddVBand="0" w:evenVBand="0" w:oddHBand="0" w:evenHBand="0" w:firstRowFirstColumn="0" w:firstRowLastColumn="0" w:lastRowFirstColumn="0" w:lastRowLastColumn="0"/>
            <w:tcW w:w="985" w:type="dxa"/>
          </w:tcPr>
          <w:p w14:paraId="574E3056" w14:textId="77777777" w:rsidR="0093348A" w:rsidRPr="00E83C5E" w:rsidRDefault="0093348A" w:rsidP="0093348A">
            <w:pPr>
              <w:jc w:val="both"/>
              <w:rPr>
                <w:rFonts w:ascii="Garamond" w:hAnsi="Garamond" w:cs="Times New Roman"/>
                <w:sz w:val="20"/>
                <w:szCs w:val="20"/>
              </w:rPr>
            </w:pPr>
            <w:r w:rsidRPr="00E83C5E">
              <w:rPr>
                <w:rFonts w:ascii="Garamond" w:hAnsi="Garamond" w:cs="Times New Roman"/>
                <w:sz w:val="20"/>
                <w:szCs w:val="20"/>
              </w:rPr>
              <w:t>3.2.b</w:t>
            </w:r>
          </w:p>
        </w:tc>
        <w:tc>
          <w:tcPr>
            <w:tcW w:w="2700" w:type="dxa"/>
          </w:tcPr>
          <w:p w14:paraId="574E3057" w14:textId="77777777" w:rsidR="0093348A" w:rsidRPr="00E83C5E" w:rsidRDefault="0093348A" w:rsidP="0093348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lang w:eastAsia="en-GB"/>
              </w:rPr>
            </w:pPr>
            <w:r w:rsidRPr="00E83C5E">
              <w:rPr>
                <w:rFonts w:ascii="Garamond" w:hAnsi="Garamond" w:cs="Times New Roman"/>
                <w:sz w:val="20"/>
                <w:szCs w:val="20"/>
                <w:lang w:eastAsia="en-GB"/>
              </w:rPr>
              <w:t>% e qendrave shëndetësore të pajisura me mjedise miqësore për rininë</w:t>
            </w:r>
          </w:p>
        </w:tc>
        <w:tc>
          <w:tcPr>
            <w:tcW w:w="1103" w:type="dxa"/>
          </w:tcPr>
          <w:p w14:paraId="574E3058"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2021</w:t>
            </w:r>
          </w:p>
          <w:p w14:paraId="574E3059"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w:t>
            </w:r>
          </w:p>
        </w:tc>
        <w:tc>
          <w:tcPr>
            <w:tcW w:w="1260" w:type="dxa"/>
          </w:tcPr>
          <w:p w14:paraId="574E305A"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5% rritje mbi vitin paraardhës</w:t>
            </w:r>
          </w:p>
        </w:tc>
        <w:tc>
          <w:tcPr>
            <w:tcW w:w="3219" w:type="dxa"/>
          </w:tcPr>
          <w:p w14:paraId="574E305B" w14:textId="77777777" w:rsidR="0093348A" w:rsidRPr="00E83C5E" w:rsidRDefault="0093348A" w:rsidP="0093348A">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Të dhënat e MSHMS</w:t>
            </w:r>
          </w:p>
        </w:tc>
      </w:tr>
      <w:tr w:rsidR="0093348A" w:rsidRPr="00E83C5E" w14:paraId="574E3063" w14:textId="77777777" w:rsidTr="00BE7B59">
        <w:trPr>
          <w:gridAfter w:val="1"/>
          <w:wAfter w:w="6" w:type="dxa"/>
        </w:trPr>
        <w:tc>
          <w:tcPr>
            <w:cnfStyle w:val="001000000000" w:firstRow="0" w:lastRow="0" w:firstColumn="1" w:lastColumn="0" w:oddVBand="0" w:evenVBand="0" w:oddHBand="0" w:evenHBand="0" w:firstRowFirstColumn="0" w:firstRowLastColumn="0" w:lastRowFirstColumn="0" w:lastRowLastColumn="0"/>
            <w:tcW w:w="985" w:type="dxa"/>
          </w:tcPr>
          <w:p w14:paraId="574E305D" w14:textId="77777777" w:rsidR="0093348A" w:rsidRPr="00E83C5E" w:rsidRDefault="0093348A" w:rsidP="0093348A">
            <w:pPr>
              <w:jc w:val="both"/>
              <w:rPr>
                <w:rFonts w:ascii="Garamond" w:hAnsi="Garamond" w:cs="Times New Roman"/>
                <w:sz w:val="20"/>
                <w:szCs w:val="20"/>
              </w:rPr>
            </w:pPr>
            <w:r w:rsidRPr="00E83C5E">
              <w:rPr>
                <w:rFonts w:ascii="Garamond" w:hAnsi="Garamond" w:cs="Times New Roman"/>
                <w:sz w:val="20"/>
                <w:szCs w:val="20"/>
              </w:rPr>
              <w:t xml:space="preserve"> 3.2.c</w:t>
            </w:r>
          </w:p>
        </w:tc>
        <w:tc>
          <w:tcPr>
            <w:tcW w:w="2700" w:type="dxa"/>
          </w:tcPr>
          <w:p w14:paraId="574E305E" w14:textId="77777777" w:rsidR="0093348A" w:rsidRPr="00E83C5E" w:rsidRDefault="0093348A" w:rsidP="0093348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lang w:eastAsia="en-GB"/>
              </w:rPr>
            </w:pPr>
            <w:r w:rsidRPr="00E83C5E">
              <w:rPr>
                <w:rFonts w:ascii="Garamond" w:hAnsi="Garamond" w:cs="Times New Roman"/>
                <w:sz w:val="20"/>
                <w:szCs w:val="20"/>
                <w:lang w:eastAsia="en-GB"/>
              </w:rPr>
              <w:t>% e nëpunësve publikë të trajnuar mbi ofrimin e shërbimeve miqësore për rininë</w:t>
            </w:r>
          </w:p>
        </w:tc>
        <w:tc>
          <w:tcPr>
            <w:tcW w:w="1103" w:type="dxa"/>
          </w:tcPr>
          <w:p w14:paraId="574E305F"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2021</w:t>
            </w:r>
          </w:p>
          <w:p w14:paraId="574E3060"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w:t>
            </w:r>
          </w:p>
        </w:tc>
        <w:tc>
          <w:tcPr>
            <w:tcW w:w="1260" w:type="dxa"/>
          </w:tcPr>
          <w:p w14:paraId="574E3061" w14:textId="77777777" w:rsidR="0093348A" w:rsidRPr="00E83C5E" w:rsidRDefault="0093348A" w:rsidP="0093348A">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5% rritje mbi vitin paraardhës</w:t>
            </w:r>
          </w:p>
        </w:tc>
        <w:tc>
          <w:tcPr>
            <w:tcW w:w="3219" w:type="dxa"/>
          </w:tcPr>
          <w:p w14:paraId="574E3062" w14:textId="77777777" w:rsidR="0093348A" w:rsidRPr="00E83C5E" w:rsidRDefault="0093348A" w:rsidP="0093348A">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E83C5E">
              <w:rPr>
                <w:rFonts w:ascii="Garamond" w:hAnsi="Garamond" w:cs="Times New Roman"/>
                <w:sz w:val="20"/>
                <w:szCs w:val="20"/>
              </w:rPr>
              <w:t>Të dhënat e MSHMS; ASPA</w:t>
            </w:r>
          </w:p>
        </w:tc>
      </w:tr>
    </w:tbl>
    <w:p w14:paraId="574E3064" w14:textId="77777777" w:rsidR="0093348A" w:rsidRPr="00E83C5E" w:rsidRDefault="0093348A" w:rsidP="0093348A">
      <w:pPr>
        <w:pStyle w:val="TEKSTIII"/>
      </w:pPr>
    </w:p>
    <w:p w14:paraId="574E3065" w14:textId="77777777" w:rsidR="0093348A" w:rsidRPr="00E83C5E" w:rsidRDefault="0093348A" w:rsidP="0093348A">
      <w:pPr>
        <w:spacing w:after="0" w:line="240" w:lineRule="auto"/>
        <w:jc w:val="both"/>
        <w:rPr>
          <w:rFonts w:ascii="Garamond" w:hAnsi="Garamond" w:cs="Times New Roman"/>
          <w:sz w:val="24"/>
          <w:szCs w:val="24"/>
        </w:rPr>
      </w:pPr>
    </w:p>
    <w:p w14:paraId="574E3066" w14:textId="77777777" w:rsidR="0093348A" w:rsidRPr="00E83C5E" w:rsidRDefault="0093348A" w:rsidP="007D4822">
      <w:pPr>
        <w:pStyle w:val="TEKSTIII"/>
      </w:pPr>
    </w:p>
    <w:p w14:paraId="574E3067" w14:textId="77777777" w:rsidR="00237C9E" w:rsidRPr="00E83C5E" w:rsidRDefault="00237C9E" w:rsidP="007D4822">
      <w:pPr>
        <w:pStyle w:val="TEKSTIII"/>
      </w:pPr>
    </w:p>
    <w:p w14:paraId="574E3068" w14:textId="77777777" w:rsidR="00237C9E" w:rsidRPr="00E83C5E" w:rsidRDefault="00237C9E" w:rsidP="007D4822">
      <w:pPr>
        <w:pStyle w:val="TEKSTIII"/>
      </w:pPr>
    </w:p>
    <w:p w14:paraId="574E3069" w14:textId="77777777" w:rsidR="00237C9E" w:rsidRPr="00E83C5E" w:rsidRDefault="00237C9E" w:rsidP="007D4822">
      <w:pPr>
        <w:pStyle w:val="TEKSTIII"/>
      </w:pPr>
    </w:p>
    <w:p w14:paraId="574E306A" w14:textId="77777777" w:rsidR="00237C9E" w:rsidRPr="00E83C5E" w:rsidRDefault="00237C9E" w:rsidP="007D4822">
      <w:pPr>
        <w:pStyle w:val="TEKSTIII"/>
      </w:pPr>
    </w:p>
    <w:p w14:paraId="574E306B" w14:textId="77777777" w:rsidR="00237C9E" w:rsidRPr="00E83C5E" w:rsidRDefault="00237C9E" w:rsidP="007D4822">
      <w:pPr>
        <w:pStyle w:val="TEKSTIII"/>
      </w:pPr>
    </w:p>
    <w:p w14:paraId="574E306C" w14:textId="77777777" w:rsidR="00237C9E" w:rsidRPr="00E83C5E" w:rsidRDefault="00237C9E" w:rsidP="007D4822">
      <w:pPr>
        <w:pStyle w:val="TEKSTIII"/>
      </w:pPr>
    </w:p>
    <w:p w14:paraId="574E306D" w14:textId="77777777" w:rsidR="00237C9E" w:rsidRPr="00E83C5E" w:rsidRDefault="00237C9E" w:rsidP="007D4822">
      <w:pPr>
        <w:pStyle w:val="TEKSTIII"/>
      </w:pPr>
    </w:p>
    <w:p w14:paraId="574E306E" w14:textId="77777777" w:rsidR="00237C9E" w:rsidRPr="00E83C5E" w:rsidRDefault="00237C9E" w:rsidP="007D4822">
      <w:pPr>
        <w:pStyle w:val="TEKSTIII"/>
      </w:pPr>
    </w:p>
    <w:p w14:paraId="574E306F" w14:textId="77777777" w:rsidR="00237C9E" w:rsidRPr="00E83C5E" w:rsidRDefault="00237C9E" w:rsidP="007D4822">
      <w:pPr>
        <w:pStyle w:val="TEKSTIII"/>
      </w:pPr>
    </w:p>
    <w:p w14:paraId="574E3070" w14:textId="77777777" w:rsidR="00237C9E" w:rsidRPr="00E83C5E" w:rsidRDefault="00237C9E" w:rsidP="007D4822">
      <w:pPr>
        <w:pStyle w:val="TEKSTIII"/>
      </w:pPr>
    </w:p>
    <w:p w14:paraId="574E3071" w14:textId="77777777" w:rsidR="00237C9E" w:rsidRPr="00E83C5E" w:rsidRDefault="00237C9E" w:rsidP="007D4822">
      <w:pPr>
        <w:pStyle w:val="TEKSTIII"/>
      </w:pPr>
    </w:p>
    <w:p w14:paraId="574E3072" w14:textId="77777777" w:rsidR="00237C9E" w:rsidRPr="00E83C5E" w:rsidRDefault="00237C9E" w:rsidP="007D4822">
      <w:pPr>
        <w:pStyle w:val="TEKSTIII"/>
      </w:pPr>
    </w:p>
    <w:p w14:paraId="574E3073" w14:textId="77777777" w:rsidR="00237C9E" w:rsidRPr="00E83C5E" w:rsidRDefault="00237C9E" w:rsidP="007D4822">
      <w:pPr>
        <w:pStyle w:val="TEKSTIII"/>
      </w:pPr>
    </w:p>
    <w:p w14:paraId="574E3074" w14:textId="77777777" w:rsidR="00237C9E" w:rsidRPr="00E83C5E" w:rsidRDefault="00237C9E" w:rsidP="007D4822">
      <w:pPr>
        <w:pStyle w:val="TEKSTIII"/>
      </w:pPr>
    </w:p>
    <w:p w14:paraId="574E3075" w14:textId="77777777" w:rsidR="00237C9E" w:rsidRPr="00E83C5E" w:rsidRDefault="00237C9E" w:rsidP="007D4822">
      <w:pPr>
        <w:pStyle w:val="TEKSTIII"/>
      </w:pPr>
    </w:p>
    <w:p w14:paraId="574E3076" w14:textId="77777777" w:rsidR="00237C9E" w:rsidRPr="00E83C5E" w:rsidRDefault="00237C9E" w:rsidP="007D4822">
      <w:pPr>
        <w:pStyle w:val="TEKSTIII"/>
      </w:pPr>
    </w:p>
    <w:p w14:paraId="574E3077" w14:textId="77777777" w:rsidR="00237C9E" w:rsidRPr="00E83C5E" w:rsidRDefault="00237C9E" w:rsidP="007D4822">
      <w:pPr>
        <w:pStyle w:val="TEKSTIII"/>
      </w:pPr>
    </w:p>
    <w:p w14:paraId="574E3078" w14:textId="77777777" w:rsidR="00237C9E" w:rsidRPr="00E83C5E" w:rsidRDefault="00237C9E" w:rsidP="007D4822">
      <w:pPr>
        <w:pStyle w:val="TEKSTIII"/>
        <w:sectPr w:rsidR="00237C9E" w:rsidRPr="00E83C5E" w:rsidSect="0093348A">
          <w:pgSz w:w="11907" w:h="16840" w:code="9"/>
          <w:pgMar w:top="1418" w:right="1418" w:bottom="1418" w:left="1418" w:header="1304" w:footer="1134" w:gutter="0"/>
          <w:cols w:space="720"/>
          <w:docGrid w:linePitch="360"/>
        </w:sectPr>
      </w:pPr>
    </w:p>
    <w:p w14:paraId="574E3079" w14:textId="77777777" w:rsidR="002D6157" w:rsidRPr="00E83C5E" w:rsidRDefault="002D6157" w:rsidP="002D6157">
      <w:pPr>
        <w:pStyle w:val="TEKSTIII"/>
        <w:rPr>
          <w:b/>
        </w:rPr>
      </w:pPr>
      <w:r w:rsidRPr="00E83C5E">
        <w:rPr>
          <w:b/>
        </w:rPr>
        <w:lastRenderedPageBreak/>
        <w:t>Plani i Veprimit SKR 2022-29</w:t>
      </w:r>
    </w:p>
    <w:tbl>
      <w:tblPr>
        <w:tblW w:w="5483" w:type="pct"/>
        <w:jc w:val="center"/>
        <w:tblLayout w:type="fixed"/>
        <w:tblLook w:val="04A0" w:firstRow="1" w:lastRow="0" w:firstColumn="1" w:lastColumn="0" w:noHBand="0" w:noVBand="1"/>
      </w:tblPr>
      <w:tblGrid>
        <w:gridCol w:w="440"/>
        <w:gridCol w:w="2015"/>
        <w:gridCol w:w="1138"/>
        <w:gridCol w:w="1014"/>
        <w:gridCol w:w="671"/>
        <w:gridCol w:w="998"/>
        <w:gridCol w:w="1026"/>
        <w:gridCol w:w="1029"/>
        <w:gridCol w:w="1082"/>
        <w:gridCol w:w="733"/>
        <w:gridCol w:w="75"/>
        <w:gridCol w:w="770"/>
        <w:gridCol w:w="34"/>
        <w:gridCol w:w="1035"/>
        <w:gridCol w:w="714"/>
        <w:gridCol w:w="752"/>
        <w:gridCol w:w="16"/>
        <w:gridCol w:w="870"/>
        <w:gridCol w:w="1182"/>
      </w:tblGrid>
      <w:tr w:rsidR="00444B63" w:rsidRPr="00E83C5E" w14:paraId="574E307B" w14:textId="77777777" w:rsidTr="00BE7B59">
        <w:trPr>
          <w:trHeight w:val="37"/>
          <w:jc w:val="center"/>
        </w:trPr>
        <w:tc>
          <w:tcPr>
            <w:tcW w:w="5000" w:type="pct"/>
            <w:gridSpan w:val="19"/>
            <w:tcBorders>
              <w:top w:val="single" w:sz="8" w:space="0" w:color="auto"/>
              <w:left w:val="single" w:sz="8" w:space="0" w:color="auto"/>
              <w:bottom w:val="single" w:sz="8" w:space="0" w:color="auto"/>
              <w:right w:val="nil"/>
            </w:tcBorders>
            <w:shd w:val="clear" w:color="000000" w:fill="F2F2F2"/>
            <w:vAlign w:val="center"/>
            <w:hideMark/>
          </w:tcPr>
          <w:p w14:paraId="574E307A" w14:textId="1910DFDC" w:rsidR="00444B63" w:rsidRPr="00E83C5E" w:rsidRDefault="00444B63" w:rsidP="00364633">
            <w:pPr>
              <w:spacing w:after="0" w:line="240" w:lineRule="auto"/>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 xml:space="preserve">I. </w:t>
            </w:r>
            <w:r w:rsidR="00840F2D" w:rsidRPr="00E83C5E">
              <w:rPr>
                <w:rFonts w:ascii="Garamond" w:eastAsia="Times New Roman" w:hAnsi="Garamond" w:cs="Times New Roman"/>
                <w:b/>
                <w:bCs/>
                <w:color w:val="FF0000"/>
                <w:sz w:val="14"/>
                <w:szCs w:val="14"/>
                <w:lang w:eastAsia="en-GB"/>
              </w:rPr>
              <w:t>QËLLIMI</w:t>
            </w:r>
            <w:r w:rsidRPr="00E83C5E">
              <w:rPr>
                <w:rFonts w:ascii="Garamond" w:eastAsia="Times New Roman" w:hAnsi="Garamond" w:cs="Times New Roman"/>
                <w:b/>
                <w:bCs/>
                <w:color w:val="FF0000"/>
                <w:sz w:val="14"/>
                <w:szCs w:val="14"/>
                <w:lang w:eastAsia="en-GB"/>
              </w:rPr>
              <w:t xml:space="preserve"> I POLITIKAVE I:</w:t>
            </w:r>
            <w:r w:rsidR="00233C37" w:rsidRPr="00E83C5E">
              <w:rPr>
                <w:rFonts w:ascii="Garamond" w:eastAsia="Times New Roman" w:hAnsi="Garamond" w:cs="Times New Roman"/>
                <w:b/>
                <w:bCs/>
                <w:color w:val="FF0000"/>
                <w:sz w:val="14"/>
                <w:szCs w:val="14"/>
                <w:lang w:eastAsia="en-GB"/>
              </w:rPr>
              <w:t xml:space="preserve"> </w:t>
            </w:r>
            <w:r w:rsidRPr="00E83C5E">
              <w:rPr>
                <w:rFonts w:ascii="Garamond" w:eastAsia="Times New Roman" w:hAnsi="Garamond" w:cs="Times New Roman"/>
                <w:b/>
                <w:bCs/>
                <w:color w:val="FF0000"/>
                <w:sz w:val="14"/>
                <w:szCs w:val="14"/>
                <w:lang w:eastAsia="en-GB"/>
              </w:rPr>
              <w:t>Fuqizimi organizimit rinor dhe rritja e pjesëmarrjes rinore</w:t>
            </w:r>
            <w:r w:rsidRPr="00E83C5E">
              <w:rPr>
                <w:rFonts w:ascii="Garamond" w:eastAsia="Times New Roman" w:hAnsi="Garamond" w:cs="Times New Roman"/>
                <w:b/>
                <w:bCs/>
                <w:color w:val="FF0000"/>
                <w:sz w:val="14"/>
                <w:szCs w:val="14"/>
                <w:lang w:eastAsia="en-GB"/>
              </w:rPr>
              <w:br/>
              <w:t>Të rejat dhe të rinjtë marrin pjesë aktivisht në shoqëri dhe ndihen të fuqizuar për t’u shprehur me zërin e tyre. Politikat ndërsektoriale rinore janë të koordinuara, të bazuara në analiza, me mekanizma të mirëfinancuar</w:t>
            </w:r>
          </w:p>
        </w:tc>
      </w:tr>
      <w:tr w:rsidR="00444B63" w:rsidRPr="00E83C5E" w14:paraId="574E3083" w14:textId="77777777" w:rsidTr="00BE7B59">
        <w:trPr>
          <w:trHeight w:val="37"/>
          <w:jc w:val="center"/>
        </w:trPr>
        <w:tc>
          <w:tcPr>
            <w:tcW w:w="141" w:type="pct"/>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574E307C"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Nr.</w:t>
            </w:r>
          </w:p>
        </w:tc>
        <w:tc>
          <w:tcPr>
            <w:tcW w:w="646"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574E307D" w14:textId="76E11CA3" w:rsidR="00444B63" w:rsidRPr="00E83C5E" w:rsidRDefault="00840F2D" w:rsidP="00840F2D">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Titulli</w:t>
            </w:r>
          </w:p>
        </w:tc>
        <w:tc>
          <w:tcPr>
            <w:tcW w:w="690" w:type="pct"/>
            <w:gridSpan w:val="2"/>
            <w:tcBorders>
              <w:top w:val="single" w:sz="8" w:space="0" w:color="auto"/>
              <w:left w:val="nil"/>
              <w:bottom w:val="single" w:sz="4" w:space="0" w:color="auto"/>
              <w:right w:val="single" w:sz="4" w:space="0" w:color="auto"/>
            </w:tcBorders>
            <w:shd w:val="clear" w:color="auto" w:fill="auto"/>
            <w:vAlign w:val="center"/>
            <w:hideMark/>
          </w:tcPr>
          <w:p w14:paraId="574E307E"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Institucionet përgjegjëse</w:t>
            </w:r>
          </w:p>
        </w:tc>
        <w:tc>
          <w:tcPr>
            <w:tcW w:w="535" w:type="pct"/>
            <w:gridSpan w:val="2"/>
            <w:tcBorders>
              <w:top w:val="single" w:sz="8" w:space="0" w:color="auto"/>
              <w:left w:val="nil"/>
              <w:bottom w:val="single" w:sz="4" w:space="0" w:color="auto"/>
              <w:right w:val="single" w:sz="8" w:space="0" w:color="000000"/>
            </w:tcBorders>
            <w:shd w:val="clear" w:color="auto" w:fill="auto"/>
            <w:vAlign w:val="center"/>
            <w:hideMark/>
          </w:tcPr>
          <w:p w14:paraId="574E307F"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Periudha e zbatimit</w:t>
            </w:r>
          </w:p>
        </w:tc>
        <w:tc>
          <w:tcPr>
            <w:tcW w:w="1006" w:type="pct"/>
            <w:gridSpan w:val="3"/>
            <w:vMerge w:val="restart"/>
            <w:tcBorders>
              <w:top w:val="single" w:sz="8" w:space="0" w:color="auto"/>
              <w:left w:val="nil"/>
              <w:bottom w:val="single" w:sz="8" w:space="0" w:color="000000"/>
              <w:right w:val="single" w:sz="8" w:space="0" w:color="000000"/>
            </w:tcBorders>
            <w:shd w:val="clear" w:color="auto" w:fill="auto"/>
            <w:vAlign w:val="center"/>
            <w:hideMark/>
          </w:tcPr>
          <w:p w14:paraId="574E3080"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Kosto indikative</w:t>
            </w:r>
          </w:p>
        </w:tc>
        <w:tc>
          <w:tcPr>
            <w:tcW w:w="1603" w:type="pct"/>
            <w:gridSpan w:val="9"/>
            <w:tcBorders>
              <w:top w:val="single" w:sz="8" w:space="0" w:color="auto"/>
              <w:left w:val="nil"/>
              <w:bottom w:val="single" w:sz="8" w:space="0" w:color="auto"/>
              <w:right w:val="nil"/>
            </w:tcBorders>
            <w:shd w:val="clear" w:color="auto" w:fill="auto"/>
            <w:vAlign w:val="center"/>
            <w:hideMark/>
          </w:tcPr>
          <w:p w14:paraId="574E3081"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xml:space="preserve">Burimi </w:t>
            </w:r>
          </w:p>
        </w:tc>
        <w:tc>
          <w:tcPr>
            <w:tcW w:w="37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74E3082"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Hendeku Financiar</w:t>
            </w:r>
          </w:p>
        </w:tc>
      </w:tr>
      <w:tr w:rsidR="00444B63" w:rsidRPr="00E83C5E" w14:paraId="574E308E" w14:textId="77777777" w:rsidTr="00BE7B59">
        <w:trPr>
          <w:trHeight w:val="37"/>
          <w:jc w:val="center"/>
        </w:trPr>
        <w:tc>
          <w:tcPr>
            <w:tcW w:w="141" w:type="pct"/>
            <w:vMerge/>
            <w:tcBorders>
              <w:top w:val="single" w:sz="8" w:space="0" w:color="auto"/>
              <w:left w:val="single" w:sz="8" w:space="0" w:color="auto"/>
              <w:bottom w:val="single" w:sz="8" w:space="0" w:color="000000"/>
              <w:right w:val="single" w:sz="4" w:space="0" w:color="auto"/>
            </w:tcBorders>
            <w:vAlign w:val="center"/>
            <w:hideMark/>
          </w:tcPr>
          <w:p w14:paraId="574E3084" w14:textId="77777777" w:rsidR="00444B63" w:rsidRPr="00E83C5E" w:rsidRDefault="00444B63" w:rsidP="00444B63">
            <w:pPr>
              <w:spacing w:after="0" w:line="240" w:lineRule="auto"/>
              <w:rPr>
                <w:rFonts w:ascii="Garamond" w:eastAsia="Times New Roman" w:hAnsi="Garamond" w:cs="Times New Roman"/>
                <w:b/>
                <w:bCs/>
                <w:color w:val="000000"/>
                <w:sz w:val="14"/>
                <w:szCs w:val="14"/>
                <w:lang w:eastAsia="en-GB"/>
              </w:rPr>
            </w:pPr>
          </w:p>
        </w:tc>
        <w:tc>
          <w:tcPr>
            <w:tcW w:w="646" w:type="pct"/>
            <w:vMerge/>
            <w:tcBorders>
              <w:top w:val="single" w:sz="8" w:space="0" w:color="auto"/>
              <w:left w:val="single" w:sz="4" w:space="0" w:color="auto"/>
              <w:bottom w:val="single" w:sz="8" w:space="0" w:color="000000"/>
              <w:right w:val="single" w:sz="4" w:space="0" w:color="auto"/>
            </w:tcBorders>
            <w:vAlign w:val="center"/>
            <w:hideMark/>
          </w:tcPr>
          <w:p w14:paraId="574E3085" w14:textId="77777777" w:rsidR="00444B63" w:rsidRPr="00E83C5E" w:rsidRDefault="00444B63" w:rsidP="00444B63">
            <w:pPr>
              <w:spacing w:after="0" w:line="240" w:lineRule="auto"/>
              <w:rPr>
                <w:rFonts w:ascii="Garamond" w:eastAsia="Times New Roman" w:hAnsi="Garamond" w:cs="Times New Roman"/>
                <w:b/>
                <w:bCs/>
                <w:color w:val="000000"/>
                <w:sz w:val="14"/>
                <w:szCs w:val="14"/>
                <w:lang w:eastAsia="en-GB"/>
              </w:rPr>
            </w:pPr>
          </w:p>
        </w:tc>
        <w:tc>
          <w:tcPr>
            <w:tcW w:w="365" w:type="pct"/>
            <w:vMerge w:val="restart"/>
            <w:tcBorders>
              <w:top w:val="nil"/>
              <w:left w:val="single" w:sz="4" w:space="0" w:color="auto"/>
              <w:bottom w:val="single" w:sz="8" w:space="0" w:color="000000"/>
              <w:right w:val="single" w:sz="4" w:space="0" w:color="auto"/>
            </w:tcBorders>
            <w:shd w:val="clear" w:color="auto" w:fill="auto"/>
            <w:vAlign w:val="center"/>
            <w:hideMark/>
          </w:tcPr>
          <w:p w14:paraId="574E3086"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xml:space="preserve">Institucioni </w:t>
            </w:r>
            <w:r w:rsidRPr="00E83C5E">
              <w:rPr>
                <w:rFonts w:ascii="Garamond" w:eastAsia="Times New Roman" w:hAnsi="Garamond" w:cs="Times New Roman"/>
                <w:b/>
                <w:bCs/>
                <w:color w:val="000000"/>
                <w:sz w:val="14"/>
                <w:szCs w:val="14"/>
                <w:lang w:eastAsia="en-GB"/>
              </w:rPr>
              <w:br/>
              <w:t>udhëheqës</w:t>
            </w:r>
          </w:p>
        </w:tc>
        <w:tc>
          <w:tcPr>
            <w:tcW w:w="325" w:type="pct"/>
            <w:vMerge w:val="restart"/>
            <w:tcBorders>
              <w:top w:val="nil"/>
              <w:left w:val="single" w:sz="4" w:space="0" w:color="auto"/>
              <w:bottom w:val="single" w:sz="8" w:space="0" w:color="000000"/>
              <w:right w:val="single" w:sz="4" w:space="0" w:color="auto"/>
            </w:tcBorders>
            <w:shd w:val="clear" w:color="auto" w:fill="auto"/>
            <w:vAlign w:val="center"/>
            <w:hideMark/>
          </w:tcPr>
          <w:p w14:paraId="574E3087"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Institucionet</w:t>
            </w:r>
            <w:r w:rsidRPr="00E83C5E">
              <w:rPr>
                <w:rFonts w:ascii="Garamond" w:eastAsia="Times New Roman" w:hAnsi="Garamond" w:cs="Times New Roman"/>
                <w:b/>
                <w:bCs/>
                <w:color w:val="000000"/>
                <w:sz w:val="14"/>
                <w:szCs w:val="14"/>
                <w:lang w:eastAsia="en-GB"/>
              </w:rPr>
              <w:br/>
              <w:t>kontribuuese</w:t>
            </w:r>
          </w:p>
        </w:tc>
        <w:tc>
          <w:tcPr>
            <w:tcW w:w="215" w:type="pct"/>
            <w:vMerge w:val="restart"/>
            <w:tcBorders>
              <w:top w:val="nil"/>
              <w:left w:val="single" w:sz="4" w:space="0" w:color="auto"/>
              <w:bottom w:val="single" w:sz="8" w:space="0" w:color="000000"/>
              <w:right w:val="single" w:sz="4" w:space="0" w:color="auto"/>
            </w:tcBorders>
            <w:shd w:val="clear" w:color="auto" w:fill="auto"/>
            <w:vAlign w:val="center"/>
            <w:hideMark/>
          </w:tcPr>
          <w:p w14:paraId="574E3088"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Afati i</w:t>
            </w:r>
            <w:r w:rsidRPr="00E83C5E">
              <w:rPr>
                <w:rFonts w:ascii="Garamond" w:eastAsia="Times New Roman" w:hAnsi="Garamond" w:cs="Times New Roman"/>
                <w:b/>
                <w:bCs/>
                <w:color w:val="000000"/>
                <w:sz w:val="14"/>
                <w:szCs w:val="14"/>
                <w:lang w:eastAsia="en-GB"/>
              </w:rPr>
              <w:br/>
              <w:t>fillimit</w:t>
            </w:r>
          </w:p>
        </w:tc>
        <w:tc>
          <w:tcPr>
            <w:tcW w:w="319" w:type="pct"/>
            <w:vMerge w:val="restart"/>
            <w:tcBorders>
              <w:top w:val="nil"/>
              <w:left w:val="single" w:sz="4" w:space="0" w:color="auto"/>
              <w:bottom w:val="single" w:sz="8" w:space="0" w:color="000000"/>
              <w:right w:val="single" w:sz="8" w:space="0" w:color="auto"/>
            </w:tcBorders>
            <w:shd w:val="clear" w:color="auto" w:fill="auto"/>
            <w:vAlign w:val="center"/>
            <w:hideMark/>
          </w:tcPr>
          <w:p w14:paraId="574E3089"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Afati i</w:t>
            </w:r>
            <w:r w:rsidRPr="00E83C5E">
              <w:rPr>
                <w:rFonts w:ascii="Garamond" w:eastAsia="Times New Roman" w:hAnsi="Garamond" w:cs="Times New Roman"/>
                <w:b/>
                <w:bCs/>
                <w:color w:val="000000"/>
                <w:sz w:val="14"/>
                <w:szCs w:val="14"/>
                <w:lang w:eastAsia="en-GB"/>
              </w:rPr>
              <w:br/>
              <w:t>mbarimit</w:t>
            </w:r>
          </w:p>
        </w:tc>
        <w:tc>
          <w:tcPr>
            <w:tcW w:w="1006" w:type="pct"/>
            <w:gridSpan w:val="3"/>
            <w:vMerge/>
            <w:tcBorders>
              <w:top w:val="nil"/>
              <w:left w:val="single" w:sz="4" w:space="0" w:color="auto"/>
              <w:bottom w:val="single" w:sz="8" w:space="0" w:color="000000"/>
              <w:right w:val="single" w:sz="8" w:space="0" w:color="auto"/>
            </w:tcBorders>
            <w:vAlign w:val="center"/>
            <w:hideMark/>
          </w:tcPr>
          <w:p w14:paraId="574E308A" w14:textId="77777777" w:rsidR="00444B63" w:rsidRPr="00E83C5E" w:rsidRDefault="00444B63" w:rsidP="00444B63">
            <w:pPr>
              <w:spacing w:after="0" w:line="240" w:lineRule="auto"/>
              <w:rPr>
                <w:rFonts w:ascii="Garamond" w:eastAsia="Times New Roman" w:hAnsi="Garamond" w:cs="Times New Roman"/>
                <w:b/>
                <w:bCs/>
                <w:color w:val="000000"/>
                <w:sz w:val="14"/>
                <w:szCs w:val="14"/>
                <w:lang w:eastAsia="en-GB"/>
              </w:rPr>
            </w:pPr>
          </w:p>
        </w:tc>
        <w:tc>
          <w:tcPr>
            <w:tcW w:w="849" w:type="pct"/>
            <w:gridSpan w:val="5"/>
            <w:tcBorders>
              <w:top w:val="single" w:sz="8" w:space="0" w:color="auto"/>
              <w:left w:val="nil"/>
              <w:bottom w:val="single" w:sz="8" w:space="0" w:color="auto"/>
              <w:right w:val="single" w:sz="8" w:space="0" w:color="000000"/>
            </w:tcBorders>
            <w:shd w:val="clear" w:color="auto" w:fill="auto"/>
            <w:vAlign w:val="center"/>
            <w:hideMark/>
          </w:tcPr>
          <w:p w14:paraId="574E308B"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PBA</w:t>
            </w:r>
          </w:p>
        </w:tc>
        <w:tc>
          <w:tcPr>
            <w:tcW w:w="754" w:type="pct"/>
            <w:gridSpan w:val="4"/>
            <w:tcBorders>
              <w:top w:val="single" w:sz="8" w:space="0" w:color="auto"/>
              <w:left w:val="nil"/>
              <w:bottom w:val="single" w:sz="8" w:space="0" w:color="auto"/>
              <w:right w:val="nil"/>
            </w:tcBorders>
            <w:shd w:val="clear" w:color="auto" w:fill="auto"/>
            <w:vAlign w:val="center"/>
            <w:hideMark/>
          </w:tcPr>
          <w:p w14:paraId="574E308C" w14:textId="51D76C52"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Fi</w:t>
            </w:r>
            <w:r w:rsidR="00BC1D73">
              <w:rPr>
                <w:rFonts w:ascii="Garamond" w:eastAsia="Times New Roman" w:hAnsi="Garamond" w:cs="Times New Roman"/>
                <w:b/>
                <w:bCs/>
                <w:color w:val="000000"/>
                <w:sz w:val="14"/>
                <w:szCs w:val="14"/>
                <w:lang w:eastAsia="en-GB"/>
              </w:rPr>
              <w:t>nancim i huaj</w:t>
            </w:r>
          </w:p>
        </w:tc>
        <w:tc>
          <w:tcPr>
            <w:tcW w:w="379" w:type="pct"/>
            <w:vMerge/>
            <w:tcBorders>
              <w:top w:val="single" w:sz="8" w:space="0" w:color="auto"/>
              <w:left w:val="single" w:sz="8" w:space="0" w:color="auto"/>
              <w:bottom w:val="single" w:sz="8" w:space="0" w:color="000000"/>
              <w:right w:val="single" w:sz="8" w:space="0" w:color="auto"/>
            </w:tcBorders>
            <w:vAlign w:val="center"/>
            <w:hideMark/>
          </w:tcPr>
          <w:p w14:paraId="574E308D" w14:textId="77777777" w:rsidR="00444B63" w:rsidRPr="00E83C5E" w:rsidRDefault="00444B63" w:rsidP="00444B63">
            <w:pPr>
              <w:spacing w:after="0" w:line="240" w:lineRule="auto"/>
              <w:rPr>
                <w:rFonts w:ascii="Garamond" w:eastAsia="Times New Roman" w:hAnsi="Garamond" w:cs="Times New Roman"/>
                <w:b/>
                <w:bCs/>
                <w:color w:val="000000"/>
                <w:sz w:val="14"/>
                <w:szCs w:val="14"/>
                <w:lang w:eastAsia="en-GB"/>
              </w:rPr>
            </w:pPr>
          </w:p>
        </w:tc>
      </w:tr>
      <w:tr w:rsidR="00444B63" w:rsidRPr="00E83C5E" w14:paraId="574E309F" w14:textId="77777777" w:rsidTr="00BE7B59">
        <w:trPr>
          <w:trHeight w:val="37"/>
          <w:jc w:val="center"/>
        </w:trPr>
        <w:tc>
          <w:tcPr>
            <w:tcW w:w="141" w:type="pct"/>
            <w:vMerge/>
            <w:tcBorders>
              <w:top w:val="single" w:sz="8" w:space="0" w:color="auto"/>
              <w:left w:val="single" w:sz="8" w:space="0" w:color="auto"/>
              <w:bottom w:val="single" w:sz="8" w:space="0" w:color="000000"/>
              <w:right w:val="single" w:sz="4" w:space="0" w:color="auto"/>
            </w:tcBorders>
            <w:vAlign w:val="center"/>
            <w:hideMark/>
          </w:tcPr>
          <w:p w14:paraId="574E308F" w14:textId="77777777" w:rsidR="00444B63" w:rsidRPr="00E83C5E" w:rsidRDefault="00444B63" w:rsidP="00444B63">
            <w:pPr>
              <w:spacing w:after="0" w:line="240" w:lineRule="auto"/>
              <w:rPr>
                <w:rFonts w:ascii="Garamond" w:eastAsia="Times New Roman" w:hAnsi="Garamond" w:cs="Times New Roman"/>
                <w:b/>
                <w:bCs/>
                <w:color w:val="000000"/>
                <w:sz w:val="14"/>
                <w:szCs w:val="14"/>
                <w:lang w:eastAsia="en-GB"/>
              </w:rPr>
            </w:pPr>
          </w:p>
        </w:tc>
        <w:tc>
          <w:tcPr>
            <w:tcW w:w="646" w:type="pct"/>
            <w:vMerge/>
            <w:tcBorders>
              <w:top w:val="single" w:sz="8" w:space="0" w:color="auto"/>
              <w:left w:val="single" w:sz="4" w:space="0" w:color="auto"/>
              <w:bottom w:val="single" w:sz="4" w:space="0" w:color="auto"/>
              <w:right w:val="single" w:sz="4" w:space="0" w:color="auto"/>
            </w:tcBorders>
            <w:vAlign w:val="center"/>
            <w:hideMark/>
          </w:tcPr>
          <w:p w14:paraId="574E3090" w14:textId="77777777" w:rsidR="00444B63" w:rsidRPr="00E83C5E" w:rsidRDefault="00444B63" w:rsidP="00444B63">
            <w:pPr>
              <w:spacing w:after="0" w:line="240" w:lineRule="auto"/>
              <w:rPr>
                <w:rFonts w:ascii="Garamond" w:eastAsia="Times New Roman" w:hAnsi="Garamond" w:cs="Times New Roman"/>
                <w:b/>
                <w:bCs/>
                <w:color w:val="000000"/>
                <w:sz w:val="14"/>
                <w:szCs w:val="14"/>
                <w:lang w:eastAsia="en-GB"/>
              </w:rPr>
            </w:pPr>
          </w:p>
        </w:tc>
        <w:tc>
          <w:tcPr>
            <w:tcW w:w="365" w:type="pct"/>
            <w:vMerge/>
            <w:tcBorders>
              <w:top w:val="nil"/>
              <w:left w:val="single" w:sz="4" w:space="0" w:color="auto"/>
              <w:bottom w:val="single" w:sz="8" w:space="0" w:color="000000"/>
              <w:right w:val="single" w:sz="4" w:space="0" w:color="auto"/>
            </w:tcBorders>
            <w:vAlign w:val="center"/>
            <w:hideMark/>
          </w:tcPr>
          <w:p w14:paraId="574E3091" w14:textId="77777777" w:rsidR="00444B63" w:rsidRPr="00E83C5E" w:rsidRDefault="00444B63" w:rsidP="00444B63">
            <w:pPr>
              <w:spacing w:after="0" w:line="240" w:lineRule="auto"/>
              <w:rPr>
                <w:rFonts w:ascii="Garamond" w:eastAsia="Times New Roman" w:hAnsi="Garamond" w:cs="Times New Roman"/>
                <w:b/>
                <w:bCs/>
                <w:color w:val="000000"/>
                <w:sz w:val="14"/>
                <w:szCs w:val="14"/>
                <w:lang w:eastAsia="en-GB"/>
              </w:rPr>
            </w:pPr>
          </w:p>
        </w:tc>
        <w:tc>
          <w:tcPr>
            <w:tcW w:w="325" w:type="pct"/>
            <w:vMerge/>
            <w:tcBorders>
              <w:top w:val="nil"/>
              <w:left w:val="single" w:sz="4" w:space="0" w:color="auto"/>
              <w:bottom w:val="single" w:sz="8" w:space="0" w:color="000000"/>
              <w:right w:val="single" w:sz="4" w:space="0" w:color="auto"/>
            </w:tcBorders>
            <w:vAlign w:val="center"/>
            <w:hideMark/>
          </w:tcPr>
          <w:p w14:paraId="574E3092" w14:textId="77777777" w:rsidR="00444B63" w:rsidRPr="00E83C5E" w:rsidRDefault="00444B63" w:rsidP="00444B63">
            <w:pPr>
              <w:spacing w:after="0" w:line="240" w:lineRule="auto"/>
              <w:rPr>
                <w:rFonts w:ascii="Garamond" w:eastAsia="Times New Roman" w:hAnsi="Garamond" w:cs="Times New Roman"/>
                <w:b/>
                <w:bCs/>
                <w:color w:val="000000"/>
                <w:sz w:val="14"/>
                <w:szCs w:val="14"/>
                <w:lang w:eastAsia="en-GB"/>
              </w:rPr>
            </w:pPr>
          </w:p>
        </w:tc>
        <w:tc>
          <w:tcPr>
            <w:tcW w:w="215" w:type="pct"/>
            <w:vMerge/>
            <w:tcBorders>
              <w:top w:val="nil"/>
              <w:left w:val="single" w:sz="4" w:space="0" w:color="auto"/>
              <w:bottom w:val="single" w:sz="8" w:space="0" w:color="000000"/>
              <w:right w:val="single" w:sz="4" w:space="0" w:color="auto"/>
            </w:tcBorders>
            <w:vAlign w:val="center"/>
            <w:hideMark/>
          </w:tcPr>
          <w:p w14:paraId="574E3093" w14:textId="77777777" w:rsidR="00444B63" w:rsidRPr="00E83C5E" w:rsidRDefault="00444B63" w:rsidP="00444B63">
            <w:pPr>
              <w:spacing w:after="0" w:line="240" w:lineRule="auto"/>
              <w:rPr>
                <w:rFonts w:ascii="Garamond" w:eastAsia="Times New Roman" w:hAnsi="Garamond" w:cs="Times New Roman"/>
                <w:b/>
                <w:bCs/>
                <w:color w:val="000000"/>
                <w:sz w:val="14"/>
                <w:szCs w:val="14"/>
                <w:lang w:eastAsia="en-GB"/>
              </w:rPr>
            </w:pPr>
          </w:p>
        </w:tc>
        <w:tc>
          <w:tcPr>
            <w:tcW w:w="319" w:type="pct"/>
            <w:vMerge/>
            <w:tcBorders>
              <w:top w:val="nil"/>
              <w:left w:val="single" w:sz="4" w:space="0" w:color="auto"/>
              <w:bottom w:val="single" w:sz="8" w:space="0" w:color="000000"/>
              <w:right w:val="single" w:sz="8" w:space="0" w:color="auto"/>
            </w:tcBorders>
            <w:vAlign w:val="center"/>
            <w:hideMark/>
          </w:tcPr>
          <w:p w14:paraId="574E3094" w14:textId="77777777" w:rsidR="00444B63" w:rsidRPr="00E83C5E" w:rsidRDefault="00444B63" w:rsidP="00444B63">
            <w:pPr>
              <w:spacing w:after="0" w:line="240" w:lineRule="auto"/>
              <w:rPr>
                <w:rFonts w:ascii="Garamond" w:eastAsia="Times New Roman" w:hAnsi="Garamond" w:cs="Times New Roman"/>
                <w:b/>
                <w:bCs/>
                <w:color w:val="000000"/>
                <w:sz w:val="14"/>
                <w:szCs w:val="14"/>
                <w:lang w:eastAsia="en-GB"/>
              </w:rPr>
            </w:pPr>
          </w:p>
        </w:tc>
        <w:tc>
          <w:tcPr>
            <w:tcW w:w="329" w:type="pct"/>
            <w:tcBorders>
              <w:top w:val="nil"/>
              <w:left w:val="nil"/>
              <w:bottom w:val="single" w:sz="8" w:space="0" w:color="auto"/>
              <w:right w:val="nil"/>
            </w:tcBorders>
            <w:shd w:val="clear" w:color="auto" w:fill="auto"/>
            <w:vAlign w:val="center"/>
            <w:hideMark/>
          </w:tcPr>
          <w:p w14:paraId="574E3095" w14:textId="0C21438B"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Ko</w:t>
            </w:r>
            <w:r w:rsidR="005511CC" w:rsidRPr="00E83C5E">
              <w:rPr>
                <w:rFonts w:ascii="Garamond" w:eastAsia="Times New Roman" w:hAnsi="Garamond" w:cs="Times New Roman"/>
                <w:b/>
                <w:bCs/>
                <w:color w:val="000000"/>
                <w:sz w:val="14"/>
                <w:szCs w:val="14"/>
                <w:lang w:eastAsia="en-GB"/>
              </w:rPr>
              <w:t>r</w:t>
            </w:r>
            <w:r w:rsidRPr="00E83C5E">
              <w:rPr>
                <w:rFonts w:ascii="Garamond" w:eastAsia="Times New Roman" w:hAnsi="Garamond" w:cs="Times New Roman"/>
                <w:b/>
                <w:bCs/>
                <w:color w:val="000000"/>
                <w:sz w:val="14"/>
                <w:szCs w:val="14"/>
                <w:lang w:eastAsia="en-GB"/>
              </w:rPr>
              <w:t>rente</w:t>
            </w:r>
          </w:p>
        </w:tc>
        <w:tc>
          <w:tcPr>
            <w:tcW w:w="330" w:type="pct"/>
            <w:tcBorders>
              <w:top w:val="nil"/>
              <w:left w:val="single" w:sz="8" w:space="0" w:color="auto"/>
              <w:bottom w:val="single" w:sz="8" w:space="0" w:color="auto"/>
              <w:right w:val="single" w:sz="8" w:space="0" w:color="auto"/>
            </w:tcBorders>
            <w:shd w:val="clear" w:color="auto" w:fill="auto"/>
            <w:vAlign w:val="center"/>
            <w:hideMark/>
          </w:tcPr>
          <w:p w14:paraId="574E3096"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Kapitale</w:t>
            </w:r>
          </w:p>
        </w:tc>
        <w:tc>
          <w:tcPr>
            <w:tcW w:w="346" w:type="pct"/>
            <w:tcBorders>
              <w:top w:val="nil"/>
              <w:left w:val="nil"/>
              <w:bottom w:val="single" w:sz="8" w:space="0" w:color="auto"/>
              <w:right w:val="single" w:sz="8" w:space="0" w:color="auto"/>
            </w:tcBorders>
            <w:shd w:val="clear" w:color="auto" w:fill="auto"/>
            <w:vAlign w:val="center"/>
            <w:hideMark/>
          </w:tcPr>
          <w:p w14:paraId="574E3097" w14:textId="2D43503F" w:rsidR="00444B63" w:rsidRPr="00E83C5E" w:rsidRDefault="00444B63" w:rsidP="00840F2D">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xml:space="preserve"> Kosto </w:t>
            </w:r>
            <w:r w:rsidR="00840F2D" w:rsidRPr="00E83C5E">
              <w:rPr>
                <w:rFonts w:ascii="Garamond" w:eastAsia="Times New Roman" w:hAnsi="Garamond" w:cs="Times New Roman"/>
                <w:b/>
                <w:bCs/>
                <w:color w:val="000000"/>
                <w:sz w:val="14"/>
                <w:szCs w:val="14"/>
                <w:lang w:eastAsia="en-GB"/>
              </w:rPr>
              <w:t>t</w:t>
            </w:r>
            <w:r w:rsidRPr="00E83C5E">
              <w:rPr>
                <w:rFonts w:ascii="Garamond" w:eastAsia="Times New Roman" w:hAnsi="Garamond" w:cs="Times New Roman"/>
                <w:b/>
                <w:bCs/>
                <w:color w:val="000000"/>
                <w:sz w:val="14"/>
                <w:szCs w:val="14"/>
                <w:lang w:eastAsia="en-GB"/>
              </w:rPr>
              <w:t>otale</w:t>
            </w:r>
          </w:p>
        </w:tc>
        <w:tc>
          <w:tcPr>
            <w:tcW w:w="259" w:type="pct"/>
            <w:gridSpan w:val="2"/>
            <w:tcBorders>
              <w:top w:val="nil"/>
              <w:left w:val="nil"/>
              <w:bottom w:val="single" w:sz="8" w:space="0" w:color="auto"/>
              <w:right w:val="nil"/>
            </w:tcBorders>
            <w:shd w:val="clear" w:color="auto" w:fill="auto"/>
            <w:vAlign w:val="center"/>
            <w:hideMark/>
          </w:tcPr>
          <w:p w14:paraId="574E3098" w14:textId="7328F479"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Ko</w:t>
            </w:r>
            <w:r w:rsidR="005511CC" w:rsidRPr="00E83C5E">
              <w:rPr>
                <w:rFonts w:ascii="Garamond" w:eastAsia="Times New Roman" w:hAnsi="Garamond" w:cs="Times New Roman"/>
                <w:b/>
                <w:bCs/>
                <w:color w:val="000000"/>
                <w:sz w:val="14"/>
                <w:szCs w:val="14"/>
                <w:lang w:eastAsia="en-GB"/>
              </w:rPr>
              <w:t>r</w:t>
            </w:r>
            <w:r w:rsidRPr="00E83C5E">
              <w:rPr>
                <w:rFonts w:ascii="Garamond" w:eastAsia="Times New Roman" w:hAnsi="Garamond" w:cs="Times New Roman"/>
                <w:b/>
                <w:bCs/>
                <w:color w:val="000000"/>
                <w:sz w:val="14"/>
                <w:szCs w:val="14"/>
                <w:lang w:eastAsia="en-GB"/>
              </w:rPr>
              <w:t>rente</w:t>
            </w:r>
          </w:p>
        </w:tc>
        <w:tc>
          <w:tcPr>
            <w:tcW w:w="258" w:type="pct"/>
            <w:gridSpan w:val="2"/>
            <w:tcBorders>
              <w:top w:val="nil"/>
              <w:left w:val="single" w:sz="8" w:space="0" w:color="auto"/>
              <w:bottom w:val="single" w:sz="8" w:space="0" w:color="auto"/>
              <w:right w:val="single" w:sz="8" w:space="0" w:color="auto"/>
            </w:tcBorders>
            <w:shd w:val="clear" w:color="auto" w:fill="auto"/>
            <w:vAlign w:val="center"/>
            <w:hideMark/>
          </w:tcPr>
          <w:p w14:paraId="574E3099"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Kapitale</w:t>
            </w:r>
          </w:p>
        </w:tc>
        <w:tc>
          <w:tcPr>
            <w:tcW w:w="332" w:type="pct"/>
            <w:tcBorders>
              <w:top w:val="nil"/>
              <w:left w:val="nil"/>
              <w:bottom w:val="single" w:sz="8" w:space="0" w:color="auto"/>
              <w:right w:val="single" w:sz="8" w:space="0" w:color="auto"/>
            </w:tcBorders>
            <w:shd w:val="clear" w:color="auto" w:fill="auto"/>
            <w:vAlign w:val="center"/>
            <w:hideMark/>
          </w:tcPr>
          <w:p w14:paraId="574E309A"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Total BSH</w:t>
            </w:r>
          </w:p>
        </w:tc>
        <w:tc>
          <w:tcPr>
            <w:tcW w:w="229" w:type="pct"/>
            <w:tcBorders>
              <w:top w:val="nil"/>
              <w:left w:val="nil"/>
              <w:bottom w:val="single" w:sz="8" w:space="0" w:color="auto"/>
              <w:right w:val="nil"/>
            </w:tcBorders>
            <w:shd w:val="clear" w:color="auto" w:fill="auto"/>
            <w:vAlign w:val="center"/>
            <w:hideMark/>
          </w:tcPr>
          <w:p w14:paraId="574E309B" w14:textId="0537C304"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Ko</w:t>
            </w:r>
            <w:r w:rsidR="005511CC" w:rsidRPr="00E83C5E">
              <w:rPr>
                <w:rFonts w:ascii="Garamond" w:eastAsia="Times New Roman" w:hAnsi="Garamond" w:cs="Times New Roman"/>
                <w:b/>
                <w:bCs/>
                <w:color w:val="000000"/>
                <w:sz w:val="14"/>
                <w:szCs w:val="14"/>
                <w:lang w:eastAsia="en-GB"/>
              </w:rPr>
              <w:t>r</w:t>
            </w:r>
            <w:r w:rsidRPr="00E83C5E">
              <w:rPr>
                <w:rFonts w:ascii="Garamond" w:eastAsia="Times New Roman" w:hAnsi="Garamond" w:cs="Times New Roman"/>
                <w:b/>
                <w:bCs/>
                <w:color w:val="000000"/>
                <w:sz w:val="14"/>
                <w:szCs w:val="14"/>
                <w:lang w:eastAsia="en-GB"/>
              </w:rPr>
              <w:t>rente</w:t>
            </w:r>
          </w:p>
        </w:tc>
        <w:tc>
          <w:tcPr>
            <w:tcW w:w="241" w:type="pct"/>
            <w:tcBorders>
              <w:top w:val="nil"/>
              <w:left w:val="single" w:sz="8" w:space="0" w:color="auto"/>
              <w:bottom w:val="single" w:sz="8" w:space="0" w:color="auto"/>
              <w:right w:val="single" w:sz="8" w:space="0" w:color="auto"/>
            </w:tcBorders>
            <w:shd w:val="clear" w:color="auto" w:fill="auto"/>
            <w:vAlign w:val="center"/>
            <w:hideMark/>
          </w:tcPr>
          <w:p w14:paraId="574E309C"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Kapitale</w:t>
            </w:r>
          </w:p>
        </w:tc>
        <w:tc>
          <w:tcPr>
            <w:tcW w:w="284" w:type="pct"/>
            <w:gridSpan w:val="2"/>
            <w:tcBorders>
              <w:top w:val="nil"/>
              <w:left w:val="nil"/>
              <w:bottom w:val="single" w:sz="8" w:space="0" w:color="auto"/>
              <w:right w:val="single" w:sz="8" w:space="0" w:color="auto"/>
            </w:tcBorders>
            <w:shd w:val="clear" w:color="auto" w:fill="auto"/>
            <w:vAlign w:val="center"/>
            <w:hideMark/>
          </w:tcPr>
          <w:p w14:paraId="574E309D"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Total FH</w:t>
            </w:r>
          </w:p>
        </w:tc>
        <w:tc>
          <w:tcPr>
            <w:tcW w:w="379" w:type="pct"/>
            <w:tcBorders>
              <w:top w:val="nil"/>
              <w:left w:val="nil"/>
              <w:bottom w:val="single" w:sz="8" w:space="0" w:color="auto"/>
              <w:right w:val="single" w:sz="8" w:space="0" w:color="auto"/>
            </w:tcBorders>
            <w:shd w:val="clear" w:color="auto" w:fill="auto"/>
            <w:vAlign w:val="center"/>
            <w:hideMark/>
          </w:tcPr>
          <w:p w14:paraId="574E309E"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r>
      <w:tr w:rsidR="00444B63" w:rsidRPr="00E83C5E" w14:paraId="574E30B0" w14:textId="77777777" w:rsidTr="00BE7B59">
        <w:trPr>
          <w:trHeight w:val="596"/>
          <w:jc w:val="center"/>
        </w:trPr>
        <w:tc>
          <w:tcPr>
            <w:tcW w:w="141" w:type="pct"/>
            <w:tcBorders>
              <w:top w:val="nil"/>
              <w:left w:val="single" w:sz="8" w:space="0" w:color="auto"/>
              <w:bottom w:val="single" w:sz="4" w:space="0" w:color="auto"/>
              <w:right w:val="single" w:sz="4" w:space="0" w:color="auto"/>
            </w:tcBorders>
            <w:shd w:val="clear" w:color="000000" w:fill="F8CBAD"/>
            <w:vAlign w:val="center"/>
            <w:hideMark/>
          </w:tcPr>
          <w:p w14:paraId="574E30A0"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1.1</w:t>
            </w:r>
          </w:p>
        </w:tc>
        <w:tc>
          <w:tcPr>
            <w:tcW w:w="646" w:type="pct"/>
            <w:tcBorders>
              <w:top w:val="single" w:sz="4" w:space="0" w:color="auto"/>
              <w:left w:val="nil"/>
              <w:bottom w:val="single" w:sz="4" w:space="0" w:color="auto"/>
              <w:right w:val="single" w:sz="4" w:space="0" w:color="auto"/>
            </w:tcBorders>
            <w:shd w:val="clear" w:color="000000" w:fill="F8CBAD"/>
            <w:vAlign w:val="center"/>
            <w:hideMark/>
          </w:tcPr>
          <w:p w14:paraId="574E30A1" w14:textId="3F6D5EBD" w:rsidR="00444B63" w:rsidRPr="00E83C5E" w:rsidRDefault="00444B63" w:rsidP="00444B63">
            <w:pPr>
              <w:spacing w:after="0" w:line="240" w:lineRule="auto"/>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xml:space="preserve">I. Objektivi Specifik Të rinjtë janë të </w:t>
            </w:r>
            <w:r w:rsidR="00A83D87">
              <w:rPr>
                <w:rFonts w:ascii="Garamond" w:eastAsia="Times New Roman" w:hAnsi="Garamond" w:cs="Times New Roman"/>
                <w:b/>
                <w:bCs/>
                <w:color w:val="000000"/>
                <w:sz w:val="14"/>
                <w:szCs w:val="14"/>
                <w:lang w:eastAsia="en-GB"/>
              </w:rPr>
              <w:t>mirinformuar</w:t>
            </w:r>
            <w:r w:rsidRPr="00E83C5E">
              <w:rPr>
                <w:rFonts w:ascii="Garamond" w:eastAsia="Times New Roman" w:hAnsi="Garamond" w:cs="Times New Roman"/>
                <w:b/>
                <w:bCs/>
                <w:color w:val="000000"/>
                <w:sz w:val="14"/>
                <w:szCs w:val="14"/>
                <w:lang w:eastAsia="en-GB"/>
              </w:rPr>
              <w:t xml:space="preserve"> rreth mundësive për të mësuar, fituar përvojë organizative dhe vullnetarizëm, dhe për të marrë pjesë aktivisht në jetën qytetare, sociale dhe politike</w:t>
            </w:r>
          </w:p>
        </w:tc>
        <w:tc>
          <w:tcPr>
            <w:tcW w:w="365" w:type="pct"/>
            <w:tcBorders>
              <w:top w:val="nil"/>
              <w:left w:val="single" w:sz="4" w:space="0" w:color="auto"/>
              <w:bottom w:val="single" w:sz="4" w:space="0" w:color="auto"/>
              <w:right w:val="single" w:sz="4" w:space="0" w:color="auto"/>
            </w:tcBorders>
            <w:shd w:val="clear" w:color="000000" w:fill="F8CBAD"/>
            <w:vAlign w:val="center"/>
            <w:hideMark/>
          </w:tcPr>
          <w:p w14:paraId="574E30A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 AKR</w:t>
            </w:r>
          </w:p>
        </w:tc>
        <w:tc>
          <w:tcPr>
            <w:tcW w:w="325" w:type="pct"/>
            <w:tcBorders>
              <w:top w:val="nil"/>
              <w:left w:val="nil"/>
              <w:bottom w:val="single" w:sz="4" w:space="0" w:color="auto"/>
              <w:right w:val="single" w:sz="4" w:space="0" w:color="auto"/>
            </w:tcBorders>
            <w:shd w:val="clear" w:color="000000" w:fill="F8CBAD"/>
            <w:vAlign w:val="center"/>
            <w:hideMark/>
          </w:tcPr>
          <w:p w14:paraId="574E30A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AKPA, NjVV, KQZ, MAS</w:t>
            </w:r>
          </w:p>
        </w:tc>
        <w:tc>
          <w:tcPr>
            <w:tcW w:w="215" w:type="pct"/>
            <w:tcBorders>
              <w:top w:val="nil"/>
              <w:left w:val="nil"/>
              <w:bottom w:val="single" w:sz="4" w:space="0" w:color="auto"/>
              <w:right w:val="single" w:sz="4" w:space="0" w:color="auto"/>
            </w:tcBorders>
            <w:shd w:val="clear" w:color="000000" w:fill="F8CBAD"/>
            <w:vAlign w:val="center"/>
            <w:hideMark/>
          </w:tcPr>
          <w:p w14:paraId="574E30A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2022</w:t>
            </w:r>
          </w:p>
        </w:tc>
        <w:tc>
          <w:tcPr>
            <w:tcW w:w="319" w:type="pct"/>
            <w:tcBorders>
              <w:top w:val="nil"/>
              <w:left w:val="nil"/>
              <w:bottom w:val="single" w:sz="4" w:space="0" w:color="auto"/>
              <w:right w:val="single" w:sz="8" w:space="0" w:color="auto"/>
            </w:tcBorders>
            <w:shd w:val="clear" w:color="000000" w:fill="F8CBAD"/>
            <w:vAlign w:val="center"/>
            <w:hideMark/>
          </w:tcPr>
          <w:p w14:paraId="574E30A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single" w:sz="4" w:space="0" w:color="auto"/>
              <w:left w:val="nil"/>
              <w:bottom w:val="single" w:sz="4" w:space="0" w:color="auto"/>
              <w:right w:val="single" w:sz="4" w:space="0" w:color="auto"/>
            </w:tcBorders>
            <w:shd w:val="clear" w:color="000000" w:fill="F8CBAD"/>
            <w:vAlign w:val="center"/>
            <w:hideMark/>
          </w:tcPr>
          <w:p w14:paraId="574E30A6"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30" w:type="pct"/>
            <w:tcBorders>
              <w:top w:val="nil"/>
              <w:left w:val="nil"/>
              <w:bottom w:val="single" w:sz="4" w:space="0" w:color="auto"/>
              <w:right w:val="single" w:sz="4" w:space="0" w:color="auto"/>
            </w:tcBorders>
            <w:shd w:val="clear" w:color="000000" w:fill="F8CBAD"/>
            <w:vAlign w:val="center"/>
            <w:hideMark/>
          </w:tcPr>
          <w:p w14:paraId="574E30A7"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46" w:type="pct"/>
            <w:tcBorders>
              <w:top w:val="nil"/>
              <w:left w:val="nil"/>
              <w:bottom w:val="single" w:sz="4" w:space="0" w:color="auto"/>
              <w:right w:val="single" w:sz="8" w:space="0" w:color="auto"/>
            </w:tcBorders>
            <w:shd w:val="clear" w:color="000000" w:fill="F8CBAD"/>
            <w:vAlign w:val="center"/>
            <w:hideMark/>
          </w:tcPr>
          <w:p w14:paraId="574E30A8"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59" w:type="pct"/>
            <w:gridSpan w:val="2"/>
            <w:tcBorders>
              <w:top w:val="nil"/>
              <w:left w:val="single" w:sz="4" w:space="0" w:color="auto"/>
              <w:bottom w:val="single" w:sz="4" w:space="0" w:color="auto"/>
              <w:right w:val="single" w:sz="8" w:space="0" w:color="auto"/>
            </w:tcBorders>
            <w:shd w:val="clear" w:color="000000" w:fill="F8CBAD"/>
            <w:vAlign w:val="center"/>
            <w:hideMark/>
          </w:tcPr>
          <w:p w14:paraId="574E30A9"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58" w:type="pct"/>
            <w:gridSpan w:val="2"/>
            <w:tcBorders>
              <w:top w:val="nil"/>
              <w:left w:val="single" w:sz="4" w:space="0" w:color="auto"/>
              <w:bottom w:val="single" w:sz="4" w:space="0" w:color="auto"/>
              <w:right w:val="single" w:sz="4" w:space="0" w:color="auto"/>
            </w:tcBorders>
            <w:shd w:val="clear" w:color="000000" w:fill="F8CBAD"/>
            <w:vAlign w:val="center"/>
            <w:hideMark/>
          </w:tcPr>
          <w:p w14:paraId="574E30AA"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32" w:type="pct"/>
            <w:tcBorders>
              <w:top w:val="nil"/>
              <w:left w:val="nil"/>
              <w:bottom w:val="single" w:sz="4" w:space="0" w:color="auto"/>
              <w:right w:val="nil"/>
            </w:tcBorders>
            <w:shd w:val="clear" w:color="000000" w:fill="F8CBAD"/>
            <w:vAlign w:val="center"/>
            <w:hideMark/>
          </w:tcPr>
          <w:p w14:paraId="574E30AB"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29" w:type="pct"/>
            <w:tcBorders>
              <w:top w:val="nil"/>
              <w:left w:val="single" w:sz="8" w:space="0" w:color="auto"/>
              <w:bottom w:val="single" w:sz="4" w:space="0" w:color="auto"/>
              <w:right w:val="single" w:sz="4" w:space="0" w:color="auto"/>
            </w:tcBorders>
            <w:shd w:val="clear" w:color="000000" w:fill="F8CBAD"/>
            <w:vAlign w:val="center"/>
            <w:hideMark/>
          </w:tcPr>
          <w:p w14:paraId="574E30AC"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41" w:type="pct"/>
            <w:tcBorders>
              <w:top w:val="nil"/>
              <w:left w:val="nil"/>
              <w:bottom w:val="single" w:sz="4" w:space="0" w:color="auto"/>
              <w:right w:val="nil"/>
            </w:tcBorders>
            <w:shd w:val="clear" w:color="000000" w:fill="F8CBAD"/>
            <w:vAlign w:val="center"/>
            <w:hideMark/>
          </w:tcPr>
          <w:p w14:paraId="574E30AD"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84" w:type="pct"/>
            <w:gridSpan w:val="2"/>
            <w:tcBorders>
              <w:top w:val="nil"/>
              <w:left w:val="single" w:sz="4" w:space="0" w:color="auto"/>
              <w:bottom w:val="single" w:sz="4" w:space="0" w:color="auto"/>
              <w:right w:val="single" w:sz="8" w:space="0" w:color="auto"/>
            </w:tcBorders>
            <w:shd w:val="clear" w:color="000000" w:fill="F8CBAD"/>
            <w:vAlign w:val="center"/>
            <w:hideMark/>
          </w:tcPr>
          <w:p w14:paraId="574E30AE"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79" w:type="pct"/>
            <w:tcBorders>
              <w:top w:val="single" w:sz="4" w:space="0" w:color="auto"/>
              <w:left w:val="nil"/>
              <w:bottom w:val="single" w:sz="4" w:space="0" w:color="auto"/>
              <w:right w:val="single" w:sz="8" w:space="0" w:color="auto"/>
            </w:tcBorders>
            <w:shd w:val="clear" w:color="000000" w:fill="F8CBAD"/>
            <w:vAlign w:val="center"/>
            <w:hideMark/>
          </w:tcPr>
          <w:p w14:paraId="574E30AF"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r>
      <w:tr w:rsidR="00444B63" w:rsidRPr="00E83C5E" w14:paraId="574E30C1" w14:textId="77777777" w:rsidTr="00BE7B59">
        <w:trPr>
          <w:trHeight w:val="453"/>
          <w:jc w:val="center"/>
        </w:trPr>
        <w:tc>
          <w:tcPr>
            <w:tcW w:w="141" w:type="pct"/>
            <w:tcBorders>
              <w:top w:val="nil"/>
              <w:left w:val="single" w:sz="8" w:space="0" w:color="auto"/>
              <w:bottom w:val="single" w:sz="4" w:space="0" w:color="auto"/>
              <w:right w:val="nil"/>
            </w:tcBorders>
            <w:shd w:val="clear" w:color="auto" w:fill="auto"/>
            <w:vAlign w:val="center"/>
            <w:hideMark/>
          </w:tcPr>
          <w:p w14:paraId="574E30B1"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1.1.1</w:t>
            </w:r>
          </w:p>
        </w:tc>
        <w:tc>
          <w:tcPr>
            <w:tcW w:w="646" w:type="pct"/>
            <w:tcBorders>
              <w:top w:val="single" w:sz="4" w:space="0" w:color="auto"/>
              <w:left w:val="single" w:sz="4" w:space="0" w:color="auto"/>
              <w:bottom w:val="single" w:sz="4" w:space="0" w:color="auto"/>
              <w:right w:val="single" w:sz="4" w:space="0" w:color="auto"/>
            </w:tcBorders>
            <w:shd w:val="clear" w:color="000000" w:fill="DDEBF7"/>
            <w:hideMark/>
          </w:tcPr>
          <w:p w14:paraId="574E30B2" w14:textId="17E8E4A4"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1.1.1</w:t>
            </w:r>
            <w:r w:rsidR="00233C37" w:rsidRPr="00E83C5E">
              <w:rPr>
                <w:rFonts w:ascii="Garamond" w:eastAsia="Times New Roman" w:hAnsi="Garamond" w:cs="Times New Roman"/>
                <w:color w:val="000000"/>
                <w:sz w:val="14"/>
                <w:szCs w:val="14"/>
                <w:lang w:eastAsia="en-GB"/>
              </w:rPr>
              <w:t xml:space="preserve"> </w:t>
            </w:r>
            <w:r w:rsidRPr="00E83C5E">
              <w:rPr>
                <w:rFonts w:ascii="Garamond" w:eastAsia="Times New Roman" w:hAnsi="Garamond" w:cs="Times New Roman"/>
                <w:color w:val="000000"/>
                <w:sz w:val="14"/>
                <w:szCs w:val="14"/>
                <w:lang w:eastAsia="en-GB"/>
              </w:rPr>
              <w:t>Masa 1</w:t>
            </w:r>
            <w:r w:rsidRPr="00E83C5E">
              <w:rPr>
                <w:rFonts w:ascii="Garamond" w:eastAsia="Times New Roman" w:hAnsi="Garamond" w:cs="Times New Roman"/>
                <w:color w:val="000000"/>
                <w:sz w:val="14"/>
                <w:szCs w:val="14"/>
                <w:lang w:eastAsia="en-GB"/>
              </w:rPr>
              <w:br/>
              <w:t>Rishikohet Ligji për Rininë për të konsoliduar dhe zhvilluar më tej proceset e krijimit të organizatave rinore, përfaqësimin rinor, punën rinore</w:t>
            </w:r>
            <w:r w:rsidR="00233C37" w:rsidRPr="00E83C5E">
              <w:rPr>
                <w:rFonts w:ascii="Garamond" w:eastAsia="Times New Roman" w:hAnsi="Garamond" w:cs="Times New Roman"/>
                <w:color w:val="000000"/>
                <w:sz w:val="14"/>
                <w:szCs w:val="14"/>
                <w:lang w:eastAsia="en-GB"/>
              </w:rPr>
              <w:t xml:space="preserve"> </w:t>
            </w:r>
            <w:r w:rsidRPr="00E83C5E">
              <w:rPr>
                <w:rFonts w:ascii="Garamond" w:eastAsia="Times New Roman" w:hAnsi="Garamond" w:cs="Times New Roman"/>
                <w:color w:val="000000"/>
                <w:sz w:val="14"/>
                <w:szCs w:val="14"/>
                <w:lang w:eastAsia="en-GB"/>
              </w:rPr>
              <w:t xml:space="preserve"> dhe ofrimin e shërbimeve të pranueshme e miqësore për të rinjtë.</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0B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nil"/>
              <w:left w:val="nil"/>
              <w:bottom w:val="single" w:sz="4" w:space="0" w:color="auto"/>
              <w:right w:val="single" w:sz="4" w:space="0" w:color="auto"/>
            </w:tcBorders>
            <w:shd w:val="clear" w:color="auto" w:fill="auto"/>
            <w:vAlign w:val="center"/>
            <w:hideMark/>
          </w:tcPr>
          <w:p w14:paraId="574E30B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w:t>
            </w:r>
          </w:p>
        </w:tc>
        <w:tc>
          <w:tcPr>
            <w:tcW w:w="215" w:type="pct"/>
            <w:tcBorders>
              <w:top w:val="nil"/>
              <w:left w:val="nil"/>
              <w:bottom w:val="single" w:sz="4" w:space="0" w:color="auto"/>
              <w:right w:val="single" w:sz="4" w:space="0" w:color="auto"/>
            </w:tcBorders>
            <w:shd w:val="clear" w:color="auto" w:fill="auto"/>
            <w:vAlign w:val="center"/>
            <w:hideMark/>
          </w:tcPr>
          <w:p w14:paraId="574E30B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2022</w:t>
            </w:r>
          </w:p>
        </w:tc>
        <w:tc>
          <w:tcPr>
            <w:tcW w:w="319" w:type="pct"/>
            <w:tcBorders>
              <w:top w:val="nil"/>
              <w:left w:val="nil"/>
              <w:bottom w:val="single" w:sz="4" w:space="0" w:color="auto"/>
              <w:right w:val="single" w:sz="8" w:space="0" w:color="auto"/>
            </w:tcBorders>
            <w:shd w:val="clear" w:color="auto" w:fill="auto"/>
            <w:vAlign w:val="center"/>
            <w:hideMark/>
          </w:tcPr>
          <w:p w14:paraId="574E30B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2024</w:t>
            </w:r>
          </w:p>
        </w:tc>
        <w:tc>
          <w:tcPr>
            <w:tcW w:w="329" w:type="pct"/>
            <w:tcBorders>
              <w:top w:val="nil"/>
              <w:left w:val="nil"/>
              <w:bottom w:val="single" w:sz="4" w:space="0" w:color="auto"/>
              <w:right w:val="single" w:sz="4" w:space="0" w:color="auto"/>
            </w:tcBorders>
            <w:shd w:val="clear" w:color="auto" w:fill="auto"/>
            <w:vAlign w:val="center"/>
            <w:hideMark/>
          </w:tcPr>
          <w:p w14:paraId="574E30B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9,570,840</w:t>
            </w:r>
          </w:p>
        </w:tc>
        <w:tc>
          <w:tcPr>
            <w:tcW w:w="330" w:type="pct"/>
            <w:tcBorders>
              <w:top w:val="nil"/>
              <w:left w:val="single" w:sz="8" w:space="0" w:color="auto"/>
              <w:bottom w:val="single" w:sz="4" w:space="0" w:color="auto"/>
              <w:right w:val="single" w:sz="4" w:space="0" w:color="auto"/>
            </w:tcBorders>
            <w:shd w:val="clear" w:color="auto" w:fill="auto"/>
            <w:vAlign w:val="center"/>
            <w:hideMark/>
          </w:tcPr>
          <w:p w14:paraId="574E30B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nil"/>
              <w:left w:val="single" w:sz="8" w:space="0" w:color="auto"/>
              <w:bottom w:val="single" w:sz="4" w:space="0" w:color="auto"/>
              <w:right w:val="single" w:sz="4" w:space="0" w:color="auto"/>
            </w:tcBorders>
            <w:shd w:val="clear" w:color="auto" w:fill="auto"/>
            <w:vAlign w:val="center"/>
            <w:hideMark/>
          </w:tcPr>
          <w:p w14:paraId="574E30B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9,570,840</w:t>
            </w:r>
          </w:p>
        </w:tc>
        <w:tc>
          <w:tcPr>
            <w:tcW w:w="259" w:type="pct"/>
            <w:gridSpan w:val="2"/>
            <w:tcBorders>
              <w:top w:val="nil"/>
              <w:left w:val="single" w:sz="8" w:space="0" w:color="auto"/>
              <w:bottom w:val="single" w:sz="4" w:space="0" w:color="auto"/>
              <w:right w:val="single" w:sz="4" w:space="0" w:color="auto"/>
            </w:tcBorders>
            <w:shd w:val="clear" w:color="auto" w:fill="auto"/>
            <w:vAlign w:val="center"/>
            <w:hideMark/>
          </w:tcPr>
          <w:p w14:paraId="574E30B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vAlign w:val="center"/>
            <w:hideMark/>
          </w:tcPr>
          <w:p w14:paraId="574E30B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nil"/>
              <w:left w:val="nil"/>
              <w:bottom w:val="single" w:sz="4" w:space="0" w:color="auto"/>
              <w:right w:val="nil"/>
            </w:tcBorders>
            <w:shd w:val="clear" w:color="auto" w:fill="auto"/>
            <w:vAlign w:val="center"/>
            <w:hideMark/>
          </w:tcPr>
          <w:p w14:paraId="574E30B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4,830,840</w:t>
            </w:r>
          </w:p>
        </w:tc>
        <w:tc>
          <w:tcPr>
            <w:tcW w:w="229" w:type="pct"/>
            <w:tcBorders>
              <w:top w:val="nil"/>
              <w:left w:val="single" w:sz="8" w:space="0" w:color="auto"/>
              <w:bottom w:val="single" w:sz="4" w:space="0" w:color="auto"/>
              <w:right w:val="single" w:sz="4" w:space="0" w:color="auto"/>
            </w:tcBorders>
            <w:shd w:val="clear" w:color="auto" w:fill="auto"/>
            <w:vAlign w:val="center"/>
            <w:hideMark/>
          </w:tcPr>
          <w:p w14:paraId="574E30B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nil"/>
              <w:left w:val="nil"/>
              <w:bottom w:val="single" w:sz="4" w:space="0" w:color="auto"/>
              <w:right w:val="nil"/>
            </w:tcBorders>
            <w:shd w:val="clear" w:color="auto" w:fill="auto"/>
            <w:vAlign w:val="center"/>
            <w:hideMark/>
          </w:tcPr>
          <w:p w14:paraId="574E30B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single" w:sz="4" w:space="0" w:color="auto"/>
              <w:bottom w:val="single" w:sz="4" w:space="0" w:color="auto"/>
              <w:right w:val="single" w:sz="8" w:space="0" w:color="auto"/>
            </w:tcBorders>
            <w:shd w:val="clear" w:color="auto" w:fill="auto"/>
            <w:vAlign w:val="center"/>
            <w:hideMark/>
          </w:tcPr>
          <w:p w14:paraId="574E30B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1,140,000</w:t>
            </w:r>
          </w:p>
        </w:tc>
        <w:tc>
          <w:tcPr>
            <w:tcW w:w="379" w:type="pct"/>
            <w:tcBorders>
              <w:top w:val="nil"/>
              <w:left w:val="nil"/>
              <w:bottom w:val="single" w:sz="4" w:space="0" w:color="auto"/>
              <w:right w:val="single" w:sz="8" w:space="0" w:color="auto"/>
            </w:tcBorders>
            <w:shd w:val="clear" w:color="auto" w:fill="auto"/>
            <w:vAlign w:val="center"/>
            <w:hideMark/>
          </w:tcPr>
          <w:p w14:paraId="574E30C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-3,600,000</w:t>
            </w:r>
          </w:p>
        </w:tc>
      </w:tr>
      <w:tr w:rsidR="00444B63" w:rsidRPr="00E83C5E" w14:paraId="574E30D2" w14:textId="77777777" w:rsidTr="008C3E7E">
        <w:trPr>
          <w:trHeight w:val="765"/>
          <w:jc w:val="center"/>
        </w:trPr>
        <w:tc>
          <w:tcPr>
            <w:tcW w:w="141" w:type="pct"/>
            <w:tcBorders>
              <w:top w:val="nil"/>
              <w:left w:val="single" w:sz="8" w:space="0" w:color="auto"/>
              <w:bottom w:val="single" w:sz="4" w:space="0" w:color="auto"/>
              <w:right w:val="nil"/>
            </w:tcBorders>
            <w:shd w:val="clear" w:color="auto" w:fill="auto"/>
            <w:vAlign w:val="center"/>
            <w:hideMark/>
          </w:tcPr>
          <w:p w14:paraId="574E30C2"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1.1.2</w:t>
            </w:r>
          </w:p>
        </w:tc>
        <w:tc>
          <w:tcPr>
            <w:tcW w:w="646" w:type="pct"/>
            <w:tcBorders>
              <w:top w:val="single" w:sz="4" w:space="0" w:color="auto"/>
              <w:left w:val="single" w:sz="4" w:space="0" w:color="auto"/>
              <w:bottom w:val="single" w:sz="4" w:space="0" w:color="auto"/>
              <w:right w:val="single" w:sz="4" w:space="0" w:color="auto"/>
            </w:tcBorders>
            <w:shd w:val="clear" w:color="000000" w:fill="DDEBF7"/>
            <w:hideMark/>
          </w:tcPr>
          <w:p w14:paraId="574E30C3" w14:textId="54F63B5E"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1.1.2</w:t>
            </w:r>
            <w:r w:rsidR="00233C37" w:rsidRPr="00E83C5E">
              <w:rPr>
                <w:rFonts w:ascii="Garamond" w:eastAsia="Times New Roman" w:hAnsi="Garamond" w:cs="Times New Roman"/>
                <w:color w:val="000000"/>
                <w:sz w:val="14"/>
                <w:szCs w:val="14"/>
                <w:lang w:eastAsia="en-GB"/>
              </w:rPr>
              <w:t xml:space="preserve"> </w:t>
            </w:r>
            <w:r w:rsidRPr="00E83C5E">
              <w:rPr>
                <w:rFonts w:ascii="Garamond" w:eastAsia="Times New Roman" w:hAnsi="Garamond" w:cs="Times New Roman"/>
                <w:color w:val="000000"/>
                <w:sz w:val="14"/>
                <w:szCs w:val="14"/>
                <w:lang w:eastAsia="en-GB"/>
              </w:rPr>
              <w:t xml:space="preserve">Masa 2. Forcohen mekanizmat (në nivel qendror dhe vendor) për të garantuar pjesëmarrjen dhe konsultimin e të rejave dhe të rinjve në </w:t>
            </w:r>
            <w:r w:rsidR="00053B5D" w:rsidRPr="00E83C5E">
              <w:rPr>
                <w:rFonts w:ascii="Garamond" w:eastAsia="Times New Roman" w:hAnsi="Garamond" w:cs="Times New Roman"/>
                <w:color w:val="000000"/>
                <w:sz w:val="14"/>
                <w:szCs w:val="14"/>
                <w:lang w:eastAsia="en-GB"/>
              </w:rPr>
              <w:t>vendim</w:t>
            </w:r>
            <w:r w:rsidRPr="00E83C5E">
              <w:rPr>
                <w:rFonts w:ascii="Garamond" w:eastAsia="Times New Roman" w:hAnsi="Garamond" w:cs="Times New Roman"/>
                <w:color w:val="000000"/>
                <w:sz w:val="14"/>
                <w:szCs w:val="14"/>
                <w:lang w:eastAsia="en-GB"/>
              </w:rPr>
              <w:t xml:space="preserve">marrje </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0C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nil"/>
              <w:left w:val="nil"/>
              <w:bottom w:val="single" w:sz="4" w:space="0" w:color="auto"/>
              <w:right w:val="single" w:sz="4" w:space="0" w:color="auto"/>
            </w:tcBorders>
            <w:shd w:val="clear" w:color="auto" w:fill="auto"/>
            <w:vAlign w:val="center"/>
            <w:hideMark/>
          </w:tcPr>
          <w:p w14:paraId="574E30C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 AMVV, NjVV</w:t>
            </w:r>
          </w:p>
        </w:tc>
        <w:tc>
          <w:tcPr>
            <w:tcW w:w="215" w:type="pct"/>
            <w:tcBorders>
              <w:top w:val="nil"/>
              <w:left w:val="nil"/>
              <w:bottom w:val="single" w:sz="4" w:space="0" w:color="auto"/>
              <w:right w:val="single" w:sz="4" w:space="0" w:color="auto"/>
            </w:tcBorders>
            <w:shd w:val="clear" w:color="auto" w:fill="auto"/>
            <w:vAlign w:val="center"/>
            <w:hideMark/>
          </w:tcPr>
          <w:p w14:paraId="574E30C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2023</w:t>
            </w:r>
          </w:p>
        </w:tc>
        <w:tc>
          <w:tcPr>
            <w:tcW w:w="319" w:type="pct"/>
            <w:tcBorders>
              <w:top w:val="nil"/>
              <w:left w:val="nil"/>
              <w:bottom w:val="single" w:sz="4" w:space="0" w:color="auto"/>
              <w:right w:val="single" w:sz="8" w:space="0" w:color="auto"/>
            </w:tcBorders>
            <w:shd w:val="clear" w:color="auto" w:fill="auto"/>
            <w:vAlign w:val="center"/>
            <w:hideMark/>
          </w:tcPr>
          <w:p w14:paraId="574E30C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nil"/>
              <w:left w:val="nil"/>
              <w:bottom w:val="single" w:sz="4" w:space="0" w:color="auto"/>
              <w:right w:val="single" w:sz="4" w:space="0" w:color="auto"/>
            </w:tcBorders>
            <w:shd w:val="clear" w:color="auto" w:fill="auto"/>
            <w:vAlign w:val="center"/>
            <w:hideMark/>
          </w:tcPr>
          <w:p w14:paraId="574E30C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34,701,722</w:t>
            </w:r>
          </w:p>
        </w:tc>
        <w:tc>
          <w:tcPr>
            <w:tcW w:w="330" w:type="pct"/>
            <w:tcBorders>
              <w:top w:val="nil"/>
              <w:left w:val="single" w:sz="8" w:space="0" w:color="auto"/>
              <w:bottom w:val="single" w:sz="4" w:space="0" w:color="auto"/>
              <w:right w:val="single" w:sz="4" w:space="0" w:color="auto"/>
            </w:tcBorders>
            <w:shd w:val="clear" w:color="auto" w:fill="auto"/>
            <w:vAlign w:val="center"/>
            <w:hideMark/>
          </w:tcPr>
          <w:p w14:paraId="574E30C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nil"/>
              <w:left w:val="single" w:sz="8" w:space="0" w:color="auto"/>
              <w:bottom w:val="single" w:sz="4" w:space="0" w:color="auto"/>
              <w:right w:val="single" w:sz="4" w:space="0" w:color="auto"/>
            </w:tcBorders>
            <w:shd w:val="clear" w:color="auto" w:fill="auto"/>
            <w:vAlign w:val="center"/>
            <w:hideMark/>
          </w:tcPr>
          <w:p w14:paraId="574E30C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34,701,722</w:t>
            </w:r>
          </w:p>
        </w:tc>
        <w:tc>
          <w:tcPr>
            <w:tcW w:w="259" w:type="pct"/>
            <w:gridSpan w:val="2"/>
            <w:tcBorders>
              <w:top w:val="nil"/>
              <w:left w:val="single" w:sz="8" w:space="0" w:color="auto"/>
              <w:bottom w:val="single" w:sz="4" w:space="0" w:color="auto"/>
              <w:right w:val="single" w:sz="4" w:space="0" w:color="auto"/>
            </w:tcBorders>
            <w:shd w:val="clear" w:color="auto" w:fill="auto"/>
            <w:vAlign w:val="center"/>
            <w:hideMark/>
          </w:tcPr>
          <w:p w14:paraId="574E30C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vAlign w:val="center"/>
            <w:hideMark/>
          </w:tcPr>
          <w:p w14:paraId="574E30C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nil"/>
              <w:left w:val="nil"/>
              <w:bottom w:val="single" w:sz="4" w:space="0" w:color="auto"/>
              <w:right w:val="nil"/>
            </w:tcBorders>
            <w:shd w:val="clear" w:color="auto" w:fill="auto"/>
            <w:vAlign w:val="center"/>
            <w:hideMark/>
          </w:tcPr>
          <w:p w14:paraId="574E30C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501,522</w:t>
            </w:r>
          </w:p>
        </w:tc>
        <w:tc>
          <w:tcPr>
            <w:tcW w:w="229" w:type="pct"/>
            <w:tcBorders>
              <w:top w:val="nil"/>
              <w:left w:val="single" w:sz="8" w:space="0" w:color="auto"/>
              <w:bottom w:val="single" w:sz="4" w:space="0" w:color="auto"/>
              <w:right w:val="single" w:sz="4" w:space="0" w:color="auto"/>
            </w:tcBorders>
            <w:shd w:val="clear" w:color="auto" w:fill="auto"/>
            <w:vAlign w:val="center"/>
            <w:hideMark/>
          </w:tcPr>
          <w:p w14:paraId="574E30C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nil"/>
              <w:left w:val="nil"/>
              <w:bottom w:val="single" w:sz="4" w:space="0" w:color="auto"/>
              <w:right w:val="nil"/>
            </w:tcBorders>
            <w:shd w:val="clear" w:color="auto" w:fill="auto"/>
            <w:vAlign w:val="center"/>
            <w:hideMark/>
          </w:tcPr>
          <w:p w14:paraId="574E30C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single" w:sz="4" w:space="0" w:color="auto"/>
              <w:bottom w:val="single" w:sz="4" w:space="0" w:color="auto"/>
              <w:right w:val="single" w:sz="8" w:space="0" w:color="auto"/>
            </w:tcBorders>
            <w:shd w:val="clear" w:color="auto" w:fill="auto"/>
            <w:vAlign w:val="center"/>
            <w:hideMark/>
          </w:tcPr>
          <w:p w14:paraId="574E30D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nil"/>
              <w:left w:val="nil"/>
              <w:bottom w:val="single" w:sz="4" w:space="0" w:color="auto"/>
              <w:right w:val="single" w:sz="8" w:space="0" w:color="auto"/>
            </w:tcBorders>
            <w:shd w:val="clear" w:color="auto" w:fill="auto"/>
            <w:vAlign w:val="center"/>
            <w:hideMark/>
          </w:tcPr>
          <w:p w14:paraId="574E30D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-34,200,200</w:t>
            </w:r>
          </w:p>
        </w:tc>
      </w:tr>
      <w:tr w:rsidR="00444B63" w:rsidRPr="00E83C5E" w14:paraId="574E30E3" w14:textId="77777777" w:rsidTr="00BE7B59">
        <w:trPr>
          <w:trHeight w:val="795"/>
          <w:jc w:val="center"/>
        </w:trPr>
        <w:tc>
          <w:tcPr>
            <w:tcW w:w="141" w:type="pct"/>
            <w:tcBorders>
              <w:top w:val="nil"/>
              <w:left w:val="single" w:sz="8" w:space="0" w:color="auto"/>
              <w:bottom w:val="single" w:sz="8" w:space="0" w:color="auto"/>
              <w:right w:val="nil"/>
            </w:tcBorders>
            <w:shd w:val="clear" w:color="auto" w:fill="auto"/>
            <w:vAlign w:val="center"/>
            <w:hideMark/>
          </w:tcPr>
          <w:p w14:paraId="574E30D3"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1.1.3</w:t>
            </w:r>
          </w:p>
        </w:tc>
        <w:tc>
          <w:tcPr>
            <w:tcW w:w="646" w:type="pct"/>
            <w:tcBorders>
              <w:top w:val="single" w:sz="4" w:space="0" w:color="auto"/>
              <w:left w:val="single" w:sz="4" w:space="0" w:color="auto"/>
              <w:bottom w:val="single" w:sz="4" w:space="0" w:color="auto"/>
              <w:right w:val="single" w:sz="4" w:space="0" w:color="auto"/>
            </w:tcBorders>
            <w:shd w:val="clear" w:color="000000" w:fill="DDEBF7"/>
            <w:hideMark/>
          </w:tcPr>
          <w:p w14:paraId="574E30D4" w14:textId="346EEC1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1.1.3. Masa 3</w:t>
            </w:r>
            <w:r w:rsidRPr="00E83C5E">
              <w:rPr>
                <w:rFonts w:ascii="Garamond" w:eastAsia="Times New Roman" w:hAnsi="Garamond" w:cs="Times New Roman"/>
                <w:color w:val="000000"/>
                <w:sz w:val="14"/>
                <w:szCs w:val="14"/>
                <w:lang w:eastAsia="en-GB"/>
              </w:rPr>
              <w:br/>
              <w:t xml:space="preserve">Përmes platformës rinore </w:t>
            </w:r>
            <w:r w:rsidR="00D540B0" w:rsidRPr="00E83C5E">
              <w:rPr>
                <w:rFonts w:ascii="Garamond" w:eastAsia="Times New Roman" w:hAnsi="Garamond" w:cs="Times New Roman"/>
                <w:color w:val="000000"/>
                <w:sz w:val="14"/>
                <w:szCs w:val="14"/>
                <w:lang w:eastAsia="en-GB"/>
              </w:rPr>
              <w:t>“</w:t>
            </w:r>
            <w:r w:rsidRPr="00E83C5E">
              <w:rPr>
                <w:rFonts w:ascii="Garamond" w:eastAsia="Times New Roman" w:hAnsi="Garamond" w:cs="Times New Roman"/>
                <w:color w:val="000000"/>
                <w:sz w:val="14"/>
                <w:szCs w:val="14"/>
                <w:lang w:eastAsia="en-GB"/>
              </w:rPr>
              <w:t>Të rinjtë për të Rinjtë</w:t>
            </w:r>
            <w:r w:rsidR="00D540B0" w:rsidRPr="00E83C5E">
              <w:rPr>
                <w:rFonts w:ascii="Garamond" w:eastAsia="Times New Roman" w:hAnsi="Garamond" w:cs="Times New Roman"/>
                <w:color w:val="000000"/>
                <w:sz w:val="14"/>
                <w:szCs w:val="14"/>
                <w:lang w:eastAsia="en-GB"/>
              </w:rPr>
              <w:t>”</w:t>
            </w:r>
            <w:r w:rsidRPr="00E83C5E">
              <w:rPr>
                <w:rFonts w:ascii="Garamond" w:eastAsia="Times New Roman" w:hAnsi="Garamond" w:cs="Times New Roman"/>
                <w:color w:val="000000"/>
                <w:sz w:val="14"/>
                <w:szCs w:val="14"/>
                <w:lang w:eastAsia="en-GB"/>
              </w:rPr>
              <w:t xml:space="preserve"> dhe formave të tjera të komunikimit social shpërndahen informacione dhe udhëzues për rritjen e pjesëmarrjes së të rinjve në </w:t>
            </w:r>
            <w:r w:rsidR="00053B5D" w:rsidRPr="00E83C5E">
              <w:rPr>
                <w:rFonts w:ascii="Garamond" w:eastAsia="Times New Roman" w:hAnsi="Garamond" w:cs="Times New Roman"/>
                <w:color w:val="000000"/>
                <w:sz w:val="14"/>
                <w:szCs w:val="14"/>
                <w:lang w:eastAsia="en-GB"/>
              </w:rPr>
              <w:t>vendim</w:t>
            </w:r>
            <w:r w:rsidRPr="00E83C5E">
              <w:rPr>
                <w:rFonts w:ascii="Garamond" w:eastAsia="Times New Roman" w:hAnsi="Garamond" w:cs="Times New Roman"/>
                <w:color w:val="000000"/>
                <w:sz w:val="14"/>
                <w:szCs w:val="14"/>
                <w:lang w:eastAsia="en-GB"/>
              </w:rPr>
              <w:t>marrje.</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0D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nil"/>
              <w:left w:val="nil"/>
              <w:bottom w:val="single" w:sz="4" w:space="0" w:color="auto"/>
              <w:right w:val="single" w:sz="4" w:space="0" w:color="auto"/>
            </w:tcBorders>
            <w:shd w:val="clear" w:color="auto" w:fill="auto"/>
            <w:vAlign w:val="center"/>
            <w:hideMark/>
          </w:tcPr>
          <w:p w14:paraId="574E30D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 AKPA, AKSHI</w:t>
            </w:r>
          </w:p>
        </w:tc>
        <w:tc>
          <w:tcPr>
            <w:tcW w:w="215" w:type="pct"/>
            <w:tcBorders>
              <w:top w:val="nil"/>
              <w:left w:val="nil"/>
              <w:bottom w:val="single" w:sz="4" w:space="0" w:color="auto"/>
              <w:right w:val="single" w:sz="4" w:space="0" w:color="auto"/>
            </w:tcBorders>
            <w:shd w:val="clear" w:color="auto" w:fill="auto"/>
            <w:vAlign w:val="center"/>
            <w:hideMark/>
          </w:tcPr>
          <w:p w14:paraId="574E30D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2023</w:t>
            </w:r>
          </w:p>
        </w:tc>
        <w:tc>
          <w:tcPr>
            <w:tcW w:w="319" w:type="pct"/>
            <w:tcBorders>
              <w:top w:val="nil"/>
              <w:left w:val="nil"/>
              <w:bottom w:val="single" w:sz="4" w:space="0" w:color="auto"/>
              <w:right w:val="single" w:sz="8" w:space="0" w:color="auto"/>
            </w:tcBorders>
            <w:shd w:val="clear" w:color="auto" w:fill="auto"/>
            <w:vAlign w:val="center"/>
            <w:hideMark/>
          </w:tcPr>
          <w:p w14:paraId="574E30D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nil"/>
              <w:left w:val="nil"/>
              <w:bottom w:val="single" w:sz="4" w:space="0" w:color="auto"/>
              <w:right w:val="single" w:sz="4" w:space="0" w:color="auto"/>
            </w:tcBorders>
            <w:shd w:val="clear" w:color="auto" w:fill="auto"/>
            <w:vAlign w:val="center"/>
            <w:hideMark/>
          </w:tcPr>
          <w:p w14:paraId="574E30D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39,426,240</w:t>
            </w:r>
          </w:p>
        </w:tc>
        <w:tc>
          <w:tcPr>
            <w:tcW w:w="330" w:type="pct"/>
            <w:tcBorders>
              <w:top w:val="nil"/>
              <w:left w:val="single" w:sz="8" w:space="0" w:color="auto"/>
              <w:bottom w:val="single" w:sz="4" w:space="0" w:color="auto"/>
              <w:right w:val="single" w:sz="4" w:space="0" w:color="auto"/>
            </w:tcBorders>
            <w:shd w:val="clear" w:color="auto" w:fill="auto"/>
            <w:vAlign w:val="center"/>
            <w:hideMark/>
          </w:tcPr>
          <w:p w14:paraId="574E30D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264,500</w:t>
            </w:r>
          </w:p>
        </w:tc>
        <w:tc>
          <w:tcPr>
            <w:tcW w:w="346" w:type="pct"/>
            <w:tcBorders>
              <w:top w:val="nil"/>
              <w:left w:val="single" w:sz="8" w:space="0" w:color="auto"/>
              <w:bottom w:val="single" w:sz="4" w:space="0" w:color="auto"/>
              <w:right w:val="single" w:sz="4" w:space="0" w:color="auto"/>
            </w:tcBorders>
            <w:shd w:val="clear" w:color="auto" w:fill="auto"/>
            <w:vAlign w:val="center"/>
            <w:hideMark/>
          </w:tcPr>
          <w:p w14:paraId="574E30D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39,690,740</w:t>
            </w:r>
          </w:p>
        </w:tc>
        <w:tc>
          <w:tcPr>
            <w:tcW w:w="259" w:type="pct"/>
            <w:gridSpan w:val="2"/>
            <w:tcBorders>
              <w:top w:val="nil"/>
              <w:left w:val="single" w:sz="8" w:space="0" w:color="auto"/>
              <w:bottom w:val="single" w:sz="4" w:space="0" w:color="auto"/>
              <w:right w:val="single" w:sz="4" w:space="0" w:color="auto"/>
            </w:tcBorders>
            <w:shd w:val="clear" w:color="auto" w:fill="auto"/>
            <w:vAlign w:val="center"/>
            <w:hideMark/>
          </w:tcPr>
          <w:p w14:paraId="574E30D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vAlign w:val="center"/>
            <w:hideMark/>
          </w:tcPr>
          <w:p w14:paraId="574E30D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nil"/>
              <w:left w:val="nil"/>
              <w:bottom w:val="single" w:sz="4" w:space="0" w:color="auto"/>
              <w:right w:val="nil"/>
            </w:tcBorders>
            <w:shd w:val="clear" w:color="auto" w:fill="auto"/>
            <w:vAlign w:val="center"/>
            <w:hideMark/>
          </w:tcPr>
          <w:p w14:paraId="574E30D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10,180,800</w:t>
            </w:r>
          </w:p>
        </w:tc>
        <w:tc>
          <w:tcPr>
            <w:tcW w:w="229" w:type="pct"/>
            <w:tcBorders>
              <w:top w:val="nil"/>
              <w:left w:val="single" w:sz="8" w:space="0" w:color="auto"/>
              <w:bottom w:val="single" w:sz="4" w:space="0" w:color="auto"/>
              <w:right w:val="single" w:sz="4" w:space="0" w:color="auto"/>
            </w:tcBorders>
            <w:shd w:val="clear" w:color="auto" w:fill="auto"/>
            <w:vAlign w:val="center"/>
            <w:hideMark/>
          </w:tcPr>
          <w:p w14:paraId="574E30D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nil"/>
              <w:left w:val="single" w:sz="8" w:space="0" w:color="auto"/>
              <w:bottom w:val="single" w:sz="4" w:space="0" w:color="auto"/>
              <w:right w:val="single" w:sz="4" w:space="0" w:color="auto"/>
            </w:tcBorders>
            <w:shd w:val="clear" w:color="auto" w:fill="auto"/>
            <w:vAlign w:val="center"/>
            <w:hideMark/>
          </w:tcPr>
          <w:p w14:paraId="574E30E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0E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nil"/>
              <w:left w:val="nil"/>
              <w:bottom w:val="single" w:sz="4" w:space="0" w:color="auto"/>
              <w:right w:val="single" w:sz="8" w:space="0" w:color="auto"/>
            </w:tcBorders>
            <w:shd w:val="clear" w:color="auto" w:fill="auto"/>
            <w:vAlign w:val="center"/>
            <w:hideMark/>
          </w:tcPr>
          <w:p w14:paraId="574E30E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-29,509,940</w:t>
            </w:r>
          </w:p>
        </w:tc>
      </w:tr>
      <w:tr w:rsidR="00444B63" w:rsidRPr="00E83C5E" w14:paraId="574E30F4" w14:textId="77777777" w:rsidTr="00BE7B59">
        <w:trPr>
          <w:trHeight w:val="37"/>
          <w:jc w:val="center"/>
        </w:trPr>
        <w:tc>
          <w:tcPr>
            <w:tcW w:w="141" w:type="pct"/>
            <w:tcBorders>
              <w:top w:val="nil"/>
              <w:left w:val="single" w:sz="8" w:space="0" w:color="auto"/>
              <w:bottom w:val="single" w:sz="4" w:space="0" w:color="auto"/>
              <w:right w:val="nil"/>
            </w:tcBorders>
            <w:shd w:val="clear" w:color="auto" w:fill="auto"/>
            <w:vAlign w:val="center"/>
            <w:hideMark/>
          </w:tcPr>
          <w:p w14:paraId="574E30E4"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1.1.4</w:t>
            </w:r>
          </w:p>
        </w:tc>
        <w:tc>
          <w:tcPr>
            <w:tcW w:w="646" w:type="pct"/>
            <w:tcBorders>
              <w:top w:val="single" w:sz="4" w:space="0" w:color="auto"/>
              <w:left w:val="single" w:sz="4" w:space="0" w:color="auto"/>
              <w:bottom w:val="single" w:sz="4" w:space="0" w:color="auto"/>
              <w:right w:val="single" w:sz="4" w:space="0" w:color="auto"/>
            </w:tcBorders>
            <w:shd w:val="clear" w:color="000000" w:fill="DDEBF7"/>
            <w:hideMark/>
          </w:tcPr>
          <w:p w14:paraId="574E30E5" w14:textId="7DEAD0CB" w:rsidR="00444B63" w:rsidRPr="00E83C5E" w:rsidRDefault="00444B63" w:rsidP="00BE7B59">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1.1.4. Masa 4</w:t>
            </w:r>
            <w:r w:rsidRPr="00E83C5E">
              <w:rPr>
                <w:rFonts w:ascii="Garamond" w:eastAsia="Times New Roman" w:hAnsi="Garamond" w:cs="Times New Roman"/>
                <w:color w:val="000000"/>
                <w:sz w:val="14"/>
                <w:szCs w:val="14"/>
                <w:lang w:eastAsia="en-GB"/>
              </w:rPr>
              <w:br/>
              <w:t>AKR mbështet me anë të një programit grantesh organizatat rinore dhe/ose për të rinjtë</w:t>
            </w:r>
            <w:r w:rsidR="00BE7B59">
              <w:rPr>
                <w:rFonts w:ascii="Garamond" w:eastAsia="Times New Roman" w:hAnsi="Garamond" w:cs="Times New Roman"/>
                <w:color w:val="000000"/>
                <w:sz w:val="14"/>
                <w:szCs w:val="14"/>
                <w:lang w:eastAsia="en-GB"/>
              </w:rPr>
              <w:t>,</w:t>
            </w:r>
            <w:r w:rsidRPr="00E83C5E">
              <w:rPr>
                <w:rFonts w:ascii="Garamond" w:eastAsia="Times New Roman" w:hAnsi="Garamond" w:cs="Times New Roman"/>
                <w:color w:val="000000"/>
                <w:sz w:val="14"/>
                <w:szCs w:val="14"/>
                <w:lang w:eastAsia="en-GB"/>
              </w:rPr>
              <w:t xml:space="preserve"> si dhe njësitë e</w:t>
            </w:r>
            <w:r w:rsidR="00233C37" w:rsidRPr="00E83C5E">
              <w:rPr>
                <w:rFonts w:ascii="Garamond" w:eastAsia="Times New Roman" w:hAnsi="Garamond" w:cs="Times New Roman"/>
                <w:color w:val="000000"/>
                <w:sz w:val="14"/>
                <w:szCs w:val="14"/>
                <w:lang w:eastAsia="en-GB"/>
              </w:rPr>
              <w:t xml:space="preserve"> </w:t>
            </w:r>
            <w:r w:rsidRPr="00E83C5E">
              <w:rPr>
                <w:rFonts w:ascii="Garamond" w:eastAsia="Times New Roman" w:hAnsi="Garamond" w:cs="Times New Roman"/>
                <w:color w:val="000000"/>
                <w:sz w:val="14"/>
                <w:szCs w:val="14"/>
                <w:lang w:eastAsia="en-GB"/>
              </w:rPr>
              <w:t>vetëqeverisjes vendore përmes ngritjes së infrastrukturës për qendra rinore dhe hapësira për të rinjtë</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0E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nil"/>
              <w:left w:val="nil"/>
              <w:bottom w:val="single" w:sz="4" w:space="0" w:color="auto"/>
              <w:right w:val="single" w:sz="4" w:space="0" w:color="auto"/>
            </w:tcBorders>
            <w:shd w:val="clear" w:color="auto" w:fill="auto"/>
            <w:vAlign w:val="center"/>
            <w:hideMark/>
          </w:tcPr>
          <w:p w14:paraId="574E30E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MFE, AKR</w:t>
            </w:r>
          </w:p>
        </w:tc>
        <w:tc>
          <w:tcPr>
            <w:tcW w:w="215" w:type="pct"/>
            <w:tcBorders>
              <w:top w:val="nil"/>
              <w:left w:val="nil"/>
              <w:bottom w:val="single" w:sz="4" w:space="0" w:color="auto"/>
              <w:right w:val="single" w:sz="4" w:space="0" w:color="auto"/>
            </w:tcBorders>
            <w:shd w:val="clear" w:color="auto" w:fill="auto"/>
            <w:vAlign w:val="center"/>
            <w:hideMark/>
          </w:tcPr>
          <w:p w14:paraId="574E30E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2022</w:t>
            </w:r>
          </w:p>
        </w:tc>
        <w:tc>
          <w:tcPr>
            <w:tcW w:w="319" w:type="pct"/>
            <w:tcBorders>
              <w:top w:val="nil"/>
              <w:left w:val="nil"/>
              <w:bottom w:val="single" w:sz="4" w:space="0" w:color="auto"/>
              <w:right w:val="single" w:sz="8" w:space="0" w:color="auto"/>
            </w:tcBorders>
            <w:shd w:val="clear" w:color="auto" w:fill="auto"/>
            <w:vAlign w:val="center"/>
            <w:hideMark/>
          </w:tcPr>
          <w:p w14:paraId="574E30E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nil"/>
              <w:left w:val="nil"/>
              <w:bottom w:val="single" w:sz="4" w:space="0" w:color="auto"/>
              <w:right w:val="single" w:sz="4" w:space="0" w:color="auto"/>
            </w:tcBorders>
            <w:shd w:val="clear" w:color="auto" w:fill="auto"/>
            <w:vAlign w:val="center"/>
            <w:hideMark/>
          </w:tcPr>
          <w:p w14:paraId="574E30E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621,584,000</w:t>
            </w:r>
          </w:p>
        </w:tc>
        <w:tc>
          <w:tcPr>
            <w:tcW w:w="330" w:type="pct"/>
            <w:tcBorders>
              <w:top w:val="nil"/>
              <w:left w:val="single" w:sz="8" w:space="0" w:color="auto"/>
              <w:bottom w:val="single" w:sz="4" w:space="0" w:color="auto"/>
              <w:right w:val="single" w:sz="4" w:space="0" w:color="auto"/>
            </w:tcBorders>
            <w:shd w:val="clear" w:color="auto" w:fill="auto"/>
            <w:vAlign w:val="center"/>
            <w:hideMark/>
          </w:tcPr>
          <w:p w14:paraId="574E30E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400,000,000</w:t>
            </w:r>
          </w:p>
        </w:tc>
        <w:tc>
          <w:tcPr>
            <w:tcW w:w="346" w:type="pct"/>
            <w:tcBorders>
              <w:top w:val="nil"/>
              <w:left w:val="single" w:sz="8" w:space="0" w:color="auto"/>
              <w:bottom w:val="single" w:sz="4" w:space="0" w:color="auto"/>
              <w:right w:val="single" w:sz="4" w:space="0" w:color="auto"/>
            </w:tcBorders>
            <w:shd w:val="clear" w:color="auto" w:fill="auto"/>
            <w:vAlign w:val="center"/>
            <w:hideMark/>
          </w:tcPr>
          <w:p w14:paraId="574E30E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1,021,584,000</w:t>
            </w:r>
          </w:p>
        </w:tc>
        <w:tc>
          <w:tcPr>
            <w:tcW w:w="259" w:type="pct"/>
            <w:gridSpan w:val="2"/>
            <w:tcBorders>
              <w:top w:val="nil"/>
              <w:left w:val="single" w:sz="8" w:space="0" w:color="auto"/>
              <w:bottom w:val="single" w:sz="4" w:space="0" w:color="auto"/>
              <w:right w:val="single" w:sz="4" w:space="0" w:color="auto"/>
            </w:tcBorders>
            <w:shd w:val="clear" w:color="auto" w:fill="auto"/>
            <w:vAlign w:val="center"/>
            <w:hideMark/>
          </w:tcPr>
          <w:p w14:paraId="574E30E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vAlign w:val="center"/>
            <w:hideMark/>
          </w:tcPr>
          <w:p w14:paraId="574E30E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nil"/>
              <w:left w:val="nil"/>
              <w:bottom w:val="single" w:sz="4" w:space="0" w:color="auto"/>
              <w:right w:val="nil"/>
            </w:tcBorders>
            <w:shd w:val="clear" w:color="auto" w:fill="auto"/>
            <w:vAlign w:val="center"/>
            <w:hideMark/>
          </w:tcPr>
          <w:p w14:paraId="574E30E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914,904,000</w:t>
            </w:r>
          </w:p>
        </w:tc>
        <w:tc>
          <w:tcPr>
            <w:tcW w:w="229" w:type="pct"/>
            <w:tcBorders>
              <w:top w:val="nil"/>
              <w:left w:val="single" w:sz="8" w:space="0" w:color="auto"/>
              <w:bottom w:val="single" w:sz="4" w:space="0" w:color="auto"/>
              <w:right w:val="single" w:sz="4" w:space="0" w:color="auto"/>
            </w:tcBorders>
            <w:shd w:val="clear" w:color="auto" w:fill="auto"/>
            <w:vAlign w:val="center"/>
            <w:hideMark/>
          </w:tcPr>
          <w:p w14:paraId="574E30F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nil"/>
              <w:left w:val="nil"/>
              <w:bottom w:val="single" w:sz="4" w:space="0" w:color="auto"/>
              <w:right w:val="nil"/>
            </w:tcBorders>
            <w:shd w:val="clear" w:color="auto" w:fill="auto"/>
            <w:vAlign w:val="center"/>
            <w:hideMark/>
          </w:tcPr>
          <w:p w14:paraId="574E30F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single" w:sz="4" w:space="0" w:color="auto"/>
              <w:bottom w:val="single" w:sz="4" w:space="0" w:color="auto"/>
              <w:right w:val="single" w:sz="8" w:space="0" w:color="auto"/>
            </w:tcBorders>
            <w:shd w:val="clear" w:color="auto" w:fill="auto"/>
            <w:vAlign w:val="center"/>
            <w:hideMark/>
          </w:tcPr>
          <w:p w14:paraId="574E30F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11,350,000</w:t>
            </w:r>
          </w:p>
        </w:tc>
        <w:tc>
          <w:tcPr>
            <w:tcW w:w="379" w:type="pct"/>
            <w:tcBorders>
              <w:top w:val="nil"/>
              <w:left w:val="nil"/>
              <w:bottom w:val="single" w:sz="4" w:space="0" w:color="auto"/>
              <w:right w:val="single" w:sz="8" w:space="0" w:color="auto"/>
            </w:tcBorders>
            <w:shd w:val="clear" w:color="auto" w:fill="auto"/>
            <w:vAlign w:val="center"/>
            <w:hideMark/>
          </w:tcPr>
          <w:p w14:paraId="574E30F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-95,330,000</w:t>
            </w:r>
          </w:p>
        </w:tc>
      </w:tr>
      <w:tr w:rsidR="00444B63" w:rsidRPr="00E83C5E" w14:paraId="574E3105" w14:textId="77777777" w:rsidTr="008C3E7E">
        <w:trPr>
          <w:trHeight w:val="510"/>
          <w:jc w:val="center"/>
        </w:trPr>
        <w:tc>
          <w:tcPr>
            <w:tcW w:w="141" w:type="pct"/>
            <w:tcBorders>
              <w:top w:val="nil"/>
              <w:left w:val="single" w:sz="8" w:space="0" w:color="auto"/>
              <w:bottom w:val="single" w:sz="4" w:space="0" w:color="auto"/>
              <w:right w:val="nil"/>
            </w:tcBorders>
            <w:shd w:val="clear" w:color="auto" w:fill="auto"/>
            <w:vAlign w:val="center"/>
            <w:hideMark/>
          </w:tcPr>
          <w:p w14:paraId="574E30F5"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1.1.5</w:t>
            </w:r>
          </w:p>
        </w:tc>
        <w:tc>
          <w:tcPr>
            <w:tcW w:w="646" w:type="pct"/>
            <w:tcBorders>
              <w:top w:val="single" w:sz="4" w:space="0" w:color="auto"/>
              <w:left w:val="single" w:sz="4" w:space="0" w:color="auto"/>
              <w:bottom w:val="single" w:sz="4" w:space="0" w:color="auto"/>
              <w:right w:val="single" w:sz="4" w:space="0" w:color="auto"/>
            </w:tcBorders>
            <w:shd w:val="clear" w:color="000000" w:fill="DDEBF7"/>
            <w:hideMark/>
          </w:tcPr>
          <w:p w14:paraId="574E30F6"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xml:space="preserve">1.1.5. Masa 5. </w:t>
            </w:r>
            <w:r w:rsidRPr="00E83C5E">
              <w:rPr>
                <w:rFonts w:ascii="Garamond" w:eastAsia="Times New Roman" w:hAnsi="Garamond" w:cs="Times New Roman"/>
                <w:color w:val="000000"/>
                <w:sz w:val="14"/>
                <w:szCs w:val="14"/>
                <w:lang w:eastAsia="en-GB"/>
              </w:rPr>
              <w:br/>
              <w:t>Nxitet zhvillimi i një mjedisi shkollor përkrahës për të gjithë nxënësit dhe mbështetet bërja sa më aktive e Këshillave Studentore / Qeverive të Nxënësve dhe organizimeve të tjera të nxënësve</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0F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w:t>
            </w:r>
          </w:p>
        </w:tc>
        <w:tc>
          <w:tcPr>
            <w:tcW w:w="325" w:type="pct"/>
            <w:tcBorders>
              <w:top w:val="nil"/>
              <w:left w:val="nil"/>
              <w:bottom w:val="single" w:sz="4" w:space="0" w:color="auto"/>
              <w:right w:val="single" w:sz="4" w:space="0" w:color="auto"/>
            </w:tcBorders>
            <w:shd w:val="clear" w:color="auto" w:fill="auto"/>
            <w:vAlign w:val="center"/>
            <w:hideMark/>
          </w:tcPr>
          <w:p w14:paraId="574E30F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MAS</w:t>
            </w:r>
          </w:p>
        </w:tc>
        <w:tc>
          <w:tcPr>
            <w:tcW w:w="215" w:type="pct"/>
            <w:tcBorders>
              <w:top w:val="nil"/>
              <w:left w:val="nil"/>
              <w:bottom w:val="single" w:sz="4" w:space="0" w:color="auto"/>
              <w:right w:val="single" w:sz="4" w:space="0" w:color="auto"/>
            </w:tcBorders>
            <w:shd w:val="clear" w:color="auto" w:fill="auto"/>
            <w:vAlign w:val="center"/>
            <w:hideMark/>
          </w:tcPr>
          <w:p w14:paraId="574E30F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2023</w:t>
            </w:r>
          </w:p>
        </w:tc>
        <w:tc>
          <w:tcPr>
            <w:tcW w:w="319" w:type="pct"/>
            <w:tcBorders>
              <w:top w:val="nil"/>
              <w:left w:val="nil"/>
              <w:bottom w:val="single" w:sz="4" w:space="0" w:color="auto"/>
              <w:right w:val="single" w:sz="8" w:space="0" w:color="auto"/>
            </w:tcBorders>
            <w:shd w:val="clear" w:color="auto" w:fill="auto"/>
            <w:vAlign w:val="center"/>
            <w:hideMark/>
          </w:tcPr>
          <w:p w14:paraId="574E30F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nil"/>
              <w:left w:val="nil"/>
              <w:bottom w:val="single" w:sz="4" w:space="0" w:color="auto"/>
              <w:right w:val="single" w:sz="4" w:space="0" w:color="auto"/>
            </w:tcBorders>
            <w:shd w:val="clear" w:color="auto" w:fill="auto"/>
            <w:vAlign w:val="center"/>
            <w:hideMark/>
          </w:tcPr>
          <w:p w14:paraId="574E30F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51,500,000</w:t>
            </w:r>
          </w:p>
        </w:tc>
        <w:tc>
          <w:tcPr>
            <w:tcW w:w="330" w:type="pct"/>
            <w:tcBorders>
              <w:top w:val="nil"/>
              <w:left w:val="single" w:sz="8" w:space="0" w:color="auto"/>
              <w:bottom w:val="single" w:sz="4" w:space="0" w:color="auto"/>
              <w:right w:val="single" w:sz="4" w:space="0" w:color="auto"/>
            </w:tcBorders>
            <w:shd w:val="clear" w:color="auto" w:fill="auto"/>
            <w:vAlign w:val="center"/>
            <w:hideMark/>
          </w:tcPr>
          <w:p w14:paraId="574E30F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nil"/>
              <w:left w:val="single" w:sz="8" w:space="0" w:color="auto"/>
              <w:bottom w:val="single" w:sz="4" w:space="0" w:color="auto"/>
              <w:right w:val="single" w:sz="4" w:space="0" w:color="auto"/>
            </w:tcBorders>
            <w:shd w:val="clear" w:color="auto" w:fill="auto"/>
            <w:vAlign w:val="center"/>
            <w:hideMark/>
          </w:tcPr>
          <w:p w14:paraId="574E30F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51,500,000</w:t>
            </w:r>
          </w:p>
        </w:tc>
        <w:tc>
          <w:tcPr>
            <w:tcW w:w="259" w:type="pct"/>
            <w:gridSpan w:val="2"/>
            <w:tcBorders>
              <w:top w:val="nil"/>
              <w:left w:val="single" w:sz="8" w:space="0" w:color="auto"/>
              <w:bottom w:val="single" w:sz="4" w:space="0" w:color="auto"/>
              <w:right w:val="single" w:sz="4" w:space="0" w:color="auto"/>
            </w:tcBorders>
            <w:shd w:val="clear" w:color="auto" w:fill="auto"/>
            <w:vAlign w:val="center"/>
            <w:hideMark/>
          </w:tcPr>
          <w:p w14:paraId="574E30F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vAlign w:val="center"/>
            <w:hideMark/>
          </w:tcPr>
          <w:p w14:paraId="574E30F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nil"/>
              <w:left w:val="nil"/>
              <w:bottom w:val="single" w:sz="4" w:space="0" w:color="auto"/>
              <w:right w:val="nil"/>
            </w:tcBorders>
            <w:shd w:val="clear" w:color="auto" w:fill="auto"/>
            <w:vAlign w:val="center"/>
            <w:hideMark/>
          </w:tcPr>
          <w:p w14:paraId="574E310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229" w:type="pct"/>
            <w:tcBorders>
              <w:top w:val="nil"/>
              <w:left w:val="single" w:sz="8" w:space="0" w:color="auto"/>
              <w:bottom w:val="single" w:sz="4" w:space="0" w:color="auto"/>
              <w:right w:val="single" w:sz="4" w:space="0" w:color="auto"/>
            </w:tcBorders>
            <w:shd w:val="clear" w:color="auto" w:fill="auto"/>
            <w:vAlign w:val="center"/>
            <w:hideMark/>
          </w:tcPr>
          <w:p w14:paraId="574E310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nil"/>
              <w:left w:val="nil"/>
              <w:bottom w:val="single" w:sz="4" w:space="0" w:color="auto"/>
              <w:right w:val="nil"/>
            </w:tcBorders>
            <w:shd w:val="clear" w:color="auto" w:fill="auto"/>
            <w:vAlign w:val="center"/>
            <w:hideMark/>
          </w:tcPr>
          <w:p w14:paraId="574E310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single" w:sz="4" w:space="0" w:color="auto"/>
              <w:bottom w:val="single" w:sz="4" w:space="0" w:color="auto"/>
              <w:right w:val="single" w:sz="8" w:space="0" w:color="auto"/>
            </w:tcBorders>
            <w:shd w:val="clear" w:color="auto" w:fill="auto"/>
            <w:vAlign w:val="center"/>
            <w:hideMark/>
          </w:tcPr>
          <w:p w14:paraId="574E310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1,800,000</w:t>
            </w:r>
          </w:p>
        </w:tc>
        <w:tc>
          <w:tcPr>
            <w:tcW w:w="379" w:type="pct"/>
            <w:tcBorders>
              <w:top w:val="nil"/>
              <w:left w:val="nil"/>
              <w:bottom w:val="single" w:sz="4" w:space="0" w:color="auto"/>
              <w:right w:val="single" w:sz="8" w:space="0" w:color="auto"/>
            </w:tcBorders>
            <w:shd w:val="clear" w:color="auto" w:fill="auto"/>
            <w:vAlign w:val="center"/>
            <w:hideMark/>
          </w:tcPr>
          <w:p w14:paraId="574E310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-49,700,000</w:t>
            </w:r>
          </w:p>
        </w:tc>
      </w:tr>
      <w:tr w:rsidR="00444B63" w:rsidRPr="00E83C5E" w14:paraId="574E3116" w14:textId="77777777" w:rsidTr="00BE7B59">
        <w:trPr>
          <w:trHeight w:val="327"/>
          <w:jc w:val="center"/>
        </w:trPr>
        <w:tc>
          <w:tcPr>
            <w:tcW w:w="141" w:type="pct"/>
            <w:tcBorders>
              <w:top w:val="single" w:sz="4" w:space="0" w:color="auto"/>
              <w:left w:val="single" w:sz="4" w:space="0" w:color="auto"/>
              <w:bottom w:val="single" w:sz="4" w:space="0" w:color="auto"/>
              <w:right w:val="nil"/>
            </w:tcBorders>
            <w:shd w:val="clear" w:color="auto" w:fill="auto"/>
            <w:vAlign w:val="center"/>
            <w:hideMark/>
          </w:tcPr>
          <w:p w14:paraId="574E3106"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lastRenderedPageBreak/>
              <w:t>1.1.6</w:t>
            </w:r>
          </w:p>
        </w:tc>
        <w:tc>
          <w:tcPr>
            <w:tcW w:w="646" w:type="pct"/>
            <w:tcBorders>
              <w:top w:val="single" w:sz="4" w:space="0" w:color="auto"/>
              <w:left w:val="single" w:sz="4" w:space="0" w:color="auto"/>
              <w:bottom w:val="single" w:sz="4" w:space="0" w:color="auto"/>
              <w:right w:val="single" w:sz="4" w:space="0" w:color="auto"/>
            </w:tcBorders>
            <w:shd w:val="clear" w:color="000000" w:fill="DDEBF7"/>
            <w:hideMark/>
          </w:tcPr>
          <w:p w14:paraId="574E3107"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xml:space="preserve">1.1.6 Masa 6. </w:t>
            </w:r>
            <w:r w:rsidRPr="00E83C5E">
              <w:rPr>
                <w:rFonts w:ascii="Garamond" w:eastAsia="Times New Roman" w:hAnsi="Garamond" w:cs="Times New Roman"/>
                <w:color w:val="000000"/>
                <w:sz w:val="14"/>
                <w:szCs w:val="14"/>
                <w:lang w:eastAsia="en-GB"/>
              </w:rPr>
              <w:br/>
              <w:t>Rritet ndërgjegjësimi politik i të rinjve dhe në veçanti i vajzave dhe grave të reja, nëpërmjet promovimit të programeve të edukimit të votuesve dhe nismave të tjera ndërgjegjësuese</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4E310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KQZ</w:t>
            </w:r>
          </w:p>
        </w:tc>
        <w:tc>
          <w:tcPr>
            <w:tcW w:w="325" w:type="pct"/>
            <w:tcBorders>
              <w:top w:val="single" w:sz="4" w:space="0" w:color="auto"/>
              <w:left w:val="nil"/>
              <w:bottom w:val="single" w:sz="4" w:space="0" w:color="auto"/>
              <w:right w:val="single" w:sz="4" w:space="0" w:color="auto"/>
            </w:tcBorders>
            <w:shd w:val="clear" w:color="auto" w:fill="auto"/>
            <w:vAlign w:val="center"/>
            <w:hideMark/>
          </w:tcPr>
          <w:p w14:paraId="574E310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215" w:type="pct"/>
            <w:tcBorders>
              <w:top w:val="single" w:sz="4" w:space="0" w:color="auto"/>
              <w:left w:val="nil"/>
              <w:bottom w:val="single" w:sz="4" w:space="0" w:color="auto"/>
              <w:right w:val="single" w:sz="4" w:space="0" w:color="auto"/>
            </w:tcBorders>
            <w:shd w:val="clear" w:color="auto" w:fill="auto"/>
            <w:vAlign w:val="center"/>
            <w:hideMark/>
          </w:tcPr>
          <w:p w14:paraId="574E310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2023</w:t>
            </w:r>
          </w:p>
        </w:tc>
        <w:tc>
          <w:tcPr>
            <w:tcW w:w="319" w:type="pct"/>
            <w:tcBorders>
              <w:top w:val="single" w:sz="4" w:space="0" w:color="auto"/>
              <w:left w:val="nil"/>
              <w:bottom w:val="single" w:sz="4" w:space="0" w:color="auto"/>
              <w:right w:val="single" w:sz="8" w:space="0" w:color="auto"/>
            </w:tcBorders>
            <w:shd w:val="clear" w:color="auto" w:fill="auto"/>
            <w:vAlign w:val="center"/>
            <w:hideMark/>
          </w:tcPr>
          <w:p w14:paraId="574E310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single" w:sz="4" w:space="0" w:color="auto"/>
              <w:left w:val="nil"/>
              <w:bottom w:val="single" w:sz="4" w:space="0" w:color="auto"/>
              <w:right w:val="single" w:sz="4" w:space="0" w:color="auto"/>
            </w:tcBorders>
            <w:shd w:val="clear" w:color="auto" w:fill="auto"/>
            <w:vAlign w:val="center"/>
            <w:hideMark/>
          </w:tcPr>
          <w:p w14:paraId="574E310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38,927,503</w:t>
            </w:r>
          </w:p>
        </w:tc>
        <w:tc>
          <w:tcPr>
            <w:tcW w:w="330"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574E310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574E310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38,927,503</w:t>
            </w:r>
          </w:p>
        </w:tc>
        <w:tc>
          <w:tcPr>
            <w:tcW w:w="259"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574E310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single" w:sz="4" w:space="0" w:color="auto"/>
              <w:left w:val="nil"/>
              <w:bottom w:val="single" w:sz="4" w:space="0" w:color="auto"/>
              <w:right w:val="single" w:sz="4" w:space="0" w:color="auto"/>
            </w:tcBorders>
            <w:shd w:val="clear" w:color="auto" w:fill="auto"/>
            <w:vAlign w:val="center"/>
            <w:hideMark/>
          </w:tcPr>
          <w:p w14:paraId="574E311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4" w:space="0" w:color="auto"/>
              <w:left w:val="nil"/>
              <w:bottom w:val="single" w:sz="4" w:space="0" w:color="auto"/>
              <w:right w:val="nil"/>
            </w:tcBorders>
            <w:shd w:val="clear" w:color="auto" w:fill="auto"/>
            <w:vAlign w:val="center"/>
            <w:hideMark/>
          </w:tcPr>
          <w:p w14:paraId="574E311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144,706</w:t>
            </w:r>
          </w:p>
        </w:tc>
        <w:tc>
          <w:tcPr>
            <w:tcW w:w="229"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574E311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single" w:sz="4" w:space="0" w:color="auto"/>
              <w:left w:val="nil"/>
              <w:bottom w:val="single" w:sz="4" w:space="0" w:color="auto"/>
              <w:right w:val="nil"/>
            </w:tcBorders>
            <w:shd w:val="clear" w:color="auto" w:fill="auto"/>
            <w:vAlign w:val="center"/>
            <w:hideMark/>
          </w:tcPr>
          <w:p w14:paraId="574E311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single" w:sz="4" w:space="0" w:color="auto"/>
              <w:left w:val="single" w:sz="4" w:space="0" w:color="auto"/>
              <w:bottom w:val="single" w:sz="4" w:space="0" w:color="auto"/>
              <w:right w:val="single" w:sz="8" w:space="0" w:color="auto"/>
            </w:tcBorders>
            <w:shd w:val="clear" w:color="auto" w:fill="auto"/>
            <w:vAlign w:val="center"/>
            <w:hideMark/>
          </w:tcPr>
          <w:p w14:paraId="574E311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4" w:space="0" w:color="auto"/>
              <w:left w:val="nil"/>
              <w:bottom w:val="single" w:sz="4" w:space="0" w:color="auto"/>
              <w:right w:val="single" w:sz="4" w:space="0" w:color="auto"/>
            </w:tcBorders>
            <w:shd w:val="clear" w:color="auto" w:fill="auto"/>
            <w:vAlign w:val="center"/>
            <w:hideMark/>
          </w:tcPr>
          <w:p w14:paraId="574E311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-38,782,797</w:t>
            </w:r>
          </w:p>
        </w:tc>
      </w:tr>
      <w:tr w:rsidR="00444B63" w:rsidRPr="00E83C5E" w14:paraId="574E3127" w14:textId="77777777" w:rsidTr="008C3E7E">
        <w:trPr>
          <w:trHeight w:val="765"/>
          <w:jc w:val="center"/>
        </w:trPr>
        <w:tc>
          <w:tcPr>
            <w:tcW w:w="141" w:type="pct"/>
            <w:tcBorders>
              <w:top w:val="single" w:sz="4" w:space="0" w:color="auto"/>
              <w:left w:val="single" w:sz="8" w:space="0" w:color="auto"/>
              <w:bottom w:val="single" w:sz="4" w:space="0" w:color="auto"/>
              <w:right w:val="nil"/>
            </w:tcBorders>
            <w:shd w:val="clear" w:color="auto" w:fill="auto"/>
            <w:vAlign w:val="center"/>
            <w:hideMark/>
          </w:tcPr>
          <w:p w14:paraId="574E3117"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1.1.7</w:t>
            </w:r>
          </w:p>
        </w:tc>
        <w:tc>
          <w:tcPr>
            <w:tcW w:w="646" w:type="pct"/>
            <w:tcBorders>
              <w:top w:val="single" w:sz="4" w:space="0" w:color="auto"/>
              <w:left w:val="single" w:sz="4" w:space="0" w:color="auto"/>
              <w:bottom w:val="single" w:sz="4" w:space="0" w:color="auto"/>
              <w:right w:val="single" w:sz="4" w:space="0" w:color="auto"/>
            </w:tcBorders>
            <w:shd w:val="clear" w:color="000000" w:fill="DDEBF7"/>
            <w:hideMark/>
          </w:tcPr>
          <w:p w14:paraId="574E3118" w14:textId="584887E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1.1.7 Masa 7</w:t>
            </w:r>
            <w:r w:rsidR="00BE7B59">
              <w:rPr>
                <w:rFonts w:ascii="Garamond" w:eastAsia="Times New Roman" w:hAnsi="Garamond" w:cs="Times New Roman"/>
                <w:color w:val="000000"/>
                <w:sz w:val="14"/>
                <w:szCs w:val="14"/>
                <w:lang w:eastAsia="en-GB"/>
              </w:rPr>
              <w:t xml:space="preserve"> </w:t>
            </w:r>
            <w:r w:rsidRPr="00E83C5E">
              <w:rPr>
                <w:rFonts w:ascii="Garamond" w:eastAsia="Times New Roman" w:hAnsi="Garamond" w:cs="Times New Roman"/>
                <w:color w:val="000000"/>
                <w:sz w:val="14"/>
                <w:szCs w:val="14"/>
                <w:lang w:eastAsia="en-GB"/>
              </w:rPr>
              <w:t>Promovohet dhe mbështetet e drejta e të rejave dhe të rinjve për</w:t>
            </w:r>
            <w:r w:rsidR="00233C37" w:rsidRPr="00E83C5E">
              <w:rPr>
                <w:rFonts w:ascii="Garamond" w:eastAsia="Times New Roman" w:hAnsi="Garamond" w:cs="Times New Roman"/>
                <w:color w:val="000000"/>
                <w:sz w:val="14"/>
                <w:szCs w:val="14"/>
                <w:lang w:eastAsia="en-GB"/>
              </w:rPr>
              <w:t xml:space="preserve"> </w:t>
            </w:r>
            <w:r w:rsidRPr="00E83C5E">
              <w:rPr>
                <w:rFonts w:ascii="Garamond" w:eastAsia="Times New Roman" w:hAnsi="Garamond" w:cs="Times New Roman"/>
                <w:color w:val="000000"/>
                <w:sz w:val="14"/>
                <w:szCs w:val="14"/>
                <w:lang w:eastAsia="en-GB"/>
              </w:rPr>
              <w:t>barazi dhe gjithëpërfshirje për vetë-shprehje</w:t>
            </w:r>
            <w:r w:rsidR="00233C37" w:rsidRPr="00E83C5E">
              <w:rPr>
                <w:rFonts w:ascii="Garamond" w:eastAsia="Times New Roman" w:hAnsi="Garamond" w:cs="Times New Roman"/>
                <w:color w:val="000000"/>
                <w:sz w:val="14"/>
                <w:szCs w:val="14"/>
                <w:lang w:eastAsia="en-GB"/>
              </w:rPr>
              <w:t xml:space="preserve"> </w:t>
            </w:r>
            <w:r w:rsidRPr="00E83C5E">
              <w:rPr>
                <w:rFonts w:ascii="Garamond" w:eastAsia="Times New Roman" w:hAnsi="Garamond" w:cs="Times New Roman"/>
                <w:color w:val="000000"/>
                <w:sz w:val="14"/>
                <w:szCs w:val="14"/>
                <w:lang w:eastAsia="en-GB"/>
              </w:rPr>
              <w:t xml:space="preserve">në lidhje me orientimin e tyre seksual dhe/ose identitetin gjinor </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4E311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w:t>
            </w:r>
          </w:p>
        </w:tc>
        <w:tc>
          <w:tcPr>
            <w:tcW w:w="325" w:type="pct"/>
            <w:tcBorders>
              <w:top w:val="single" w:sz="4" w:space="0" w:color="auto"/>
              <w:left w:val="nil"/>
              <w:bottom w:val="single" w:sz="4" w:space="0" w:color="auto"/>
              <w:right w:val="single" w:sz="4" w:space="0" w:color="auto"/>
            </w:tcBorders>
            <w:shd w:val="clear" w:color="auto" w:fill="auto"/>
            <w:vAlign w:val="center"/>
            <w:hideMark/>
          </w:tcPr>
          <w:p w14:paraId="574E311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MSHMS</w:t>
            </w:r>
          </w:p>
        </w:tc>
        <w:tc>
          <w:tcPr>
            <w:tcW w:w="215" w:type="pct"/>
            <w:tcBorders>
              <w:top w:val="single" w:sz="4" w:space="0" w:color="auto"/>
              <w:left w:val="nil"/>
              <w:bottom w:val="single" w:sz="4" w:space="0" w:color="auto"/>
              <w:right w:val="single" w:sz="4" w:space="0" w:color="auto"/>
            </w:tcBorders>
            <w:shd w:val="clear" w:color="auto" w:fill="auto"/>
            <w:vAlign w:val="center"/>
            <w:hideMark/>
          </w:tcPr>
          <w:p w14:paraId="574E311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2023</w:t>
            </w:r>
          </w:p>
        </w:tc>
        <w:tc>
          <w:tcPr>
            <w:tcW w:w="319" w:type="pct"/>
            <w:tcBorders>
              <w:top w:val="single" w:sz="4" w:space="0" w:color="auto"/>
              <w:left w:val="nil"/>
              <w:bottom w:val="single" w:sz="4" w:space="0" w:color="auto"/>
              <w:right w:val="single" w:sz="8" w:space="0" w:color="auto"/>
            </w:tcBorders>
            <w:shd w:val="clear" w:color="auto" w:fill="auto"/>
            <w:vAlign w:val="center"/>
            <w:hideMark/>
          </w:tcPr>
          <w:p w14:paraId="574E311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single" w:sz="4" w:space="0" w:color="auto"/>
              <w:left w:val="nil"/>
              <w:bottom w:val="single" w:sz="4" w:space="0" w:color="auto"/>
              <w:right w:val="single" w:sz="4" w:space="0" w:color="auto"/>
            </w:tcBorders>
            <w:shd w:val="clear" w:color="auto" w:fill="auto"/>
            <w:vAlign w:val="center"/>
            <w:hideMark/>
          </w:tcPr>
          <w:p w14:paraId="574E311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11,524,541</w:t>
            </w:r>
          </w:p>
        </w:tc>
        <w:tc>
          <w:tcPr>
            <w:tcW w:w="330"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574E311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574E311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11,524,541</w:t>
            </w:r>
          </w:p>
        </w:tc>
        <w:tc>
          <w:tcPr>
            <w:tcW w:w="259"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574E312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single" w:sz="4" w:space="0" w:color="auto"/>
              <w:left w:val="nil"/>
              <w:bottom w:val="single" w:sz="4" w:space="0" w:color="auto"/>
              <w:right w:val="single" w:sz="4" w:space="0" w:color="auto"/>
            </w:tcBorders>
            <w:shd w:val="clear" w:color="auto" w:fill="auto"/>
            <w:vAlign w:val="center"/>
            <w:hideMark/>
          </w:tcPr>
          <w:p w14:paraId="574E312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4" w:space="0" w:color="auto"/>
              <w:left w:val="nil"/>
              <w:bottom w:val="single" w:sz="4" w:space="0" w:color="auto"/>
              <w:right w:val="nil"/>
            </w:tcBorders>
            <w:shd w:val="clear" w:color="auto" w:fill="auto"/>
            <w:vAlign w:val="center"/>
            <w:hideMark/>
          </w:tcPr>
          <w:p w14:paraId="574E312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1,444,541</w:t>
            </w:r>
          </w:p>
        </w:tc>
        <w:tc>
          <w:tcPr>
            <w:tcW w:w="229"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574E312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single" w:sz="4" w:space="0" w:color="auto"/>
              <w:left w:val="nil"/>
              <w:bottom w:val="single" w:sz="4" w:space="0" w:color="auto"/>
              <w:right w:val="nil"/>
            </w:tcBorders>
            <w:shd w:val="clear" w:color="auto" w:fill="auto"/>
            <w:vAlign w:val="center"/>
            <w:hideMark/>
          </w:tcPr>
          <w:p w14:paraId="574E312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single" w:sz="4" w:space="0" w:color="auto"/>
              <w:left w:val="single" w:sz="4" w:space="0" w:color="auto"/>
              <w:bottom w:val="single" w:sz="4" w:space="0" w:color="auto"/>
              <w:right w:val="single" w:sz="8" w:space="0" w:color="auto"/>
            </w:tcBorders>
            <w:shd w:val="clear" w:color="auto" w:fill="auto"/>
            <w:vAlign w:val="center"/>
            <w:hideMark/>
          </w:tcPr>
          <w:p w14:paraId="574E312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4" w:space="0" w:color="auto"/>
              <w:left w:val="nil"/>
              <w:bottom w:val="single" w:sz="4" w:space="0" w:color="auto"/>
              <w:right w:val="single" w:sz="8" w:space="0" w:color="auto"/>
            </w:tcBorders>
            <w:shd w:val="clear" w:color="auto" w:fill="auto"/>
            <w:vAlign w:val="center"/>
            <w:hideMark/>
          </w:tcPr>
          <w:p w14:paraId="574E312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-10,080,000</w:t>
            </w:r>
          </w:p>
        </w:tc>
      </w:tr>
      <w:tr w:rsidR="00444B63" w:rsidRPr="00E83C5E" w14:paraId="574E3138" w14:textId="77777777" w:rsidTr="008C3E7E">
        <w:trPr>
          <w:trHeight w:val="510"/>
          <w:jc w:val="center"/>
        </w:trPr>
        <w:tc>
          <w:tcPr>
            <w:tcW w:w="141" w:type="pct"/>
            <w:tcBorders>
              <w:top w:val="nil"/>
              <w:left w:val="single" w:sz="8" w:space="0" w:color="auto"/>
              <w:bottom w:val="single" w:sz="4" w:space="0" w:color="auto"/>
              <w:right w:val="nil"/>
            </w:tcBorders>
            <w:shd w:val="clear" w:color="auto" w:fill="auto"/>
            <w:vAlign w:val="center"/>
            <w:hideMark/>
          </w:tcPr>
          <w:p w14:paraId="574E3128"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1.1.8</w:t>
            </w:r>
          </w:p>
        </w:tc>
        <w:tc>
          <w:tcPr>
            <w:tcW w:w="646" w:type="pct"/>
            <w:tcBorders>
              <w:top w:val="single" w:sz="4" w:space="0" w:color="auto"/>
              <w:left w:val="single" w:sz="4" w:space="0" w:color="auto"/>
              <w:bottom w:val="single" w:sz="4" w:space="0" w:color="auto"/>
              <w:right w:val="single" w:sz="4" w:space="0" w:color="auto"/>
            </w:tcBorders>
            <w:shd w:val="clear" w:color="000000" w:fill="DDEBF7"/>
            <w:hideMark/>
          </w:tcPr>
          <w:p w14:paraId="574E3129" w14:textId="179EEC78"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xml:space="preserve">1.1.8 Masa 8 Rishikohet ligji </w:t>
            </w:r>
            <w:r w:rsidR="00D540B0" w:rsidRPr="00E83C5E">
              <w:rPr>
                <w:rFonts w:ascii="Garamond" w:eastAsia="Times New Roman" w:hAnsi="Garamond" w:cs="Times New Roman"/>
                <w:color w:val="000000"/>
                <w:sz w:val="14"/>
                <w:szCs w:val="14"/>
                <w:lang w:eastAsia="en-GB"/>
              </w:rPr>
              <w:t>“</w:t>
            </w:r>
            <w:r w:rsidRPr="00E83C5E">
              <w:rPr>
                <w:rFonts w:ascii="Garamond" w:eastAsia="Times New Roman" w:hAnsi="Garamond" w:cs="Times New Roman"/>
                <w:color w:val="000000"/>
                <w:sz w:val="14"/>
                <w:szCs w:val="14"/>
                <w:lang w:eastAsia="en-GB"/>
              </w:rPr>
              <w:t>Për vullnetarizmin</w:t>
            </w:r>
            <w:r w:rsidR="00D540B0" w:rsidRPr="00E83C5E">
              <w:rPr>
                <w:rFonts w:ascii="Garamond" w:eastAsia="Times New Roman" w:hAnsi="Garamond" w:cs="Times New Roman"/>
                <w:color w:val="000000"/>
                <w:sz w:val="14"/>
                <w:szCs w:val="14"/>
                <w:lang w:eastAsia="en-GB"/>
              </w:rPr>
              <w:t>”</w:t>
            </w:r>
            <w:r w:rsidRPr="00E83C5E">
              <w:rPr>
                <w:rFonts w:ascii="Garamond" w:eastAsia="Times New Roman" w:hAnsi="Garamond" w:cs="Times New Roman"/>
                <w:color w:val="000000"/>
                <w:sz w:val="14"/>
                <w:szCs w:val="14"/>
                <w:lang w:eastAsia="en-GB"/>
              </w:rPr>
              <w:t xml:space="preserve"> me qëllim fuqizimin e mundësive për vullnetarizmin e të rejave/rinjve)</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12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nil"/>
              <w:left w:val="nil"/>
              <w:bottom w:val="single" w:sz="4" w:space="0" w:color="auto"/>
              <w:right w:val="single" w:sz="4" w:space="0" w:color="auto"/>
            </w:tcBorders>
            <w:shd w:val="clear" w:color="auto" w:fill="auto"/>
            <w:vAlign w:val="center"/>
            <w:hideMark/>
          </w:tcPr>
          <w:p w14:paraId="574E312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MFE, AKPA</w:t>
            </w:r>
          </w:p>
        </w:tc>
        <w:tc>
          <w:tcPr>
            <w:tcW w:w="215" w:type="pct"/>
            <w:tcBorders>
              <w:top w:val="nil"/>
              <w:left w:val="nil"/>
              <w:bottom w:val="single" w:sz="4" w:space="0" w:color="auto"/>
              <w:right w:val="single" w:sz="4" w:space="0" w:color="auto"/>
            </w:tcBorders>
            <w:shd w:val="clear" w:color="auto" w:fill="auto"/>
            <w:vAlign w:val="center"/>
            <w:hideMark/>
          </w:tcPr>
          <w:p w14:paraId="574E312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2022</w:t>
            </w:r>
          </w:p>
        </w:tc>
        <w:tc>
          <w:tcPr>
            <w:tcW w:w="319" w:type="pct"/>
            <w:tcBorders>
              <w:top w:val="nil"/>
              <w:left w:val="nil"/>
              <w:bottom w:val="single" w:sz="4" w:space="0" w:color="auto"/>
              <w:right w:val="single" w:sz="8" w:space="0" w:color="auto"/>
            </w:tcBorders>
            <w:shd w:val="clear" w:color="auto" w:fill="auto"/>
            <w:vAlign w:val="center"/>
            <w:hideMark/>
          </w:tcPr>
          <w:p w14:paraId="574E312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2023</w:t>
            </w:r>
          </w:p>
        </w:tc>
        <w:tc>
          <w:tcPr>
            <w:tcW w:w="329" w:type="pct"/>
            <w:tcBorders>
              <w:top w:val="nil"/>
              <w:left w:val="nil"/>
              <w:bottom w:val="single" w:sz="4" w:space="0" w:color="auto"/>
              <w:right w:val="single" w:sz="4" w:space="0" w:color="auto"/>
            </w:tcBorders>
            <w:shd w:val="clear" w:color="auto" w:fill="auto"/>
            <w:vAlign w:val="center"/>
            <w:hideMark/>
          </w:tcPr>
          <w:p w14:paraId="574E312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1,678,096</w:t>
            </w:r>
          </w:p>
        </w:tc>
        <w:tc>
          <w:tcPr>
            <w:tcW w:w="330" w:type="pct"/>
            <w:tcBorders>
              <w:top w:val="nil"/>
              <w:left w:val="single" w:sz="8" w:space="0" w:color="auto"/>
              <w:bottom w:val="single" w:sz="4" w:space="0" w:color="auto"/>
              <w:right w:val="single" w:sz="4" w:space="0" w:color="auto"/>
            </w:tcBorders>
            <w:shd w:val="clear" w:color="auto" w:fill="auto"/>
            <w:vAlign w:val="center"/>
            <w:hideMark/>
          </w:tcPr>
          <w:p w14:paraId="574E312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nil"/>
              <w:left w:val="single" w:sz="8" w:space="0" w:color="auto"/>
              <w:bottom w:val="single" w:sz="4" w:space="0" w:color="auto"/>
              <w:right w:val="single" w:sz="4" w:space="0" w:color="auto"/>
            </w:tcBorders>
            <w:shd w:val="clear" w:color="auto" w:fill="auto"/>
            <w:vAlign w:val="center"/>
            <w:hideMark/>
          </w:tcPr>
          <w:p w14:paraId="574E313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1,678,096</w:t>
            </w:r>
          </w:p>
        </w:tc>
        <w:tc>
          <w:tcPr>
            <w:tcW w:w="259" w:type="pct"/>
            <w:gridSpan w:val="2"/>
            <w:tcBorders>
              <w:top w:val="nil"/>
              <w:left w:val="single" w:sz="8" w:space="0" w:color="auto"/>
              <w:bottom w:val="single" w:sz="4" w:space="0" w:color="auto"/>
              <w:right w:val="single" w:sz="4" w:space="0" w:color="auto"/>
            </w:tcBorders>
            <w:shd w:val="clear" w:color="auto" w:fill="auto"/>
            <w:vAlign w:val="center"/>
            <w:hideMark/>
          </w:tcPr>
          <w:p w14:paraId="574E313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vAlign w:val="center"/>
            <w:hideMark/>
          </w:tcPr>
          <w:p w14:paraId="574E313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nil"/>
              <w:left w:val="nil"/>
              <w:bottom w:val="single" w:sz="4" w:space="0" w:color="auto"/>
              <w:right w:val="nil"/>
            </w:tcBorders>
            <w:shd w:val="clear" w:color="auto" w:fill="auto"/>
            <w:vAlign w:val="center"/>
            <w:hideMark/>
          </w:tcPr>
          <w:p w14:paraId="574E313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418,096</w:t>
            </w:r>
          </w:p>
        </w:tc>
        <w:tc>
          <w:tcPr>
            <w:tcW w:w="229" w:type="pct"/>
            <w:tcBorders>
              <w:top w:val="nil"/>
              <w:left w:val="single" w:sz="8" w:space="0" w:color="auto"/>
              <w:bottom w:val="single" w:sz="4" w:space="0" w:color="auto"/>
              <w:right w:val="single" w:sz="4" w:space="0" w:color="auto"/>
            </w:tcBorders>
            <w:shd w:val="clear" w:color="auto" w:fill="auto"/>
            <w:vAlign w:val="center"/>
            <w:hideMark/>
          </w:tcPr>
          <w:p w14:paraId="574E313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nil"/>
              <w:left w:val="nil"/>
              <w:bottom w:val="single" w:sz="4" w:space="0" w:color="auto"/>
              <w:right w:val="nil"/>
            </w:tcBorders>
            <w:shd w:val="clear" w:color="auto" w:fill="auto"/>
            <w:vAlign w:val="center"/>
            <w:hideMark/>
          </w:tcPr>
          <w:p w14:paraId="574E313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single" w:sz="4" w:space="0" w:color="auto"/>
              <w:bottom w:val="single" w:sz="4" w:space="0" w:color="auto"/>
              <w:right w:val="single" w:sz="8" w:space="0" w:color="auto"/>
            </w:tcBorders>
            <w:shd w:val="clear" w:color="auto" w:fill="auto"/>
            <w:vAlign w:val="center"/>
            <w:hideMark/>
          </w:tcPr>
          <w:p w14:paraId="574E313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nil"/>
              <w:left w:val="nil"/>
              <w:bottom w:val="single" w:sz="4" w:space="0" w:color="auto"/>
              <w:right w:val="single" w:sz="8" w:space="0" w:color="auto"/>
            </w:tcBorders>
            <w:shd w:val="clear" w:color="auto" w:fill="auto"/>
            <w:vAlign w:val="center"/>
            <w:hideMark/>
          </w:tcPr>
          <w:p w14:paraId="574E313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-1,260,000</w:t>
            </w:r>
          </w:p>
        </w:tc>
      </w:tr>
      <w:tr w:rsidR="00444B63" w:rsidRPr="00E83C5E" w14:paraId="574E3149" w14:textId="77777777" w:rsidTr="008C3E7E">
        <w:trPr>
          <w:trHeight w:val="1530"/>
          <w:jc w:val="center"/>
        </w:trPr>
        <w:tc>
          <w:tcPr>
            <w:tcW w:w="141" w:type="pct"/>
            <w:tcBorders>
              <w:top w:val="nil"/>
              <w:left w:val="single" w:sz="8" w:space="0" w:color="auto"/>
              <w:bottom w:val="single" w:sz="4" w:space="0" w:color="auto"/>
              <w:right w:val="nil"/>
            </w:tcBorders>
            <w:shd w:val="clear" w:color="auto" w:fill="auto"/>
            <w:vAlign w:val="center"/>
            <w:hideMark/>
          </w:tcPr>
          <w:p w14:paraId="574E3139"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1.1.9</w:t>
            </w:r>
          </w:p>
        </w:tc>
        <w:tc>
          <w:tcPr>
            <w:tcW w:w="646" w:type="pct"/>
            <w:tcBorders>
              <w:top w:val="single" w:sz="4" w:space="0" w:color="auto"/>
              <w:left w:val="single" w:sz="4" w:space="0" w:color="auto"/>
              <w:bottom w:val="single" w:sz="4" w:space="0" w:color="auto"/>
              <w:right w:val="single" w:sz="4" w:space="0" w:color="auto"/>
            </w:tcBorders>
            <w:shd w:val="clear" w:color="000000" w:fill="DDEBF7"/>
            <w:hideMark/>
          </w:tcPr>
          <w:p w14:paraId="574E313A" w14:textId="5A355A00"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xml:space="preserve">1.1.9 Masa 9 Në përputhje me ligjet dhe VKM për njohjen e përvojës së punës dhe mësimit informal dhe </w:t>
            </w:r>
            <w:r w:rsidR="003B428A" w:rsidRPr="00E83C5E">
              <w:rPr>
                <w:rFonts w:ascii="Garamond" w:eastAsia="Times New Roman" w:hAnsi="Garamond" w:cs="Times New Roman"/>
                <w:color w:val="000000"/>
                <w:sz w:val="14"/>
                <w:szCs w:val="14"/>
                <w:lang w:eastAsia="en-GB"/>
              </w:rPr>
              <w:t>jo</w:t>
            </w:r>
            <w:r w:rsidRPr="00E83C5E">
              <w:rPr>
                <w:rFonts w:ascii="Garamond" w:eastAsia="Times New Roman" w:hAnsi="Garamond" w:cs="Times New Roman"/>
                <w:color w:val="000000"/>
                <w:sz w:val="14"/>
                <w:szCs w:val="14"/>
                <w:lang w:eastAsia="en-GB"/>
              </w:rPr>
              <w:t>formal njihen kompetencat e fituara nëpërmjet edukimit jo formal dhe punës rinore bazuar në përcaktimet e profesioneve të punës së të rinjve nëpërmjet Kornizës Kombëtare të Kualifikimeve dhe klasifikimit të profesioneve (European Youth Work Portfolio)</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13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nil"/>
              <w:left w:val="nil"/>
              <w:bottom w:val="single" w:sz="4" w:space="0" w:color="auto"/>
              <w:right w:val="single" w:sz="4" w:space="0" w:color="auto"/>
            </w:tcBorders>
            <w:shd w:val="clear" w:color="auto" w:fill="auto"/>
            <w:vAlign w:val="center"/>
            <w:hideMark/>
          </w:tcPr>
          <w:p w14:paraId="574E313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 AKPA, MFE</w:t>
            </w:r>
            <w:r w:rsidRPr="00E83C5E">
              <w:rPr>
                <w:rFonts w:ascii="Garamond" w:eastAsia="Times New Roman" w:hAnsi="Garamond" w:cs="Times New Roman"/>
                <w:sz w:val="14"/>
                <w:szCs w:val="14"/>
                <w:lang w:eastAsia="en-GB"/>
              </w:rPr>
              <w:t>, AKAFPK</w:t>
            </w:r>
          </w:p>
        </w:tc>
        <w:tc>
          <w:tcPr>
            <w:tcW w:w="215" w:type="pct"/>
            <w:tcBorders>
              <w:top w:val="nil"/>
              <w:left w:val="nil"/>
              <w:bottom w:val="single" w:sz="4" w:space="0" w:color="auto"/>
              <w:right w:val="single" w:sz="4" w:space="0" w:color="auto"/>
            </w:tcBorders>
            <w:shd w:val="clear" w:color="auto" w:fill="auto"/>
            <w:vAlign w:val="center"/>
            <w:hideMark/>
          </w:tcPr>
          <w:p w14:paraId="574E313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2022</w:t>
            </w:r>
          </w:p>
        </w:tc>
        <w:tc>
          <w:tcPr>
            <w:tcW w:w="319" w:type="pct"/>
            <w:tcBorders>
              <w:top w:val="nil"/>
              <w:left w:val="nil"/>
              <w:bottom w:val="single" w:sz="4" w:space="0" w:color="auto"/>
              <w:right w:val="single" w:sz="8" w:space="0" w:color="auto"/>
            </w:tcBorders>
            <w:shd w:val="clear" w:color="auto" w:fill="auto"/>
            <w:vAlign w:val="center"/>
            <w:hideMark/>
          </w:tcPr>
          <w:p w14:paraId="574E313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2023</w:t>
            </w:r>
          </w:p>
        </w:tc>
        <w:tc>
          <w:tcPr>
            <w:tcW w:w="329" w:type="pct"/>
            <w:tcBorders>
              <w:top w:val="nil"/>
              <w:left w:val="nil"/>
              <w:bottom w:val="single" w:sz="4" w:space="0" w:color="auto"/>
              <w:right w:val="single" w:sz="4" w:space="0" w:color="auto"/>
            </w:tcBorders>
            <w:shd w:val="clear" w:color="auto" w:fill="auto"/>
            <w:vAlign w:val="center"/>
            <w:hideMark/>
          </w:tcPr>
          <w:p w14:paraId="574E313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1,335,399</w:t>
            </w:r>
          </w:p>
        </w:tc>
        <w:tc>
          <w:tcPr>
            <w:tcW w:w="330" w:type="pct"/>
            <w:tcBorders>
              <w:top w:val="nil"/>
              <w:left w:val="single" w:sz="8" w:space="0" w:color="auto"/>
              <w:bottom w:val="single" w:sz="4" w:space="0" w:color="auto"/>
              <w:right w:val="single" w:sz="4" w:space="0" w:color="auto"/>
            </w:tcBorders>
            <w:shd w:val="clear" w:color="auto" w:fill="auto"/>
            <w:vAlign w:val="center"/>
            <w:hideMark/>
          </w:tcPr>
          <w:p w14:paraId="574E314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nil"/>
              <w:left w:val="single" w:sz="8" w:space="0" w:color="auto"/>
              <w:bottom w:val="single" w:sz="4" w:space="0" w:color="auto"/>
              <w:right w:val="single" w:sz="4" w:space="0" w:color="auto"/>
            </w:tcBorders>
            <w:shd w:val="clear" w:color="auto" w:fill="auto"/>
            <w:vAlign w:val="center"/>
            <w:hideMark/>
          </w:tcPr>
          <w:p w14:paraId="574E314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1,335,399</w:t>
            </w:r>
          </w:p>
        </w:tc>
        <w:tc>
          <w:tcPr>
            <w:tcW w:w="259" w:type="pct"/>
            <w:gridSpan w:val="2"/>
            <w:tcBorders>
              <w:top w:val="nil"/>
              <w:left w:val="single" w:sz="8" w:space="0" w:color="auto"/>
              <w:bottom w:val="single" w:sz="4" w:space="0" w:color="auto"/>
              <w:right w:val="single" w:sz="4" w:space="0" w:color="auto"/>
            </w:tcBorders>
            <w:shd w:val="clear" w:color="auto" w:fill="auto"/>
            <w:vAlign w:val="center"/>
            <w:hideMark/>
          </w:tcPr>
          <w:p w14:paraId="574E314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vAlign w:val="center"/>
            <w:hideMark/>
          </w:tcPr>
          <w:p w14:paraId="574E314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nil"/>
              <w:left w:val="nil"/>
              <w:bottom w:val="single" w:sz="4" w:space="0" w:color="auto"/>
              <w:right w:val="nil"/>
            </w:tcBorders>
            <w:shd w:val="clear" w:color="auto" w:fill="auto"/>
            <w:vAlign w:val="center"/>
            <w:hideMark/>
          </w:tcPr>
          <w:p w14:paraId="574E314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3,399</w:t>
            </w:r>
          </w:p>
        </w:tc>
        <w:tc>
          <w:tcPr>
            <w:tcW w:w="229" w:type="pct"/>
            <w:tcBorders>
              <w:top w:val="nil"/>
              <w:left w:val="single" w:sz="8" w:space="0" w:color="auto"/>
              <w:bottom w:val="single" w:sz="4" w:space="0" w:color="auto"/>
              <w:right w:val="single" w:sz="4" w:space="0" w:color="auto"/>
            </w:tcBorders>
            <w:shd w:val="clear" w:color="auto" w:fill="auto"/>
            <w:vAlign w:val="center"/>
            <w:hideMark/>
          </w:tcPr>
          <w:p w14:paraId="574E314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nil"/>
              <w:left w:val="nil"/>
              <w:bottom w:val="single" w:sz="4" w:space="0" w:color="auto"/>
              <w:right w:val="nil"/>
            </w:tcBorders>
            <w:shd w:val="clear" w:color="auto" w:fill="auto"/>
            <w:vAlign w:val="center"/>
            <w:hideMark/>
          </w:tcPr>
          <w:p w14:paraId="574E314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single" w:sz="4" w:space="0" w:color="auto"/>
              <w:bottom w:val="single" w:sz="4" w:space="0" w:color="auto"/>
              <w:right w:val="single" w:sz="8" w:space="0" w:color="auto"/>
            </w:tcBorders>
            <w:shd w:val="clear" w:color="auto" w:fill="auto"/>
            <w:vAlign w:val="center"/>
            <w:hideMark/>
          </w:tcPr>
          <w:p w14:paraId="574E314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nil"/>
              <w:left w:val="nil"/>
              <w:bottom w:val="single" w:sz="4" w:space="0" w:color="auto"/>
              <w:right w:val="single" w:sz="8" w:space="0" w:color="auto"/>
            </w:tcBorders>
            <w:shd w:val="clear" w:color="auto" w:fill="auto"/>
            <w:vAlign w:val="center"/>
            <w:hideMark/>
          </w:tcPr>
          <w:p w14:paraId="574E314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-1,332,000</w:t>
            </w:r>
          </w:p>
        </w:tc>
      </w:tr>
      <w:tr w:rsidR="00444B63" w:rsidRPr="00E83C5E" w14:paraId="574E315A" w14:textId="77777777" w:rsidTr="008C3E7E">
        <w:trPr>
          <w:trHeight w:val="255"/>
          <w:jc w:val="center"/>
        </w:trPr>
        <w:tc>
          <w:tcPr>
            <w:tcW w:w="141" w:type="pct"/>
            <w:tcBorders>
              <w:top w:val="nil"/>
              <w:left w:val="single" w:sz="8" w:space="0" w:color="auto"/>
              <w:bottom w:val="nil"/>
              <w:right w:val="single" w:sz="4" w:space="0" w:color="auto"/>
            </w:tcBorders>
            <w:shd w:val="clear" w:color="000000" w:fill="D9D9D9"/>
            <w:vAlign w:val="center"/>
            <w:hideMark/>
          </w:tcPr>
          <w:p w14:paraId="574E314A"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646" w:type="pct"/>
            <w:tcBorders>
              <w:top w:val="nil"/>
              <w:left w:val="nil"/>
              <w:bottom w:val="single" w:sz="4" w:space="0" w:color="auto"/>
              <w:right w:val="single" w:sz="4" w:space="0" w:color="auto"/>
            </w:tcBorders>
            <w:shd w:val="clear" w:color="000000" w:fill="D9D9D9"/>
            <w:vAlign w:val="center"/>
            <w:hideMark/>
          </w:tcPr>
          <w:p w14:paraId="574E314B" w14:textId="77777777" w:rsidR="00444B63" w:rsidRPr="00E83C5E" w:rsidRDefault="00444B63" w:rsidP="00444B63">
            <w:pPr>
              <w:spacing w:after="0" w:line="240" w:lineRule="auto"/>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Kosto Indikativë e Objektivit 1.1</w:t>
            </w:r>
          </w:p>
        </w:tc>
        <w:tc>
          <w:tcPr>
            <w:tcW w:w="365" w:type="pct"/>
            <w:tcBorders>
              <w:top w:val="nil"/>
              <w:left w:val="nil"/>
              <w:bottom w:val="nil"/>
              <w:right w:val="single" w:sz="4" w:space="0" w:color="auto"/>
            </w:tcBorders>
            <w:shd w:val="clear" w:color="000000" w:fill="D9D9D9"/>
            <w:vAlign w:val="center"/>
            <w:hideMark/>
          </w:tcPr>
          <w:p w14:paraId="574E314C"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25" w:type="pct"/>
            <w:tcBorders>
              <w:top w:val="nil"/>
              <w:left w:val="nil"/>
              <w:bottom w:val="nil"/>
              <w:right w:val="single" w:sz="4" w:space="0" w:color="auto"/>
            </w:tcBorders>
            <w:shd w:val="clear" w:color="000000" w:fill="D9D9D9"/>
            <w:vAlign w:val="center"/>
            <w:hideMark/>
          </w:tcPr>
          <w:p w14:paraId="574E314D"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15" w:type="pct"/>
            <w:tcBorders>
              <w:top w:val="nil"/>
              <w:left w:val="nil"/>
              <w:bottom w:val="nil"/>
              <w:right w:val="single" w:sz="4" w:space="0" w:color="auto"/>
            </w:tcBorders>
            <w:shd w:val="clear" w:color="000000" w:fill="D9D9D9"/>
            <w:vAlign w:val="center"/>
            <w:hideMark/>
          </w:tcPr>
          <w:p w14:paraId="574E314E"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19" w:type="pct"/>
            <w:tcBorders>
              <w:top w:val="nil"/>
              <w:left w:val="nil"/>
              <w:bottom w:val="nil"/>
              <w:right w:val="single" w:sz="4" w:space="0" w:color="auto"/>
            </w:tcBorders>
            <w:shd w:val="clear" w:color="000000" w:fill="D9D9D9"/>
            <w:vAlign w:val="center"/>
            <w:hideMark/>
          </w:tcPr>
          <w:p w14:paraId="574E314F"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29" w:type="pct"/>
            <w:tcBorders>
              <w:top w:val="nil"/>
              <w:left w:val="nil"/>
              <w:bottom w:val="nil"/>
              <w:right w:val="single" w:sz="4" w:space="0" w:color="auto"/>
            </w:tcBorders>
            <w:shd w:val="clear" w:color="000000" w:fill="BFBFBF"/>
            <w:vAlign w:val="center"/>
            <w:hideMark/>
          </w:tcPr>
          <w:p w14:paraId="574E3150"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810,248,341</w:t>
            </w:r>
          </w:p>
        </w:tc>
        <w:tc>
          <w:tcPr>
            <w:tcW w:w="330" w:type="pct"/>
            <w:tcBorders>
              <w:top w:val="nil"/>
              <w:left w:val="nil"/>
              <w:bottom w:val="nil"/>
              <w:right w:val="single" w:sz="4" w:space="0" w:color="auto"/>
            </w:tcBorders>
            <w:shd w:val="clear" w:color="000000" w:fill="BFBFBF"/>
            <w:vAlign w:val="center"/>
            <w:hideMark/>
          </w:tcPr>
          <w:p w14:paraId="574E3151"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400,264,500</w:t>
            </w:r>
          </w:p>
        </w:tc>
        <w:tc>
          <w:tcPr>
            <w:tcW w:w="346" w:type="pct"/>
            <w:tcBorders>
              <w:top w:val="nil"/>
              <w:left w:val="nil"/>
              <w:bottom w:val="nil"/>
              <w:right w:val="single" w:sz="4" w:space="0" w:color="auto"/>
            </w:tcBorders>
            <w:shd w:val="clear" w:color="000000" w:fill="BFBFBF"/>
            <w:vAlign w:val="center"/>
            <w:hideMark/>
          </w:tcPr>
          <w:p w14:paraId="574E3152"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1,210,512,841</w:t>
            </w:r>
          </w:p>
        </w:tc>
        <w:tc>
          <w:tcPr>
            <w:tcW w:w="259" w:type="pct"/>
            <w:gridSpan w:val="2"/>
            <w:tcBorders>
              <w:top w:val="nil"/>
              <w:left w:val="nil"/>
              <w:bottom w:val="nil"/>
              <w:right w:val="single" w:sz="4" w:space="0" w:color="auto"/>
            </w:tcBorders>
            <w:shd w:val="clear" w:color="000000" w:fill="BFBFBF"/>
            <w:vAlign w:val="center"/>
            <w:hideMark/>
          </w:tcPr>
          <w:p w14:paraId="574E3153"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58" w:type="pct"/>
            <w:gridSpan w:val="2"/>
            <w:tcBorders>
              <w:top w:val="nil"/>
              <w:left w:val="nil"/>
              <w:bottom w:val="nil"/>
              <w:right w:val="single" w:sz="4" w:space="0" w:color="auto"/>
            </w:tcBorders>
            <w:shd w:val="clear" w:color="000000" w:fill="BFBFBF"/>
            <w:vAlign w:val="center"/>
            <w:hideMark/>
          </w:tcPr>
          <w:p w14:paraId="574E3154"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332" w:type="pct"/>
            <w:tcBorders>
              <w:top w:val="nil"/>
              <w:left w:val="nil"/>
              <w:bottom w:val="nil"/>
              <w:right w:val="single" w:sz="4" w:space="0" w:color="auto"/>
            </w:tcBorders>
            <w:shd w:val="clear" w:color="000000" w:fill="BFBFBF"/>
            <w:vAlign w:val="center"/>
            <w:hideMark/>
          </w:tcPr>
          <w:p w14:paraId="574E3155"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932,427,904</w:t>
            </w:r>
          </w:p>
        </w:tc>
        <w:tc>
          <w:tcPr>
            <w:tcW w:w="229" w:type="pct"/>
            <w:tcBorders>
              <w:top w:val="nil"/>
              <w:left w:val="nil"/>
              <w:bottom w:val="nil"/>
              <w:right w:val="single" w:sz="4" w:space="0" w:color="auto"/>
            </w:tcBorders>
            <w:shd w:val="clear" w:color="000000" w:fill="BFBFBF"/>
            <w:vAlign w:val="center"/>
            <w:hideMark/>
          </w:tcPr>
          <w:p w14:paraId="574E3156"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41" w:type="pct"/>
            <w:tcBorders>
              <w:top w:val="nil"/>
              <w:left w:val="nil"/>
              <w:bottom w:val="nil"/>
              <w:right w:val="single" w:sz="4" w:space="0" w:color="auto"/>
            </w:tcBorders>
            <w:shd w:val="clear" w:color="000000" w:fill="BFBFBF"/>
            <w:vAlign w:val="center"/>
            <w:hideMark/>
          </w:tcPr>
          <w:p w14:paraId="574E3157"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84" w:type="pct"/>
            <w:gridSpan w:val="2"/>
            <w:tcBorders>
              <w:top w:val="nil"/>
              <w:left w:val="nil"/>
              <w:bottom w:val="nil"/>
              <w:right w:val="single" w:sz="4" w:space="0" w:color="auto"/>
            </w:tcBorders>
            <w:shd w:val="clear" w:color="000000" w:fill="BFBFBF"/>
            <w:vAlign w:val="center"/>
            <w:hideMark/>
          </w:tcPr>
          <w:p w14:paraId="574E3158"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14,290,000</w:t>
            </w:r>
          </w:p>
        </w:tc>
        <w:tc>
          <w:tcPr>
            <w:tcW w:w="379" w:type="pct"/>
            <w:tcBorders>
              <w:top w:val="nil"/>
              <w:left w:val="nil"/>
              <w:bottom w:val="nil"/>
              <w:right w:val="single" w:sz="4" w:space="0" w:color="auto"/>
            </w:tcBorders>
            <w:shd w:val="clear" w:color="000000" w:fill="BFBFBF"/>
            <w:vAlign w:val="center"/>
            <w:hideMark/>
          </w:tcPr>
          <w:p w14:paraId="574E3159"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-263,794,937</w:t>
            </w:r>
          </w:p>
        </w:tc>
      </w:tr>
      <w:tr w:rsidR="00444B63" w:rsidRPr="00E83C5E" w14:paraId="574E316B" w14:textId="77777777" w:rsidTr="008C3E7E">
        <w:trPr>
          <w:trHeight w:val="900"/>
          <w:jc w:val="center"/>
        </w:trPr>
        <w:tc>
          <w:tcPr>
            <w:tcW w:w="141" w:type="pct"/>
            <w:tcBorders>
              <w:top w:val="single" w:sz="8" w:space="0" w:color="auto"/>
              <w:left w:val="single" w:sz="8" w:space="0" w:color="auto"/>
              <w:bottom w:val="single" w:sz="4" w:space="0" w:color="auto"/>
              <w:right w:val="single" w:sz="4" w:space="0" w:color="auto"/>
            </w:tcBorders>
            <w:shd w:val="clear" w:color="000000" w:fill="F8CBAD"/>
            <w:vAlign w:val="center"/>
            <w:hideMark/>
          </w:tcPr>
          <w:p w14:paraId="574E315B"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1.2</w:t>
            </w:r>
          </w:p>
        </w:tc>
        <w:tc>
          <w:tcPr>
            <w:tcW w:w="646" w:type="pct"/>
            <w:tcBorders>
              <w:top w:val="single" w:sz="4" w:space="0" w:color="auto"/>
              <w:left w:val="nil"/>
              <w:bottom w:val="single" w:sz="4" w:space="0" w:color="auto"/>
              <w:right w:val="single" w:sz="4" w:space="0" w:color="auto"/>
            </w:tcBorders>
            <w:shd w:val="clear" w:color="000000" w:fill="F8CBAD"/>
            <w:hideMark/>
          </w:tcPr>
          <w:p w14:paraId="574E315C" w14:textId="77777777" w:rsidR="00444B63" w:rsidRPr="00E83C5E" w:rsidRDefault="00444B63" w:rsidP="00444B63">
            <w:pPr>
              <w:spacing w:after="0" w:line="240" w:lineRule="auto"/>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Objektivi Specifik 2 Politika rinore është e koordinuar, e bazuar në analiza dhe e harmonizuar në sektorë të ndryshëm duke kërkuar kohezionin dhe optimizimin e burimeve dhe duke forcuar si instrument zbatues të këtyre politikave Agjencinë Kombëtare të Rinisë.</w:t>
            </w:r>
          </w:p>
        </w:tc>
        <w:tc>
          <w:tcPr>
            <w:tcW w:w="365" w:type="pct"/>
            <w:tcBorders>
              <w:top w:val="single" w:sz="4" w:space="0" w:color="auto"/>
              <w:left w:val="single" w:sz="4" w:space="0" w:color="auto"/>
              <w:bottom w:val="single" w:sz="4" w:space="0" w:color="auto"/>
              <w:right w:val="single" w:sz="4" w:space="0" w:color="auto"/>
            </w:tcBorders>
            <w:shd w:val="clear" w:color="000000" w:fill="F8CBAD"/>
            <w:hideMark/>
          </w:tcPr>
          <w:p w14:paraId="574E315D" w14:textId="77777777" w:rsidR="00444B63" w:rsidRPr="00E83C5E" w:rsidRDefault="00444B63" w:rsidP="00444B63">
            <w:pPr>
              <w:spacing w:after="0" w:line="240" w:lineRule="auto"/>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MSHRF, AKR</w:t>
            </w:r>
          </w:p>
        </w:tc>
        <w:tc>
          <w:tcPr>
            <w:tcW w:w="325" w:type="pct"/>
            <w:tcBorders>
              <w:top w:val="single" w:sz="4" w:space="0" w:color="auto"/>
              <w:left w:val="nil"/>
              <w:bottom w:val="single" w:sz="4" w:space="0" w:color="auto"/>
              <w:right w:val="single" w:sz="4" w:space="0" w:color="auto"/>
            </w:tcBorders>
            <w:shd w:val="clear" w:color="000000" w:fill="F8CBAD"/>
            <w:vAlign w:val="center"/>
            <w:hideMark/>
          </w:tcPr>
          <w:p w14:paraId="574E315E"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MFE, Ministritë e Linjës</w:t>
            </w:r>
          </w:p>
        </w:tc>
        <w:tc>
          <w:tcPr>
            <w:tcW w:w="215" w:type="pct"/>
            <w:tcBorders>
              <w:top w:val="single" w:sz="4" w:space="0" w:color="auto"/>
              <w:left w:val="nil"/>
              <w:bottom w:val="single" w:sz="4" w:space="0" w:color="auto"/>
              <w:right w:val="single" w:sz="4" w:space="0" w:color="auto"/>
            </w:tcBorders>
            <w:shd w:val="clear" w:color="000000" w:fill="F8CBAD"/>
            <w:vAlign w:val="center"/>
            <w:hideMark/>
          </w:tcPr>
          <w:p w14:paraId="574E315F"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2022</w:t>
            </w:r>
          </w:p>
        </w:tc>
        <w:tc>
          <w:tcPr>
            <w:tcW w:w="319" w:type="pct"/>
            <w:tcBorders>
              <w:top w:val="single" w:sz="4" w:space="0" w:color="auto"/>
              <w:left w:val="nil"/>
              <w:bottom w:val="single" w:sz="4" w:space="0" w:color="auto"/>
              <w:right w:val="single" w:sz="8" w:space="0" w:color="auto"/>
            </w:tcBorders>
            <w:shd w:val="clear" w:color="000000" w:fill="F8CBAD"/>
            <w:vAlign w:val="center"/>
            <w:hideMark/>
          </w:tcPr>
          <w:p w14:paraId="574E3160"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2029</w:t>
            </w:r>
          </w:p>
        </w:tc>
        <w:tc>
          <w:tcPr>
            <w:tcW w:w="329" w:type="pct"/>
            <w:tcBorders>
              <w:top w:val="single" w:sz="8" w:space="0" w:color="auto"/>
              <w:left w:val="nil"/>
              <w:bottom w:val="single" w:sz="4" w:space="0" w:color="auto"/>
              <w:right w:val="single" w:sz="4" w:space="0" w:color="auto"/>
            </w:tcBorders>
            <w:shd w:val="clear" w:color="000000" w:fill="F8CBAD"/>
            <w:vAlign w:val="center"/>
            <w:hideMark/>
          </w:tcPr>
          <w:p w14:paraId="574E3161"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30" w:type="pct"/>
            <w:tcBorders>
              <w:top w:val="single" w:sz="8" w:space="0" w:color="auto"/>
              <w:left w:val="single" w:sz="8" w:space="0" w:color="auto"/>
              <w:bottom w:val="single" w:sz="4" w:space="0" w:color="auto"/>
              <w:right w:val="single" w:sz="4" w:space="0" w:color="auto"/>
            </w:tcBorders>
            <w:shd w:val="clear" w:color="000000" w:fill="F8CBAD"/>
            <w:vAlign w:val="center"/>
            <w:hideMark/>
          </w:tcPr>
          <w:p w14:paraId="574E3162"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46" w:type="pct"/>
            <w:tcBorders>
              <w:top w:val="single" w:sz="8" w:space="0" w:color="auto"/>
              <w:left w:val="single" w:sz="8" w:space="0" w:color="auto"/>
              <w:bottom w:val="single" w:sz="4" w:space="0" w:color="auto"/>
              <w:right w:val="single" w:sz="4" w:space="0" w:color="auto"/>
            </w:tcBorders>
            <w:shd w:val="clear" w:color="000000" w:fill="F8CBAD"/>
            <w:vAlign w:val="center"/>
            <w:hideMark/>
          </w:tcPr>
          <w:p w14:paraId="574E3163"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59" w:type="pct"/>
            <w:gridSpan w:val="2"/>
            <w:tcBorders>
              <w:top w:val="single" w:sz="4" w:space="0" w:color="auto"/>
              <w:left w:val="single" w:sz="8" w:space="0" w:color="auto"/>
              <w:bottom w:val="single" w:sz="4" w:space="0" w:color="auto"/>
              <w:right w:val="single" w:sz="4" w:space="0" w:color="auto"/>
            </w:tcBorders>
            <w:shd w:val="clear" w:color="auto" w:fill="E5B8B7" w:themeFill="accent2" w:themeFillTint="66"/>
            <w:vAlign w:val="center"/>
            <w:hideMark/>
          </w:tcPr>
          <w:p w14:paraId="574E3164"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58" w:type="pct"/>
            <w:gridSpan w:val="2"/>
            <w:tcBorders>
              <w:top w:val="single" w:sz="8" w:space="0" w:color="auto"/>
              <w:left w:val="nil"/>
              <w:bottom w:val="single" w:sz="4" w:space="0" w:color="auto"/>
              <w:right w:val="single" w:sz="4" w:space="0" w:color="auto"/>
            </w:tcBorders>
            <w:shd w:val="clear" w:color="000000" w:fill="F8CBAD"/>
            <w:vAlign w:val="center"/>
            <w:hideMark/>
          </w:tcPr>
          <w:p w14:paraId="574E3165"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32" w:type="pct"/>
            <w:tcBorders>
              <w:top w:val="single" w:sz="8" w:space="0" w:color="auto"/>
              <w:left w:val="nil"/>
              <w:bottom w:val="single" w:sz="4" w:space="0" w:color="auto"/>
              <w:right w:val="nil"/>
            </w:tcBorders>
            <w:shd w:val="clear" w:color="000000" w:fill="F8CBAD"/>
            <w:vAlign w:val="center"/>
            <w:hideMark/>
          </w:tcPr>
          <w:p w14:paraId="574E3166"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29" w:type="pct"/>
            <w:tcBorders>
              <w:top w:val="single" w:sz="8" w:space="0" w:color="auto"/>
              <w:left w:val="single" w:sz="8" w:space="0" w:color="auto"/>
              <w:bottom w:val="single" w:sz="4" w:space="0" w:color="auto"/>
              <w:right w:val="single" w:sz="4" w:space="0" w:color="auto"/>
            </w:tcBorders>
            <w:shd w:val="clear" w:color="000000" w:fill="F8CBAD"/>
            <w:vAlign w:val="center"/>
            <w:hideMark/>
          </w:tcPr>
          <w:p w14:paraId="574E3167"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41" w:type="pct"/>
            <w:tcBorders>
              <w:top w:val="single" w:sz="8" w:space="0" w:color="auto"/>
              <w:left w:val="nil"/>
              <w:bottom w:val="single" w:sz="4" w:space="0" w:color="auto"/>
              <w:right w:val="single" w:sz="4" w:space="0" w:color="auto"/>
            </w:tcBorders>
            <w:shd w:val="clear" w:color="000000" w:fill="F8CBAD"/>
            <w:vAlign w:val="center"/>
            <w:hideMark/>
          </w:tcPr>
          <w:p w14:paraId="574E3168"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84" w:type="pct"/>
            <w:gridSpan w:val="2"/>
            <w:tcBorders>
              <w:top w:val="single" w:sz="8" w:space="0" w:color="auto"/>
              <w:left w:val="nil"/>
              <w:bottom w:val="single" w:sz="4" w:space="0" w:color="auto"/>
              <w:right w:val="single" w:sz="8" w:space="0" w:color="auto"/>
            </w:tcBorders>
            <w:shd w:val="clear" w:color="000000" w:fill="F8CBAD"/>
            <w:vAlign w:val="center"/>
            <w:hideMark/>
          </w:tcPr>
          <w:p w14:paraId="574E3169"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79" w:type="pct"/>
            <w:tcBorders>
              <w:top w:val="single" w:sz="8" w:space="0" w:color="auto"/>
              <w:left w:val="nil"/>
              <w:bottom w:val="single" w:sz="4" w:space="0" w:color="auto"/>
              <w:right w:val="single" w:sz="8" w:space="0" w:color="auto"/>
            </w:tcBorders>
            <w:shd w:val="clear" w:color="000000" w:fill="F8CBAD"/>
            <w:vAlign w:val="center"/>
            <w:hideMark/>
          </w:tcPr>
          <w:p w14:paraId="574E316A"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r>
      <w:tr w:rsidR="00444B63" w:rsidRPr="00E83C5E" w14:paraId="574E317C" w14:textId="77777777" w:rsidTr="008C3E7E">
        <w:trPr>
          <w:trHeight w:val="1099"/>
          <w:jc w:val="center"/>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574E316C"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1.2.1</w:t>
            </w:r>
          </w:p>
        </w:tc>
        <w:tc>
          <w:tcPr>
            <w:tcW w:w="646" w:type="pct"/>
            <w:tcBorders>
              <w:top w:val="single" w:sz="4" w:space="0" w:color="auto"/>
              <w:left w:val="nil"/>
              <w:bottom w:val="single" w:sz="4" w:space="0" w:color="auto"/>
              <w:right w:val="single" w:sz="4" w:space="0" w:color="auto"/>
            </w:tcBorders>
            <w:shd w:val="clear" w:color="000000" w:fill="DDEBF7"/>
            <w:hideMark/>
          </w:tcPr>
          <w:p w14:paraId="574E316D"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1.2.1 Masa 1 Fuqizohen rolet zbatuese, koordinuese, monitoruese të AKR përmes fuqizimit të saj me burime financiare dhe njerëzore për të siguruar zbatimin e politikave sektoriale për rininë të pasqyruara në këtë strategji.</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16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nil"/>
              <w:left w:val="nil"/>
              <w:bottom w:val="single" w:sz="4" w:space="0" w:color="auto"/>
              <w:right w:val="single" w:sz="4" w:space="0" w:color="auto"/>
            </w:tcBorders>
            <w:shd w:val="clear" w:color="auto" w:fill="auto"/>
            <w:vAlign w:val="center"/>
            <w:hideMark/>
          </w:tcPr>
          <w:p w14:paraId="574E316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w:t>
            </w:r>
          </w:p>
        </w:tc>
        <w:tc>
          <w:tcPr>
            <w:tcW w:w="215" w:type="pct"/>
            <w:tcBorders>
              <w:top w:val="nil"/>
              <w:left w:val="nil"/>
              <w:bottom w:val="single" w:sz="4" w:space="0" w:color="auto"/>
              <w:right w:val="single" w:sz="4" w:space="0" w:color="auto"/>
            </w:tcBorders>
            <w:shd w:val="clear" w:color="auto" w:fill="auto"/>
            <w:vAlign w:val="center"/>
            <w:hideMark/>
          </w:tcPr>
          <w:p w14:paraId="574E317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2022</w:t>
            </w:r>
          </w:p>
        </w:tc>
        <w:tc>
          <w:tcPr>
            <w:tcW w:w="319" w:type="pct"/>
            <w:tcBorders>
              <w:top w:val="nil"/>
              <w:left w:val="nil"/>
              <w:bottom w:val="single" w:sz="4" w:space="0" w:color="auto"/>
              <w:right w:val="single" w:sz="8" w:space="0" w:color="auto"/>
            </w:tcBorders>
            <w:shd w:val="clear" w:color="auto" w:fill="auto"/>
            <w:vAlign w:val="center"/>
            <w:hideMark/>
          </w:tcPr>
          <w:p w14:paraId="574E317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single" w:sz="8" w:space="0" w:color="auto"/>
              <w:left w:val="nil"/>
              <w:bottom w:val="single" w:sz="4" w:space="0" w:color="auto"/>
              <w:right w:val="single" w:sz="4" w:space="0" w:color="auto"/>
            </w:tcBorders>
            <w:shd w:val="clear" w:color="000000" w:fill="FFFFFF"/>
            <w:vAlign w:val="center"/>
            <w:hideMark/>
          </w:tcPr>
          <w:p w14:paraId="574E317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86,859,780</w:t>
            </w:r>
          </w:p>
        </w:tc>
        <w:tc>
          <w:tcPr>
            <w:tcW w:w="330" w:type="pct"/>
            <w:tcBorders>
              <w:top w:val="nil"/>
              <w:left w:val="single" w:sz="8" w:space="0" w:color="auto"/>
              <w:bottom w:val="single" w:sz="4" w:space="0" w:color="auto"/>
              <w:right w:val="single" w:sz="4" w:space="0" w:color="auto"/>
            </w:tcBorders>
            <w:shd w:val="clear" w:color="auto" w:fill="auto"/>
            <w:vAlign w:val="center"/>
            <w:hideMark/>
          </w:tcPr>
          <w:p w14:paraId="574E317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1,322,500</w:t>
            </w:r>
          </w:p>
        </w:tc>
        <w:tc>
          <w:tcPr>
            <w:tcW w:w="346" w:type="pct"/>
            <w:tcBorders>
              <w:top w:val="nil"/>
              <w:left w:val="single" w:sz="8" w:space="0" w:color="auto"/>
              <w:bottom w:val="single" w:sz="4" w:space="0" w:color="auto"/>
              <w:right w:val="single" w:sz="4" w:space="0" w:color="auto"/>
            </w:tcBorders>
            <w:shd w:val="clear" w:color="auto" w:fill="auto"/>
            <w:vAlign w:val="center"/>
            <w:hideMark/>
          </w:tcPr>
          <w:p w14:paraId="574E317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88,182,280</w:t>
            </w:r>
          </w:p>
        </w:tc>
        <w:tc>
          <w:tcPr>
            <w:tcW w:w="259" w:type="pct"/>
            <w:gridSpan w:val="2"/>
            <w:tcBorders>
              <w:top w:val="nil"/>
              <w:left w:val="single" w:sz="8" w:space="0" w:color="auto"/>
              <w:bottom w:val="single" w:sz="4" w:space="0" w:color="auto"/>
              <w:right w:val="single" w:sz="4" w:space="0" w:color="auto"/>
            </w:tcBorders>
            <w:shd w:val="clear" w:color="auto" w:fill="auto"/>
            <w:vAlign w:val="center"/>
            <w:hideMark/>
          </w:tcPr>
          <w:p w14:paraId="574E317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vAlign w:val="center"/>
            <w:hideMark/>
          </w:tcPr>
          <w:p w14:paraId="574E317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nil"/>
              <w:left w:val="nil"/>
              <w:bottom w:val="single" w:sz="4" w:space="0" w:color="auto"/>
              <w:right w:val="nil"/>
            </w:tcBorders>
            <w:shd w:val="clear" w:color="auto" w:fill="auto"/>
            <w:vAlign w:val="center"/>
            <w:hideMark/>
          </w:tcPr>
          <w:p w14:paraId="574E317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3,009,300</w:t>
            </w:r>
          </w:p>
        </w:tc>
        <w:tc>
          <w:tcPr>
            <w:tcW w:w="229" w:type="pct"/>
            <w:tcBorders>
              <w:top w:val="nil"/>
              <w:left w:val="single" w:sz="8" w:space="0" w:color="auto"/>
              <w:bottom w:val="single" w:sz="4" w:space="0" w:color="auto"/>
              <w:right w:val="single" w:sz="4" w:space="0" w:color="auto"/>
            </w:tcBorders>
            <w:shd w:val="clear" w:color="auto" w:fill="auto"/>
            <w:vAlign w:val="center"/>
            <w:hideMark/>
          </w:tcPr>
          <w:p w14:paraId="574E317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nil"/>
              <w:left w:val="nil"/>
              <w:bottom w:val="single" w:sz="4" w:space="0" w:color="auto"/>
              <w:right w:val="single" w:sz="4" w:space="0" w:color="auto"/>
            </w:tcBorders>
            <w:shd w:val="clear" w:color="auto" w:fill="auto"/>
            <w:vAlign w:val="center"/>
            <w:hideMark/>
          </w:tcPr>
          <w:p w14:paraId="574E317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17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8" w:space="0" w:color="auto"/>
              <w:left w:val="nil"/>
              <w:bottom w:val="single" w:sz="4" w:space="0" w:color="auto"/>
              <w:right w:val="single" w:sz="8" w:space="0" w:color="auto"/>
            </w:tcBorders>
            <w:shd w:val="clear" w:color="auto" w:fill="auto"/>
            <w:vAlign w:val="center"/>
            <w:hideMark/>
          </w:tcPr>
          <w:p w14:paraId="574E317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-85,172,980</w:t>
            </w:r>
          </w:p>
        </w:tc>
      </w:tr>
      <w:tr w:rsidR="00444B63" w:rsidRPr="00E83C5E" w14:paraId="574E318D" w14:textId="77777777" w:rsidTr="008C3E7E">
        <w:trPr>
          <w:trHeight w:val="900"/>
          <w:jc w:val="center"/>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574E317D"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lastRenderedPageBreak/>
              <w:t>1.2.2</w:t>
            </w:r>
          </w:p>
        </w:tc>
        <w:tc>
          <w:tcPr>
            <w:tcW w:w="646" w:type="pct"/>
            <w:tcBorders>
              <w:top w:val="nil"/>
              <w:left w:val="nil"/>
              <w:bottom w:val="single" w:sz="4" w:space="0" w:color="auto"/>
              <w:right w:val="single" w:sz="4" w:space="0" w:color="auto"/>
            </w:tcBorders>
            <w:shd w:val="clear" w:color="000000" w:fill="DDEBF7"/>
            <w:hideMark/>
          </w:tcPr>
          <w:p w14:paraId="574E317E"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1.2.2 Masa 2</w:t>
            </w:r>
            <w:r w:rsidRPr="00E83C5E">
              <w:rPr>
                <w:rFonts w:ascii="Garamond" w:eastAsia="Times New Roman" w:hAnsi="Garamond" w:cs="Times New Roman"/>
                <w:color w:val="000000"/>
                <w:sz w:val="14"/>
                <w:szCs w:val="14"/>
                <w:lang w:eastAsia="en-GB"/>
              </w:rPr>
              <w:br/>
              <w:t>Përmes AKR sigurohen fonde për rritjen e prezencës së Shqipërisë në proceset e politikëbërjes rinore si në nivel rajonal, evropian dhe global.</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17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nil"/>
              <w:left w:val="nil"/>
              <w:bottom w:val="single" w:sz="4" w:space="0" w:color="auto"/>
              <w:right w:val="single" w:sz="4" w:space="0" w:color="auto"/>
            </w:tcBorders>
            <w:shd w:val="clear" w:color="auto" w:fill="auto"/>
            <w:vAlign w:val="center"/>
            <w:hideMark/>
          </w:tcPr>
          <w:p w14:paraId="574E318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w:t>
            </w:r>
          </w:p>
        </w:tc>
        <w:tc>
          <w:tcPr>
            <w:tcW w:w="215" w:type="pct"/>
            <w:tcBorders>
              <w:top w:val="nil"/>
              <w:left w:val="nil"/>
              <w:bottom w:val="single" w:sz="4" w:space="0" w:color="auto"/>
              <w:right w:val="single" w:sz="4" w:space="0" w:color="auto"/>
            </w:tcBorders>
            <w:shd w:val="clear" w:color="auto" w:fill="auto"/>
            <w:vAlign w:val="center"/>
            <w:hideMark/>
          </w:tcPr>
          <w:p w14:paraId="574E318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2023</w:t>
            </w:r>
          </w:p>
        </w:tc>
        <w:tc>
          <w:tcPr>
            <w:tcW w:w="319" w:type="pct"/>
            <w:tcBorders>
              <w:top w:val="nil"/>
              <w:left w:val="nil"/>
              <w:bottom w:val="single" w:sz="4" w:space="0" w:color="auto"/>
              <w:right w:val="single" w:sz="8" w:space="0" w:color="auto"/>
            </w:tcBorders>
            <w:shd w:val="clear" w:color="auto" w:fill="auto"/>
            <w:vAlign w:val="center"/>
            <w:hideMark/>
          </w:tcPr>
          <w:p w14:paraId="574E318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single" w:sz="8" w:space="0" w:color="auto"/>
              <w:left w:val="nil"/>
              <w:bottom w:val="single" w:sz="4" w:space="0" w:color="auto"/>
              <w:right w:val="single" w:sz="4" w:space="0" w:color="auto"/>
            </w:tcBorders>
            <w:shd w:val="clear" w:color="000000" w:fill="FFFFFF"/>
            <w:vAlign w:val="center"/>
            <w:hideMark/>
          </w:tcPr>
          <w:p w14:paraId="574E318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426,681,918</w:t>
            </w:r>
          </w:p>
        </w:tc>
        <w:tc>
          <w:tcPr>
            <w:tcW w:w="330" w:type="pct"/>
            <w:tcBorders>
              <w:top w:val="nil"/>
              <w:left w:val="single" w:sz="8" w:space="0" w:color="auto"/>
              <w:bottom w:val="single" w:sz="4" w:space="0" w:color="auto"/>
              <w:right w:val="single" w:sz="4" w:space="0" w:color="auto"/>
            </w:tcBorders>
            <w:shd w:val="clear" w:color="auto" w:fill="auto"/>
            <w:vAlign w:val="center"/>
            <w:hideMark/>
          </w:tcPr>
          <w:p w14:paraId="574E318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264,500</w:t>
            </w:r>
          </w:p>
        </w:tc>
        <w:tc>
          <w:tcPr>
            <w:tcW w:w="346" w:type="pct"/>
            <w:tcBorders>
              <w:top w:val="nil"/>
              <w:left w:val="single" w:sz="8" w:space="0" w:color="auto"/>
              <w:bottom w:val="single" w:sz="4" w:space="0" w:color="auto"/>
              <w:right w:val="single" w:sz="4" w:space="0" w:color="auto"/>
            </w:tcBorders>
            <w:shd w:val="clear" w:color="auto" w:fill="auto"/>
            <w:vAlign w:val="center"/>
            <w:hideMark/>
          </w:tcPr>
          <w:p w14:paraId="574E318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426,946,418</w:t>
            </w:r>
          </w:p>
        </w:tc>
        <w:tc>
          <w:tcPr>
            <w:tcW w:w="259" w:type="pct"/>
            <w:gridSpan w:val="2"/>
            <w:tcBorders>
              <w:top w:val="nil"/>
              <w:left w:val="single" w:sz="8" w:space="0" w:color="auto"/>
              <w:bottom w:val="single" w:sz="4" w:space="0" w:color="auto"/>
              <w:right w:val="single" w:sz="4" w:space="0" w:color="auto"/>
            </w:tcBorders>
            <w:shd w:val="clear" w:color="auto" w:fill="auto"/>
            <w:vAlign w:val="center"/>
            <w:hideMark/>
          </w:tcPr>
          <w:p w14:paraId="574E318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vAlign w:val="center"/>
            <w:hideMark/>
          </w:tcPr>
          <w:p w14:paraId="574E318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nil"/>
              <w:left w:val="nil"/>
              <w:bottom w:val="single" w:sz="4" w:space="0" w:color="auto"/>
              <w:right w:val="nil"/>
            </w:tcBorders>
            <w:shd w:val="clear" w:color="auto" w:fill="auto"/>
            <w:vAlign w:val="center"/>
            <w:hideMark/>
          </w:tcPr>
          <w:p w14:paraId="574E318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291,533,118</w:t>
            </w:r>
          </w:p>
        </w:tc>
        <w:tc>
          <w:tcPr>
            <w:tcW w:w="229" w:type="pct"/>
            <w:tcBorders>
              <w:top w:val="nil"/>
              <w:left w:val="single" w:sz="8" w:space="0" w:color="auto"/>
              <w:bottom w:val="single" w:sz="4" w:space="0" w:color="auto"/>
              <w:right w:val="single" w:sz="4" w:space="0" w:color="auto"/>
            </w:tcBorders>
            <w:shd w:val="clear" w:color="auto" w:fill="auto"/>
            <w:vAlign w:val="center"/>
            <w:hideMark/>
          </w:tcPr>
          <w:p w14:paraId="574E318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nil"/>
              <w:left w:val="nil"/>
              <w:bottom w:val="single" w:sz="4" w:space="0" w:color="auto"/>
              <w:right w:val="single" w:sz="4" w:space="0" w:color="auto"/>
            </w:tcBorders>
            <w:shd w:val="clear" w:color="auto" w:fill="auto"/>
            <w:vAlign w:val="center"/>
            <w:hideMark/>
          </w:tcPr>
          <w:p w14:paraId="574E318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18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3,600,000</w:t>
            </w:r>
          </w:p>
        </w:tc>
        <w:tc>
          <w:tcPr>
            <w:tcW w:w="379" w:type="pct"/>
            <w:tcBorders>
              <w:top w:val="single" w:sz="8" w:space="0" w:color="auto"/>
              <w:left w:val="nil"/>
              <w:bottom w:val="single" w:sz="4" w:space="0" w:color="auto"/>
              <w:right w:val="single" w:sz="8" w:space="0" w:color="auto"/>
            </w:tcBorders>
            <w:shd w:val="clear" w:color="auto" w:fill="auto"/>
            <w:vAlign w:val="center"/>
            <w:hideMark/>
          </w:tcPr>
          <w:p w14:paraId="574E318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-131,813,300</w:t>
            </w:r>
          </w:p>
        </w:tc>
      </w:tr>
      <w:tr w:rsidR="00444B63" w:rsidRPr="00E83C5E" w14:paraId="574E319E" w14:textId="77777777" w:rsidTr="008C3E7E">
        <w:trPr>
          <w:trHeight w:val="440"/>
          <w:jc w:val="center"/>
        </w:trPr>
        <w:tc>
          <w:tcPr>
            <w:tcW w:w="1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4E318E"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1.2.3</w:t>
            </w:r>
          </w:p>
        </w:tc>
        <w:tc>
          <w:tcPr>
            <w:tcW w:w="646" w:type="pct"/>
            <w:tcBorders>
              <w:top w:val="single" w:sz="4" w:space="0" w:color="auto"/>
              <w:left w:val="nil"/>
              <w:bottom w:val="single" w:sz="4" w:space="0" w:color="auto"/>
              <w:right w:val="single" w:sz="4" w:space="0" w:color="auto"/>
            </w:tcBorders>
            <w:shd w:val="clear" w:color="000000" w:fill="DDEBF7"/>
            <w:hideMark/>
          </w:tcPr>
          <w:p w14:paraId="574E318F" w14:textId="3E971CEB"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1.2.3 Masa 3</w:t>
            </w:r>
            <w:r w:rsidRPr="00E83C5E">
              <w:rPr>
                <w:rFonts w:ascii="Garamond" w:eastAsia="Times New Roman" w:hAnsi="Garamond" w:cs="Times New Roman"/>
                <w:color w:val="000000"/>
                <w:sz w:val="14"/>
                <w:szCs w:val="14"/>
                <w:lang w:eastAsia="en-GB"/>
              </w:rPr>
              <w:br/>
              <w:t>Bazuar në konceptin Të Rinjtë për Të Rinjtë zhvillohen dhe aplikohen shërbime mbështetëse dhe të informacionit për të rinjtë dhe rininë. Në këtë portal</w:t>
            </w:r>
            <w:r w:rsidR="00233C37" w:rsidRPr="00E83C5E">
              <w:rPr>
                <w:rFonts w:ascii="Garamond" w:eastAsia="Times New Roman" w:hAnsi="Garamond" w:cs="Times New Roman"/>
                <w:color w:val="000000"/>
                <w:sz w:val="14"/>
                <w:szCs w:val="14"/>
                <w:lang w:eastAsia="en-GB"/>
              </w:rPr>
              <w:t xml:space="preserve"> </w:t>
            </w:r>
            <w:r w:rsidRPr="00E83C5E">
              <w:rPr>
                <w:rFonts w:ascii="Garamond" w:eastAsia="Times New Roman" w:hAnsi="Garamond" w:cs="Times New Roman"/>
                <w:color w:val="000000"/>
                <w:sz w:val="14"/>
                <w:szCs w:val="14"/>
                <w:lang w:eastAsia="en-GB"/>
              </w:rPr>
              <w:t>krijohet një platformë informimi dhe shërbimesh për të rinjtë dhe organizatat rinore dhe/ose për të rinjtë në funksion të mbështetjes dhe orientimit drejt nismave përkatëse që mbështesin formimin, punësimin, edukimin, mirëqenien, zhvillimin dhe aktivizimin e tyre.</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4E319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w:t>
            </w:r>
          </w:p>
        </w:tc>
        <w:tc>
          <w:tcPr>
            <w:tcW w:w="325" w:type="pct"/>
            <w:tcBorders>
              <w:top w:val="single" w:sz="4" w:space="0" w:color="auto"/>
              <w:left w:val="nil"/>
              <w:bottom w:val="single" w:sz="4" w:space="0" w:color="auto"/>
              <w:right w:val="single" w:sz="4" w:space="0" w:color="auto"/>
            </w:tcBorders>
            <w:shd w:val="clear" w:color="auto" w:fill="auto"/>
            <w:vAlign w:val="center"/>
            <w:hideMark/>
          </w:tcPr>
          <w:p w14:paraId="574E319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AKPA</w:t>
            </w:r>
          </w:p>
        </w:tc>
        <w:tc>
          <w:tcPr>
            <w:tcW w:w="215" w:type="pct"/>
            <w:tcBorders>
              <w:top w:val="single" w:sz="4" w:space="0" w:color="auto"/>
              <w:left w:val="nil"/>
              <w:bottom w:val="single" w:sz="4" w:space="0" w:color="auto"/>
              <w:right w:val="single" w:sz="4" w:space="0" w:color="auto"/>
            </w:tcBorders>
            <w:shd w:val="clear" w:color="auto" w:fill="auto"/>
            <w:vAlign w:val="center"/>
            <w:hideMark/>
          </w:tcPr>
          <w:p w14:paraId="574E319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2023</w:t>
            </w:r>
          </w:p>
        </w:tc>
        <w:tc>
          <w:tcPr>
            <w:tcW w:w="319" w:type="pct"/>
            <w:tcBorders>
              <w:top w:val="single" w:sz="4" w:space="0" w:color="auto"/>
              <w:left w:val="nil"/>
              <w:bottom w:val="single" w:sz="4" w:space="0" w:color="auto"/>
              <w:right w:val="single" w:sz="8" w:space="0" w:color="auto"/>
            </w:tcBorders>
            <w:shd w:val="clear" w:color="auto" w:fill="auto"/>
            <w:vAlign w:val="center"/>
            <w:hideMark/>
          </w:tcPr>
          <w:p w14:paraId="574E319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single" w:sz="4" w:space="0" w:color="auto"/>
              <w:left w:val="nil"/>
              <w:bottom w:val="single" w:sz="4" w:space="0" w:color="auto"/>
              <w:right w:val="single" w:sz="4" w:space="0" w:color="auto"/>
            </w:tcBorders>
            <w:shd w:val="clear" w:color="000000" w:fill="FFFFFF"/>
            <w:vAlign w:val="center"/>
            <w:hideMark/>
          </w:tcPr>
          <w:p w14:paraId="574E319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18,222,054</w:t>
            </w:r>
          </w:p>
        </w:tc>
        <w:tc>
          <w:tcPr>
            <w:tcW w:w="330"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574E319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17,710,000</w:t>
            </w:r>
          </w:p>
        </w:tc>
        <w:tc>
          <w:tcPr>
            <w:tcW w:w="346"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574E319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35,932,054</w:t>
            </w:r>
          </w:p>
        </w:tc>
        <w:tc>
          <w:tcPr>
            <w:tcW w:w="259"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574E319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single" w:sz="4" w:space="0" w:color="auto"/>
              <w:left w:val="nil"/>
              <w:bottom w:val="single" w:sz="4" w:space="0" w:color="auto"/>
              <w:right w:val="single" w:sz="4" w:space="0" w:color="auto"/>
            </w:tcBorders>
            <w:shd w:val="clear" w:color="auto" w:fill="auto"/>
            <w:vAlign w:val="center"/>
            <w:hideMark/>
          </w:tcPr>
          <w:p w14:paraId="574E319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4" w:space="0" w:color="auto"/>
              <w:left w:val="nil"/>
              <w:bottom w:val="single" w:sz="4" w:space="0" w:color="auto"/>
              <w:right w:val="nil"/>
            </w:tcBorders>
            <w:shd w:val="clear" w:color="auto" w:fill="auto"/>
            <w:vAlign w:val="center"/>
            <w:hideMark/>
          </w:tcPr>
          <w:p w14:paraId="574E319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7,502,054</w:t>
            </w:r>
          </w:p>
        </w:tc>
        <w:tc>
          <w:tcPr>
            <w:tcW w:w="229"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574E319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single" w:sz="4" w:space="0" w:color="auto"/>
              <w:left w:val="nil"/>
              <w:bottom w:val="single" w:sz="4" w:space="0" w:color="auto"/>
              <w:right w:val="single" w:sz="4" w:space="0" w:color="auto"/>
            </w:tcBorders>
            <w:shd w:val="clear" w:color="auto" w:fill="auto"/>
            <w:vAlign w:val="center"/>
            <w:hideMark/>
          </w:tcPr>
          <w:p w14:paraId="574E319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single" w:sz="4" w:space="0" w:color="auto"/>
              <w:left w:val="nil"/>
              <w:bottom w:val="single" w:sz="4" w:space="0" w:color="auto"/>
              <w:right w:val="single" w:sz="8" w:space="0" w:color="auto"/>
            </w:tcBorders>
            <w:shd w:val="clear" w:color="auto" w:fill="auto"/>
            <w:vAlign w:val="center"/>
            <w:hideMark/>
          </w:tcPr>
          <w:p w14:paraId="574E319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4" w:space="0" w:color="auto"/>
              <w:left w:val="nil"/>
              <w:bottom w:val="single" w:sz="4" w:space="0" w:color="auto"/>
              <w:right w:val="single" w:sz="4" w:space="0" w:color="auto"/>
            </w:tcBorders>
            <w:shd w:val="clear" w:color="auto" w:fill="auto"/>
            <w:vAlign w:val="center"/>
            <w:hideMark/>
          </w:tcPr>
          <w:p w14:paraId="574E319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-28,430,000</w:t>
            </w:r>
          </w:p>
        </w:tc>
      </w:tr>
      <w:tr w:rsidR="00444B63" w:rsidRPr="00E83C5E" w14:paraId="574E31AF" w14:textId="77777777" w:rsidTr="008C3E7E">
        <w:trPr>
          <w:trHeight w:val="840"/>
          <w:jc w:val="center"/>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574E319F"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1.2.4</w:t>
            </w:r>
          </w:p>
        </w:tc>
        <w:tc>
          <w:tcPr>
            <w:tcW w:w="646" w:type="pct"/>
            <w:tcBorders>
              <w:top w:val="nil"/>
              <w:left w:val="nil"/>
              <w:bottom w:val="single" w:sz="4" w:space="0" w:color="auto"/>
              <w:right w:val="single" w:sz="4" w:space="0" w:color="auto"/>
            </w:tcBorders>
            <w:shd w:val="clear" w:color="000000" w:fill="DDEBF7"/>
            <w:hideMark/>
          </w:tcPr>
          <w:p w14:paraId="574E31A0" w14:textId="6229B186" w:rsidR="00444B63" w:rsidRPr="00E83C5E" w:rsidRDefault="00444B63" w:rsidP="004A51E8">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1.2.4 Masa 4</w:t>
            </w:r>
            <w:r w:rsidRPr="00E83C5E">
              <w:rPr>
                <w:rFonts w:ascii="Garamond" w:eastAsia="Times New Roman" w:hAnsi="Garamond" w:cs="Times New Roman"/>
                <w:color w:val="000000"/>
                <w:sz w:val="14"/>
                <w:szCs w:val="14"/>
                <w:lang w:eastAsia="en-GB"/>
              </w:rPr>
              <w:br/>
              <w:t>Fuqizohen kapacitetet e politikëbërësve dhe nëpunësve civilë në fushën e rinisë dhe zbatimin e politikave rinore bazuar në konceptin e shërbimeve miqësore dhe të pranueshme nga të rejat dhe të rinjtë dhe forcohet bashkëpunimi rajonal dhe ndërkombëtar në fushën e politikave rinore</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1A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nil"/>
              <w:left w:val="nil"/>
              <w:bottom w:val="single" w:sz="4" w:space="0" w:color="auto"/>
              <w:right w:val="single" w:sz="4" w:space="0" w:color="auto"/>
            </w:tcBorders>
            <w:shd w:val="clear" w:color="auto" w:fill="auto"/>
            <w:vAlign w:val="center"/>
            <w:hideMark/>
          </w:tcPr>
          <w:p w14:paraId="574E31A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 AKPA, ASPA</w:t>
            </w:r>
          </w:p>
        </w:tc>
        <w:tc>
          <w:tcPr>
            <w:tcW w:w="215" w:type="pct"/>
            <w:tcBorders>
              <w:top w:val="nil"/>
              <w:left w:val="nil"/>
              <w:bottom w:val="single" w:sz="4" w:space="0" w:color="auto"/>
              <w:right w:val="single" w:sz="4" w:space="0" w:color="auto"/>
            </w:tcBorders>
            <w:shd w:val="clear" w:color="auto" w:fill="auto"/>
            <w:vAlign w:val="center"/>
            <w:hideMark/>
          </w:tcPr>
          <w:p w14:paraId="574E31A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2022</w:t>
            </w:r>
          </w:p>
        </w:tc>
        <w:tc>
          <w:tcPr>
            <w:tcW w:w="319" w:type="pct"/>
            <w:tcBorders>
              <w:top w:val="nil"/>
              <w:left w:val="nil"/>
              <w:bottom w:val="single" w:sz="4" w:space="0" w:color="auto"/>
              <w:right w:val="single" w:sz="8" w:space="0" w:color="auto"/>
            </w:tcBorders>
            <w:shd w:val="clear" w:color="auto" w:fill="auto"/>
            <w:vAlign w:val="center"/>
            <w:hideMark/>
          </w:tcPr>
          <w:p w14:paraId="574E31A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single" w:sz="8" w:space="0" w:color="auto"/>
              <w:left w:val="nil"/>
              <w:bottom w:val="single" w:sz="4" w:space="0" w:color="auto"/>
              <w:right w:val="single" w:sz="4" w:space="0" w:color="auto"/>
            </w:tcBorders>
            <w:shd w:val="clear" w:color="000000" w:fill="FFFFFF"/>
            <w:vAlign w:val="center"/>
            <w:hideMark/>
          </w:tcPr>
          <w:p w14:paraId="574E31A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117,475,350</w:t>
            </w:r>
          </w:p>
        </w:tc>
        <w:tc>
          <w:tcPr>
            <w:tcW w:w="330" w:type="pct"/>
            <w:tcBorders>
              <w:top w:val="nil"/>
              <w:left w:val="single" w:sz="8" w:space="0" w:color="auto"/>
              <w:bottom w:val="single" w:sz="4" w:space="0" w:color="auto"/>
              <w:right w:val="single" w:sz="4" w:space="0" w:color="auto"/>
            </w:tcBorders>
            <w:shd w:val="clear" w:color="auto" w:fill="auto"/>
            <w:vAlign w:val="center"/>
            <w:hideMark/>
          </w:tcPr>
          <w:p w14:paraId="574E31A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nil"/>
              <w:left w:val="single" w:sz="8" w:space="0" w:color="auto"/>
              <w:bottom w:val="single" w:sz="4" w:space="0" w:color="auto"/>
              <w:right w:val="single" w:sz="4" w:space="0" w:color="auto"/>
            </w:tcBorders>
            <w:shd w:val="clear" w:color="auto" w:fill="auto"/>
            <w:vAlign w:val="center"/>
            <w:hideMark/>
          </w:tcPr>
          <w:p w14:paraId="574E31A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117,475,350</w:t>
            </w:r>
          </w:p>
        </w:tc>
        <w:tc>
          <w:tcPr>
            <w:tcW w:w="259" w:type="pct"/>
            <w:gridSpan w:val="2"/>
            <w:tcBorders>
              <w:top w:val="nil"/>
              <w:left w:val="single" w:sz="8" w:space="0" w:color="auto"/>
              <w:bottom w:val="single" w:sz="4" w:space="0" w:color="auto"/>
              <w:right w:val="single" w:sz="4" w:space="0" w:color="auto"/>
            </w:tcBorders>
            <w:shd w:val="clear" w:color="auto" w:fill="auto"/>
            <w:vAlign w:val="center"/>
            <w:hideMark/>
          </w:tcPr>
          <w:p w14:paraId="574E31A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vAlign w:val="center"/>
            <w:hideMark/>
          </w:tcPr>
          <w:p w14:paraId="574E31A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nil"/>
              <w:left w:val="nil"/>
              <w:bottom w:val="single" w:sz="4" w:space="0" w:color="auto"/>
              <w:right w:val="nil"/>
            </w:tcBorders>
            <w:shd w:val="clear" w:color="auto" w:fill="auto"/>
            <w:vAlign w:val="center"/>
            <w:hideMark/>
          </w:tcPr>
          <w:p w14:paraId="574E31A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325,150</w:t>
            </w:r>
          </w:p>
        </w:tc>
        <w:tc>
          <w:tcPr>
            <w:tcW w:w="229" w:type="pct"/>
            <w:tcBorders>
              <w:top w:val="nil"/>
              <w:left w:val="single" w:sz="8" w:space="0" w:color="auto"/>
              <w:bottom w:val="single" w:sz="4" w:space="0" w:color="auto"/>
              <w:right w:val="single" w:sz="4" w:space="0" w:color="auto"/>
            </w:tcBorders>
            <w:shd w:val="clear" w:color="auto" w:fill="auto"/>
            <w:vAlign w:val="center"/>
            <w:hideMark/>
          </w:tcPr>
          <w:p w14:paraId="574E31A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nil"/>
              <w:left w:val="nil"/>
              <w:bottom w:val="single" w:sz="4" w:space="0" w:color="auto"/>
              <w:right w:val="single" w:sz="4" w:space="0" w:color="auto"/>
            </w:tcBorders>
            <w:shd w:val="clear" w:color="auto" w:fill="auto"/>
            <w:vAlign w:val="center"/>
            <w:hideMark/>
          </w:tcPr>
          <w:p w14:paraId="574E31A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1A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98,400,000</w:t>
            </w:r>
          </w:p>
        </w:tc>
        <w:tc>
          <w:tcPr>
            <w:tcW w:w="379" w:type="pct"/>
            <w:tcBorders>
              <w:top w:val="single" w:sz="8" w:space="0" w:color="auto"/>
              <w:left w:val="nil"/>
              <w:bottom w:val="single" w:sz="4" w:space="0" w:color="auto"/>
              <w:right w:val="single" w:sz="8" w:space="0" w:color="auto"/>
            </w:tcBorders>
            <w:shd w:val="clear" w:color="auto" w:fill="auto"/>
            <w:vAlign w:val="center"/>
            <w:hideMark/>
          </w:tcPr>
          <w:p w14:paraId="574E31A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-18,750,200</w:t>
            </w:r>
          </w:p>
        </w:tc>
      </w:tr>
      <w:tr w:rsidR="00444B63" w:rsidRPr="00E83C5E" w14:paraId="574E31C0" w14:textId="77777777" w:rsidTr="00BE7B59">
        <w:trPr>
          <w:trHeight w:val="47"/>
          <w:jc w:val="center"/>
        </w:trPr>
        <w:tc>
          <w:tcPr>
            <w:tcW w:w="141" w:type="pct"/>
            <w:tcBorders>
              <w:top w:val="nil"/>
              <w:left w:val="single" w:sz="8" w:space="0" w:color="auto"/>
              <w:bottom w:val="nil"/>
              <w:right w:val="single" w:sz="4" w:space="0" w:color="auto"/>
            </w:tcBorders>
            <w:shd w:val="clear" w:color="000000" w:fill="D9D9D9"/>
            <w:vAlign w:val="center"/>
            <w:hideMark/>
          </w:tcPr>
          <w:p w14:paraId="574E31B0"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646" w:type="pct"/>
            <w:tcBorders>
              <w:top w:val="nil"/>
              <w:left w:val="nil"/>
              <w:bottom w:val="single" w:sz="4" w:space="0" w:color="auto"/>
              <w:right w:val="single" w:sz="4" w:space="0" w:color="auto"/>
            </w:tcBorders>
            <w:shd w:val="clear" w:color="000000" w:fill="D9D9D9"/>
            <w:vAlign w:val="center"/>
            <w:hideMark/>
          </w:tcPr>
          <w:p w14:paraId="574E31B1" w14:textId="77777777" w:rsidR="00444B63" w:rsidRPr="00E83C5E" w:rsidRDefault="00444B63" w:rsidP="00444B63">
            <w:pPr>
              <w:spacing w:after="0" w:line="240" w:lineRule="auto"/>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Kosto Objektivi specifik 1.2</w:t>
            </w:r>
          </w:p>
        </w:tc>
        <w:tc>
          <w:tcPr>
            <w:tcW w:w="365" w:type="pct"/>
            <w:tcBorders>
              <w:top w:val="nil"/>
              <w:left w:val="nil"/>
              <w:bottom w:val="nil"/>
              <w:right w:val="single" w:sz="4" w:space="0" w:color="auto"/>
            </w:tcBorders>
            <w:shd w:val="clear" w:color="000000" w:fill="D9D9D9"/>
            <w:vAlign w:val="center"/>
            <w:hideMark/>
          </w:tcPr>
          <w:p w14:paraId="574E31B2"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25" w:type="pct"/>
            <w:tcBorders>
              <w:top w:val="nil"/>
              <w:left w:val="nil"/>
              <w:bottom w:val="nil"/>
              <w:right w:val="single" w:sz="4" w:space="0" w:color="auto"/>
            </w:tcBorders>
            <w:shd w:val="clear" w:color="000000" w:fill="D9D9D9"/>
            <w:vAlign w:val="center"/>
            <w:hideMark/>
          </w:tcPr>
          <w:p w14:paraId="574E31B3"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15" w:type="pct"/>
            <w:tcBorders>
              <w:top w:val="nil"/>
              <w:left w:val="nil"/>
              <w:bottom w:val="nil"/>
              <w:right w:val="single" w:sz="4" w:space="0" w:color="auto"/>
            </w:tcBorders>
            <w:shd w:val="clear" w:color="000000" w:fill="D9D9D9"/>
            <w:vAlign w:val="center"/>
            <w:hideMark/>
          </w:tcPr>
          <w:p w14:paraId="574E31B4"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19" w:type="pct"/>
            <w:tcBorders>
              <w:top w:val="nil"/>
              <w:left w:val="nil"/>
              <w:bottom w:val="nil"/>
              <w:right w:val="single" w:sz="4" w:space="0" w:color="auto"/>
            </w:tcBorders>
            <w:shd w:val="clear" w:color="000000" w:fill="D9D9D9"/>
            <w:vAlign w:val="center"/>
            <w:hideMark/>
          </w:tcPr>
          <w:p w14:paraId="574E31B5"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29" w:type="pct"/>
            <w:tcBorders>
              <w:top w:val="nil"/>
              <w:left w:val="nil"/>
              <w:bottom w:val="single" w:sz="4" w:space="0" w:color="auto"/>
              <w:right w:val="single" w:sz="4" w:space="0" w:color="auto"/>
            </w:tcBorders>
            <w:shd w:val="clear" w:color="000000" w:fill="D9D9D9"/>
            <w:vAlign w:val="center"/>
            <w:hideMark/>
          </w:tcPr>
          <w:p w14:paraId="574E31B6"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649,239,102</w:t>
            </w:r>
          </w:p>
        </w:tc>
        <w:tc>
          <w:tcPr>
            <w:tcW w:w="330" w:type="pct"/>
            <w:tcBorders>
              <w:top w:val="nil"/>
              <w:left w:val="nil"/>
              <w:bottom w:val="single" w:sz="4" w:space="0" w:color="auto"/>
              <w:right w:val="single" w:sz="4" w:space="0" w:color="auto"/>
            </w:tcBorders>
            <w:shd w:val="clear" w:color="000000" w:fill="D9D9D9"/>
            <w:vAlign w:val="center"/>
            <w:hideMark/>
          </w:tcPr>
          <w:p w14:paraId="574E31B7"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19,297,000</w:t>
            </w:r>
          </w:p>
        </w:tc>
        <w:tc>
          <w:tcPr>
            <w:tcW w:w="346" w:type="pct"/>
            <w:tcBorders>
              <w:top w:val="nil"/>
              <w:left w:val="nil"/>
              <w:bottom w:val="single" w:sz="4" w:space="0" w:color="auto"/>
              <w:right w:val="single" w:sz="4" w:space="0" w:color="auto"/>
            </w:tcBorders>
            <w:shd w:val="clear" w:color="000000" w:fill="D9D9D9"/>
            <w:vAlign w:val="center"/>
            <w:hideMark/>
          </w:tcPr>
          <w:p w14:paraId="574E31B8"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668,536,102</w:t>
            </w:r>
          </w:p>
        </w:tc>
        <w:tc>
          <w:tcPr>
            <w:tcW w:w="259" w:type="pct"/>
            <w:gridSpan w:val="2"/>
            <w:tcBorders>
              <w:top w:val="nil"/>
              <w:left w:val="nil"/>
              <w:bottom w:val="single" w:sz="4" w:space="0" w:color="auto"/>
              <w:right w:val="single" w:sz="4" w:space="0" w:color="auto"/>
            </w:tcBorders>
            <w:shd w:val="clear" w:color="000000" w:fill="D9D9D9"/>
            <w:vAlign w:val="center"/>
            <w:hideMark/>
          </w:tcPr>
          <w:p w14:paraId="574E31B9"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58" w:type="pct"/>
            <w:gridSpan w:val="2"/>
            <w:tcBorders>
              <w:top w:val="nil"/>
              <w:left w:val="nil"/>
              <w:bottom w:val="single" w:sz="4" w:space="0" w:color="auto"/>
              <w:right w:val="single" w:sz="4" w:space="0" w:color="auto"/>
            </w:tcBorders>
            <w:shd w:val="clear" w:color="000000" w:fill="D9D9D9"/>
            <w:vAlign w:val="center"/>
            <w:hideMark/>
          </w:tcPr>
          <w:p w14:paraId="574E31BA"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332" w:type="pct"/>
            <w:tcBorders>
              <w:top w:val="nil"/>
              <w:left w:val="nil"/>
              <w:bottom w:val="single" w:sz="4" w:space="0" w:color="auto"/>
              <w:right w:val="single" w:sz="4" w:space="0" w:color="auto"/>
            </w:tcBorders>
            <w:shd w:val="clear" w:color="000000" w:fill="D9D9D9"/>
            <w:vAlign w:val="center"/>
            <w:hideMark/>
          </w:tcPr>
          <w:p w14:paraId="574E31BB"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302,369,622</w:t>
            </w:r>
          </w:p>
        </w:tc>
        <w:tc>
          <w:tcPr>
            <w:tcW w:w="229" w:type="pct"/>
            <w:tcBorders>
              <w:top w:val="nil"/>
              <w:left w:val="nil"/>
              <w:bottom w:val="single" w:sz="4" w:space="0" w:color="auto"/>
              <w:right w:val="single" w:sz="4" w:space="0" w:color="auto"/>
            </w:tcBorders>
            <w:shd w:val="clear" w:color="000000" w:fill="D9D9D9"/>
            <w:vAlign w:val="center"/>
            <w:hideMark/>
          </w:tcPr>
          <w:p w14:paraId="574E31BC"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41" w:type="pct"/>
            <w:tcBorders>
              <w:top w:val="nil"/>
              <w:left w:val="nil"/>
              <w:bottom w:val="single" w:sz="4" w:space="0" w:color="auto"/>
              <w:right w:val="single" w:sz="4" w:space="0" w:color="auto"/>
            </w:tcBorders>
            <w:shd w:val="clear" w:color="000000" w:fill="D9D9D9"/>
            <w:vAlign w:val="center"/>
            <w:hideMark/>
          </w:tcPr>
          <w:p w14:paraId="574E31BD"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84" w:type="pct"/>
            <w:gridSpan w:val="2"/>
            <w:tcBorders>
              <w:top w:val="nil"/>
              <w:left w:val="nil"/>
              <w:bottom w:val="single" w:sz="4" w:space="0" w:color="auto"/>
              <w:right w:val="single" w:sz="4" w:space="0" w:color="auto"/>
            </w:tcBorders>
            <w:shd w:val="clear" w:color="000000" w:fill="D9D9D9"/>
            <w:vAlign w:val="center"/>
            <w:hideMark/>
          </w:tcPr>
          <w:p w14:paraId="574E31BE"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102,000,000</w:t>
            </w:r>
          </w:p>
        </w:tc>
        <w:tc>
          <w:tcPr>
            <w:tcW w:w="379" w:type="pct"/>
            <w:tcBorders>
              <w:top w:val="nil"/>
              <w:left w:val="nil"/>
              <w:bottom w:val="single" w:sz="4" w:space="0" w:color="auto"/>
              <w:right w:val="single" w:sz="4" w:space="0" w:color="auto"/>
            </w:tcBorders>
            <w:shd w:val="clear" w:color="000000" w:fill="D9D9D9"/>
            <w:vAlign w:val="center"/>
            <w:hideMark/>
          </w:tcPr>
          <w:p w14:paraId="574E31BF"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-264,166,480</w:t>
            </w:r>
          </w:p>
        </w:tc>
      </w:tr>
      <w:tr w:rsidR="00444B63" w:rsidRPr="00E83C5E" w14:paraId="574E31D1" w14:textId="77777777" w:rsidTr="008C3E7E">
        <w:trPr>
          <w:trHeight w:val="900"/>
          <w:jc w:val="center"/>
        </w:trPr>
        <w:tc>
          <w:tcPr>
            <w:tcW w:w="141" w:type="pct"/>
            <w:tcBorders>
              <w:top w:val="single" w:sz="8" w:space="0" w:color="auto"/>
              <w:left w:val="single" w:sz="8" w:space="0" w:color="auto"/>
              <w:bottom w:val="single" w:sz="4" w:space="0" w:color="auto"/>
              <w:right w:val="single" w:sz="4" w:space="0" w:color="auto"/>
            </w:tcBorders>
            <w:shd w:val="clear" w:color="000000" w:fill="F8CBAD"/>
            <w:vAlign w:val="center"/>
            <w:hideMark/>
          </w:tcPr>
          <w:p w14:paraId="574E31C1"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1.3</w:t>
            </w:r>
          </w:p>
        </w:tc>
        <w:tc>
          <w:tcPr>
            <w:tcW w:w="646" w:type="pct"/>
            <w:tcBorders>
              <w:top w:val="single" w:sz="4" w:space="0" w:color="auto"/>
              <w:left w:val="nil"/>
              <w:bottom w:val="single" w:sz="4" w:space="0" w:color="auto"/>
              <w:right w:val="single" w:sz="4" w:space="0" w:color="auto"/>
            </w:tcBorders>
            <w:shd w:val="clear" w:color="000000" w:fill="F8CBAD"/>
            <w:hideMark/>
          </w:tcPr>
          <w:p w14:paraId="574E31C2" w14:textId="64274BE5" w:rsidR="00444B63" w:rsidRPr="00E83C5E" w:rsidRDefault="00444B63" w:rsidP="00444B63">
            <w:pPr>
              <w:spacing w:after="0" w:line="240" w:lineRule="auto"/>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xml:space="preserve">Objektivi </w:t>
            </w:r>
            <w:r w:rsidR="00BE7B59" w:rsidRPr="00E83C5E">
              <w:rPr>
                <w:rFonts w:ascii="Garamond" w:eastAsia="Times New Roman" w:hAnsi="Garamond" w:cs="Times New Roman"/>
                <w:b/>
                <w:bCs/>
                <w:color w:val="000000"/>
                <w:sz w:val="14"/>
                <w:szCs w:val="14"/>
                <w:lang w:eastAsia="en-GB"/>
              </w:rPr>
              <w:t xml:space="preserve">specifik </w:t>
            </w:r>
            <w:r w:rsidRPr="00E83C5E">
              <w:rPr>
                <w:rFonts w:ascii="Garamond" w:eastAsia="Times New Roman" w:hAnsi="Garamond" w:cs="Times New Roman"/>
                <w:b/>
                <w:bCs/>
                <w:color w:val="000000"/>
                <w:sz w:val="14"/>
                <w:szCs w:val="14"/>
                <w:lang w:eastAsia="en-GB"/>
              </w:rPr>
              <w:t>3 Studimet rinore dhe të dhënat për rininë nxiten të zhvillohen dhe të bëhen pjesë e programeve të studimit në institucionet e arsimit të lartë dhe referenca për zhvillimet e mëtejshme në fushën e rinisë.</w:t>
            </w:r>
          </w:p>
        </w:tc>
        <w:tc>
          <w:tcPr>
            <w:tcW w:w="365" w:type="pct"/>
            <w:tcBorders>
              <w:top w:val="single" w:sz="4" w:space="0" w:color="auto"/>
              <w:left w:val="single" w:sz="4" w:space="0" w:color="auto"/>
              <w:bottom w:val="single" w:sz="4" w:space="0" w:color="auto"/>
              <w:right w:val="single" w:sz="4" w:space="0" w:color="auto"/>
            </w:tcBorders>
            <w:shd w:val="clear" w:color="000000" w:fill="F8CBAD"/>
            <w:hideMark/>
          </w:tcPr>
          <w:p w14:paraId="574E31C3"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MSHRF, AKR</w:t>
            </w:r>
          </w:p>
        </w:tc>
        <w:tc>
          <w:tcPr>
            <w:tcW w:w="325" w:type="pct"/>
            <w:tcBorders>
              <w:top w:val="single" w:sz="4" w:space="0" w:color="auto"/>
              <w:left w:val="nil"/>
              <w:bottom w:val="single" w:sz="4" w:space="0" w:color="auto"/>
              <w:right w:val="single" w:sz="4" w:space="0" w:color="auto"/>
            </w:tcBorders>
            <w:shd w:val="clear" w:color="000000" w:fill="F8CBAD"/>
            <w:vAlign w:val="center"/>
            <w:hideMark/>
          </w:tcPr>
          <w:p w14:paraId="574E31C4"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MiSHMS, INSTAT</w:t>
            </w:r>
          </w:p>
        </w:tc>
        <w:tc>
          <w:tcPr>
            <w:tcW w:w="215" w:type="pct"/>
            <w:tcBorders>
              <w:top w:val="single" w:sz="4" w:space="0" w:color="auto"/>
              <w:left w:val="nil"/>
              <w:bottom w:val="single" w:sz="4" w:space="0" w:color="auto"/>
              <w:right w:val="single" w:sz="4" w:space="0" w:color="auto"/>
            </w:tcBorders>
            <w:shd w:val="clear" w:color="000000" w:fill="F8CBAD"/>
            <w:vAlign w:val="center"/>
            <w:hideMark/>
          </w:tcPr>
          <w:p w14:paraId="574E31C5"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2023</w:t>
            </w:r>
          </w:p>
        </w:tc>
        <w:tc>
          <w:tcPr>
            <w:tcW w:w="319" w:type="pct"/>
            <w:tcBorders>
              <w:top w:val="single" w:sz="4" w:space="0" w:color="auto"/>
              <w:left w:val="nil"/>
              <w:bottom w:val="single" w:sz="4" w:space="0" w:color="auto"/>
              <w:right w:val="single" w:sz="8" w:space="0" w:color="auto"/>
            </w:tcBorders>
            <w:shd w:val="clear" w:color="000000" w:fill="F8CBAD"/>
            <w:vAlign w:val="center"/>
            <w:hideMark/>
          </w:tcPr>
          <w:p w14:paraId="574E31C6"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2029</w:t>
            </w:r>
          </w:p>
        </w:tc>
        <w:tc>
          <w:tcPr>
            <w:tcW w:w="329" w:type="pct"/>
            <w:tcBorders>
              <w:top w:val="single" w:sz="8" w:space="0" w:color="auto"/>
              <w:left w:val="nil"/>
              <w:bottom w:val="single" w:sz="4" w:space="0" w:color="auto"/>
              <w:right w:val="single" w:sz="4" w:space="0" w:color="auto"/>
            </w:tcBorders>
            <w:shd w:val="clear" w:color="000000" w:fill="F8CBAD"/>
            <w:vAlign w:val="center"/>
            <w:hideMark/>
          </w:tcPr>
          <w:p w14:paraId="574E31C7"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30" w:type="pct"/>
            <w:tcBorders>
              <w:top w:val="single" w:sz="8" w:space="0" w:color="auto"/>
              <w:left w:val="single" w:sz="8" w:space="0" w:color="auto"/>
              <w:bottom w:val="single" w:sz="4" w:space="0" w:color="auto"/>
              <w:right w:val="single" w:sz="4" w:space="0" w:color="auto"/>
            </w:tcBorders>
            <w:shd w:val="clear" w:color="000000" w:fill="F8CBAD"/>
            <w:vAlign w:val="center"/>
            <w:hideMark/>
          </w:tcPr>
          <w:p w14:paraId="574E31C8"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46" w:type="pct"/>
            <w:tcBorders>
              <w:top w:val="single" w:sz="8" w:space="0" w:color="auto"/>
              <w:left w:val="single" w:sz="8" w:space="0" w:color="auto"/>
              <w:bottom w:val="single" w:sz="4" w:space="0" w:color="auto"/>
              <w:right w:val="single" w:sz="4" w:space="0" w:color="auto"/>
            </w:tcBorders>
            <w:shd w:val="clear" w:color="000000" w:fill="F8CBAD"/>
            <w:vAlign w:val="center"/>
            <w:hideMark/>
          </w:tcPr>
          <w:p w14:paraId="574E31C9"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59" w:type="pct"/>
            <w:gridSpan w:val="2"/>
            <w:tcBorders>
              <w:top w:val="nil"/>
              <w:left w:val="single" w:sz="8" w:space="0" w:color="auto"/>
              <w:bottom w:val="single" w:sz="4" w:space="0" w:color="auto"/>
              <w:right w:val="single" w:sz="4" w:space="0" w:color="auto"/>
            </w:tcBorders>
            <w:shd w:val="clear" w:color="auto" w:fill="E5B8B7" w:themeFill="accent2" w:themeFillTint="66"/>
            <w:vAlign w:val="center"/>
            <w:hideMark/>
          </w:tcPr>
          <w:p w14:paraId="574E31CA"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58" w:type="pct"/>
            <w:gridSpan w:val="2"/>
            <w:tcBorders>
              <w:top w:val="single" w:sz="8" w:space="0" w:color="auto"/>
              <w:left w:val="nil"/>
              <w:bottom w:val="single" w:sz="4" w:space="0" w:color="auto"/>
              <w:right w:val="single" w:sz="4" w:space="0" w:color="auto"/>
            </w:tcBorders>
            <w:shd w:val="clear" w:color="000000" w:fill="F8CBAD"/>
            <w:vAlign w:val="center"/>
            <w:hideMark/>
          </w:tcPr>
          <w:p w14:paraId="574E31CB"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32" w:type="pct"/>
            <w:tcBorders>
              <w:top w:val="single" w:sz="8" w:space="0" w:color="auto"/>
              <w:left w:val="nil"/>
              <w:bottom w:val="single" w:sz="4" w:space="0" w:color="auto"/>
              <w:right w:val="nil"/>
            </w:tcBorders>
            <w:shd w:val="clear" w:color="000000" w:fill="F8CBAD"/>
            <w:vAlign w:val="center"/>
            <w:hideMark/>
          </w:tcPr>
          <w:p w14:paraId="574E31CC"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29" w:type="pct"/>
            <w:tcBorders>
              <w:top w:val="single" w:sz="8" w:space="0" w:color="auto"/>
              <w:left w:val="single" w:sz="8" w:space="0" w:color="auto"/>
              <w:bottom w:val="single" w:sz="4" w:space="0" w:color="auto"/>
              <w:right w:val="single" w:sz="4" w:space="0" w:color="auto"/>
            </w:tcBorders>
            <w:shd w:val="clear" w:color="000000" w:fill="F8CBAD"/>
            <w:vAlign w:val="center"/>
            <w:hideMark/>
          </w:tcPr>
          <w:p w14:paraId="574E31CD"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41" w:type="pct"/>
            <w:tcBorders>
              <w:top w:val="single" w:sz="8" w:space="0" w:color="auto"/>
              <w:left w:val="nil"/>
              <w:bottom w:val="single" w:sz="4" w:space="0" w:color="auto"/>
              <w:right w:val="single" w:sz="4" w:space="0" w:color="auto"/>
            </w:tcBorders>
            <w:shd w:val="clear" w:color="000000" w:fill="F8CBAD"/>
            <w:vAlign w:val="center"/>
            <w:hideMark/>
          </w:tcPr>
          <w:p w14:paraId="574E31CE"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84" w:type="pct"/>
            <w:gridSpan w:val="2"/>
            <w:tcBorders>
              <w:top w:val="single" w:sz="8" w:space="0" w:color="auto"/>
              <w:left w:val="nil"/>
              <w:bottom w:val="single" w:sz="4" w:space="0" w:color="auto"/>
              <w:right w:val="single" w:sz="8" w:space="0" w:color="auto"/>
            </w:tcBorders>
            <w:shd w:val="clear" w:color="000000" w:fill="F8CBAD"/>
            <w:vAlign w:val="center"/>
            <w:hideMark/>
          </w:tcPr>
          <w:p w14:paraId="574E31CF"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79" w:type="pct"/>
            <w:tcBorders>
              <w:top w:val="single" w:sz="8" w:space="0" w:color="auto"/>
              <w:left w:val="nil"/>
              <w:bottom w:val="single" w:sz="4" w:space="0" w:color="auto"/>
              <w:right w:val="single" w:sz="8" w:space="0" w:color="auto"/>
            </w:tcBorders>
            <w:shd w:val="clear" w:color="000000" w:fill="F8CBAD"/>
            <w:vAlign w:val="center"/>
            <w:hideMark/>
          </w:tcPr>
          <w:p w14:paraId="574E31D0"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r>
      <w:tr w:rsidR="00444B63" w:rsidRPr="00E83C5E" w14:paraId="574E31E2" w14:textId="77777777" w:rsidTr="008C3E7E">
        <w:trPr>
          <w:trHeight w:val="1099"/>
          <w:jc w:val="center"/>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574E31D2"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1.3.1</w:t>
            </w:r>
          </w:p>
        </w:tc>
        <w:tc>
          <w:tcPr>
            <w:tcW w:w="646" w:type="pct"/>
            <w:tcBorders>
              <w:top w:val="single" w:sz="4" w:space="0" w:color="auto"/>
              <w:left w:val="nil"/>
              <w:bottom w:val="single" w:sz="4" w:space="0" w:color="auto"/>
              <w:right w:val="single" w:sz="4" w:space="0" w:color="auto"/>
            </w:tcBorders>
            <w:shd w:val="clear" w:color="000000" w:fill="DDEBF7"/>
            <w:hideMark/>
          </w:tcPr>
          <w:p w14:paraId="574E31D3"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xml:space="preserve">1.3.1 Masa 1. </w:t>
            </w:r>
            <w:r w:rsidRPr="00E83C5E">
              <w:rPr>
                <w:rFonts w:ascii="Garamond" w:eastAsia="Times New Roman" w:hAnsi="Garamond" w:cs="Times New Roman"/>
                <w:color w:val="000000"/>
                <w:sz w:val="14"/>
                <w:szCs w:val="14"/>
                <w:lang w:eastAsia="en-GB"/>
              </w:rPr>
              <w:br/>
              <w:t>Krijohen baza të dhënash statistikore dhe studimore për rininë në Shqipëri përmes forcimit të kërkimit shkencor rreth rinisë si në nivel kombëtar dhe ndërkombëtar dhe fuqizohet studimi i rinisë si fushë akademike dhe shkencore</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1D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nil"/>
              <w:left w:val="nil"/>
              <w:bottom w:val="single" w:sz="4" w:space="0" w:color="auto"/>
              <w:right w:val="single" w:sz="4" w:space="0" w:color="auto"/>
            </w:tcBorders>
            <w:shd w:val="clear" w:color="auto" w:fill="auto"/>
            <w:vAlign w:val="center"/>
            <w:hideMark/>
          </w:tcPr>
          <w:p w14:paraId="574E31D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INSTAT, AKR, IAL, AKPA</w:t>
            </w:r>
          </w:p>
        </w:tc>
        <w:tc>
          <w:tcPr>
            <w:tcW w:w="215" w:type="pct"/>
            <w:tcBorders>
              <w:top w:val="nil"/>
              <w:left w:val="nil"/>
              <w:bottom w:val="single" w:sz="4" w:space="0" w:color="auto"/>
              <w:right w:val="single" w:sz="4" w:space="0" w:color="auto"/>
            </w:tcBorders>
            <w:shd w:val="clear" w:color="auto" w:fill="auto"/>
            <w:vAlign w:val="center"/>
            <w:hideMark/>
          </w:tcPr>
          <w:p w14:paraId="574E31D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2022</w:t>
            </w:r>
          </w:p>
        </w:tc>
        <w:tc>
          <w:tcPr>
            <w:tcW w:w="319" w:type="pct"/>
            <w:tcBorders>
              <w:top w:val="nil"/>
              <w:left w:val="nil"/>
              <w:bottom w:val="single" w:sz="4" w:space="0" w:color="auto"/>
              <w:right w:val="single" w:sz="8" w:space="0" w:color="auto"/>
            </w:tcBorders>
            <w:shd w:val="clear" w:color="auto" w:fill="auto"/>
            <w:vAlign w:val="center"/>
            <w:hideMark/>
          </w:tcPr>
          <w:p w14:paraId="574E31D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single" w:sz="8" w:space="0" w:color="auto"/>
              <w:left w:val="nil"/>
              <w:bottom w:val="single" w:sz="4" w:space="0" w:color="auto"/>
              <w:right w:val="single" w:sz="4" w:space="0" w:color="auto"/>
            </w:tcBorders>
            <w:shd w:val="clear" w:color="000000" w:fill="FFFFFF"/>
            <w:vAlign w:val="center"/>
            <w:hideMark/>
          </w:tcPr>
          <w:p w14:paraId="574E31D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109,271,820</w:t>
            </w:r>
          </w:p>
        </w:tc>
        <w:tc>
          <w:tcPr>
            <w:tcW w:w="330" w:type="pct"/>
            <w:tcBorders>
              <w:top w:val="nil"/>
              <w:left w:val="single" w:sz="8" w:space="0" w:color="auto"/>
              <w:bottom w:val="single" w:sz="4" w:space="0" w:color="auto"/>
              <w:right w:val="single" w:sz="4" w:space="0" w:color="auto"/>
            </w:tcBorders>
            <w:shd w:val="clear" w:color="auto" w:fill="auto"/>
            <w:vAlign w:val="center"/>
            <w:hideMark/>
          </w:tcPr>
          <w:p w14:paraId="574E31D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529,000</w:t>
            </w:r>
          </w:p>
        </w:tc>
        <w:tc>
          <w:tcPr>
            <w:tcW w:w="346" w:type="pct"/>
            <w:tcBorders>
              <w:top w:val="nil"/>
              <w:left w:val="nil"/>
              <w:bottom w:val="single" w:sz="4" w:space="0" w:color="auto"/>
              <w:right w:val="single" w:sz="8" w:space="0" w:color="auto"/>
            </w:tcBorders>
            <w:shd w:val="clear" w:color="auto" w:fill="auto"/>
            <w:vAlign w:val="center"/>
            <w:hideMark/>
          </w:tcPr>
          <w:p w14:paraId="574E31D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109,800,820</w:t>
            </w:r>
          </w:p>
        </w:tc>
        <w:tc>
          <w:tcPr>
            <w:tcW w:w="259" w:type="pct"/>
            <w:gridSpan w:val="2"/>
            <w:tcBorders>
              <w:top w:val="nil"/>
              <w:left w:val="nil"/>
              <w:bottom w:val="single" w:sz="4" w:space="0" w:color="auto"/>
              <w:right w:val="single" w:sz="4" w:space="0" w:color="auto"/>
            </w:tcBorders>
            <w:shd w:val="clear" w:color="auto" w:fill="auto"/>
            <w:vAlign w:val="center"/>
            <w:hideMark/>
          </w:tcPr>
          <w:p w14:paraId="574E31D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vAlign w:val="center"/>
            <w:hideMark/>
          </w:tcPr>
          <w:p w14:paraId="574E31D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nil"/>
              <w:left w:val="nil"/>
              <w:bottom w:val="single" w:sz="4" w:space="0" w:color="auto"/>
              <w:right w:val="nil"/>
            </w:tcBorders>
            <w:shd w:val="clear" w:color="auto" w:fill="auto"/>
            <w:vAlign w:val="center"/>
            <w:hideMark/>
          </w:tcPr>
          <w:p w14:paraId="574E31D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229" w:type="pct"/>
            <w:tcBorders>
              <w:top w:val="nil"/>
              <w:left w:val="single" w:sz="8" w:space="0" w:color="auto"/>
              <w:bottom w:val="single" w:sz="4" w:space="0" w:color="auto"/>
              <w:right w:val="single" w:sz="4" w:space="0" w:color="auto"/>
            </w:tcBorders>
            <w:shd w:val="clear" w:color="auto" w:fill="auto"/>
            <w:vAlign w:val="center"/>
            <w:hideMark/>
          </w:tcPr>
          <w:p w14:paraId="574E31D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nil"/>
              <w:left w:val="nil"/>
              <w:bottom w:val="single" w:sz="4" w:space="0" w:color="auto"/>
              <w:right w:val="single" w:sz="4" w:space="0" w:color="auto"/>
            </w:tcBorders>
            <w:shd w:val="clear" w:color="auto" w:fill="auto"/>
            <w:vAlign w:val="center"/>
            <w:hideMark/>
          </w:tcPr>
          <w:p w14:paraId="574E31D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1E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8" w:space="0" w:color="auto"/>
              <w:left w:val="nil"/>
              <w:bottom w:val="single" w:sz="4" w:space="0" w:color="auto"/>
              <w:right w:val="single" w:sz="8" w:space="0" w:color="auto"/>
            </w:tcBorders>
            <w:shd w:val="clear" w:color="auto" w:fill="auto"/>
            <w:vAlign w:val="center"/>
            <w:hideMark/>
          </w:tcPr>
          <w:p w14:paraId="574E31E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-109,800,820</w:t>
            </w:r>
          </w:p>
        </w:tc>
      </w:tr>
      <w:tr w:rsidR="00444B63" w:rsidRPr="00E83C5E" w14:paraId="574E31F3" w14:textId="77777777" w:rsidTr="00BE7B59">
        <w:trPr>
          <w:trHeight w:val="37"/>
          <w:jc w:val="center"/>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574E31E3"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1.3.2</w:t>
            </w:r>
          </w:p>
        </w:tc>
        <w:tc>
          <w:tcPr>
            <w:tcW w:w="646" w:type="pct"/>
            <w:tcBorders>
              <w:top w:val="nil"/>
              <w:left w:val="nil"/>
              <w:bottom w:val="single" w:sz="4" w:space="0" w:color="auto"/>
              <w:right w:val="single" w:sz="4" w:space="0" w:color="auto"/>
            </w:tcBorders>
            <w:shd w:val="clear" w:color="000000" w:fill="DDEBF7"/>
            <w:hideMark/>
          </w:tcPr>
          <w:p w14:paraId="574E31E4"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xml:space="preserve">1.3.2 Masa 2 </w:t>
            </w:r>
            <w:r w:rsidRPr="00E83C5E">
              <w:rPr>
                <w:rFonts w:ascii="Garamond" w:eastAsia="Times New Roman" w:hAnsi="Garamond" w:cs="Times New Roman"/>
                <w:color w:val="000000"/>
                <w:sz w:val="14"/>
                <w:szCs w:val="14"/>
                <w:lang w:eastAsia="en-GB"/>
              </w:rPr>
              <w:br/>
              <w:t>Politikat zhvillimore rinore ndërtohen mbi analiza faktike dhe dokumentare</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1E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nil"/>
              <w:left w:val="nil"/>
              <w:bottom w:val="single" w:sz="4" w:space="0" w:color="auto"/>
              <w:right w:val="single" w:sz="4" w:space="0" w:color="auto"/>
            </w:tcBorders>
            <w:shd w:val="clear" w:color="auto" w:fill="auto"/>
            <w:vAlign w:val="center"/>
            <w:hideMark/>
          </w:tcPr>
          <w:p w14:paraId="574E31E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MFE, AKPA, INSTAT</w:t>
            </w:r>
          </w:p>
        </w:tc>
        <w:tc>
          <w:tcPr>
            <w:tcW w:w="215" w:type="pct"/>
            <w:tcBorders>
              <w:top w:val="nil"/>
              <w:left w:val="nil"/>
              <w:bottom w:val="single" w:sz="4" w:space="0" w:color="auto"/>
              <w:right w:val="single" w:sz="4" w:space="0" w:color="auto"/>
            </w:tcBorders>
            <w:shd w:val="clear" w:color="auto" w:fill="auto"/>
            <w:vAlign w:val="center"/>
            <w:hideMark/>
          </w:tcPr>
          <w:p w14:paraId="574E31E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2022</w:t>
            </w:r>
          </w:p>
        </w:tc>
        <w:tc>
          <w:tcPr>
            <w:tcW w:w="319" w:type="pct"/>
            <w:tcBorders>
              <w:top w:val="nil"/>
              <w:left w:val="nil"/>
              <w:bottom w:val="single" w:sz="4" w:space="0" w:color="auto"/>
              <w:right w:val="single" w:sz="8" w:space="0" w:color="auto"/>
            </w:tcBorders>
            <w:shd w:val="clear" w:color="auto" w:fill="auto"/>
            <w:vAlign w:val="center"/>
            <w:hideMark/>
          </w:tcPr>
          <w:p w14:paraId="574E31E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2023</w:t>
            </w:r>
          </w:p>
        </w:tc>
        <w:tc>
          <w:tcPr>
            <w:tcW w:w="329" w:type="pct"/>
            <w:tcBorders>
              <w:top w:val="single" w:sz="8" w:space="0" w:color="auto"/>
              <w:left w:val="nil"/>
              <w:bottom w:val="single" w:sz="4" w:space="0" w:color="auto"/>
              <w:right w:val="single" w:sz="4" w:space="0" w:color="auto"/>
            </w:tcBorders>
            <w:shd w:val="clear" w:color="000000" w:fill="FFFFFF"/>
            <w:vAlign w:val="center"/>
            <w:hideMark/>
          </w:tcPr>
          <w:p w14:paraId="574E31E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10,503,968</w:t>
            </w:r>
          </w:p>
        </w:tc>
        <w:tc>
          <w:tcPr>
            <w:tcW w:w="330" w:type="pct"/>
            <w:tcBorders>
              <w:top w:val="nil"/>
              <w:left w:val="single" w:sz="8" w:space="0" w:color="auto"/>
              <w:bottom w:val="single" w:sz="4" w:space="0" w:color="auto"/>
              <w:right w:val="single" w:sz="4" w:space="0" w:color="auto"/>
            </w:tcBorders>
            <w:shd w:val="clear" w:color="auto" w:fill="auto"/>
            <w:vAlign w:val="center"/>
            <w:hideMark/>
          </w:tcPr>
          <w:p w14:paraId="574E31E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nil"/>
              <w:left w:val="nil"/>
              <w:bottom w:val="single" w:sz="4" w:space="0" w:color="auto"/>
              <w:right w:val="single" w:sz="8" w:space="0" w:color="auto"/>
            </w:tcBorders>
            <w:shd w:val="clear" w:color="auto" w:fill="auto"/>
            <w:vAlign w:val="center"/>
            <w:hideMark/>
          </w:tcPr>
          <w:p w14:paraId="574E31E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10,503,968</w:t>
            </w:r>
          </w:p>
        </w:tc>
        <w:tc>
          <w:tcPr>
            <w:tcW w:w="259" w:type="pct"/>
            <w:gridSpan w:val="2"/>
            <w:tcBorders>
              <w:top w:val="nil"/>
              <w:left w:val="nil"/>
              <w:bottom w:val="single" w:sz="4" w:space="0" w:color="auto"/>
              <w:right w:val="single" w:sz="4" w:space="0" w:color="auto"/>
            </w:tcBorders>
            <w:shd w:val="clear" w:color="auto" w:fill="auto"/>
            <w:vAlign w:val="center"/>
            <w:hideMark/>
          </w:tcPr>
          <w:p w14:paraId="574E31E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vAlign w:val="center"/>
            <w:hideMark/>
          </w:tcPr>
          <w:p w14:paraId="574E31E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8" w:space="0" w:color="auto"/>
              <w:left w:val="nil"/>
              <w:bottom w:val="single" w:sz="4" w:space="0" w:color="auto"/>
              <w:right w:val="nil"/>
            </w:tcBorders>
            <w:shd w:val="clear" w:color="auto" w:fill="auto"/>
            <w:vAlign w:val="center"/>
            <w:hideMark/>
          </w:tcPr>
          <w:p w14:paraId="574E31E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135,972</w:t>
            </w:r>
          </w:p>
        </w:tc>
        <w:tc>
          <w:tcPr>
            <w:tcW w:w="229" w:type="pct"/>
            <w:tcBorders>
              <w:top w:val="nil"/>
              <w:left w:val="single" w:sz="8" w:space="0" w:color="auto"/>
              <w:bottom w:val="single" w:sz="4" w:space="0" w:color="auto"/>
              <w:right w:val="single" w:sz="4" w:space="0" w:color="auto"/>
            </w:tcBorders>
            <w:shd w:val="clear" w:color="auto" w:fill="auto"/>
            <w:vAlign w:val="center"/>
            <w:hideMark/>
          </w:tcPr>
          <w:p w14:paraId="574E31E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nil"/>
              <w:left w:val="nil"/>
              <w:bottom w:val="single" w:sz="4" w:space="0" w:color="auto"/>
              <w:right w:val="single" w:sz="4" w:space="0" w:color="auto"/>
            </w:tcBorders>
            <w:shd w:val="clear" w:color="auto" w:fill="auto"/>
            <w:vAlign w:val="center"/>
            <w:hideMark/>
          </w:tcPr>
          <w:p w14:paraId="574E31F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1F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8" w:space="0" w:color="auto"/>
              <w:left w:val="nil"/>
              <w:bottom w:val="single" w:sz="4" w:space="0" w:color="auto"/>
              <w:right w:val="single" w:sz="8" w:space="0" w:color="auto"/>
            </w:tcBorders>
            <w:shd w:val="clear" w:color="auto" w:fill="auto"/>
            <w:vAlign w:val="center"/>
            <w:hideMark/>
          </w:tcPr>
          <w:p w14:paraId="574E31F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-10,367,996</w:t>
            </w:r>
          </w:p>
        </w:tc>
      </w:tr>
      <w:tr w:rsidR="00444B63" w:rsidRPr="00E83C5E" w14:paraId="574E3204" w14:textId="77777777" w:rsidTr="008C3E7E">
        <w:trPr>
          <w:trHeight w:val="900"/>
          <w:jc w:val="center"/>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574E31F4"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lastRenderedPageBreak/>
              <w:t>1.3.2</w:t>
            </w:r>
          </w:p>
        </w:tc>
        <w:tc>
          <w:tcPr>
            <w:tcW w:w="646" w:type="pct"/>
            <w:tcBorders>
              <w:top w:val="nil"/>
              <w:left w:val="nil"/>
              <w:bottom w:val="single" w:sz="4" w:space="0" w:color="auto"/>
              <w:right w:val="single" w:sz="4" w:space="0" w:color="auto"/>
            </w:tcBorders>
            <w:shd w:val="clear" w:color="000000" w:fill="DDEBF7"/>
            <w:hideMark/>
          </w:tcPr>
          <w:p w14:paraId="574E31F5" w14:textId="5DFE098B"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1.3.3 Masa</w:t>
            </w:r>
            <w:r w:rsidR="00233C37" w:rsidRPr="00E83C5E">
              <w:rPr>
                <w:rFonts w:ascii="Garamond" w:eastAsia="Times New Roman" w:hAnsi="Garamond" w:cs="Times New Roman"/>
                <w:color w:val="000000"/>
                <w:sz w:val="14"/>
                <w:szCs w:val="14"/>
                <w:lang w:eastAsia="en-GB"/>
              </w:rPr>
              <w:t xml:space="preserve"> </w:t>
            </w:r>
            <w:r w:rsidRPr="00E83C5E">
              <w:rPr>
                <w:rFonts w:ascii="Garamond" w:eastAsia="Times New Roman" w:hAnsi="Garamond" w:cs="Times New Roman"/>
                <w:color w:val="000000"/>
                <w:sz w:val="14"/>
                <w:szCs w:val="14"/>
                <w:lang w:eastAsia="en-GB"/>
              </w:rPr>
              <w:t xml:space="preserve">3 </w:t>
            </w:r>
            <w:r w:rsidRPr="00E83C5E">
              <w:rPr>
                <w:rFonts w:ascii="Garamond" w:eastAsia="Times New Roman" w:hAnsi="Garamond" w:cs="Times New Roman"/>
                <w:color w:val="000000"/>
                <w:sz w:val="14"/>
                <w:szCs w:val="14"/>
                <w:lang w:eastAsia="en-GB"/>
              </w:rPr>
              <w:br/>
              <w:t xml:space="preserve">Në përputhje me </w:t>
            </w:r>
            <w:r w:rsidR="00BC1D73" w:rsidRPr="00E83C5E">
              <w:rPr>
                <w:rFonts w:ascii="Garamond" w:eastAsia="Times New Roman" w:hAnsi="Garamond" w:cs="Times New Roman"/>
                <w:color w:val="000000"/>
                <w:sz w:val="14"/>
                <w:szCs w:val="14"/>
                <w:lang w:eastAsia="en-GB"/>
              </w:rPr>
              <w:t>ligjin për rininë dh</w:t>
            </w:r>
            <w:r w:rsidRPr="00E83C5E">
              <w:rPr>
                <w:rFonts w:ascii="Garamond" w:eastAsia="Times New Roman" w:hAnsi="Garamond" w:cs="Times New Roman"/>
                <w:color w:val="000000"/>
                <w:sz w:val="14"/>
                <w:szCs w:val="14"/>
                <w:lang w:eastAsia="en-GB"/>
              </w:rPr>
              <w:t xml:space="preserve">e VKM-të zhvillohet baza e të dhënave për organizatat rinore dhe për rininë duke përfituar edhe nga proceset e digjitalizimit të shërbimeve publike. </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1F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w:t>
            </w:r>
          </w:p>
        </w:tc>
        <w:tc>
          <w:tcPr>
            <w:tcW w:w="325" w:type="pct"/>
            <w:tcBorders>
              <w:top w:val="nil"/>
              <w:left w:val="nil"/>
              <w:bottom w:val="single" w:sz="4" w:space="0" w:color="auto"/>
              <w:right w:val="single" w:sz="4" w:space="0" w:color="auto"/>
            </w:tcBorders>
            <w:shd w:val="clear" w:color="auto" w:fill="auto"/>
            <w:vAlign w:val="center"/>
            <w:hideMark/>
          </w:tcPr>
          <w:p w14:paraId="574E31F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 MFE, AKSHI</w:t>
            </w:r>
          </w:p>
        </w:tc>
        <w:tc>
          <w:tcPr>
            <w:tcW w:w="215" w:type="pct"/>
            <w:tcBorders>
              <w:top w:val="nil"/>
              <w:left w:val="nil"/>
              <w:bottom w:val="single" w:sz="4" w:space="0" w:color="auto"/>
              <w:right w:val="single" w:sz="4" w:space="0" w:color="auto"/>
            </w:tcBorders>
            <w:shd w:val="clear" w:color="auto" w:fill="auto"/>
            <w:vAlign w:val="center"/>
            <w:hideMark/>
          </w:tcPr>
          <w:p w14:paraId="574E31F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2022</w:t>
            </w:r>
          </w:p>
        </w:tc>
        <w:tc>
          <w:tcPr>
            <w:tcW w:w="319" w:type="pct"/>
            <w:tcBorders>
              <w:top w:val="nil"/>
              <w:left w:val="nil"/>
              <w:bottom w:val="single" w:sz="4" w:space="0" w:color="auto"/>
              <w:right w:val="single" w:sz="8" w:space="0" w:color="auto"/>
            </w:tcBorders>
            <w:shd w:val="clear" w:color="auto" w:fill="auto"/>
            <w:vAlign w:val="center"/>
            <w:hideMark/>
          </w:tcPr>
          <w:p w14:paraId="574E31F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single" w:sz="8" w:space="0" w:color="auto"/>
              <w:left w:val="nil"/>
              <w:bottom w:val="single" w:sz="4" w:space="0" w:color="auto"/>
              <w:right w:val="single" w:sz="4" w:space="0" w:color="auto"/>
            </w:tcBorders>
            <w:shd w:val="clear" w:color="000000" w:fill="FFFFFF"/>
            <w:vAlign w:val="center"/>
            <w:hideMark/>
          </w:tcPr>
          <w:p w14:paraId="574E31F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39,852,930</w:t>
            </w:r>
          </w:p>
        </w:tc>
        <w:tc>
          <w:tcPr>
            <w:tcW w:w="330" w:type="pct"/>
            <w:tcBorders>
              <w:top w:val="nil"/>
              <w:left w:val="single" w:sz="8" w:space="0" w:color="auto"/>
              <w:bottom w:val="single" w:sz="4" w:space="0" w:color="auto"/>
              <w:right w:val="single" w:sz="4" w:space="0" w:color="auto"/>
            </w:tcBorders>
            <w:shd w:val="clear" w:color="auto" w:fill="auto"/>
            <w:vAlign w:val="center"/>
            <w:hideMark/>
          </w:tcPr>
          <w:p w14:paraId="574E31F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nil"/>
              <w:left w:val="nil"/>
              <w:bottom w:val="single" w:sz="4" w:space="0" w:color="auto"/>
              <w:right w:val="single" w:sz="8" w:space="0" w:color="auto"/>
            </w:tcBorders>
            <w:shd w:val="clear" w:color="auto" w:fill="auto"/>
            <w:vAlign w:val="center"/>
            <w:hideMark/>
          </w:tcPr>
          <w:p w14:paraId="574E31F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39,852,930</w:t>
            </w:r>
          </w:p>
        </w:tc>
        <w:tc>
          <w:tcPr>
            <w:tcW w:w="259" w:type="pct"/>
            <w:gridSpan w:val="2"/>
            <w:tcBorders>
              <w:top w:val="nil"/>
              <w:left w:val="nil"/>
              <w:bottom w:val="single" w:sz="4" w:space="0" w:color="auto"/>
              <w:right w:val="single" w:sz="4" w:space="0" w:color="auto"/>
            </w:tcBorders>
            <w:shd w:val="clear" w:color="auto" w:fill="auto"/>
            <w:vAlign w:val="center"/>
            <w:hideMark/>
          </w:tcPr>
          <w:p w14:paraId="574E31F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vAlign w:val="center"/>
            <w:hideMark/>
          </w:tcPr>
          <w:p w14:paraId="574E31F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8" w:space="0" w:color="auto"/>
              <w:left w:val="nil"/>
              <w:bottom w:val="single" w:sz="4" w:space="0" w:color="auto"/>
              <w:right w:val="nil"/>
            </w:tcBorders>
            <w:shd w:val="clear" w:color="auto" w:fill="auto"/>
            <w:vAlign w:val="center"/>
            <w:hideMark/>
          </w:tcPr>
          <w:p w14:paraId="574E31F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23,420,930</w:t>
            </w:r>
          </w:p>
        </w:tc>
        <w:tc>
          <w:tcPr>
            <w:tcW w:w="229" w:type="pct"/>
            <w:tcBorders>
              <w:top w:val="nil"/>
              <w:left w:val="single" w:sz="8" w:space="0" w:color="auto"/>
              <w:bottom w:val="single" w:sz="4" w:space="0" w:color="auto"/>
              <w:right w:val="single" w:sz="4" w:space="0" w:color="auto"/>
            </w:tcBorders>
            <w:shd w:val="clear" w:color="auto" w:fill="auto"/>
            <w:vAlign w:val="center"/>
            <w:hideMark/>
          </w:tcPr>
          <w:p w14:paraId="574E320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nil"/>
              <w:left w:val="nil"/>
              <w:bottom w:val="single" w:sz="4" w:space="0" w:color="auto"/>
              <w:right w:val="single" w:sz="4" w:space="0" w:color="auto"/>
            </w:tcBorders>
            <w:shd w:val="clear" w:color="auto" w:fill="auto"/>
            <w:vAlign w:val="center"/>
            <w:hideMark/>
          </w:tcPr>
          <w:p w14:paraId="574E320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20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8" w:space="0" w:color="auto"/>
              <w:left w:val="nil"/>
              <w:bottom w:val="single" w:sz="4" w:space="0" w:color="auto"/>
              <w:right w:val="single" w:sz="8" w:space="0" w:color="auto"/>
            </w:tcBorders>
            <w:shd w:val="clear" w:color="auto" w:fill="auto"/>
            <w:vAlign w:val="center"/>
            <w:hideMark/>
          </w:tcPr>
          <w:p w14:paraId="574E320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-16,432,000</w:t>
            </w:r>
          </w:p>
        </w:tc>
      </w:tr>
      <w:tr w:rsidR="00444B63" w:rsidRPr="00E83C5E" w14:paraId="574E3215" w14:textId="77777777" w:rsidTr="00BE7B59">
        <w:trPr>
          <w:trHeight w:val="47"/>
          <w:jc w:val="center"/>
        </w:trPr>
        <w:tc>
          <w:tcPr>
            <w:tcW w:w="141"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74E3205"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646" w:type="pct"/>
            <w:tcBorders>
              <w:top w:val="single" w:sz="4" w:space="0" w:color="auto"/>
              <w:left w:val="nil"/>
              <w:bottom w:val="single" w:sz="4" w:space="0" w:color="auto"/>
              <w:right w:val="single" w:sz="4" w:space="0" w:color="auto"/>
            </w:tcBorders>
            <w:shd w:val="clear" w:color="000000" w:fill="D9D9D9"/>
            <w:vAlign w:val="center"/>
            <w:hideMark/>
          </w:tcPr>
          <w:p w14:paraId="574E3206" w14:textId="77777777" w:rsidR="00444B63" w:rsidRPr="00E83C5E" w:rsidRDefault="00444B63" w:rsidP="00444B63">
            <w:pPr>
              <w:spacing w:after="0" w:line="240" w:lineRule="auto"/>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Kosto Objektivi specifik 1.3</w:t>
            </w:r>
          </w:p>
        </w:tc>
        <w:tc>
          <w:tcPr>
            <w:tcW w:w="365" w:type="pct"/>
            <w:tcBorders>
              <w:top w:val="single" w:sz="4" w:space="0" w:color="auto"/>
              <w:left w:val="nil"/>
              <w:bottom w:val="single" w:sz="4" w:space="0" w:color="auto"/>
              <w:right w:val="single" w:sz="4" w:space="0" w:color="auto"/>
            </w:tcBorders>
            <w:shd w:val="clear" w:color="000000" w:fill="D9D9D9"/>
            <w:vAlign w:val="center"/>
            <w:hideMark/>
          </w:tcPr>
          <w:p w14:paraId="574E3207"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25" w:type="pct"/>
            <w:tcBorders>
              <w:top w:val="single" w:sz="4" w:space="0" w:color="auto"/>
              <w:left w:val="nil"/>
              <w:bottom w:val="single" w:sz="4" w:space="0" w:color="auto"/>
              <w:right w:val="single" w:sz="4" w:space="0" w:color="auto"/>
            </w:tcBorders>
            <w:shd w:val="clear" w:color="000000" w:fill="D9D9D9"/>
            <w:vAlign w:val="center"/>
            <w:hideMark/>
          </w:tcPr>
          <w:p w14:paraId="574E3208"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15" w:type="pct"/>
            <w:tcBorders>
              <w:top w:val="single" w:sz="4" w:space="0" w:color="auto"/>
              <w:left w:val="nil"/>
              <w:bottom w:val="single" w:sz="4" w:space="0" w:color="auto"/>
              <w:right w:val="single" w:sz="4" w:space="0" w:color="auto"/>
            </w:tcBorders>
            <w:shd w:val="clear" w:color="000000" w:fill="D9D9D9"/>
            <w:vAlign w:val="center"/>
            <w:hideMark/>
          </w:tcPr>
          <w:p w14:paraId="574E3209"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19" w:type="pct"/>
            <w:tcBorders>
              <w:top w:val="single" w:sz="4" w:space="0" w:color="auto"/>
              <w:left w:val="nil"/>
              <w:bottom w:val="single" w:sz="4" w:space="0" w:color="auto"/>
              <w:right w:val="single" w:sz="4" w:space="0" w:color="auto"/>
            </w:tcBorders>
            <w:shd w:val="clear" w:color="000000" w:fill="D9D9D9"/>
            <w:vAlign w:val="center"/>
            <w:hideMark/>
          </w:tcPr>
          <w:p w14:paraId="574E320A"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29" w:type="pct"/>
            <w:tcBorders>
              <w:top w:val="nil"/>
              <w:left w:val="nil"/>
              <w:bottom w:val="single" w:sz="4" w:space="0" w:color="auto"/>
              <w:right w:val="single" w:sz="4" w:space="0" w:color="auto"/>
            </w:tcBorders>
            <w:shd w:val="clear" w:color="000000" w:fill="D9D9D9"/>
            <w:vAlign w:val="center"/>
            <w:hideMark/>
          </w:tcPr>
          <w:p w14:paraId="574E320B"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159,628,718</w:t>
            </w:r>
          </w:p>
        </w:tc>
        <w:tc>
          <w:tcPr>
            <w:tcW w:w="330" w:type="pct"/>
            <w:tcBorders>
              <w:top w:val="nil"/>
              <w:left w:val="nil"/>
              <w:bottom w:val="single" w:sz="4" w:space="0" w:color="auto"/>
              <w:right w:val="single" w:sz="4" w:space="0" w:color="auto"/>
            </w:tcBorders>
            <w:shd w:val="clear" w:color="000000" w:fill="D9D9D9"/>
            <w:vAlign w:val="center"/>
            <w:hideMark/>
          </w:tcPr>
          <w:p w14:paraId="574E320C"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529,000</w:t>
            </w:r>
          </w:p>
        </w:tc>
        <w:tc>
          <w:tcPr>
            <w:tcW w:w="346" w:type="pct"/>
            <w:tcBorders>
              <w:top w:val="nil"/>
              <w:left w:val="nil"/>
              <w:bottom w:val="single" w:sz="4" w:space="0" w:color="auto"/>
              <w:right w:val="single" w:sz="4" w:space="0" w:color="auto"/>
            </w:tcBorders>
            <w:shd w:val="clear" w:color="000000" w:fill="D9D9D9"/>
            <w:vAlign w:val="center"/>
            <w:hideMark/>
          </w:tcPr>
          <w:p w14:paraId="574E320D"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160,157,718</w:t>
            </w:r>
          </w:p>
        </w:tc>
        <w:tc>
          <w:tcPr>
            <w:tcW w:w="259" w:type="pct"/>
            <w:gridSpan w:val="2"/>
            <w:tcBorders>
              <w:top w:val="nil"/>
              <w:left w:val="nil"/>
              <w:bottom w:val="single" w:sz="4" w:space="0" w:color="auto"/>
              <w:right w:val="single" w:sz="4" w:space="0" w:color="auto"/>
            </w:tcBorders>
            <w:shd w:val="clear" w:color="000000" w:fill="D9D9D9"/>
            <w:vAlign w:val="center"/>
            <w:hideMark/>
          </w:tcPr>
          <w:p w14:paraId="574E320E"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58" w:type="pct"/>
            <w:gridSpan w:val="2"/>
            <w:tcBorders>
              <w:top w:val="nil"/>
              <w:left w:val="nil"/>
              <w:bottom w:val="single" w:sz="4" w:space="0" w:color="auto"/>
              <w:right w:val="single" w:sz="4" w:space="0" w:color="auto"/>
            </w:tcBorders>
            <w:shd w:val="clear" w:color="000000" w:fill="D9D9D9"/>
            <w:vAlign w:val="center"/>
            <w:hideMark/>
          </w:tcPr>
          <w:p w14:paraId="574E320F"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332" w:type="pct"/>
            <w:tcBorders>
              <w:top w:val="nil"/>
              <w:left w:val="nil"/>
              <w:bottom w:val="single" w:sz="4" w:space="0" w:color="auto"/>
              <w:right w:val="single" w:sz="4" w:space="0" w:color="auto"/>
            </w:tcBorders>
            <w:shd w:val="clear" w:color="000000" w:fill="D9D9D9"/>
            <w:vAlign w:val="center"/>
            <w:hideMark/>
          </w:tcPr>
          <w:p w14:paraId="574E3210"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23,556,902</w:t>
            </w:r>
          </w:p>
        </w:tc>
        <w:tc>
          <w:tcPr>
            <w:tcW w:w="229" w:type="pct"/>
            <w:tcBorders>
              <w:top w:val="nil"/>
              <w:left w:val="nil"/>
              <w:bottom w:val="single" w:sz="4" w:space="0" w:color="auto"/>
              <w:right w:val="single" w:sz="4" w:space="0" w:color="auto"/>
            </w:tcBorders>
            <w:shd w:val="clear" w:color="000000" w:fill="D9D9D9"/>
            <w:vAlign w:val="center"/>
            <w:hideMark/>
          </w:tcPr>
          <w:p w14:paraId="574E3211"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41" w:type="pct"/>
            <w:tcBorders>
              <w:top w:val="nil"/>
              <w:left w:val="nil"/>
              <w:bottom w:val="single" w:sz="4" w:space="0" w:color="auto"/>
              <w:right w:val="single" w:sz="4" w:space="0" w:color="auto"/>
            </w:tcBorders>
            <w:shd w:val="clear" w:color="000000" w:fill="D9D9D9"/>
            <w:vAlign w:val="center"/>
            <w:hideMark/>
          </w:tcPr>
          <w:p w14:paraId="574E3212"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84" w:type="pct"/>
            <w:gridSpan w:val="2"/>
            <w:tcBorders>
              <w:top w:val="nil"/>
              <w:left w:val="nil"/>
              <w:bottom w:val="single" w:sz="4" w:space="0" w:color="auto"/>
              <w:right w:val="single" w:sz="4" w:space="0" w:color="auto"/>
            </w:tcBorders>
            <w:shd w:val="clear" w:color="000000" w:fill="D9D9D9"/>
            <w:vAlign w:val="center"/>
            <w:hideMark/>
          </w:tcPr>
          <w:p w14:paraId="574E3213"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379" w:type="pct"/>
            <w:tcBorders>
              <w:top w:val="nil"/>
              <w:left w:val="nil"/>
              <w:bottom w:val="single" w:sz="4" w:space="0" w:color="auto"/>
              <w:right w:val="single" w:sz="4" w:space="0" w:color="auto"/>
            </w:tcBorders>
            <w:shd w:val="clear" w:color="000000" w:fill="D9D9D9"/>
            <w:vAlign w:val="center"/>
            <w:hideMark/>
          </w:tcPr>
          <w:p w14:paraId="574E3214"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-136,600,816</w:t>
            </w:r>
          </w:p>
        </w:tc>
      </w:tr>
      <w:tr w:rsidR="00444B63" w:rsidRPr="00E83C5E" w14:paraId="574E3226" w14:textId="77777777" w:rsidTr="00BE7B59">
        <w:trPr>
          <w:trHeight w:val="47"/>
          <w:jc w:val="center"/>
        </w:trPr>
        <w:tc>
          <w:tcPr>
            <w:tcW w:w="141" w:type="pct"/>
            <w:tcBorders>
              <w:top w:val="single" w:sz="4" w:space="0" w:color="auto"/>
              <w:left w:val="single" w:sz="8" w:space="0" w:color="auto"/>
              <w:bottom w:val="single" w:sz="4" w:space="0" w:color="auto"/>
              <w:right w:val="nil"/>
            </w:tcBorders>
            <w:shd w:val="clear" w:color="auto" w:fill="D9D9D9" w:themeFill="background1" w:themeFillShade="D9"/>
            <w:vAlign w:val="center"/>
            <w:hideMark/>
          </w:tcPr>
          <w:p w14:paraId="574E3216"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646" w:type="pct"/>
            <w:tcBorders>
              <w:top w:val="single" w:sz="4" w:space="0" w:color="auto"/>
              <w:left w:val="nil"/>
              <w:bottom w:val="single" w:sz="4" w:space="0" w:color="auto"/>
              <w:right w:val="nil"/>
            </w:tcBorders>
            <w:shd w:val="clear" w:color="auto" w:fill="D9D9D9" w:themeFill="background1" w:themeFillShade="D9"/>
            <w:vAlign w:val="center"/>
            <w:hideMark/>
          </w:tcPr>
          <w:p w14:paraId="574E3217" w14:textId="05BE51F8" w:rsidR="00444B63" w:rsidRPr="00E83C5E" w:rsidRDefault="00444B63" w:rsidP="00BC1D73">
            <w:pPr>
              <w:spacing w:after="0" w:line="240" w:lineRule="auto"/>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 xml:space="preserve">Kosto </w:t>
            </w:r>
            <w:r w:rsidR="00BC1D73" w:rsidRPr="00E83C5E">
              <w:rPr>
                <w:rFonts w:ascii="Garamond" w:eastAsia="Times New Roman" w:hAnsi="Garamond" w:cs="Times New Roman"/>
                <w:b/>
                <w:bCs/>
                <w:color w:val="FF0000"/>
                <w:sz w:val="14"/>
                <w:szCs w:val="14"/>
                <w:lang w:eastAsia="en-GB"/>
              </w:rPr>
              <w:t>totale qëllimi i politikë</w:t>
            </w:r>
            <w:r w:rsidRPr="00E83C5E">
              <w:rPr>
                <w:rFonts w:ascii="Garamond" w:eastAsia="Times New Roman" w:hAnsi="Garamond" w:cs="Times New Roman"/>
                <w:b/>
                <w:bCs/>
                <w:color w:val="FF0000"/>
                <w:sz w:val="14"/>
                <w:szCs w:val="14"/>
                <w:lang w:eastAsia="en-GB"/>
              </w:rPr>
              <w:t>s I (objektiva specifik</w:t>
            </w:r>
            <w:r w:rsidR="00BC1D73">
              <w:rPr>
                <w:rFonts w:ascii="Garamond" w:eastAsia="Times New Roman" w:hAnsi="Garamond" w:cs="Times New Roman"/>
                <w:b/>
                <w:bCs/>
                <w:color w:val="FF0000"/>
                <w:sz w:val="14"/>
                <w:szCs w:val="14"/>
                <w:lang w:eastAsia="en-GB"/>
              </w:rPr>
              <w:t>ë</w:t>
            </w:r>
            <w:r w:rsidRPr="00E83C5E">
              <w:rPr>
                <w:rFonts w:ascii="Garamond" w:eastAsia="Times New Roman" w:hAnsi="Garamond" w:cs="Times New Roman"/>
                <w:b/>
                <w:bCs/>
                <w:color w:val="FF0000"/>
                <w:sz w:val="14"/>
                <w:szCs w:val="14"/>
                <w:lang w:eastAsia="en-GB"/>
              </w:rPr>
              <w:t xml:space="preserve"> 1.1+1.2+1.3</w:t>
            </w:r>
          </w:p>
        </w:tc>
        <w:tc>
          <w:tcPr>
            <w:tcW w:w="365" w:type="pct"/>
            <w:tcBorders>
              <w:top w:val="single" w:sz="4" w:space="0" w:color="auto"/>
              <w:left w:val="nil"/>
              <w:bottom w:val="single" w:sz="4" w:space="0" w:color="auto"/>
              <w:right w:val="nil"/>
            </w:tcBorders>
            <w:shd w:val="clear" w:color="auto" w:fill="D9D9D9" w:themeFill="background1" w:themeFillShade="D9"/>
            <w:vAlign w:val="center"/>
            <w:hideMark/>
          </w:tcPr>
          <w:p w14:paraId="574E3218"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25" w:type="pct"/>
            <w:tcBorders>
              <w:top w:val="single" w:sz="4" w:space="0" w:color="auto"/>
              <w:left w:val="nil"/>
              <w:bottom w:val="single" w:sz="4" w:space="0" w:color="auto"/>
              <w:right w:val="nil"/>
            </w:tcBorders>
            <w:shd w:val="clear" w:color="auto" w:fill="D9D9D9" w:themeFill="background1" w:themeFillShade="D9"/>
            <w:vAlign w:val="center"/>
            <w:hideMark/>
          </w:tcPr>
          <w:p w14:paraId="574E3219"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15" w:type="pct"/>
            <w:tcBorders>
              <w:top w:val="single" w:sz="4" w:space="0" w:color="auto"/>
              <w:left w:val="nil"/>
              <w:bottom w:val="single" w:sz="4" w:space="0" w:color="auto"/>
              <w:right w:val="nil"/>
            </w:tcBorders>
            <w:shd w:val="clear" w:color="auto" w:fill="D9D9D9" w:themeFill="background1" w:themeFillShade="D9"/>
            <w:vAlign w:val="center"/>
            <w:hideMark/>
          </w:tcPr>
          <w:p w14:paraId="574E321A"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19" w:type="pct"/>
            <w:tcBorders>
              <w:top w:val="single" w:sz="4" w:space="0" w:color="auto"/>
              <w:left w:val="nil"/>
              <w:bottom w:val="single" w:sz="4" w:space="0" w:color="auto"/>
              <w:right w:val="nil"/>
            </w:tcBorders>
            <w:shd w:val="clear" w:color="auto" w:fill="D9D9D9" w:themeFill="background1" w:themeFillShade="D9"/>
            <w:vAlign w:val="center"/>
            <w:hideMark/>
          </w:tcPr>
          <w:p w14:paraId="574E321B"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29" w:type="pct"/>
            <w:tcBorders>
              <w:top w:val="nil"/>
              <w:left w:val="single" w:sz="4" w:space="0" w:color="auto"/>
              <w:bottom w:val="single" w:sz="4" w:space="0" w:color="auto"/>
              <w:right w:val="single" w:sz="4" w:space="0" w:color="auto"/>
            </w:tcBorders>
            <w:shd w:val="clear" w:color="000000" w:fill="D9D9D9"/>
            <w:vAlign w:val="center"/>
            <w:hideMark/>
          </w:tcPr>
          <w:p w14:paraId="574E321C"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1,619,116,161</w:t>
            </w:r>
          </w:p>
        </w:tc>
        <w:tc>
          <w:tcPr>
            <w:tcW w:w="330" w:type="pct"/>
            <w:tcBorders>
              <w:top w:val="nil"/>
              <w:left w:val="nil"/>
              <w:bottom w:val="single" w:sz="4" w:space="0" w:color="auto"/>
              <w:right w:val="single" w:sz="4" w:space="0" w:color="auto"/>
            </w:tcBorders>
            <w:shd w:val="clear" w:color="000000" w:fill="D9D9D9"/>
            <w:vAlign w:val="center"/>
            <w:hideMark/>
          </w:tcPr>
          <w:p w14:paraId="574E321D"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420,090,500</w:t>
            </w:r>
          </w:p>
        </w:tc>
        <w:tc>
          <w:tcPr>
            <w:tcW w:w="346" w:type="pct"/>
            <w:tcBorders>
              <w:top w:val="nil"/>
              <w:left w:val="nil"/>
              <w:bottom w:val="single" w:sz="4" w:space="0" w:color="auto"/>
              <w:right w:val="single" w:sz="4" w:space="0" w:color="auto"/>
            </w:tcBorders>
            <w:shd w:val="clear" w:color="000000" w:fill="D9D9D9"/>
            <w:vAlign w:val="center"/>
            <w:hideMark/>
          </w:tcPr>
          <w:p w14:paraId="574E321E"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2,039,206,661</w:t>
            </w:r>
          </w:p>
        </w:tc>
        <w:tc>
          <w:tcPr>
            <w:tcW w:w="259" w:type="pct"/>
            <w:gridSpan w:val="2"/>
            <w:tcBorders>
              <w:top w:val="nil"/>
              <w:left w:val="nil"/>
              <w:bottom w:val="single" w:sz="4" w:space="0" w:color="auto"/>
              <w:right w:val="single" w:sz="4" w:space="0" w:color="auto"/>
            </w:tcBorders>
            <w:shd w:val="clear" w:color="000000" w:fill="D9D9D9"/>
            <w:vAlign w:val="center"/>
            <w:hideMark/>
          </w:tcPr>
          <w:p w14:paraId="574E321F"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58" w:type="pct"/>
            <w:gridSpan w:val="2"/>
            <w:tcBorders>
              <w:top w:val="nil"/>
              <w:left w:val="nil"/>
              <w:bottom w:val="single" w:sz="4" w:space="0" w:color="auto"/>
              <w:right w:val="single" w:sz="4" w:space="0" w:color="auto"/>
            </w:tcBorders>
            <w:shd w:val="clear" w:color="000000" w:fill="D9D9D9"/>
            <w:vAlign w:val="center"/>
            <w:hideMark/>
          </w:tcPr>
          <w:p w14:paraId="574E3220"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332" w:type="pct"/>
            <w:tcBorders>
              <w:top w:val="nil"/>
              <w:left w:val="nil"/>
              <w:bottom w:val="single" w:sz="4" w:space="0" w:color="auto"/>
              <w:right w:val="single" w:sz="4" w:space="0" w:color="auto"/>
            </w:tcBorders>
            <w:shd w:val="clear" w:color="000000" w:fill="D9D9D9"/>
            <w:vAlign w:val="center"/>
            <w:hideMark/>
          </w:tcPr>
          <w:p w14:paraId="574E3221"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1,258,354,428</w:t>
            </w:r>
          </w:p>
        </w:tc>
        <w:tc>
          <w:tcPr>
            <w:tcW w:w="229" w:type="pct"/>
            <w:tcBorders>
              <w:top w:val="nil"/>
              <w:left w:val="nil"/>
              <w:bottom w:val="single" w:sz="4" w:space="0" w:color="auto"/>
              <w:right w:val="single" w:sz="4" w:space="0" w:color="auto"/>
            </w:tcBorders>
            <w:shd w:val="clear" w:color="000000" w:fill="D9D9D9"/>
            <w:vAlign w:val="center"/>
            <w:hideMark/>
          </w:tcPr>
          <w:p w14:paraId="574E3222"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41" w:type="pct"/>
            <w:tcBorders>
              <w:top w:val="nil"/>
              <w:left w:val="nil"/>
              <w:bottom w:val="single" w:sz="4" w:space="0" w:color="auto"/>
              <w:right w:val="single" w:sz="4" w:space="0" w:color="auto"/>
            </w:tcBorders>
            <w:shd w:val="clear" w:color="000000" w:fill="D9D9D9"/>
            <w:vAlign w:val="center"/>
            <w:hideMark/>
          </w:tcPr>
          <w:p w14:paraId="574E3223"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84" w:type="pct"/>
            <w:gridSpan w:val="2"/>
            <w:tcBorders>
              <w:top w:val="nil"/>
              <w:left w:val="nil"/>
              <w:bottom w:val="single" w:sz="4" w:space="0" w:color="auto"/>
              <w:right w:val="single" w:sz="4" w:space="0" w:color="auto"/>
            </w:tcBorders>
            <w:shd w:val="clear" w:color="000000" w:fill="D9D9D9"/>
            <w:vAlign w:val="center"/>
            <w:hideMark/>
          </w:tcPr>
          <w:p w14:paraId="574E3224"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116,290,000</w:t>
            </w:r>
          </w:p>
        </w:tc>
        <w:tc>
          <w:tcPr>
            <w:tcW w:w="379" w:type="pct"/>
            <w:tcBorders>
              <w:top w:val="nil"/>
              <w:left w:val="nil"/>
              <w:bottom w:val="single" w:sz="4" w:space="0" w:color="auto"/>
              <w:right w:val="single" w:sz="4" w:space="0" w:color="auto"/>
            </w:tcBorders>
            <w:shd w:val="clear" w:color="000000" w:fill="D9D9D9"/>
            <w:vAlign w:val="center"/>
            <w:hideMark/>
          </w:tcPr>
          <w:p w14:paraId="574E3225"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-664,562,233</w:t>
            </w:r>
          </w:p>
        </w:tc>
      </w:tr>
      <w:tr w:rsidR="00444B63" w:rsidRPr="00E83C5E" w14:paraId="574E3228" w14:textId="77777777" w:rsidTr="00BE7B59">
        <w:trPr>
          <w:trHeight w:val="47"/>
          <w:jc w:val="center"/>
        </w:trPr>
        <w:tc>
          <w:tcPr>
            <w:tcW w:w="5000" w:type="pct"/>
            <w:gridSpan w:val="19"/>
            <w:tcBorders>
              <w:top w:val="single" w:sz="4" w:space="0" w:color="auto"/>
              <w:left w:val="single" w:sz="4" w:space="0" w:color="auto"/>
              <w:bottom w:val="single" w:sz="8" w:space="0" w:color="auto"/>
              <w:right w:val="single" w:sz="4" w:space="0" w:color="auto"/>
            </w:tcBorders>
            <w:shd w:val="clear" w:color="000000" w:fill="F2F2F2"/>
            <w:vAlign w:val="center"/>
            <w:hideMark/>
          </w:tcPr>
          <w:p w14:paraId="574E3227" w14:textId="6515FDBF" w:rsidR="00444B63" w:rsidRPr="00E83C5E" w:rsidRDefault="00444B63" w:rsidP="00834C0B">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 xml:space="preserve"> </w:t>
            </w:r>
            <w:r w:rsidRPr="00E83C5E">
              <w:rPr>
                <w:rFonts w:ascii="Garamond" w:eastAsia="Times New Roman" w:hAnsi="Garamond" w:cs="Times New Roman"/>
                <w:b/>
                <w:bCs/>
                <w:color w:val="FF0000"/>
                <w:sz w:val="14"/>
                <w:szCs w:val="14"/>
              </w:rPr>
              <w:t xml:space="preserve">I. ZHVILLIMI STRATEGJIK (DUHEN IDENTIFIKUAR PAS </w:t>
            </w:r>
            <w:r w:rsidR="00BE7B59" w:rsidRPr="00E83C5E">
              <w:rPr>
                <w:rFonts w:ascii="Garamond" w:eastAsia="Times New Roman" w:hAnsi="Garamond" w:cs="Times New Roman"/>
                <w:b/>
                <w:bCs/>
                <w:color w:val="FF0000"/>
                <w:sz w:val="14"/>
                <w:szCs w:val="14"/>
              </w:rPr>
              <w:t>PLOTËSIMIT</w:t>
            </w:r>
            <w:r w:rsidRPr="00E83C5E">
              <w:rPr>
                <w:rFonts w:ascii="Garamond" w:eastAsia="Times New Roman" w:hAnsi="Garamond" w:cs="Times New Roman"/>
                <w:b/>
                <w:bCs/>
                <w:color w:val="FF0000"/>
                <w:sz w:val="14"/>
                <w:szCs w:val="14"/>
              </w:rPr>
              <w:t xml:space="preserve"> T</w:t>
            </w:r>
            <w:r w:rsidR="00834C0B" w:rsidRPr="00E83C5E">
              <w:rPr>
                <w:rFonts w:ascii="Garamond" w:eastAsia="Times New Roman" w:hAnsi="Garamond" w:cs="Times New Roman"/>
                <w:b/>
                <w:bCs/>
                <w:color w:val="FF0000"/>
                <w:sz w:val="14"/>
                <w:szCs w:val="14"/>
              </w:rPr>
              <w:t>Ë</w:t>
            </w:r>
            <w:r w:rsidRPr="00E83C5E">
              <w:rPr>
                <w:rFonts w:ascii="Garamond" w:eastAsia="Times New Roman" w:hAnsi="Garamond" w:cs="Times New Roman"/>
                <w:b/>
                <w:bCs/>
                <w:color w:val="FF0000"/>
                <w:sz w:val="14"/>
                <w:szCs w:val="14"/>
              </w:rPr>
              <w:t xml:space="preserve"> MASAVE): FAZA ii</w:t>
            </w:r>
          </w:p>
        </w:tc>
      </w:tr>
      <w:tr w:rsidR="00444B63" w:rsidRPr="00E83C5E" w14:paraId="574E322A" w14:textId="77777777" w:rsidTr="00BE7B59">
        <w:trPr>
          <w:trHeight w:val="37"/>
          <w:jc w:val="center"/>
        </w:trPr>
        <w:tc>
          <w:tcPr>
            <w:tcW w:w="5000" w:type="pct"/>
            <w:gridSpan w:val="19"/>
            <w:tcBorders>
              <w:top w:val="single" w:sz="8" w:space="0" w:color="auto"/>
              <w:left w:val="single" w:sz="4" w:space="0" w:color="auto"/>
              <w:bottom w:val="single" w:sz="4" w:space="0" w:color="auto"/>
              <w:right w:val="single" w:sz="4" w:space="0" w:color="auto"/>
            </w:tcBorders>
            <w:shd w:val="clear" w:color="000000" w:fill="F2F2F2"/>
            <w:vAlign w:val="center"/>
            <w:hideMark/>
          </w:tcPr>
          <w:p w14:paraId="574E3229" w14:textId="1EB4EDEB"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II. Q</w:t>
            </w:r>
            <w:r w:rsidR="00834C0B" w:rsidRPr="00E83C5E">
              <w:rPr>
                <w:rFonts w:ascii="Garamond" w:eastAsia="Times New Roman" w:hAnsi="Garamond" w:cs="Times New Roman"/>
                <w:b/>
                <w:bCs/>
                <w:color w:val="FF0000"/>
                <w:sz w:val="14"/>
                <w:szCs w:val="14"/>
              </w:rPr>
              <w:t>Ë</w:t>
            </w:r>
            <w:r w:rsidRPr="00E83C5E">
              <w:rPr>
                <w:rFonts w:ascii="Garamond" w:eastAsia="Times New Roman" w:hAnsi="Garamond" w:cs="Times New Roman"/>
                <w:b/>
                <w:bCs/>
                <w:color w:val="FF0000"/>
                <w:sz w:val="14"/>
                <w:szCs w:val="14"/>
                <w:lang w:eastAsia="en-GB"/>
              </w:rPr>
              <w:t xml:space="preserve">LLIMI I POLITIKAVE II: Novacioni, edukimi, autonomia, drejtësia si barazi (equity) </w:t>
            </w:r>
            <w:r w:rsidRPr="00E83C5E">
              <w:rPr>
                <w:rFonts w:ascii="Garamond" w:eastAsia="Times New Roman" w:hAnsi="Garamond" w:cs="Times New Roman"/>
                <w:b/>
                <w:bCs/>
                <w:color w:val="FF0000"/>
                <w:sz w:val="14"/>
                <w:szCs w:val="14"/>
                <w:lang w:eastAsia="en-GB"/>
              </w:rPr>
              <w:br/>
              <w:t>Mbështetet dhe nxitet novacioni rinor dhe rritja e aftësive dhe profesionalizmit të të rejave dhe të rinjve përmes edukimit cilësor në TIK dhe fusha të tjera të zhvillimit digjital duke rritur dhe përmirësuar kështu mundësitë për të hyrë në tregun e punës</w:t>
            </w:r>
          </w:p>
        </w:tc>
      </w:tr>
      <w:tr w:rsidR="00444B63" w:rsidRPr="00E83C5E" w14:paraId="574E322C" w14:textId="77777777" w:rsidTr="00BE7B59">
        <w:trPr>
          <w:trHeight w:val="47"/>
          <w:jc w:val="center"/>
        </w:trPr>
        <w:tc>
          <w:tcPr>
            <w:tcW w:w="5000" w:type="pct"/>
            <w:gridSpan w:val="19"/>
            <w:tcBorders>
              <w:top w:val="single" w:sz="4" w:space="0" w:color="auto"/>
              <w:left w:val="single" w:sz="4" w:space="0" w:color="auto"/>
              <w:bottom w:val="single" w:sz="4" w:space="0" w:color="auto"/>
              <w:right w:val="single" w:sz="4" w:space="0" w:color="auto"/>
            </w:tcBorders>
            <w:shd w:val="clear" w:color="000000" w:fill="E7E6E6"/>
            <w:vAlign w:val="center"/>
            <w:hideMark/>
          </w:tcPr>
          <w:p w14:paraId="574E322B" w14:textId="37B0FE80" w:rsidR="00444B63" w:rsidRPr="00E83C5E" w:rsidRDefault="00444B63" w:rsidP="00834C0B">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rPr>
              <w:t>III. PROGRAMET BUXHETORE DUHET T</w:t>
            </w:r>
            <w:r w:rsidR="00834C0B" w:rsidRPr="00E83C5E">
              <w:rPr>
                <w:rFonts w:ascii="Garamond" w:eastAsia="Times New Roman" w:hAnsi="Garamond" w:cs="Times New Roman"/>
                <w:b/>
                <w:bCs/>
                <w:color w:val="FF0000"/>
                <w:sz w:val="14"/>
                <w:szCs w:val="14"/>
              </w:rPr>
              <w:t>Ë</w:t>
            </w:r>
            <w:r w:rsidRPr="00E83C5E">
              <w:rPr>
                <w:rFonts w:ascii="Garamond" w:eastAsia="Times New Roman" w:hAnsi="Garamond" w:cs="Times New Roman"/>
                <w:b/>
                <w:bCs/>
                <w:color w:val="FF0000"/>
                <w:sz w:val="14"/>
                <w:szCs w:val="14"/>
              </w:rPr>
              <w:t xml:space="preserve"> IDENTIFIKOHEN P</w:t>
            </w:r>
            <w:r w:rsidR="00834C0B" w:rsidRPr="00E83C5E">
              <w:rPr>
                <w:rFonts w:ascii="Garamond" w:eastAsia="Times New Roman" w:hAnsi="Garamond" w:cs="Times New Roman"/>
                <w:b/>
                <w:bCs/>
                <w:color w:val="FF0000"/>
                <w:sz w:val="14"/>
                <w:szCs w:val="14"/>
              </w:rPr>
              <w:t>Ë</w:t>
            </w:r>
            <w:r w:rsidRPr="00E83C5E">
              <w:rPr>
                <w:rFonts w:ascii="Garamond" w:eastAsia="Times New Roman" w:hAnsi="Garamond" w:cs="Times New Roman"/>
                <w:b/>
                <w:bCs/>
                <w:color w:val="FF0000"/>
                <w:sz w:val="14"/>
                <w:szCs w:val="14"/>
              </w:rPr>
              <w:t>R ÇDO MAS</w:t>
            </w:r>
            <w:r w:rsidR="00834C0B" w:rsidRPr="00E83C5E">
              <w:rPr>
                <w:rFonts w:ascii="Garamond" w:eastAsia="Times New Roman" w:hAnsi="Garamond" w:cs="Times New Roman"/>
                <w:b/>
                <w:bCs/>
                <w:color w:val="FF0000"/>
                <w:sz w:val="14"/>
                <w:szCs w:val="14"/>
              </w:rPr>
              <w:t>Ë</w:t>
            </w:r>
            <w:r w:rsidRPr="00E83C5E">
              <w:rPr>
                <w:rFonts w:ascii="Garamond" w:eastAsia="Times New Roman" w:hAnsi="Garamond" w:cs="Times New Roman"/>
                <w:b/>
                <w:bCs/>
                <w:color w:val="FF0000"/>
                <w:sz w:val="14"/>
                <w:szCs w:val="14"/>
              </w:rPr>
              <w:t>/REKOMANDIM : FAZA</w:t>
            </w:r>
            <w:r w:rsidR="00233C37" w:rsidRPr="00E83C5E">
              <w:rPr>
                <w:rFonts w:ascii="Garamond" w:eastAsia="Times New Roman" w:hAnsi="Garamond" w:cs="Times New Roman"/>
                <w:b/>
                <w:bCs/>
                <w:color w:val="FF0000"/>
                <w:sz w:val="14"/>
                <w:szCs w:val="14"/>
              </w:rPr>
              <w:t xml:space="preserve"> </w:t>
            </w:r>
            <w:r w:rsidRPr="00E83C5E">
              <w:rPr>
                <w:rFonts w:ascii="Garamond" w:eastAsia="Times New Roman" w:hAnsi="Garamond" w:cs="Times New Roman"/>
                <w:b/>
                <w:bCs/>
                <w:color w:val="FF0000"/>
                <w:sz w:val="14"/>
                <w:szCs w:val="14"/>
              </w:rPr>
              <w:t>i</w:t>
            </w:r>
          </w:p>
        </w:tc>
      </w:tr>
      <w:tr w:rsidR="00444B63" w:rsidRPr="00E83C5E" w14:paraId="574E3234" w14:textId="77777777" w:rsidTr="00BE7B59">
        <w:trPr>
          <w:trHeight w:val="47"/>
          <w:jc w:val="center"/>
        </w:trPr>
        <w:tc>
          <w:tcPr>
            <w:tcW w:w="141" w:type="pct"/>
            <w:vMerge w:val="restart"/>
            <w:tcBorders>
              <w:top w:val="single" w:sz="4" w:space="0" w:color="auto"/>
              <w:left w:val="single" w:sz="8" w:space="0" w:color="auto"/>
              <w:right w:val="single" w:sz="4" w:space="0" w:color="auto"/>
            </w:tcBorders>
            <w:shd w:val="clear" w:color="auto" w:fill="auto"/>
            <w:vAlign w:val="center"/>
            <w:hideMark/>
          </w:tcPr>
          <w:p w14:paraId="574E322D"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Nr.</w:t>
            </w:r>
          </w:p>
        </w:tc>
        <w:tc>
          <w:tcPr>
            <w:tcW w:w="646" w:type="pct"/>
            <w:vMerge w:val="restart"/>
            <w:tcBorders>
              <w:top w:val="single" w:sz="4" w:space="0" w:color="auto"/>
              <w:left w:val="single" w:sz="4" w:space="0" w:color="auto"/>
              <w:right w:val="single" w:sz="4" w:space="0" w:color="auto"/>
            </w:tcBorders>
            <w:shd w:val="clear" w:color="auto" w:fill="auto"/>
            <w:vAlign w:val="center"/>
            <w:hideMark/>
          </w:tcPr>
          <w:p w14:paraId="574E322E"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Titulli</w:t>
            </w:r>
          </w:p>
        </w:tc>
        <w:tc>
          <w:tcPr>
            <w:tcW w:w="690" w:type="pct"/>
            <w:gridSpan w:val="2"/>
            <w:vMerge w:val="restart"/>
            <w:tcBorders>
              <w:top w:val="single" w:sz="4" w:space="0" w:color="auto"/>
              <w:left w:val="nil"/>
              <w:right w:val="single" w:sz="4" w:space="0" w:color="auto"/>
            </w:tcBorders>
            <w:shd w:val="clear" w:color="auto" w:fill="auto"/>
            <w:vAlign w:val="center"/>
            <w:hideMark/>
          </w:tcPr>
          <w:p w14:paraId="574E322F"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Institucionet përgjegjëse</w:t>
            </w:r>
          </w:p>
        </w:tc>
        <w:tc>
          <w:tcPr>
            <w:tcW w:w="535" w:type="pct"/>
            <w:gridSpan w:val="2"/>
            <w:vMerge w:val="restart"/>
            <w:tcBorders>
              <w:top w:val="single" w:sz="4" w:space="0" w:color="auto"/>
              <w:left w:val="nil"/>
              <w:right w:val="single" w:sz="8" w:space="0" w:color="000000"/>
            </w:tcBorders>
            <w:shd w:val="clear" w:color="auto" w:fill="auto"/>
            <w:vAlign w:val="center"/>
            <w:hideMark/>
          </w:tcPr>
          <w:p w14:paraId="574E3230"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Periudha e zbatimit</w:t>
            </w:r>
          </w:p>
        </w:tc>
        <w:tc>
          <w:tcPr>
            <w:tcW w:w="1006" w:type="pct"/>
            <w:gridSpan w:val="3"/>
            <w:vMerge w:val="restart"/>
            <w:tcBorders>
              <w:top w:val="single" w:sz="4" w:space="0" w:color="auto"/>
              <w:left w:val="nil"/>
              <w:right w:val="single" w:sz="8" w:space="0" w:color="000000"/>
            </w:tcBorders>
            <w:shd w:val="clear" w:color="auto" w:fill="auto"/>
            <w:vAlign w:val="center"/>
            <w:hideMark/>
          </w:tcPr>
          <w:p w14:paraId="574E3231" w14:textId="35926EBF" w:rsidR="00444B63" w:rsidRPr="00E83C5E" w:rsidRDefault="00444B63" w:rsidP="00A0721F">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xml:space="preserve">Kosto </w:t>
            </w:r>
            <w:r w:rsidR="00A0721F" w:rsidRPr="00E83C5E">
              <w:rPr>
                <w:rFonts w:ascii="Garamond" w:eastAsia="Times New Roman" w:hAnsi="Garamond" w:cs="Times New Roman"/>
                <w:b/>
                <w:bCs/>
                <w:color w:val="000000"/>
                <w:sz w:val="14"/>
                <w:szCs w:val="14"/>
                <w:lang w:eastAsia="en-GB"/>
              </w:rPr>
              <w:t>i</w:t>
            </w:r>
            <w:r w:rsidRPr="00E83C5E">
              <w:rPr>
                <w:rFonts w:ascii="Garamond" w:eastAsia="Times New Roman" w:hAnsi="Garamond" w:cs="Times New Roman"/>
                <w:b/>
                <w:bCs/>
                <w:color w:val="000000"/>
                <w:sz w:val="14"/>
                <w:szCs w:val="14"/>
                <w:lang w:eastAsia="en-GB"/>
              </w:rPr>
              <w:t>ndikative</w:t>
            </w:r>
          </w:p>
        </w:tc>
        <w:tc>
          <w:tcPr>
            <w:tcW w:w="1603" w:type="pct"/>
            <w:gridSpan w:val="9"/>
            <w:tcBorders>
              <w:top w:val="single" w:sz="4" w:space="0" w:color="auto"/>
              <w:left w:val="nil"/>
              <w:bottom w:val="single" w:sz="8" w:space="0" w:color="auto"/>
              <w:right w:val="nil"/>
            </w:tcBorders>
            <w:shd w:val="clear" w:color="auto" w:fill="auto"/>
            <w:vAlign w:val="center"/>
            <w:hideMark/>
          </w:tcPr>
          <w:p w14:paraId="574E3232" w14:textId="77777777" w:rsidR="00444B63" w:rsidRPr="00E83C5E" w:rsidRDefault="008C3E7E" w:rsidP="008C3E7E">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xml:space="preserve">Burimi </w:t>
            </w:r>
          </w:p>
        </w:tc>
        <w:tc>
          <w:tcPr>
            <w:tcW w:w="379" w:type="pct"/>
            <w:tcBorders>
              <w:top w:val="single" w:sz="4" w:space="0" w:color="auto"/>
              <w:left w:val="single" w:sz="8" w:space="0" w:color="auto"/>
              <w:right w:val="single" w:sz="8" w:space="0" w:color="auto"/>
            </w:tcBorders>
            <w:shd w:val="clear" w:color="auto" w:fill="auto"/>
            <w:vAlign w:val="center"/>
            <w:hideMark/>
          </w:tcPr>
          <w:p w14:paraId="574E3233"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Hendeku Financiar</w:t>
            </w:r>
          </w:p>
        </w:tc>
      </w:tr>
      <w:tr w:rsidR="00444B63" w:rsidRPr="00E83C5E" w14:paraId="574E323D" w14:textId="77777777" w:rsidTr="00BE7B59">
        <w:trPr>
          <w:trHeight w:val="37"/>
          <w:jc w:val="center"/>
        </w:trPr>
        <w:tc>
          <w:tcPr>
            <w:tcW w:w="141" w:type="pct"/>
            <w:vMerge/>
            <w:tcBorders>
              <w:left w:val="single" w:sz="8" w:space="0" w:color="auto"/>
              <w:right w:val="single" w:sz="4" w:space="0" w:color="auto"/>
            </w:tcBorders>
            <w:shd w:val="clear" w:color="auto" w:fill="auto"/>
            <w:vAlign w:val="center"/>
          </w:tcPr>
          <w:p w14:paraId="574E3235"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p>
        </w:tc>
        <w:tc>
          <w:tcPr>
            <w:tcW w:w="646" w:type="pct"/>
            <w:vMerge/>
            <w:tcBorders>
              <w:left w:val="single" w:sz="4" w:space="0" w:color="auto"/>
              <w:right w:val="single" w:sz="4" w:space="0" w:color="auto"/>
            </w:tcBorders>
            <w:shd w:val="clear" w:color="auto" w:fill="auto"/>
            <w:vAlign w:val="center"/>
          </w:tcPr>
          <w:p w14:paraId="574E3236"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p>
        </w:tc>
        <w:tc>
          <w:tcPr>
            <w:tcW w:w="690" w:type="pct"/>
            <w:gridSpan w:val="2"/>
            <w:vMerge/>
            <w:tcBorders>
              <w:left w:val="nil"/>
              <w:bottom w:val="single" w:sz="4" w:space="0" w:color="auto"/>
              <w:right w:val="single" w:sz="4" w:space="0" w:color="auto"/>
            </w:tcBorders>
            <w:shd w:val="clear" w:color="auto" w:fill="auto"/>
            <w:vAlign w:val="center"/>
          </w:tcPr>
          <w:p w14:paraId="574E3237"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p>
        </w:tc>
        <w:tc>
          <w:tcPr>
            <w:tcW w:w="535" w:type="pct"/>
            <w:gridSpan w:val="2"/>
            <w:vMerge/>
            <w:tcBorders>
              <w:left w:val="nil"/>
              <w:bottom w:val="single" w:sz="4" w:space="0" w:color="auto"/>
              <w:right w:val="single" w:sz="8" w:space="0" w:color="000000"/>
            </w:tcBorders>
            <w:shd w:val="clear" w:color="auto" w:fill="auto"/>
            <w:vAlign w:val="center"/>
          </w:tcPr>
          <w:p w14:paraId="574E3238"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p>
        </w:tc>
        <w:tc>
          <w:tcPr>
            <w:tcW w:w="1006" w:type="pct"/>
            <w:gridSpan w:val="3"/>
            <w:vMerge/>
            <w:tcBorders>
              <w:left w:val="nil"/>
              <w:bottom w:val="single" w:sz="4" w:space="0" w:color="auto"/>
              <w:right w:val="single" w:sz="8" w:space="0" w:color="000000"/>
            </w:tcBorders>
            <w:shd w:val="clear" w:color="auto" w:fill="auto"/>
            <w:vAlign w:val="center"/>
          </w:tcPr>
          <w:p w14:paraId="574E3239" w14:textId="77777777" w:rsidR="00444B63" w:rsidRPr="00E83C5E" w:rsidDel="00D6012C" w:rsidRDefault="00444B63" w:rsidP="00444B63">
            <w:pPr>
              <w:spacing w:after="0" w:line="240" w:lineRule="auto"/>
              <w:jc w:val="center"/>
              <w:rPr>
                <w:rFonts w:ascii="Garamond" w:eastAsia="Times New Roman" w:hAnsi="Garamond" w:cs="Times New Roman"/>
                <w:b/>
                <w:bCs/>
                <w:color w:val="000000"/>
                <w:sz w:val="14"/>
                <w:szCs w:val="14"/>
                <w:lang w:eastAsia="en-GB"/>
              </w:rPr>
            </w:pPr>
          </w:p>
        </w:tc>
        <w:tc>
          <w:tcPr>
            <w:tcW w:w="849" w:type="pct"/>
            <w:gridSpan w:val="5"/>
            <w:tcBorders>
              <w:top w:val="single" w:sz="8" w:space="0" w:color="auto"/>
              <w:left w:val="nil"/>
              <w:bottom w:val="single" w:sz="8" w:space="0" w:color="auto"/>
              <w:right w:val="single" w:sz="4" w:space="0" w:color="auto"/>
            </w:tcBorders>
            <w:shd w:val="clear" w:color="auto" w:fill="auto"/>
            <w:vAlign w:val="center"/>
          </w:tcPr>
          <w:p w14:paraId="574E323A"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PBA</w:t>
            </w:r>
          </w:p>
        </w:tc>
        <w:tc>
          <w:tcPr>
            <w:tcW w:w="754" w:type="pct"/>
            <w:gridSpan w:val="4"/>
            <w:tcBorders>
              <w:top w:val="single" w:sz="8" w:space="0" w:color="auto"/>
              <w:left w:val="single" w:sz="4" w:space="0" w:color="auto"/>
              <w:bottom w:val="single" w:sz="8" w:space="0" w:color="auto"/>
              <w:right w:val="nil"/>
            </w:tcBorders>
            <w:shd w:val="clear" w:color="auto" w:fill="auto"/>
            <w:vAlign w:val="center"/>
          </w:tcPr>
          <w:p w14:paraId="574E323B" w14:textId="71C2FB12"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Fi</w:t>
            </w:r>
            <w:r w:rsidR="00BC1D73">
              <w:rPr>
                <w:rFonts w:ascii="Garamond" w:eastAsia="Times New Roman" w:hAnsi="Garamond" w:cs="Times New Roman"/>
                <w:b/>
                <w:bCs/>
                <w:color w:val="000000"/>
                <w:sz w:val="14"/>
                <w:szCs w:val="14"/>
                <w:lang w:eastAsia="en-GB"/>
              </w:rPr>
              <w:t>nancim i huaj</w:t>
            </w:r>
          </w:p>
        </w:tc>
        <w:tc>
          <w:tcPr>
            <w:tcW w:w="379" w:type="pct"/>
            <w:tcBorders>
              <w:left w:val="single" w:sz="8" w:space="0" w:color="auto"/>
              <w:right w:val="single" w:sz="8" w:space="0" w:color="auto"/>
            </w:tcBorders>
            <w:shd w:val="clear" w:color="auto" w:fill="auto"/>
            <w:vAlign w:val="center"/>
          </w:tcPr>
          <w:p w14:paraId="574E323C"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p>
        </w:tc>
      </w:tr>
      <w:tr w:rsidR="00444B63" w:rsidRPr="00E83C5E" w14:paraId="574E324E" w14:textId="77777777" w:rsidTr="00BE7B59">
        <w:trPr>
          <w:trHeight w:val="37"/>
          <w:jc w:val="center"/>
        </w:trPr>
        <w:tc>
          <w:tcPr>
            <w:tcW w:w="141" w:type="pct"/>
            <w:vMerge/>
            <w:tcBorders>
              <w:left w:val="single" w:sz="8" w:space="0" w:color="auto"/>
              <w:bottom w:val="single" w:sz="4" w:space="0" w:color="auto"/>
              <w:right w:val="single" w:sz="4" w:space="0" w:color="auto"/>
            </w:tcBorders>
            <w:vAlign w:val="center"/>
            <w:hideMark/>
          </w:tcPr>
          <w:p w14:paraId="574E323E" w14:textId="77777777" w:rsidR="00444B63" w:rsidRPr="00E83C5E" w:rsidRDefault="00444B63" w:rsidP="00444B63">
            <w:pPr>
              <w:spacing w:after="0" w:line="240" w:lineRule="auto"/>
              <w:rPr>
                <w:rFonts w:ascii="Garamond" w:eastAsia="Times New Roman" w:hAnsi="Garamond" w:cs="Times New Roman"/>
                <w:b/>
                <w:bCs/>
                <w:color w:val="000000"/>
                <w:sz w:val="14"/>
                <w:szCs w:val="14"/>
                <w:lang w:eastAsia="en-GB"/>
              </w:rPr>
            </w:pPr>
          </w:p>
        </w:tc>
        <w:tc>
          <w:tcPr>
            <w:tcW w:w="646" w:type="pct"/>
            <w:vMerge/>
            <w:tcBorders>
              <w:left w:val="single" w:sz="4" w:space="0" w:color="auto"/>
              <w:bottom w:val="single" w:sz="4" w:space="0" w:color="auto"/>
              <w:right w:val="single" w:sz="4" w:space="0" w:color="auto"/>
            </w:tcBorders>
            <w:vAlign w:val="center"/>
            <w:hideMark/>
          </w:tcPr>
          <w:p w14:paraId="574E323F" w14:textId="77777777" w:rsidR="00444B63" w:rsidRPr="00E83C5E" w:rsidRDefault="00444B63" w:rsidP="00444B63">
            <w:pPr>
              <w:spacing w:after="0" w:line="240" w:lineRule="auto"/>
              <w:rPr>
                <w:rFonts w:ascii="Garamond" w:eastAsia="Times New Roman" w:hAnsi="Garamond" w:cs="Times New Roman"/>
                <w:b/>
                <w:bCs/>
                <w:color w:val="000000"/>
                <w:sz w:val="14"/>
                <w:szCs w:val="14"/>
                <w:lang w:eastAsia="en-GB"/>
              </w:rPr>
            </w:pPr>
          </w:p>
        </w:tc>
        <w:tc>
          <w:tcPr>
            <w:tcW w:w="365" w:type="pct"/>
            <w:tcBorders>
              <w:top w:val="nil"/>
              <w:left w:val="nil"/>
              <w:bottom w:val="single" w:sz="4" w:space="0" w:color="auto"/>
              <w:right w:val="single" w:sz="4" w:space="0" w:color="auto"/>
            </w:tcBorders>
            <w:shd w:val="clear" w:color="auto" w:fill="auto"/>
            <w:vAlign w:val="center"/>
            <w:hideMark/>
          </w:tcPr>
          <w:p w14:paraId="574E3240"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xml:space="preserve">Institucioni </w:t>
            </w:r>
            <w:r w:rsidRPr="00E83C5E">
              <w:rPr>
                <w:rFonts w:ascii="Garamond" w:eastAsia="Times New Roman" w:hAnsi="Garamond" w:cs="Times New Roman"/>
                <w:b/>
                <w:bCs/>
                <w:color w:val="000000"/>
                <w:sz w:val="14"/>
                <w:szCs w:val="14"/>
                <w:lang w:eastAsia="en-GB"/>
              </w:rPr>
              <w:br/>
              <w:t>udhëheqës</w:t>
            </w:r>
          </w:p>
        </w:tc>
        <w:tc>
          <w:tcPr>
            <w:tcW w:w="325" w:type="pct"/>
            <w:tcBorders>
              <w:top w:val="nil"/>
              <w:left w:val="nil"/>
              <w:bottom w:val="single" w:sz="4" w:space="0" w:color="auto"/>
              <w:right w:val="single" w:sz="4" w:space="0" w:color="auto"/>
            </w:tcBorders>
            <w:shd w:val="clear" w:color="auto" w:fill="auto"/>
            <w:vAlign w:val="center"/>
            <w:hideMark/>
          </w:tcPr>
          <w:p w14:paraId="574E3241"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Institucionet</w:t>
            </w:r>
            <w:r w:rsidRPr="00E83C5E">
              <w:rPr>
                <w:rFonts w:ascii="Garamond" w:eastAsia="Times New Roman" w:hAnsi="Garamond" w:cs="Times New Roman"/>
                <w:b/>
                <w:bCs/>
                <w:color w:val="000000"/>
                <w:sz w:val="14"/>
                <w:szCs w:val="14"/>
                <w:lang w:eastAsia="en-GB"/>
              </w:rPr>
              <w:br/>
              <w:t>kontribuuese</w:t>
            </w:r>
          </w:p>
        </w:tc>
        <w:tc>
          <w:tcPr>
            <w:tcW w:w="215" w:type="pct"/>
            <w:tcBorders>
              <w:top w:val="nil"/>
              <w:left w:val="nil"/>
              <w:bottom w:val="single" w:sz="4" w:space="0" w:color="auto"/>
              <w:right w:val="single" w:sz="4" w:space="0" w:color="auto"/>
            </w:tcBorders>
            <w:shd w:val="clear" w:color="auto" w:fill="auto"/>
            <w:vAlign w:val="center"/>
            <w:hideMark/>
          </w:tcPr>
          <w:p w14:paraId="574E3242" w14:textId="2504863E"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xml:space="preserve">Data e </w:t>
            </w:r>
            <w:r w:rsidR="00A0721F" w:rsidRPr="00E83C5E">
              <w:rPr>
                <w:rFonts w:ascii="Garamond" w:eastAsia="Times New Roman" w:hAnsi="Garamond" w:cs="Times New Roman"/>
                <w:b/>
                <w:bCs/>
                <w:color w:val="000000"/>
                <w:sz w:val="14"/>
                <w:szCs w:val="14"/>
                <w:lang w:eastAsia="en-GB"/>
              </w:rPr>
              <w:t>fillimit</w:t>
            </w:r>
          </w:p>
        </w:tc>
        <w:tc>
          <w:tcPr>
            <w:tcW w:w="319" w:type="pct"/>
            <w:tcBorders>
              <w:top w:val="nil"/>
              <w:left w:val="nil"/>
              <w:bottom w:val="single" w:sz="4" w:space="0" w:color="auto"/>
              <w:right w:val="single" w:sz="8" w:space="0" w:color="auto"/>
            </w:tcBorders>
            <w:shd w:val="clear" w:color="auto" w:fill="auto"/>
            <w:vAlign w:val="center"/>
            <w:hideMark/>
          </w:tcPr>
          <w:p w14:paraId="574E3243" w14:textId="5AAA5F83" w:rsidR="00444B63" w:rsidRPr="00E83C5E" w:rsidRDefault="00444B63" w:rsidP="00A0721F">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xml:space="preserve">Data e </w:t>
            </w:r>
            <w:r w:rsidR="00A0721F" w:rsidRPr="00E83C5E">
              <w:rPr>
                <w:rFonts w:ascii="Garamond" w:eastAsia="Times New Roman" w:hAnsi="Garamond" w:cs="Times New Roman"/>
                <w:b/>
                <w:bCs/>
                <w:color w:val="000000"/>
                <w:sz w:val="14"/>
                <w:szCs w:val="14"/>
                <w:lang w:eastAsia="en-GB"/>
              </w:rPr>
              <w:t>m</w:t>
            </w:r>
            <w:r w:rsidRPr="00E83C5E">
              <w:rPr>
                <w:rFonts w:ascii="Garamond" w:eastAsia="Times New Roman" w:hAnsi="Garamond" w:cs="Times New Roman"/>
                <w:b/>
                <w:bCs/>
                <w:color w:val="000000"/>
                <w:sz w:val="14"/>
                <w:szCs w:val="14"/>
                <w:lang w:eastAsia="en-GB"/>
              </w:rPr>
              <w:t>barimit</w:t>
            </w:r>
          </w:p>
        </w:tc>
        <w:tc>
          <w:tcPr>
            <w:tcW w:w="329" w:type="pct"/>
            <w:tcBorders>
              <w:top w:val="single" w:sz="4" w:space="0" w:color="auto"/>
              <w:left w:val="nil"/>
              <w:bottom w:val="single" w:sz="4" w:space="0" w:color="auto"/>
              <w:right w:val="nil"/>
            </w:tcBorders>
            <w:shd w:val="clear" w:color="auto" w:fill="auto"/>
            <w:vAlign w:val="center"/>
            <w:hideMark/>
          </w:tcPr>
          <w:p w14:paraId="574E3244" w14:textId="10A3064A"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Ko</w:t>
            </w:r>
            <w:r w:rsidR="00BC1D73">
              <w:rPr>
                <w:rFonts w:ascii="Garamond" w:eastAsia="Times New Roman" w:hAnsi="Garamond" w:cs="Times New Roman"/>
                <w:b/>
                <w:bCs/>
                <w:color w:val="000000"/>
                <w:sz w:val="14"/>
                <w:szCs w:val="14"/>
                <w:lang w:eastAsia="en-GB"/>
              </w:rPr>
              <w:t>r</w:t>
            </w:r>
            <w:r w:rsidRPr="00E83C5E">
              <w:rPr>
                <w:rFonts w:ascii="Garamond" w:eastAsia="Times New Roman" w:hAnsi="Garamond" w:cs="Times New Roman"/>
                <w:b/>
                <w:bCs/>
                <w:color w:val="000000"/>
                <w:sz w:val="14"/>
                <w:szCs w:val="14"/>
                <w:lang w:eastAsia="en-GB"/>
              </w:rPr>
              <w:t>rente</w:t>
            </w:r>
          </w:p>
        </w:tc>
        <w:tc>
          <w:tcPr>
            <w:tcW w:w="330" w:type="pct"/>
            <w:tcBorders>
              <w:top w:val="single" w:sz="4" w:space="0" w:color="auto"/>
              <w:left w:val="single" w:sz="8" w:space="0" w:color="auto"/>
              <w:bottom w:val="single" w:sz="4" w:space="0" w:color="auto"/>
              <w:right w:val="single" w:sz="8" w:space="0" w:color="auto"/>
            </w:tcBorders>
            <w:shd w:val="clear" w:color="auto" w:fill="auto"/>
            <w:vAlign w:val="center"/>
            <w:hideMark/>
          </w:tcPr>
          <w:p w14:paraId="574E3245"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Kapitale</w:t>
            </w:r>
          </w:p>
        </w:tc>
        <w:tc>
          <w:tcPr>
            <w:tcW w:w="346" w:type="pct"/>
            <w:tcBorders>
              <w:top w:val="single" w:sz="4" w:space="0" w:color="auto"/>
              <w:left w:val="nil"/>
              <w:bottom w:val="single" w:sz="4" w:space="0" w:color="auto"/>
              <w:right w:val="single" w:sz="8" w:space="0" w:color="auto"/>
            </w:tcBorders>
            <w:shd w:val="clear" w:color="auto" w:fill="auto"/>
            <w:vAlign w:val="center"/>
            <w:hideMark/>
          </w:tcPr>
          <w:p w14:paraId="574E3246"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Kosto totale</w:t>
            </w:r>
          </w:p>
        </w:tc>
        <w:tc>
          <w:tcPr>
            <w:tcW w:w="235" w:type="pct"/>
            <w:tcBorders>
              <w:top w:val="single" w:sz="8" w:space="0" w:color="auto"/>
              <w:left w:val="nil"/>
              <w:bottom w:val="single" w:sz="4" w:space="0" w:color="auto"/>
              <w:right w:val="single" w:sz="8" w:space="0" w:color="000000"/>
            </w:tcBorders>
            <w:shd w:val="clear" w:color="auto" w:fill="auto"/>
            <w:vAlign w:val="center"/>
            <w:hideMark/>
          </w:tcPr>
          <w:p w14:paraId="574E3247" w14:textId="715B4D90"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Ko</w:t>
            </w:r>
            <w:r w:rsidR="00BC1D73">
              <w:rPr>
                <w:rFonts w:ascii="Garamond" w:eastAsia="Times New Roman" w:hAnsi="Garamond" w:cs="Times New Roman"/>
                <w:b/>
                <w:bCs/>
                <w:color w:val="000000"/>
                <w:sz w:val="14"/>
                <w:szCs w:val="14"/>
                <w:lang w:eastAsia="en-GB"/>
              </w:rPr>
              <w:t>r</w:t>
            </w:r>
            <w:r w:rsidRPr="00E83C5E">
              <w:rPr>
                <w:rFonts w:ascii="Garamond" w:eastAsia="Times New Roman" w:hAnsi="Garamond" w:cs="Times New Roman"/>
                <w:b/>
                <w:bCs/>
                <w:color w:val="000000"/>
                <w:sz w:val="14"/>
                <w:szCs w:val="14"/>
                <w:lang w:eastAsia="en-GB"/>
              </w:rPr>
              <w:t>rente</w:t>
            </w:r>
          </w:p>
        </w:tc>
        <w:tc>
          <w:tcPr>
            <w:tcW w:w="271" w:type="pct"/>
            <w:gridSpan w:val="2"/>
            <w:tcBorders>
              <w:top w:val="single" w:sz="8" w:space="0" w:color="auto"/>
              <w:left w:val="nil"/>
              <w:bottom w:val="single" w:sz="4" w:space="0" w:color="auto"/>
              <w:right w:val="single" w:sz="8" w:space="0" w:color="000000"/>
            </w:tcBorders>
            <w:shd w:val="clear" w:color="auto" w:fill="auto"/>
            <w:vAlign w:val="center"/>
          </w:tcPr>
          <w:p w14:paraId="574E3248"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Kapitale</w:t>
            </w:r>
          </w:p>
        </w:tc>
        <w:tc>
          <w:tcPr>
            <w:tcW w:w="343" w:type="pct"/>
            <w:gridSpan w:val="2"/>
            <w:tcBorders>
              <w:top w:val="single" w:sz="8" w:space="0" w:color="auto"/>
              <w:left w:val="nil"/>
              <w:bottom w:val="single" w:sz="4" w:space="0" w:color="auto"/>
              <w:right w:val="single" w:sz="8" w:space="0" w:color="000000"/>
            </w:tcBorders>
            <w:shd w:val="clear" w:color="auto" w:fill="auto"/>
            <w:vAlign w:val="center"/>
          </w:tcPr>
          <w:p w14:paraId="574E3249"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Total BSH</w:t>
            </w:r>
          </w:p>
        </w:tc>
        <w:tc>
          <w:tcPr>
            <w:tcW w:w="229" w:type="pct"/>
            <w:tcBorders>
              <w:top w:val="single" w:sz="8" w:space="0" w:color="auto"/>
              <w:left w:val="nil"/>
              <w:bottom w:val="single" w:sz="4" w:space="0" w:color="auto"/>
              <w:right w:val="single" w:sz="8" w:space="0" w:color="000000"/>
            </w:tcBorders>
            <w:shd w:val="clear" w:color="auto" w:fill="auto"/>
            <w:vAlign w:val="center"/>
          </w:tcPr>
          <w:p w14:paraId="574E324A" w14:textId="5063683F"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Ko</w:t>
            </w:r>
            <w:r w:rsidR="00BC1D73">
              <w:rPr>
                <w:rFonts w:ascii="Garamond" w:eastAsia="Times New Roman" w:hAnsi="Garamond" w:cs="Times New Roman"/>
                <w:b/>
                <w:bCs/>
                <w:color w:val="000000"/>
                <w:sz w:val="14"/>
                <w:szCs w:val="14"/>
                <w:lang w:eastAsia="en-GB"/>
              </w:rPr>
              <w:t>r</w:t>
            </w:r>
            <w:r w:rsidRPr="00E83C5E">
              <w:rPr>
                <w:rFonts w:ascii="Garamond" w:eastAsia="Times New Roman" w:hAnsi="Garamond" w:cs="Times New Roman"/>
                <w:b/>
                <w:bCs/>
                <w:color w:val="000000"/>
                <w:sz w:val="14"/>
                <w:szCs w:val="14"/>
                <w:lang w:eastAsia="en-GB"/>
              </w:rPr>
              <w:t>rente</w:t>
            </w:r>
          </w:p>
        </w:tc>
        <w:tc>
          <w:tcPr>
            <w:tcW w:w="246" w:type="pct"/>
            <w:gridSpan w:val="2"/>
            <w:tcBorders>
              <w:top w:val="single" w:sz="8" w:space="0" w:color="auto"/>
              <w:left w:val="nil"/>
              <w:bottom w:val="single" w:sz="4" w:space="0" w:color="auto"/>
              <w:right w:val="single" w:sz="8" w:space="0" w:color="000000"/>
            </w:tcBorders>
            <w:shd w:val="clear" w:color="auto" w:fill="auto"/>
            <w:vAlign w:val="center"/>
          </w:tcPr>
          <w:p w14:paraId="574E324B"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Kapitale</w:t>
            </w:r>
          </w:p>
        </w:tc>
        <w:tc>
          <w:tcPr>
            <w:tcW w:w="279" w:type="pct"/>
            <w:tcBorders>
              <w:top w:val="single" w:sz="8" w:space="0" w:color="auto"/>
              <w:left w:val="nil"/>
              <w:bottom w:val="single" w:sz="4" w:space="0" w:color="auto"/>
              <w:right w:val="single" w:sz="8" w:space="0" w:color="000000"/>
            </w:tcBorders>
            <w:shd w:val="clear" w:color="auto" w:fill="auto"/>
            <w:vAlign w:val="center"/>
          </w:tcPr>
          <w:p w14:paraId="574E324C"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Total FH</w:t>
            </w:r>
          </w:p>
        </w:tc>
        <w:tc>
          <w:tcPr>
            <w:tcW w:w="379" w:type="pct"/>
            <w:tcBorders>
              <w:left w:val="single" w:sz="8" w:space="0" w:color="auto"/>
              <w:bottom w:val="single" w:sz="4" w:space="0" w:color="auto"/>
              <w:right w:val="single" w:sz="8" w:space="0" w:color="auto"/>
            </w:tcBorders>
            <w:vAlign w:val="center"/>
            <w:hideMark/>
          </w:tcPr>
          <w:p w14:paraId="574E324D" w14:textId="77777777" w:rsidR="00444B63" w:rsidRPr="00E83C5E" w:rsidRDefault="00444B63" w:rsidP="00444B63">
            <w:pPr>
              <w:spacing w:after="0" w:line="240" w:lineRule="auto"/>
              <w:rPr>
                <w:rFonts w:ascii="Garamond" w:eastAsia="Times New Roman" w:hAnsi="Garamond" w:cs="Times New Roman"/>
                <w:b/>
                <w:bCs/>
                <w:color w:val="000000"/>
                <w:sz w:val="14"/>
                <w:szCs w:val="14"/>
                <w:lang w:eastAsia="en-GB"/>
              </w:rPr>
            </w:pPr>
          </w:p>
        </w:tc>
      </w:tr>
      <w:tr w:rsidR="00444B63" w:rsidRPr="00E83C5E" w14:paraId="574E325F" w14:textId="77777777" w:rsidTr="008C3E7E">
        <w:trPr>
          <w:trHeight w:val="915"/>
          <w:jc w:val="center"/>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574E324F"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2.1</w:t>
            </w:r>
          </w:p>
        </w:tc>
        <w:tc>
          <w:tcPr>
            <w:tcW w:w="646" w:type="pct"/>
            <w:tcBorders>
              <w:top w:val="single" w:sz="4" w:space="0" w:color="auto"/>
              <w:left w:val="nil"/>
              <w:bottom w:val="single" w:sz="4" w:space="0" w:color="auto"/>
              <w:right w:val="single" w:sz="4" w:space="0" w:color="auto"/>
            </w:tcBorders>
            <w:shd w:val="clear" w:color="000000" w:fill="FCE4D6"/>
            <w:hideMark/>
          </w:tcPr>
          <w:p w14:paraId="574E3250"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Objektivi Specifik 1 Të rinjtë janë të aftësuar, të mirinformuar në lidhje me mundësitë për punësim dhe në gjendje të bëjnë zgjedhje autonome kur i bashkohen popullsisë ekonomikisht aktive</w:t>
            </w:r>
          </w:p>
        </w:tc>
        <w:tc>
          <w:tcPr>
            <w:tcW w:w="365" w:type="pct"/>
            <w:tcBorders>
              <w:top w:val="single" w:sz="4" w:space="0" w:color="auto"/>
              <w:left w:val="single" w:sz="4" w:space="0" w:color="auto"/>
              <w:bottom w:val="single" w:sz="4" w:space="0" w:color="auto"/>
              <w:right w:val="single" w:sz="4" w:space="0" w:color="auto"/>
            </w:tcBorders>
            <w:shd w:val="clear" w:color="000000" w:fill="FCE4D6"/>
            <w:hideMark/>
          </w:tcPr>
          <w:p w14:paraId="574E3251"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 MFE, AKPA</w:t>
            </w:r>
          </w:p>
        </w:tc>
        <w:tc>
          <w:tcPr>
            <w:tcW w:w="325" w:type="pct"/>
            <w:tcBorders>
              <w:top w:val="single" w:sz="4" w:space="0" w:color="auto"/>
              <w:left w:val="nil"/>
              <w:bottom w:val="single" w:sz="4" w:space="0" w:color="auto"/>
              <w:right w:val="single" w:sz="4" w:space="0" w:color="auto"/>
            </w:tcBorders>
            <w:shd w:val="clear" w:color="000000" w:fill="FCE4D6"/>
            <w:hideMark/>
          </w:tcPr>
          <w:p w14:paraId="574E3252"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MAS, MiSHMS, AKR, MAS, RASH, Njësitë e Qeverisjes Vendore, MIE</w:t>
            </w:r>
          </w:p>
        </w:tc>
        <w:tc>
          <w:tcPr>
            <w:tcW w:w="215" w:type="pct"/>
            <w:tcBorders>
              <w:top w:val="single" w:sz="4" w:space="0" w:color="auto"/>
              <w:left w:val="nil"/>
              <w:bottom w:val="single" w:sz="4" w:space="0" w:color="auto"/>
              <w:right w:val="single" w:sz="4" w:space="0" w:color="auto"/>
            </w:tcBorders>
            <w:shd w:val="clear" w:color="000000" w:fill="FCE4D6"/>
            <w:hideMark/>
          </w:tcPr>
          <w:p w14:paraId="574E3253" w14:textId="77777777" w:rsidR="00444B63" w:rsidRPr="00E83C5E" w:rsidRDefault="00444B63" w:rsidP="00444B63">
            <w:pPr>
              <w:spacing w:after="0" w:line="240" w:lineRule="auto"/>
              <w:jc w:val="right"/>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2022</w:t>
            </w:r>
          </w:p>
        </w:tc>
        <w:tc>
          <w:tcPr>
            <w:tcW w:w="319" w:type="pct"/>
            <w:tcBorders>
              <w:top w:val="single" w:sz="4" w:space="0" w:color="auto"/>
              <w:left w:val="nil"/>
              <w:bottom w:val="single" w:sz="4" w:space="0" w:color="auto"/>
              <w:right w:val="single" w:sz="4" w:space="0" w:color="auto"/>
            </w:tcBorders>
            <w:shd w:val="clear" w:color="000000" w:fill="FCE4D6"/>
            <w:hideMark/>
          </w:tcPr>
          <w:p w14:paraId="574E3254" w14:textId="77777777" w:rsidR="00444B63" w:rsidRPr="00E83C5E" w:rsidRDefault="00444B63" w:rsidP="00444B63">
            <w:pPr>
              <w:spacing w:after="0" w:line="240" w:lineRule="auto"/>
              <w:jc w:val="right"/>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single" w:sz="4" w:space="0" w:color="auto"/>
              <w:left w:val="nil"/>
              <w:bottom w:val="single" w:sz="4" w:space="0" w:color="auto"/>
              <w:right w:val="single" w:sz="4" w:space="0" w:color="auto"/>
            </w:tcBorders>
            <w:shd w:val="clear" w:color="000000" w:fill="FCE4D6"/>
            <w:hideMark/>
          </w:tcPr>
          <w:p w14:paraId="574E3255"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0" w:type="pct"/>
            <w:tcBorders>
              <w:top w:val="single" w:sz="4" w:space="0" w:color="auto"/>
              <w:left w:val="single" w:sz="4" w:space="0" w:color="auto"/>
              <w:bottom w:val="single" w:sz="4" w:space="0" w:color="auto"/>
              <w:right w:val="single" w:sz="4" w:space="0" w:color="auto"/>
            </w:tcBorders>
            <w:shd w:val="clear" w:color="000000" w:fill="FCE4D6"/>
            <w:hideMark/>
          </w:tcPr>
          <w:p w14:paraId="574E3256"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46" w:type="pct"/>
            <w:tcBorders>
              <w:top w:val="single" w:sz="4" w:space="0" w:color="auto"/>
              <w:left w:val="single" w:sz="4" w:space="0" w:color="auto"/>
              <w:bottom w:val="single" w:sz="4" w:space="0" w:color="auto"/>
              <w:right w:val="single" w:sz="4" w:space="0" w:color="auto"/>
            </w:tcBorders>
            <w:shd w:val="clear" w:color="000000" w:fill="FCE4D6"/>
            <w:hideMark/>
          </w:tcPr>
          <w:p w14:paraId="574E3257"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9" w:type="pct"/>
            <w:gridSpan w:val="2"/>
            <w:tcBorders>
              <w:top w:val="single" w:sz="4" w:space="0" w:color="auto"/>
              <w:left w:val="single" w:sz="4" w:space="0" w:color="auto"/>
              <w:bottom w:val="single" w:sz="4" w:space="0" w:color="auto"/>
              <w:right w:val="single" w:sz="4" w:space="0" w:color="auto"/>
            </w:tcBorders>
            <w:shd w:val="clear" w:color="000000" w:fill="FCE4D6"/>
            <w:hideMark/>
          </w:tcPr>
          <w:p w14:paraId="574E3258"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single" w:sz="4" w:space="0" w:color="auto"/>
              <w:left w:val="single" w:sz="4" w:space="0" w:color="auto"/>
              <w:bottom w:val="single" w:sz="4" w:space="0" w:color="auto"/>
              <w:right w:val="single" w:sz="4" w:space="0" w:color="auto"/>
            </w:tcBorders>
            <w:shd w:val="clear" w:color="000000" w:fill="FCE4D6"/>
            <w:hideMark/>
          </w:tcPr>
          <w:p w14:paraId="574E3259"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4" w:space="0" w:color="auto"/>
              <w:left w:val="single" w:sz="4" w:space="0" w:color="auto"/>
              <w:bottom w:val="single" w:sz="4" w:space="0" w:color="auto"/>
              <w:right w:val="single" w:sz="4" w:space="0" w:color="auto"/>
            </w:tcBorders>
            <w:shd w:val="clear" w:color="000000" w:fill="FCE4D6"/>
            <w:hideMark/>
          </w:tcPr>
          <w:p w14:paraId="574E325A"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29" w:type="pct"/>
            <w:tcBorders>
              <w:top w:val="single" w:sz="4" w:space="0" w:color="auto"/>
              <w:left w:val="single" w:sz="4" w:space="0" w:color="auto"/>
              <w:bottom w:val="single" w:sz="4" w:space="0" w:color="auto"/>
              <w:right w:val="single" w:sz="4" w:space="0" w:color="auto"/>
            </w:tcBorders>
            <w:shd w:val="clear" w:color="000000" w:fill="FCE4D6"/>
            <w:hideMark/>
          </w:tcPr>
          <w:p w14:paraId="574E325B"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single" w:sz="4" w:space="0" w:color="auto"/>
              <w:left w:val="single" w:sz="4" w:space="0" w:color="auto"/>
              <w:bottom w:val="single" w:sz="4" w:space="0" w:color="auto"/>
              <w:right w:val="single" w:sz="4" w:space="0" w:color="auto"/>
            </w:tcBorders>
            <w:shd w:val="clear" w:color="000000" w:fill="FCE4D6"/>
            <w:hideMark/>
          </w:tcPr>
          <w:p w14:paraId="574E325C"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single" w:sz="4" w:space="0" w:color="auto"/>
              <w:left w:val="single" w:sz="4" w:space="0" w:color="auto"/>
              <w:bottom w:val="single" w:sz="4" w:space="0" w:color="auto"/>
              <w:right w:val="single" w:sz="4" w:space="0" w:color="auto"/>
            </w:tcBorders>
            <w:shd w:val="clear" w:color="000000" w:fill="FCE4D6"/>
            <w:hideMark/>
          </w:tcPr>
          <w:p w14:paraId="574E325D"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79" w:type="pct"/>
            <w:tcBorders>
              <w:top w:val="single" w:sz="4" w:space="0" w:color="auto"/>
              <w:left w:val="single" w:sz="4" w:space="0" w:color="auto"/>
              <w:bottom w:val="single" w:sz="4" w:space="0" w:color="auto"/>
              <w:right w:val="single" w:sz="4" w:space="0" w:color="auto"/>
            </w:tcBorders>
            <w:shd w:val="clear" w:color="000000" w:fill="FCE4D6"/>
            <w:hideMark/>
          </w:tcPr>
          <w:p w14:paraId="574E325E"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r>
      <w:tr w:rsidR="00444B63" w:rsidRPr="00E83C5E" w14:paraId="574E3270" w14:textId="77777777" w:rsidTr="008C3E7E">
        <w:trPr>
          <w:trHeight w:val="559"/>
          <w:jc w:val="center"/>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574E3260"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2.1.1</w:t>
            </w:r>
          </w:p>
        </w:tc>
        <w:tc>
          <w:tcPr>
            <w:tcW w:w="646" w:type="pct"/>
            <w:tcBorders>
              <w:top w:val="single" w:sz="4" w:space="0" w:color="auto"/>
              <w:left w:val="nil"/>
              <w:bottom w:val="single" w:sz="4" w:space="0" w:color="auto"/>
              <w:right w:val="single" w:sz="4" w:space="0" w:color="auto"/>
            </w:tcBorders>
            <w:shd w:val="clear" w:color="000000" w:fill="DDEBF7"/>
            <w:hideMark/>
          </w:tcPr>
          <w:p w14:paraId="574E3261"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2.1.1 Masa 1. Bashkërendohet Politika Kombëtare e Punësimit dhe Aftësive me masat e propozuara në Strategjinë Kombëtare të Rinisë duke rritur nivelin e punësueshmërisë rinore, punësimin dhe sipërmarrjen e të rinjve përmes angazhimit dhe ndërveprimit të këshillave vendorë rinorë, ndërmarrjeve dhe startup-eve.</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4E326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single" w:sz="4" w:space="0" w:color="auto"/>
              <w:left w:val="nil"/>
              <w:bottom w:val="single" w:sz="4" w:space="0" w:color="auto"/>
              <w:right w:val="single" w:sz="4" w:space="0" w:color="auto"/>
            </w:tcBorders>
            <w:shd w:val="clear" w:color="auto" w:fill="auto"/>
            <w:vAlign w:val="center"/>
            <w:hideMark/>
          </w:tcPr>
          <w:p w14:paraId="574E326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 AKPA, MFE</w:t>
            </w:r>
          </w:p>
        </w:tc>
        <w:tc>
          <w:tcPr>
            <w:tcW w:w="215" w:type="pct"/>
            <w:tcBorders>
              <w:top w:val="single" w:sz="4" w:space="0" w:color="auto"/>
              <w:left w:val="nil"/>
              <w:bottom w:val="single" w:sz="4" w:space="0" w:color="auto"/>
              <w:right w:val="single" w:sz="4" w:space="0" w:color="auto"/>
            </w:tcBorders>
            <w:shd w:val="clear" w:color="auto" w:fill="auto"/>
            <w:vAlign w:val="center"/>
            <w:hideMark/>
          </w:tcPr>
          <w:p w14:paraId="574E326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2022</w:t>
            </w:r>
          </w:p>
        </w:tc>
        <w:tc>
          <w:tcPr>
            <w:tcW w:w="319" w:type="pct"/>
            <w:tcBorders>
              <w:top w:val="single" w:sz="4" w:space="0" w:color="auto"/>
              <w:left w:val="nil"/>
              <w:bottom w:val="single" w:sz="4" w:space="0" w:color="auto"/>
              <w:right w:val="single" w:sz="8" w:space="0" w:color="auto"/>
            </w:tcBorders>
            <w:shd w:val="clear" w:color="auto" w:fill="auto"/>
            <w:vAlign w:val="center"/>
            <w:hideMark/>
          </w:tcPr>
          <w:p w14:paraId="574E326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single" w:sz="4" w:space="0" w:color="auto"/>
              <w:left w:val="nil"/>
              <w:bottom w:val="single" w:sz="4" w:space="0" w:color="auto"/>
              <w:right w:val="single" w:sz="4" w:space="0" w:color="auto"/>
            </w:tcBorders>
            <w:shd w:val="clear" w:color="auto" w:fill="auto"/>
            <w:vAlign w:val="center"/>
            <w:hideMark/>
          </w:tcPr>
          <w:p w14:paraId="574E326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28,205,086</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574E326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839,346,000</w:t>
            </w:r>
          </w:p>
        </w:tc>
        <w:tc>
          <w:tcPr>
            <w:tcW w:w="346" w:type="pct"/>
            <w:tcBorders>
              <w:top w:val="single" w:sz="4" w:space="0" w:color="auto"/>
              <w:left w:val="nil"/>
              <w:bottom w:val="single" w:sz="4" w:space="0" w:color="auto"/>
              <w:right w:val="single" w:sz="8" w:space="0" w:color="auto"/>
            </w:tcBorders>
            <w:shd w:val="clear" w:color="auto" w:fill="auto"/>
            <w:vAlign w:val="center"/>
            <w:hideMark/>
          </w:tcPr>
          <w:p w14:paraId="574E326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867,551,086</w:t>
            </w:r>
          </w:p>
        </w:tc>
        <w:tc>
          <w:tcPr>
            <w:tcW w:w="259" w:type="pct"/>
            <w:gridSpan w:val="2"/>
            <w:tcBorders>
              <w:top w:val="single" w:sz="4" w:space="0" w:color="auto"/>
              <w:left w:val="nil"/>
              <w:bottom w:val="single" w:sz="4" w:space="0" w:color="auto"/>
              <w:right w:val="single" w:sz="4" w:space="0" w:color="auto"/>
            </w:tcBorders>
            <w:shd w:val="clear" w:color="auto" w:fill="auto"/>
            <w:vAlign w:val="center"/>
            <w:hideMark/>
          </w:tcPr>
          <w:p w14:paraId="574E326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single" w:sz="4" w:space="0" w:color="auto"/>
              <w:left w:val="nil"/>
              <w:bottom w:val="single" w:sz="4" w:space="0" w:color="auto"/>
              <w:right w:val="single" w:sz="4" w:space="0" w:color="auto"/>
            </w:tcBorders>
            <w:shd w:val="clear" w:color="auto" w:fill="auto"/>
            <w:vAlign w:val="center"/>
            <w:hideMark/>
          </w:tcPr>
          <w:p w14:paraId="574E326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4" w:space="0" w:color="auto"/>
              <w:left w:val="nil"/>
              <w:bottom w:val="single" w:sz="4" w:space="0" w:color="auto"/>
              <w:right w:val="nil"/>
            </w:tcBorders>
            <w:shd w:val="clear" w:color="auto" w:fill="auto"/>
            <w:vAlign w:val="center"/>
            <w:hideMark/>
          </w:tcPr>
          <w:p w14:paraId="574E326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405,982,286</w:t>
            </w:r>
          </w:p>
        </w:tc>
        <w:tc>
          <w:tcPr>
            <w:tcW w:w="229"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574E326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single" w:sz="4" w:space="0" w:color="auto"/>
              <w:left w:val="nil"/>
              <w:bottom w:val="single" w:sz="4" w:space="0" w:color="auto"/>
              <w:right w:val="single" w:sz="4" w:space="0" w:color="auto"/>
            </w:tcBorders>
            <w:shd w:val="clear" w:color="auto" w:fill="auto"/>
            <w:vAlign w:val="center"/>
            <w:hideMark/>
          </w:tcPr>
          <w:p w14:paraId="574E326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single" w:sz="4" w:space="0" w:color="auto"/>
              <w:left w:val="nil"/>
              <w:bottom w:val="single" w:sz="4" w:space="0" w:color="auto"/>
              <w:right w:val="single" w:sz="4" w:space="0" w:color="auto"/>
            </w:tcBorders>
            <w:shd w:val="clear" w:color="auto" w:fill="auto"/>
            <w:vAlign w:val="center"/>
            <w:hideMark/>
          </w:tcPr>
          <w:p w14:paraId="574E326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435,000,000</w:t>
            </w:r>
          </w:p>
        </w:tc>
        <w:tc>
          <w:tcPr>
            <w:tcW w:w="379" w:type="pct"/>
            <w:tcBorders>
              <w:top w:val="single" w:sz="4" w:space="0" w:color="auto"/>
              <w:left w:val="single" w:sz="4" w:space="0" w:color="auto"/>
              <w:bottom w:val="single" w:sz="4" w:space="0" w:color="auto"/>
              <w:right w:val="single" w:sz="8" w:space="0" w:color="auto"/>
            </w:tcBorders>
            <w:shd w:val="clear" w:color="auto" w:fill="auto"/>
            <w:vAlign w:val="center"/>
            <w:hideMark/>
          </w:tcPr>
          <w:p w14:paraId="574E326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-26,568,800</w:t>
            </w:r>
          </w:p>
        </w:tc>
      </w:tr>
      <w:tr w:rsidR="00444B63" w:rsidRPr="00E83C5E" w14:paraId="574E3281" w14:textId="77777777" w:rsidTr="008C3E7E">
        <w:trPr>
          <w:trHeight w:val="450"/>
          <w:jc w:val="center"/>
        </w:trPr>
        <w:tc>
          <w:tcPr>
            <w:tcW w:w="141" w:type="pct"/>
            <w:tcBorders>
              <w:top w:val="nil"/>
              <w:left w:val="single" w:sz="8" w:space="0" w:color="auto"/>
              <w:bottom w:val="single" w:sz="4" w:space="0" w:color="auto"/>
              <w:right w:val="single" w:sz="4" w:space="0" w:color="auto"/>
            </w:tcBorders>
            <w:shd w:val="clear" w:color="auto" w:fill="auto"/>
            <w:noWrap/>
            <w:vAlign w:val="center"/>
            <w:hideMark/>
          </w:tcPr>
          <w:p w14:paraId="574E3271"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2.1.2</w:t>
            </w:r>
          </w:p>
        </w:tc>
        <w:tc>
          <w:tcPr>
            <w:tcW w:w="646" w:type="pct"/>
            <w:tcBorders>
              <w:top w:val="single" w:sz="4" w:space="0" w:color="auto"/>
              <w:left w:val="nil"/>
              <w:bottom w:val="single" w:sz="4" w:space="0" w:color="auto"/>
              <w:right w:val="single" w:sz="4" w:space="0" w:color="auto"/>
            </w:tcBorders>
            <w:shd w:val="clear" w:color="000000" w:fill="DDEBF7"/>
            <w:hideMark/>
          </w:tcPr>
          <w:p w14:paraId="574E3272"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2.1.2 Masa 2 Nxitet dhe forcohet punësimi rinor në fushën e TIK dhe digjitalizimit përmes zhvillimit të programeve të aftësimit në kodim, TIK dhe digjitalizim bazuar në studimet e tregut dhe zhvillimit të punësimit në këtë fushë si në Shqipëri dhe me gjerë.</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27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nil"/>
              <w:left w:val="nil"/>
              <w:bottom w:val="single" w:sz="4" w:space="0" w:color="auto"/>
              <w:right w:val="single" w:sz="4" w:space="0" w:color="auto"/>
            </w:tcBorders>
            <w:shd w:val="clear" w:color="auto" w:fill="auto"/>
            <w:vAlign w:val="center"/>
            <w:hideMark/>
          </w:tcPr>
          <w:p w14:paraId="574E327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 AKPA</w:t>
            </w:r>
          </w:p>
        </w:tc>
        <w:tc>
          <w:tcPr>
            <w:tcW w:w="215" w:type="pct"/>
            <w:tcBorders>
              <w:top w:val="nil"/>
              <w:left w:val="nil"/>
              <w:bottom w:val="single" w:sz="4" w:space="0" w:color="auto"/>
              <w:right w:val="single" w:sz="4" w:space="0" w:color="auto"/>
            </w:tcBorders>
            <w:shd w:val="clear" w:color="auto" w:fill="auto"/>
            <w:vAlign w:val="center"/>
            <w:hideMark/>
          </w:tcPr>
          <w:p w14:paraId="574E327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2022</w:t>
            </w:r>
          </w:p>
        </w:tc>
        <w:tc>
          <w:tcPr>
            <w:tcW w:w="319" w:type="pct"/>
            <w:tcBorders>
              <w:top w:val="nil"/>
              <w:left w:val="nil"/>
              <w:bottom w:val="single" w:sz="4" w:space="0" w:color="auto"/>
              <w:right w:val="single" w:sz="8" w:space="0" w:color="auto"/>
            </w:tcBorders>
            <w:shd w:val="clear" w:color="auto" w:fill="auto"/>
            <w:vAlign w:val="center"/>
            <w:hideMark/>
          </w:tcPr>
          <w:p w14:paraId="574E327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nil"/>
              <w:left w:val="nil"/>
              <w:bottom w:val="single" w:sz="4" w:space="0" w:color="auto"/>
              <w:right w:val="single" w:sz="4" w:space="0" w:color="auto"/>
            </w:tcBorders>
            <w:shd w:val="clear" w:color="auto" w:fill="auto"/>
            <w:vAlign w:val="center"/>
            <w:hideMark/>
          </w:tcPr>
          <w:p w14:paraId="574E327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17,753,136</w:t>
            </w:r>
          </w:p>
        </w:tc>
        <w:tc>
          <w:tcPr>
            <w:tcW w:w="330" w:type="pct"/>
            <w:tcBorders>
              <w:top w:val="nil"/>
              <w:left w:val="nil"/>
              <w:bottom w:val="single" w:sz="4" w:space="0" w:color="auto"/>
              <w:right w:val="single" w:sz="4" w:space="0" w:color="auto"/>
            </w:tcBorders>
            <w:shd w:val="clear" w:color="auto" w:fill="auto"/>
            <w:vAlign w:val="center"/>
            <w:hideMark/>
          </w:tcPr>
          <w:p w14:paraId="574E3278" w14:textId="77777777" w:rsidR="00444B63" w:rsidRPr="00E83C5E" w:rsidRDefault="00444B63" w:rsidP="00444B63">
            <w:pPr>
              <w:spacing w:after="0" w:line="240" w:lineRule="auto"/>
              <w:jc w:val="center"/>
              <w:rPr>
                <w:rFonts w:ascii="Garamond" w:eastAsia="Times New Roman" w:hAnsi="Garamond" w:cs="Times New Roman"/>
                <w:sz w:val="14"/>
                <w:szCs w:val="14"/>
                <w:lang w:eastAsia="en-GB"/>
              </w:rPr>
            </w:pPr>
            <w:r w:rsidRPr="00E83C5E">
              <w:rPr>
                <w:rFonts w:ascii="Garamond" w:eastAsia="Times New Roman" w:hAnsi="Garamond" w:cs="Times New Roman"/>
                <w:sz w:val="14"/>
                <w:szCs w:val="14"/>
                <w:lang w:eastAsia="en-GB"/>
              </w:rPr>
              <w:t>0</w:t>
            </w:r>
          </w:p>
        </w:tc>
        <w:tc>
          <w:tcPr>
            <w:tcW w:w="346" w:type="pct"/>
            <w:tcBorders>
              <w:top w:val="single" w:sz="8" w:space="0" w:color="auto"/>
              <w:left w:val="nil"/>
              <w:bottom w:val="single" w:sz="4" w:space="0" w:color="auto"/>
              <w:right w:val="single" w:sz="8" w:space="0" w:color="auto"/>
            </w:tcBorders>
            <w:shd w:val="clear" w:color="auto" w:fill="auto"/>
            <w:vAlign w:val="center"/>
            <w:hideMark/>
          </w:tcPr>
          <w:p w14:paraId="574E327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17,753,136</w:t>
            </w:r>
          </w:p>
        </w:tc>
        <w:tc>
          <w:tcPr>
            <w:tcW w:w="259" w:type="pct"/>
            <w:gridSpan w:val="2"/>
            <w:tcBorders>
              <w:top w:val="nil"/>
              <w:left w:val="nil"/>
              <w:bottom w:val="single" w:sz="4" w:space="0" w:color="auto"/>
              <w:right w:val="single" w:sz="4" w:space="0" w:color="auto"/>
            </w:tcBorders>
            <w:shd w:val="clear" w:color="auto" w:fill="auto"/>
            <w:noWrap/>
            <w:vAlign w:val="center"/>
            <w:hideMark/>
          </w:tcPr>
          <w:p w14:paraId="574E327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noWrap/>
            <w:vAlign w:val="center"/>
            <w:hideMark/>
          </w:tcPr>
          <w:p w14:paraId="574E327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8" w:space="0" w:color="auto"/>
              <w:left w:val="nil"/>
              <w:bottom w:val="single" w:sz="4" w:space="0" w:color="auto"/>
              <w:right w:val="nil"/>
            </w:tcBorders>
            <w:shd w:val="clear" w:color="auto" w:fill="auto"/>
            <w:vAlign w:val="center"/>
            <w:hideMark/>
          </w:tcPr>
          <w:p w14:paraId="574E327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5,710,656</w:t>
            </w:r>
          </w:p>
        </w:tc>
        <w:tc>
          <w:tcPr>
            <w:tcW w:w="229" w:type="pct"/>
            <w:tcBorders>
              <w:top w:val="nil"/>
              <w:left w:val="single" w:sz="8" w:space="0" w:color="auto"/>
              <w:bottom w:val="single" w:sz="4" w:space="0" w:color="auto"/>
              <w:right w:val="single" w:sz="4" w:space="0" w:color="auto"/>
            </w:tcBorders>
            <w:shd w:val="clear" w:color="auto" w:fill="auto"/>
            <w:noWrap/>
            <w:vAlign w:val="center"/>
            <w:hideMark/>
          </w:tcPr>
          <w:p w14:paraId="574E327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nil"/>
              <w:left w:val="nil"/>
              <w:bottom w:val="single" w:sz="4" w:space="0" w:color="auto"/>
              <w:right w:val="single" w:sz="4" w:space="0" w:color="auto"/>
            </w:tcBorders>
            <w:shd w:val="clear" w:color="auto" w:fill="auto"/>
            <w:noWrap/>
            <w:vAlign w:val="center"/>
            <w:hideMark/>
          </w:tcPr>
          <w:p w14:paraId="574E327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27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8" w:space="0" w:color="auto"/>
              <w:left w:val="nil"/>
              <w:bottom w:val="single" w:sz="4" w:space="0" w:color="auto"/>
              <w:right w:val="single" w:sz="8" w:space="0" w:color="auto"/>
            </w:tcBorders>
            <w:shd w:val="clear" w:color="auto" w:fill="auto"/>
            <w:vAlign w:val="center"/>
            <w:hideMark/>
          </w:tcPr>
          <w:p w14:paraId="574E328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-12,042,480</w:t>
            </w:r>
          </w:p>
        </w:tc>
      </w:tr>
      <w:tr w:rsidR="00444B63" w:rsidRPr="00E83C5E" w14:paraId="574E3292" w14:textId="77777777" w:rsidTr="00BE7B59">
        <w:trPr>
          <w:trHeight w:val="37"/>
          <w:jc w:val="center"/>
        </w:trPr>
        <w:tc>
          <w:tcPr>
            <w:tcW w:w="141" w:type="pct"/>
            <w:tcBorders>
              <w:top w:val="nil"/>
              <w:left w:val="single" w:sz="8" w:space="0" w:color="auto"/>
              <w:bottom w:val="single" w:sz="4" w:space="0" w:color="auto"/>
              <w:right w:val="single" w:sz="4" w:space="0" w:color="auto"/>
            </w:tcBorders>
            <w:shd w:val="clear" w:color="auto" w:fill="auto"/>
            <w:noWrap/>
            <w:vAlign w:val="center"/>
            <w:hideMark/>
          </w:tcPr>
          <w:p w14:paraId="574E3282"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2.1.3</w:t>
            </w:r>
          </w:p>
        </w:tc>
        <w:tc>
          <w:tcPr>
            <w:tcW w:w="646" w:type="pct"/>
            <w:tcBorders>
              <w:top w:val="single" w:sz="4" w:space="0" w:color="auto"/>
              <w:left w:val="nil"/>
              <w:bottom w:val="single" w:sz="4" w:space="0" w:color="auto"/>
              <w:right w:val="single" w:sz="4" w:space="0" w:color="auto"/>
            </w:tcBorders>
            <w:shd w:val="clear" w:color="000000" w:fill="DDEBF7"/>
            <w:hideMark/>
          </w:tcPr>
          <w:p w14:paraId="574E3283" w14:textId="53F646D4"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2.1.3 Masa 3</w:t>
            </w:r>
            <w:r w:rsidRPr="00E83C5E">
              <w:rPr>
                <w:rFonts w:ascii="Garamond" w:eastAsia="Times New Roman" w:hAnsi="Garamond" w:cs="Times New Roman"/>
                <w:color w:val="000000"/>
                <w:sz w:val="14"/>
                <w:szCs w:val="14"/>
                <w:lang w:eastAsia="en-GB"/>
              </w:rPr>
              <w:br/>
              <w:t>Pranë institucioneve arsimore dhe aftësuese zhvillohen shërbime inovative dhe digjitale të</w:t>
            </w:r>
            <w:r w:rsidR="00233C37" w:rsidRPr="00E83C5E">
              <w:rPr>
                <w:rFonts w:ascii="Garamond" w:eastAsia="Times New Roman" w:hAnsi="Garamond" w:cs="Times New Roman"/>
                <w:color w:val="000000"/>
                <w:sz w:val="14"/>
                <w:szCs w:val="14"/>
                <w:lang w:eastAsia="en-GB"/>
              </w:rPr>
              <w:t xml:space="preserve"> </w:t>
            </w:r>
            <w:r w:rsidRPr="00E83C5E">
              <w:rPr>
                <w:rFonts w:ascii="Garamond" w:eastAsia="Times New Roman" w:hAnsi="Garamond" w:cs="Times New Roman"/>
                <w:color w:val="000000"/>
                <w:sz w:val="14"/>
                <w:szCs w:val="14"/>
                <w:lang w:eastAsia="en-GB"/>
              </w:rPr>
              <w:t>këshillimit për punësim dhe orientim në karrierë miqësore për të rinjtë dhe</w:t>
            </w:r>
            <w:r w:rsidR="00233C37" w:rsidRPr="00E83C5E">
              <w:rPr>
                <w:rFonts w:ascii="Garamond" w:eastAsia="Times New Roman" w:hAnsi="Garamond" w:cs="Times New Roman"/>
                <w:color w:val="000000"/>
                <w:sz w:val="14"/>
                <w:szCs w:val="14"/>
                <w:lang w:eastAsia="en-GB"/>
              </w:rPr>
              <w:t xml:space="preserve"> </w:t>
            </w:r>
            <w:r w:rsidRPr="00E83C5E">
              <w:rPr>
                <w:rFonts w:ascii="Garamond" w:eastAsia="Times New Roman" w:hAnsi="Garamond" w:cs="Times New Roman"/>
                <w:color w:val="000000"/>
                <w:sz w:val="14"/>
                <w:szCs w:val="14"/>
                <w:lang w:eastAsia="en-GB"/>
              </w:rPr>
              <w:t>në respektim të</w:t>
            </w:r>
            <w:r w:rsidR="00233C37" w:rsidRPr="00E83C5E">
              <w:rPr>
                <w:rFonts w:ascii="Garamond" w:eastAsia="Times New Roman" w:hAnsi="Garamond" w:cs="Times New Roman"/>
                <w:color w:val="000000"/>
                <w:sz w:val="14"/>
                <w:szCs w:val="14"/>
                <w:lang w:eastAsia="en-GB"/>
              </w:rPr>
              <w:t xml:space="preserve"> </w:t>
            </w:r>
            <w:r w:rsidRPr="00E83C5E">
              <w:rPr>
                <w:rFonts w:ascii="Garamond" w:eastAsia="Times New Roman" w:hAnsi="Garamond" w:cs="Times New Roman"/>
                <w:color w:val="000000"/>
                <w:sz w:val="14"/>
                <w:szCs w:val="14"/>
                <w:lang w:eastAsia="en-GB"/>
              </w:rPr>
              <w:t xml:space="preserve">shanseve të drejta dhe të </w:t>
            </w:r>
            <w:r w:rsidRPr="00E83C5E">
              <w:rPr>
                <w:rFonts w:ascii="Garamond" w:eastAsia="Times New Roman" w:hAnsi="Garamond" w:cs="Times New Roman"/>
                <w:color w:val="000000"/>
                <w:sz w:val="14"/>
                <w:szCs w:val="14"/>
                <w:lang w:eastAsia="en-GB"/>
              </w:rPr>
              <w:lastRenderedPageBreak/>
              <w:t>barabarta për të arritur potencialin e plotë rinor.</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28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lastRenderedPageBreak/>
              <w:t xml:space="preserve"> AKPA</w:t>
            </w:r>
          </w:p>
        </w:tc>
        <w:tc>
          <w:tcPr>
            <w:tcW w:w="325" w:type="pct"/>
            <w:tcBorders>
              <w:top w:val="nil"/>
              <w:left w:val="nil"/>
              <w:bottom w:val="single" w:sz="4" w:space="0" w:color="auto"/>
              <w:right w:val="single" w:sz="4" w:space="0" w:color="auto"/>
            </w:tcBorders>
            <w:shd w:val="clear" w:color="auto" w:fill="auto"/>
            <w:vAlign w:val="center"/>
            <w:hideMark/>
          </w:tcPr>
          <w:p w14:paraId="574E328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 MiSHMS, MFE, MAS, RASH, MSHRF</w:t>
            </w:r>
          </w:p>
        </w:tc>
        <w:tc>
          <w:tcPr>
            <w:tcW w:w="215" w:type="pct"/>
            <w:tcBorders>
              <w:top w:val="nil"/>
              <w:left w:val="nil"/>
              <w:bottom w:val="single" w:sz="4" w:space="0" w:color="auto"/>
              <w:right w:val="single" w:sz="4" w:space="0" w:color="auto"/>
            </w:tcBorders>
            <w:shd w:val="clear" w:color="auto" w:fill="auto"/>
            <w:vAlign w:val="center"/>
            <w:hideMark/>
          </w:tcPr>
          <w:p w14:paraId="574E328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2023</w:t>
            </w:r>
          </w:p>
        </w:tc>
        <w:tc>
          <w:tcPr>
            <w:tcW w:w="319" w:type="pct"/>
            <w:tcBorders>
              <w:top w:val="nil"/>
              <w:left w:val="nil"/>
              <w:bottom w:val="single" w:sz="4" w:space="0" w:color="auto"/>
              <w:right w:val="single" w:sz="8" w:space="0" w:color="auto"/>
            </w:tcBorders>
            <w:shd w:val="clear" w:color="auto" w:fill="auto"/>
            <w:vAlign w:val="center"/>
            <w:hideMark/>
          </w:tcPr>
          <w:p w14:paraId="574E328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nil"/>
              <w:left w:val="nil"/>
              <w:bottom w:val="single" w:sz="4" w:space="0" w:color="auto"/>
              <w:right w:val="single" w:sz="4" w:space="0" w:color="auto"/>
            </w:tcBorders>
            <w:shd w:val="clear" w:color="auto" w:fill="auto"/>
            <w:vAlign w:val="center"/>
            <w:hideMark/>
          </w:tcPr>
          <w:p w14:paraId="574E328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73,436,000</w:t>
            </w:r>
          </w:p>
        </w:tc>
        <w:tc>
          <w:tcPr>
            <w:tcW w:w="330" w:type="pct"/>
            <w:tcBorders>
              <w:top w:val="nil"/>
              <w:left w:val="nil"/>
              <w:bottom w:val="single" w:sz="4" w:space="0" w:color="auto"/>
              <w:right w:val="single" w:sz="4" w:space="0" w:color="auto"/>
            </w:tcBorders>
            <w:shd w:val="clear" w:color="auto" w:fill="auto"/>
            <w:vAlign w:val="center"/>
            <w:hideMark/>
          </w:tcPr>
          <w:p w14:paraId="574E3289" w14:textId="77777777" w:rsidR="00444B63" w:rsidRPr="00E83C5E" w:rsidRDefault="00444B63" w:rsidP="00444B63">
            <w:pPr>
              <w:spacing w:after="0" w:line="240" w:lineRule="auto"/>
              <w:jc w:val="center"/>
              <w:rPr>
                <w:rFonts w:ascii="Garamond" w:eastAsia="Times New Roman" w:hAnsi="Garamond" w:cs="Times New Roman"/>
                <w:sz w:val="14"/>
                <w:szCs w:val="14"/>
                <w:lang w:eastAsia="en-GB"/>
              </w:rPr>
            </w:pPr>
            <w:r w:rsidRPr="00E83C5E">
              <w:rPr>
                <w:rFonts w:ascii="Garamond" w:eastAsia="Times New Roman" w:hAnsi="Garamond" w:cs="Times New Roman"/>
                <w:sz w:val="14"/>
                <w:szCs w:val="14"/>
                <w:lang w:eastAsia="en-GB"/>
              </w:rPr>
              <w:t>2,070,000</w:t>
            </w:r>
          </w:p>
        </w:tc>
        <w:tc>
          <w:tcPr>
            <w:tcW w:w="346" w:type="pct"/>
            <w:tcBorders>
              <w:top w:val="single" w:sz="8" w:space="0" w:color="auto"/>
              <w:left w:val="nil"/>
              <w:bottom w:val="single" w:sz="4" w:space="0" w:color="auto"/>
              <w:right w:val="single" w:sz="8" w:space="0" w:color="auto"/>
            </w:tcBorders>
            <w:shd w:val="clear" w:color="auto" w:fill="auto"/>
            <w:vAlign w:val="center"/>
            <w:hideMark/>
          </w:tcPr>
          <w:p w14:paraId="574E328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75,506,000</w:t>
            </w:r>
          </w:p>
        </w:tc>
        <w:tc>
          <w:tcPr>
            <w:tcW w:w="259" w:type="pct"/>
            <w:gridSpan w:val="2"/>
            <w:tcBorders>
              <w:top w:val="nil"/>
              <w:left w:val="nil"/>
              <w:bottom w:val="single" w:sz="4" w:space="0" w:color="auto"/>
              <w:right w:val="single" w:sz="4" w:space="0" w:color="auto"/>
            </w:tcBorders>
            <w:shd w:val="clear" w:color="auto" w:fill="auto"/>
            <w:noWrap/>
            <w:vAlign w:val="center"/>
            <w:hideMark/>
          </w:tcPr>
          <w:p w14:paraId="574E328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noWrap/>
            <w:vAlign w:val="center"/>
            <w:hideMark/>
          </w:tcPr>
          <w:p w14:paraId="574E328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8" w:space="0" w:color="auto"/>
              <w:left w:val="nil"/>
              <w:bottom w:val="single" w:sz="4" w:space="0" w:color="auto"/>
              <w:right w:val="nil"/>
            </w:tcBorders>
            <w:shd w:val="clear" w:color="auto" w:fill="auto"/>
            <w:vAlign w:val="center"/>
            <w:hideMark/>
          </w:tcPr>
          <w:p w14:paraId="574E328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72,140,000</w:t>
            </w:r>
          </w:p>
        </w:tc>
        <w:tc>
          <w:tcPr>
            <w:tcW w:w="229" w:type="pct"/>
            <w:tcBorders>
              <w:top w:val="nil"/>
              <w:left w:val="single" w:sz="8" w:space="0" w:color="auto"/>
              <w:bottom w:val="single" w:sz="4" w:space="0" w:color="auto"/>
              <w:right w:val="single" w:sz="4" w:space="0" w:color="auto"/>
            </w:tcBorders>
            <w:shd w:val="clear" w:color="auto" w:fill="auto"/>
            <w:noWrap/>
            <w:vAlign w:val="center"/>
            <w:hideMark/>
          </w:tcPr>
          <w:p w14:paraId="574E328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nil"/>
              <w:left w:val="nil"/>
              <w:bottom w:val="single" w:sz="4" w:space="0" w:color="auto"/>
              <w:right w:val="single" w:sz="4" w:space="0" w:color="auto"/>
            </w:tcBorders>
            <w:shd w:val="clear" w:color="auto" w:fill="auto"/>
            <w:noWrap/>
            <w:vAlign w:val="center"/>
            <w:hideMark/>
          </w:tcPr>
          <w:p w14:paraId="574E328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29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8" w:space="0" w:color="auto"/>
              <w:left w:val="nil"/>
              <w:bottom w:val="single" w:sz="4" w:space="0" w:color="auto"/>
              <w:right w:val="single" w:sz="8" w:space="0" w:color="auto"/>
            </w:tcBorders>
            <w:shd w:val="clear" w:color="auto" w:fill="auto"/>
            <w:vAlign w:val="center"/>
            <w:hideMark/>
          </w:tcPr>
          <w:p w14:paraId="574E329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-3,366,000</w:t>
            </w:r>
          </w:p>
        </w:tc>
      </w:tr>
      <w:tr w:rsidR="00444B63" w:rsidRPr="00E83C5E" w14:paraId="574E32A3" w14:textId="77777777" w:rsidTr="008C3E7E">
        <w:trPr>
          <w:trHeight w:val="450"/>
          <w:jc w:val="center"/>
        </w:trPr>
        <w:tc>
          <w:tcPr>
            <w:tcW w:w="141" w:type="pct"/>
            <w:tcBorders>
              <w:top w:val="nil"/>
              <w:left w:val="single" w:sz="8" w:space="0" w:color="auto"/>
              <w:bottom w:val="single" w:sz="4" w:space="0" w:color="auto"/>
              <w:right w:val="single" w:sz="4" w:space="0" w:color="auto"/>
            </w:tcBorders>
            <w:shd w:val="clear" w:color="auto" w:fill="auto"/>
            <w:noWrap/>
            <w:vAlign w:val="center"/>
            <w:hideMark/>
          </w:tcPr>
          <w:p w14:paraId="574E3293"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lastRenderedPageBreak/>
              <w:t>2.1.4</w:t>
            </w:r>
          </w:p>
        </w:tc>
        <w:tc>
          <w:tcPr>
            <w:tcW w:w="646" w:type="pct"/>
            <w:tcBorders>
              <w:top w:val="single" w:sz="4" w:space="0" w:color="auto"/>
              <w:left w:val="nil"/>
              <w:bottom w:val="single" w:sz="4" w:space="0" w:color="auto"/>
              <w:right w:val="single" w:sz="4" w:space="0" w:color="auto"/>
            </w:tcBorders>
            <w:shd w:val="clear" w:color="000000" w:fill="DDEBF7"/>
            <w:hideMark/>
          </w:tcPr>
          <w:p w14:paraId="574E3294" w14:textId="144EE34D"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2.1.4 Masa 4 Nxitet dhe forcohet novacioni përmes sipërmarrjeve rinore dhe nga të rinjtë duke e vënë novacionin rinor në fokus të kuadrit ligjor dhe politikave publike të Start Up-eve,</w:t>
            </w:r>
            <w:r w:rsidR="00233C37" w:rsidRPr="00E83C5E">
              <w:rPr>
                <w:rFonts w:ascii="Garamond" w:eastAsia="Times New Roman" w:hAnsi="Garamond" w:cs="Times New Roman"/>
                <w:color w:val="000000"/>
                <w:sz w:val="14"/>
                <w:szCs w:val="14"/>
                <w:lang w:eastAsia="en-GB"/>
              </w:rPr>
              <w:t xml:space="preserve"> </w:t>
            </w:r>
            <w:r w:rsidRPr="00E83C5E">
              <w:rPr>
                <w:rFonts w:ascii="Garamond" w:eastAsia="Times New Roman" w:hAnsi="Garamond" w:cs="Times New Roman"/>
                <w:color w:val="000000"/>
                <w:sz w:val="14"/>
                <w:szCs w:val="14"/>
                <w:lang w:eastAsia="en-GB"/>
              </w:rPr>
              <w:t>politikave të punësimit dhe mbështetjes së nismave si co-working spaces</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29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MiSHMS</w:t>
            </w:r>
          </w:p>
        </w:tc>
        <w:tc>
          <w:tcPr>
            <w:tcW w:w="325" w:type="pct"/>
            <w:tcBorders>
              <w:top w:val="nil"/>
              <w:left w:val="nil"/>
              <w:bottom w:val="single" w:sz="4" w:space="0" w:color="auto"/>
              <w:right w:val="single" w:sz="4" w:space="0" w:color="auto"/>
            </w:tcBorders>
            <w:shd w:val="clear" w:color="auto" w:fill="auto"/>
            <w:vAlign w:val="center"/>
            <w:hideMark/>
          </w:tcPr>
          <w:p w14:paraId="574E329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 MSHRF, MAS, RASH, NjVV, AKPA</w:t>
            </w:r>
          </w:p>
        </w:tc>
        <w:tc>
          <w:tcPr>
            <w:tcW w:w="215" w:type="pct"/>
            <w:tcBorders>
              <w:top w:val="nil"/>
              <w:left w:val="nil"/>
              <w:bottom w:val="single" w:sz="4" w:space="0" w:color="auto"/>
              <w:right w:val="single" w:sz="4" w:space="0" w:color="auto"/>
            </w:tcBorders>
            <w:shd w:val="clear" w:color="auto" w:fill="auto"/>
            <w:vAlign w:val="center"/>
            <w:hideMark/>
          </w:tcPr>
          <w:p w14:paraId="574E329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2023</w:t>
            </w:r>
          </w:p>
        </w:tc>
        <w:tc>
          <w:tcPr>
            <w:tcW w:w="319" w:type="pct"/>
            <w:tcBorders>
              <w:top w:val="nil"/>
              <w:left w:val="nil"/>
              <w:bottom w:val="single" w:sz="4" w:space="0" w:color="auto"/>
              <w:right w:val="single" w:sz="8" w:space="0" w:color="auto"/>
            </w:tcBorders>
            <w:shd w:val="clear" w:color="auto" w:fill="auto"/>
            <w:vAlign w:val="center"/>
            <w:hideMark/>
          </w:tcPr>
          <w:p w14:paraId="574E329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2026</w:t>
            </w:r>
          </w:p>
        </w:tc>
        <w:tc>
          <w:tcPr>
            <w:tcW w:w="329" w:type="pct"/>
            <w:tcBorders>
              <w:top w:val="nil"/>
              <w:left w:val="nil"/>
              <w:bottom w:val="single" w:sz="4" w:space="0" w:color="auto"/>
              <w:right w:val="single" w:sz="4" w:space="0" w:color="auto"/>
            </w:tcBorders>
            <w:shd w:val="clear" w:color="auto" w:fill="auto"/>
            <w:vAlign w:val="center"/>
            <w:hideMark/>
          </w:tcPr>
          <w:p w14:paraId="574E329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1,204,356,000</w:t>
            </w:r>
          </w:p>
        </w:tc>
        <w:tc>
          <w:tcPr>
            <w:tcW w:w="330" w:type="pct"/>
            <w:tcBorders>
              <w:top w:val="nil"/>
              <w:left w:val="nil"/>
              <w:bottom w:val="single" w:sz="4" w:space="0" w:color="auto"/>
              <w:right w:val="single" w:sz="4" w:space="0" w:color="auto"/>
            </w:tcBorders>
            <w:shd w:val="clear" w:color="auto" w:fill="auto"/>
            <w:vAlign w:val="center"/>
            <w:hideMark/>
          </w:tcPr>
          <w:p w14:paraId="574E329A" w14:textId="77777777" w:rsidR="00444B63" w:rsidRPr="00E83C5E" w:rsidRDefault="00444B63" w:rsidP="00444B63">
            <w:pPr>
              <w:spacing w:after="0" w:line="240" w:lineRule="auto"/>
              <w:jc w:val="center"/>
              <w:rPr>
                <w:rFonts w:ascii="Garamond" w:eastAsia="Times New Roman" w:hAnsi="Garamond" w:cs="Times New Roman"/>
                <w:sz w:val="14"/>
                <w:szCs w:val="14"/>
                <w:lang w:eastAsia="en-GB"/>
              </w:rPr>
            </w:pPr>
            <w:r w:rsidRPr="00E83C5E">
              <w:rPr>
                <w:rFonts w:ascii="Garamond" w:eastAsia="Times New Roman" w:hAnsi="Garamond" w:cs="Times New Roman"/>
                <w:sz w:val="14"/>
                <w:szCs w:val="14"/>
                <w:lang w:eastAsia="en-GB"/>
              </w:rPr>
              <w:t>414,000</w:t>
            </w:r>
          </w:p>
        </w:tc>
        <w:tc>
          <w:tcPr>
            <w:tcW w:w="346" w:type="pct"/>
            <w:tcBorders>
              <w:top w:val="single" w:sz="8" w:space="0" w:color="auto"/>
              <w:left w:val="nil"/>
              <w:bottom w:val="single" w:sz="4" w:space="0" w:color="auto"/>
              <w:right w:val="single" w:sz="8" w:space="0" w:color="auto"/>
            </w:tcBorders>
            <w:shd w:val="clear" w:color="auto" w:fill="auto"/>
            <w:vAlign w:val="center"/>
            <w:hideMark/>
          </w:tcPr>
          <w:p w14:paraId="574E329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1,204,770,000</w:t>
            </w:r>
          </w:p>
        </w:tc>
        <w:tc>
          <w:tcPr>
            <w:tcW w:w="259" w:type="pct"/>
            <w:gridSpan w:val="2"/>
            <w:tcBorders>
              <w:top w:val="nil"/>
              <w:left w:val="nil"/>
              <w:bottom w:val="single" w:sz="4" w:space="0" w:color="auto"/>
              <w:right w:val="single" w:sz="4" w:space="0" w:color="auto"/>
            </w:tcBorders>
            <w:shd w:val="clear" w:color="auto" w:fill="auto"/>
            <w:noWrap/>
            <w:vAlign w:val="center"/>
            <w:hideMark/>
          </w:tcPr>
          <w:p w14:paraId="574E329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noWrap/>
            <w:vAlign w:val="center"/>
            <w:hideMark/>
          </w:tcPr>
          <w:p w14:paraId="574E329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8" w:space="0" w:color="auto"/>
              <w:left w:val="nil"/>
              <w:bottom w:val="single" w:sz="4" w:space="0" w:color="auto"/>
              <w:right w:val="nil"/>
            </w:tcBorders>
            <w:shd w:val="clear" w:color="auto" w:fill="auto"/>
            <w:vAlign w:val="center"/>
            <w:hideMark/>
          </w:tcPr>
          <w:p w14:paraId="574E329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1,200,000,000</w:t>
            </w:r>
          </w:p>
        </w:tc>
        <w:tc>
          <w:tcPr>
            <w:tcW w:w="229" w:type="pct"/>
            <w:tcBorders>
              <w:top w:val="nil"/>
              <w:left w:val="single" w:sz="8" w:space="0" w:color="auto"/>
              <w:bottom w:val="single" w:sz="4" w:space="0" w:color="auto"/>
              <w:right w:val="single" w:sz="4" w:space="0" w:color="auto"/>
            </w:tcBorders>
            <w:shd w:val="clear" w:color="auto" w:fill="auto"/>
            <w:noWrap/>
            <w:vAlign w:val="center"/>
            <w:hideMark/>
          </w:tcPr>
          <w:p w14:paraId="574E329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nil"/>
              <w:left w:val="nil"/>
              <w:bottom w:val="single" w:sz="4" w:space="0" w:color="auto"/>
              <w:right w:val="single" w:sz="4" w:space="0" w:color="auto"/>
            </w:tcBorders>
            <w:shd w:val="clear" w:color="auto" w:fill="auto"/>
            <w:noWrap/>
            <w:vAlign w:val="center"/>
            <w:hideMark/>
          </w:tcPr>
          <w:p w14:paraId="574E32A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2A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8" w:space="0" w:color="auto"/>
              <w:left w:val="nil"/>
              <w:bottom w:val="single" w:sz="4" w:space="0" w:color="auto"/>
              <w:right w:val="single" w:sz="8" w:space="0" w:color="auto"/>
            </w:tcBorders>
            <w:shd w:val="clear" w:color="auto" w:fill="auto"/>
            <w:vAlign w:val="center"/>
            <w:hideMark/>
          </w:tcPr>
          <w:p w14:paraId="574E32A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-4,770,000</w:t>
            </w:r>
          </w:p>
        </w:tc>
      </w:tr>
      <w:tr w:rsidR="00444B63" w:rsidRPr="00E83C5E" w14:paraId="574E32B4" w14:textId="77777777" w:rsidTr="008C3E7E">
        <w:trPr>
          <w:trHeight w:val="450"/>
          <w:jc w:val="center"/>
        </w:trPr>
        <w:tc>
          <w:tcPr>
            <w:tcW w:w="141" w:type="pct"/>
            <w:tcBorders>
              <w:top w:val="nil"/>
              <w:left w:val="single" w:sz="8" w:space="0" w:color="auto"/>
              <w:bottom w:val="single" w:sz="4" w:space="0" w:color="auto"/>
              <w:right w:val="single" w:sz="4" w:space="0" w:color="auto"/>
            </w:tcBorders>
            <w:shd w:val="clear" w:color="auto" w:fill="auto"/>
            <w:noWrap/>
            <w:vAlign w:val="center"/>
            <w:hideMark/>
          </w:tcPr>
          <w:p w14:paraId="574E32A4"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2.1.5</w:t>
            </w:r>
          </w:p>
        </w:tc>
        <w:tc>
          <w:tcPr>
            <w:tcW w:w="646" w:type="pct"/>
            <w:tcBorders>
              <w:top w:val="single" w:sz="4" w:space="0" w:color="auto"/>
              <w:left w:val="nil"/>
              <w:bottom w:val="single" w:sz="4" w:space="0" w:color="auto"/>
              <w:right w:val="single" w:sz="4" w:space="0" w:color="auto"/>
            </w:tcBorders>
            <w:shd w:val="clear" w:color="000000" w:fill="DDEBF7"/>
            <w:hideMark/>
          </w:tcPr>
          <w:p w14:paraId="574E32A5"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2.1.5 Masa 5</w:t>
            </w:r>
            <w:r w:rsidRPr="00E83C5E">
              <w:rPr>
                <w:rFonts w:ascii="Garamond" w:eastAsia="Times New Roman" w:hAnsi="Garamond" w:cs="Times New Roman"/>
                <w:color w:val="000000"/>
                <w:sz w:val="14"/>
                <w:szCs w:val="14"/>
                <w:lang w:eastAsia="en-GB"/>
              </w:rPr>
              <w:br/>
              <w:t>Përmirësohen programet dhe shërbimet që ofrojnë mbështetje për lëvizshmërinë e të rinjve, dhe bashkëpunimin mes tyre brenda vendit e më gjerë</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2A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nil"/>
              <w:left w:val="nil"/>
              <w:bottom w:val="single" w:sz="4" w:space="0" w:color="auto"/>
              <w:right w:val="single" w:sz="4" w:space="0" w:color="auto"/>
            </w:tcBorders>
            <w:shd w:val="clear" w:color="auto" w:fill="auto"/>
            <w:vAlign w:val="center"/>
            <w:hideMark/>
          </w:tcPr>
          <w:p w14:paraId="574E32A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MIE</w:t>
            </w:r>
          </w:p>
        </w:tc>
        <w:tc>
          <w:tcPr>
            <w:tcW w:w="215" w:type="pct"/>
            <w:tcBorders>
              <w:top w:val="nil"/>
              <w:left w:val="nil"/>
              <w:bottom w:val="single" w:sz="4" w:space="0" w:color="auto"/>
              <w:right w:val="single" w:sz="4" w:space="0" w:color="auto"/>
            </w:tcBorders>
            <w:shd w:val="clear" w:color="auto" w:fill="auto"/>
            <w:vAlign w:val="center"/>
            <w:hideMark/>
          </w:tcPr>
          <w:p w14:paraId="574E32A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2023</w:t>
            </w:r>
          </w:p>
        </w:tc>
        <w:tc>
          <w:tcPr>
            <w:tcW w:w="319" w:type="pct"/>
            <w:tcBorders>
              <w:top w:val="nil"/>
              <w:left w:val="nil"/>
              <w:bottom w:val="single" w:sz="4" w:space="0" w:color="auto"/>
              <w:right w:val="single" w:sz="8" w:space="0" w:color="auto"/>
            </w:tcBorders>
            <w:shd w:val="clear" w:color="auto" w:fill="auto"/>
            <w:vAlign w:val="center"/>
            <w:hideMark/>
          </w:tcPr>
          <w:p w14:paraId="574E32A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2026</w:t>
            </w:r>
          </w:p>
        </w:tc>
        <w:tc>
          <w:tcPr>
            <w:tcW w:w="329" w:type="pct"/>
            <w:tcBorders>
              <w:top w:val="nil"/>
              <w:left w:val="nil"/>
              <w:bottom w:val="single" w:sz="4" w:space="0" w:color="auto"/>
              <w:right w:val="single" w:sz="4" w:space="0" w:color="auto"/>
            </w:tcBorders>
            <w:shd w:val="clear" w:color="auto" w:fill="auto"/>
            <w:vAlign w:val="center"/>
            <w:hideMark/>
          </w:tcPr>
          <w:p w14:paraId="574E32A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21,042,304</w:t>
            </w:r>
          </w:p>
        </w:tc>
        <w:tc>
          <w:tcPr>
            <w:tcW w:w="330" w:type="pct"/>
            <w:tcBorders>
              <w:top w:val="nil"/>
              <w:left w:val="nil"/>
              <w:bottom w:val="single" w:sz="4" w:space="0" w:color="auto"/>
              <w:right w:val="single" w:sz="4" w:space="0" w:color="auto"/>
            </w:tcBorders>
            <w:shd w:val="clear" w:color="auto" w:fill="auto"/>
            <w:vAlign w:val="center"/>
            <w:hideMark/>
          </w:tcPr>
          <w:p w14:paraId="574E32AB" w14:textId="77777777" w:rsidR="00444B63" w:rsidRPr="00E83C5E" w:rsidRDefault="00444B63" w:rsidP="00444B63">
            <w:pPr>
              <w:spacing w:after="0" w:line="240" w:lineRule="auto"/>
              <w:jc w:val="center"/>
              <w:rPr>
                <w:rFonts w:ascii="Garamond" w:eastAsia="Times New Roman" w:hAnsi="Garamond" w:cs="Times New Roman"/>
                <w:sz w:val="14"/>
                <w:szCs w:val="14"/>
                <w:lang w:eastAsia="en-GB"/>
              </w:rPr>
            </w:pPr>
            <w:r w:rsidRPr="00E83C5E">
              <w:rPr>
                <w:rFonts w:ascii="Garamond" w:eastAsia="Times New Roman" w:hAnsi="Garamond" w:cs="Times New Roman"/>
                <w:sz w:val="14"/>
                <w:szCs w:val="14"/>
                <w:lang w:eastAsia="en-GB"/>
              </w:rPr>
              <w:t>0</w:t>
            </w:r>
          </w:p>
        </w:tc>
        <w:tc>
          <w:tcPr>
            <w:tcW w:w="346" w:type="pct"/>
            <w:tcBorders>
              <w:top w:val="single" w:sz="8" w:space="0" w:color="auto"/>
              <w:left w:val="nil"/>
              <w:bottom w:val="single" w:sz="4" w:space="0" w:color="auto"/>
              <w:right w:val="single" w:sz="8" w:space="0" w:color="auto"/>
            </w:tcBorders>
            <w:shd w:val="clear" w:color="auto" w:fill="auto"/>
            <w:vAlign w:val="center"/>
            <w:hideMark/>
          </w:tcPr>
          <w:p w14:paraId="574E32A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21,042,304</w:t>
            </w:r>
          </w:p>
        </w:tc>
        <w:tc>
          <w:tcPr>
            <w:tcW w:w="259" w:type="pct"/>
            <w:gridSpan w:val="2"/>
            <w:tcBorders>
              <w:top w:val="nil"/>
              <w:left w:val="nil"/>
              <w:bottom w:val="single" w:sz="4" w:space="0" w:color="auto"/>
              <w:right w:val="single" w:sz="4" w:space="0" w:color="auto"/>
            </w:tcBorders>
            <w:shd w:val="clear" w:color="auto" w:fill="auto"/>
            <w:noWrap/>
            <w:vAlign w:val="center"/>
            <w:hideMark/>
          </w:tcPr>
          <w:p w14:paraId="574E32A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noWrap/>
            <w:vAlign w:val="center"/>
            <w:hideMark/>
          </w:tcPr>
          <w:p w14:paraId="574E32A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8" w:space="0" w:color="auto"/>
              <w:left w:val="nil"/>
              <w:bottom w:val="single" w:sz="4" w:space="0" w:color="auto"/>
              <w:right w:val="nil"/>
            </w:tcBorders>
            <w:shd w:val="clear" w:color="auto" w:fill="auto"/>
            <w:vAlign w:val="center"/>
            <w:hideMark/>
          </w:tcPr>
          <w:p w14:paraId="574E32A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2,130,303</w:t>
            </w:r>
          </w:p>
        </w:tc>
        <w:tc>
          <w:tcPr>
            <w:tcW w:w="229" w:type="pct"/>
            <w:tcBorders>
              <w:top w:val="nil"/>
              <w:left w:val="single" w:sz="8" w:space="0" w:color="auto"/>
              <w:bottom w:val="single" w:sz="4" w:space="0" w:color="auto"/>
              <w:right w:val="single" w:sz="4" w:space="0" w:color="auto"/>
            </w:tcBorders>
            <w:shd w:val="clear" w:color="auto" w:fill="auto"/>
            <w:noWrap/>
            <w:vAlign w:val="center"/>
            <w:hideMark/>
          </w:tcPr>
          <w:p w14:paraId="574E32B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nil"/>
              <w:left w:val="nil"/>
              <w:bottom w:val="single" w:sz="4" w:space="0" w:color="auto"/>
              <w:right w:val="single" w:sz="4" w:space="0" w:color="auto"/>
            </w:tcBorders>
            <w:shd w:val="clear" w:color="auto" w:fill="auto"/>
            <w:noWrap/>
            <w:vAlign w:val="center"/>
            <w:hideMark/>
          </w:tcPr>
          <w:p w14:paraId="574E32B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2B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8" w:space="0" w:color="auto"/>
              <w:left w:val="nil"/>
              <w:bottom w:val="single" w:sz="4" w:space="0" w:color="auto"/>
              <w:right w:val="single" w:sz="8" w:space="0" w:color="auto"/>
            </w:tcBorders>
            <w:shd w:val="clear" w:color="auto" w:fill="auto"/>
            <w:vAlign w:val="center"/>
            <w:hideMark/>
          </w:tcPr>
          <w:p w14:paraId="574E32B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-18,912,001</w:t>
            </w:r>
          </w:p>
        </w:tc>
      </w:tr>
      <w:tr w:rsidR="00444B63" w:rsidRPr="00E83C5E" w14:paraId="574E32C5" w14:textId="77777777" w:rsidTr="008C3E7E">
        <w:trPr>
          <w:trHeight w:val="450"/>
          <w:jc w:val="center"/>
        </w:trPr>
        <w:tc>
          <w:tcPr>
            <w:tcW w:w="141" w:type="pct"/>
            <w:tcBorders>
              <w:top w:val="nil"/>
              <w:left w:val="single" w:sz="8" w:space="0" w:color="auto"/>
              <w:bottom w:val="single" w:sz="4" w:space="0" w:color="auto"/>
              <w:right w:val="single" w:sz="4" w:space="0" w:color="auto"/>
            </w:tcBorders>
            <w:shd w:val="clear" w:color="auto" w:fill="auto"/>
            <w:noWrap/>
            <w:vAlign w:val="center"/>
            <w:hideMark/>
          </w:tcPr>
          <w:p w14:paraId="574E32B5"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2.1.6</w:t>
            </w:r>
          </w:p>
        </w:tc>
        <w:tc>
          <w:tcPr>
            <w:tcW w:w="646" w:type="pct"/>
            <w:tcBorders>
              <w:top w:val="single" w:sz="4" w:space="0" w:color="auto"/>
              <w:left w:val="nil"/>
              <w:bottom w:val="single" w:sz="4" w:space="0" w:color="auto"/>
              <w:right w:val="single" w:sz="4" w:space="0" w:color="auto"/>
            </w:tcBorders>
            <w:shd w:val="clear" w:color="000000" w:fill="DDEBF7"/>
            <w:hideMark/>
          </w:tcPr>
          <w:p w14:paraId="574E32B6" w14:textId="0F8C6EC6"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xml:space="preserve">2.1.6 Masa 6 Lehtësohet transporti publik </w:t>
            </w:r>
            <w:r w:rsidR="008B63B6" w:rsidRPr="00E83C5E">
              <w:rPr>
                <w:rFonts w:ascii="Garamond" w:eastAsia="Times New Roman" w:hAnsi="Garamond" w:cs="Times New Roman"/>
                <w:color w:val="000000"/>
                <w:sz w:val="14"/>
                <w:szCs w:val="14"/>
                <w:lang w:eastAsia="en-GB"/>
              </w:rPr>
              <w:t>ndër</w:t>
            </w:r>
            <w:r w:rsidRPr="00E83C5E">
              <w:rPr>
                <w:rFonts w:ascii="Garamond" w:eastAsia="Times New Roman" w:hAnsi="Garamond" w:cs="Times New Roman"/>
                <w:color w:val="000000"/>
                <w:sz w:val="14"/>
                <w:szCs w:val="14"/>
                <w:lang w:eastAsia="en-GB"/>
              </w:rPr>
              <w:t>qytetas për të rinjtë, duke rritur lëvizshmërinë e tyre në qarqe.</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2B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MSHFR</w:t>
            </w:r>
          </w:p>
        </w:tc>
        <w:tc>
          <w:tcPr>
            <w:tcW w:w="325" w:type="pct"/>
            <w:tcBorders>
              <w:top w:val="nil"/>
              <w:left w:val="nil"/>
              <w:bottom w:val="single" w:sz="4" w:space="0" w:color="auto"/>
              <w:right w:val="single" w:sz="4" w:space="0" w:color="auto"/>
            </w:tcBorders>
            <w:shd w:val="clear" w:color="auto" w:fill="auto"/>
            <w:vAlign w:val="center"/>
            <w:hideMark/>
          </w:tcPr>
          <w:p w14:paraId="574E32B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MIE, NjVV</w:t>
            </w:r>
          </w:p>
        </w:tc>
        <w:tc>
          <w:tcPr>
            <w:tcW w:w="215" w:type="pct"/>
            <w:tcBorders>
              <w:top w:val="nil"/>
              <w:left w:val="nil"/>
              <w:bottom w:val="single" w:sz="4" w:space="0" w:color="auto"/>
              <w:right w:val="single" w:sz="4" w:space="0" w:color="auto"/>
            </w:tcBorders>
            <w:shd w:val="clear" w:color="auto" w:fill="auto"/>
            <w:vAlign w:val="center"/>
            <w:hideMark/>
          </w:tcPr>
          <w:p w14:paraId="574E32B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2024</w:t>
            </w:r>
          </w:p>
        </w:tc>
        <w:tc>
          <w:tcPr>
            <w:tcW w:w="319" w:type="pct"/>
            <w:tcBorders>
              <w:top w:val="nil"/>
              <w:left w:val="nil"/>
              <w:bottom w:val="single" w:sz="4" w:space="0" w:color="auto"/>
              <w:right w:val="single" w:sz="8" w:space="0" w:color="auto"/>
            </w:tcBorders>
            <w:shd w:val="clear" w:color="auto" w:fill="auto"/>
            <w:vAlign w:val="center"/>
            <w:hideMark/>
          </w:tcPr>
          <w:p w14:paraId="574E32B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nil"/>
              <w:left w:val="nil"/>
              <w:bottom w:val="single" w:sz="4" w:space="0" w:color="auto"/>
              <w:right w:val="single" w:sz="4" w:space="0" w:color="auto"/>
            </w:tcBorders>
            <w:shd w:val="clear" w:color="auto" w:fill="auto"/>
            <w:vAlign w:val="center"/>
            <w:hideMark/>
          </w:tcPr>
          <w:p w14:paraId="574E32B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97,247,894</w:t>
            </w:r>
          </w:p>
        </w:tc>
        <w:tc>
          <w:tcPr>
            <w:tcW w:w="330" w:type="pct"/>
            <w:tcBorders>
              <w:top w:val="nil"/>
              <w:left w:val="nil"/>
              <w:bottom w:val="single" w:sz="4" w:space="0" w:color="auto"/>
              <w:right w:val="single" w:sz="4" w:space="0" w:color="auto"/>
            </w:tcBorders>
            <w:shd w:val="clear" w:color="auto" w:fill="auto"/>
            <w:vAlign w:val="center"/>
            <w:hideMark/>
          </w:tcPr>
          <w:p w14:paraId="574E32BC" w14:textId="77777777" w:rsidR="00444B63" w:rsidRPr="00E83C5E" w:rsidRDefault="00444B63" w:rsidP="00444B63">
            <w:pPr>
              <w:spacing w:after="0" w:line="240" w:lineRule="auto"/>
              <w:jc w:val="center"/>
              <w:rPr>
                <w:rFonts w:ascii="Garamond" w:eastAsia="Times New Roman" w:hAnsi="Garamond" w:cs="Times New Roman"/>
                <w:sz w:val="14"/>
                <w:szCs w:val="14"/>
                <w:lang w:eastAsia="en-GB"/>
              </w:rPr>
            </w:pPr>
            <w:r w:rsidRPr="00E83C5E">
              <w:rPr>
                <w:rFonts w:ascii="Garamond" w:eastAsia="Times New Roman" w:hAnsi="Garamond" w:cs="Times New Roman"/>
                <w:sz w:val="14"/>
                <w:szCs w:val="14"/>
                <w:lang w:eastAsia="en-GB"/>
              </w:rPr>
              <w:t>0</w:t>
            </w:r>
          </w:p>
        </w:tc>
        <w:tc>
          <w:tcPr>
            <w:tcW w:w="346" w:type="pct"/>
            <w:tcBorders>
              <w:top w:val="single" w:sz="8" w:space="0" w:color="auto"/>
              <w:left w:val="nil"/>
              <w:bottom w:val="single" w:sz="4" w:space="0" w:color="auto"/>
              <w:right w:val="single" w:sz="8" w:space="0" w:color="auto"/>
            </w:tcBorders>
            <w:shd w:val="clear" w:color="auto" w:fill="auto"/>
            <w:vAlign w:val="center"/>
            <w:hideMark/>
          </w:tcPr>
          <w:p w14:paraId="574E32B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97,247,894</w:t>
            </w:r>
          </w:p>
        </w:tc>
        <w:tc>
          <w:tcPr>
            <w:tcW w:w="259" w:type="pct"/>
            <w:gridSpan w:val="2"/>
            <w:tcBorders>
              <w:top w:val="nil"/>
              <w:left w:val="nil"/>
              <w:bottom w:val="single" w:sz="4" w:space="0" w:color="auto"/>
              <w:right w:val="single" w:sz="4" w:space="0" w:color="auto"/>
            </w:tcBorders>
            <w:shd w:val="clear" w:color="auto" w:fill="auto"/>
            <w:noWrap/>
            <w:vAlign w:val="center"/>
            <w:hideMark/>
          </w:tcPr>
          <w:p w14:paraId="574E32B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noWrap/>
            <w:vAlign w:val="center"/>
            <w:hideMark/>
          </w:tcPr>
          <w:p w14:paraId="574E32B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8" w:space="0" w:color="auto"/>
              <w:left w:val="nil"/>
              <w:bottom w:val="single" w:sz="4" w:space="0" w:color="auto"/>
              <w:right w:val="nil"/>
            </w:tcBorders>
            <w:shd w:val="clear" w:color="auto" w:fill="auto"/>
            <w:vAlign w:val="center"/>
            <w:hideMark/>
          </w:tcPr>
          <w:p w14:paraId="574E32C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551,894</w:t>
            </w:r>
          </w:p>
        </w:tc>
        <w:tc>
          <w:tcPr>
            <w:tcW w:w="229" w:type="pct"/>
            <w:tcBorders>
              <w:top w:val="nil"/>
              <w:left w:val="single" w:sz="8" w:space="0" w:color="auto"/>
              <w:bottom w:val="single" w:sz="4" w:space="0" w:color="auto"/>
              <w:right w:val="single" w:sz="4" w:space="0" w:color="auto"/>
            </w:tcBorders>
            <w:shd w:val="clear" w:color="auto" w:fill="auto"/>
            <w:noWrap/>
            <w:vAlign w:val="center"/>
            <w:hideMark/>
          </w:tcPr>
          <w:p w14:paraId="574E32C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nil"/>
              <w:left w:val="nil"/>
              <w:bottom w:val="single" w:sz="4" w:space="0" w:color="auto"/>
              <w:right w:val="single" w:sz="4" w:space="0" w:color="auto"/>
            </w:tcBorders>
            <w:shd w:val="clear" w:color="auto" w:fill="auto"/>
            <w:noWrap/>
            <w:vAlign w:val="center"/>
            <w:hideMark/>
          </w:tcPr>
          <w:p w14:paraId="574E32C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2C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8" w:space="0" w:color="auto"/>
              <w:left w:val="nil"/>
              <w:bottom w:val="single" w:sz="4" w:space="0" w:color="auto"/>
              <w:right w:val="single" w:sz="8" w:space="0" w:color="auto"/>
            </w:tcBorders>
            <w:shd w:val="clear" w:color="auto" w:fill="auto"/>
            <w:vAlign w:val="center"/>
            <w:hideMark/>
          </w:tcPr>
          <w:p w14:paraId="574E32C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-96,696,000</w:t>
            </w:r>
          </w:p>
        </w:tc>
      </w:tr>
      <w:tr w:rsidR="00444B63" w:rsidRPr="00E83C5E" w14:paraId="574E32D6" w14:textId="77777777" w:rsidTr="00BE7B59">
        <w:trPr>
          <w:trHeight w:val="47"/>
          <w:jc w:val="center"/>
        </w:trPr>
        <w:tc>
          <w:tcPr>
            <w:tcW w:w="141" w:type="pct"/>
            <w:tcBorders>
              <w:top w:val="nil"/>
              <w:left w:val="single" w:sz="8" w:space="0" w:color="auto"/>
              <w:bottom w:val="single" w:sz="4" w:space="0" w:color="auto"/>
              <w:right w:val="single" w:sz="4" w:space="0" w:color="auto"/>
            </w:tcBorders>
            <w:shd w:val="clear" w:color="000000" w:fill="D9D9D9"/>
            <w:vAlign w:val="center"/>
            <w:hideMark/>
          </w:tcPr>
          <w:p w14:paraId="574E32C6"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646" w:type="pct"/>
            <w:tcBorders>
              <w:top w:val="nil"/>
              <w:left w:val="nil"/>
              <w:bottom w:val="single" w:sz="4" w:space="0" w:color="auto"/>
              <w:right w:val="single" w:sz="4" w:space="0" w:color="auto"/>
            </w:tcBorders>
            <w:shd w:val="clear" w:color="000000" w:fill="D9D9D9"/>
            <w:vAlign w:val="center"/>
            <w:hideMark/>
          </w:tcPr>
          <w:p w14:paraId="574E32C7" w14:textId="77777777" w:rsidR="00444B63" w:rsidRPr="00E83C5E" w:rsidRDefault="00444B63" w:rsidP="00444B63">
            <w:pPr>
              <w:spacing w:after="0" w:line="240" w:lineRule="auto"/>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Kosto Objektivi specifik 2.1</w:t>
            </w:r>
          </w:p>
        </w:tc>
        <w:tc>
          <w:tcPr>
            <w:tcW w:w="365" w:type="pct"/>
            <w:tcBorders>
              <w:top w:val="nil"/>
              <w:left w:val="nil"/>
              <w:bottom w:val="single" w:sz="4" w:space="0" w:color="auto"/>
              <w:right w:val="single" w:sz="4" w:space="0" w:color="auto"/>
            </w:tcBorders>
            <w:shd w:val="clear" w:color="000000" w:fill="D9D9D9"/>
            <w:vAlign w:val="center"/>
            <w:hideMark/>
          </w:tcPr>
          <w:p w14:paraId="574E32C8"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25" w:type="pct"/>
            <w:tcBorders>
              <w:top w:val="nil"/>
              <w:left w:val="nil"/>
              <w:bottom w:val="single" w:sz="4" w:space="0" w:color="auto"/>
              <w:right w:val="single" w:sz="4" w:space="0" w:color="auto"/>
            </w:tcBorders>
            <w:shd w:val="clear" w:color="000000" w:fill="D9D9D9"/>
            <w:vAlign w:val="center"/>
            <w:hideMark/>
          </w:tcPr>
          <w:p w14:paraId="574E32C9"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15" w:type="pct"/>
            <w:tcBorders>
              <w:top w:val="nil"/>
              <w:left w:val="nil"/>
              <w:bottom w:val="single" w:sz="4" w:space="0" w:color="auto"/>
              <w:right w:val="single" w:sz="4" w:space="0" w:color="auto"/>
            </w:tcBorders>
            <w:shd w:val="clear" w:color="000000" w:fill="D9D9D9"/>
            <w:vAlign w:val="center"/>
            <w:hideMark/>
          </w:tcPr>
          <w:p w14:paraId="574E32CA"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19" w:type="pct"/>
            <w:tcBorders>
              <w:top w:val="nil"/>
              <w:left w:val="nil"/>
              <w:bottom w:val="single" w:sz="4" w:space="0" w:color="auto"/>
              <w:right w:val="single" w:sz="4" w:space="0" w:color="auto"/>
            </w:tcBorders>
            <w:shd w:val="clear" w:color="000000" w:fill="D9D9D9"/>
            <w:vAlign w:val="center"/>
            <w:hideMark/>
          </w:tcPr>
          <w:p w14:paraId="574E32CB"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29" w:type="pct"/>
            <w:tcBorders>
              <w:top w:val="nil"/>
              <w:left w:val="nil"/>
              <w:bottom w:val="single" w:sz="4" w:space="0" w:color="auto"/>
              <w:right w:val="single" w:sz="4" w:space="0" w:color="auto"/>
            </w:tcBorders>
            <w:shd w:val="clear" w:color="000000" w:fill="D9D9D9"/>
            <w:vAlign w:val="center"/>
            <w:hideMark/>
          </w:tcPr>
          <w:p w14:paraId="574E32CC"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1,442,040,421</w:t>
            </w:r>
          </w:p>
        </w:tc>
        <w:tc>
          <w:tcPr>
            <w:tcW w:w="330" w:type="pct"/>
            <w:tcBorders>
              <w:top w:val="nil"/>
              <w:left w:val="nil"/>
              <w:bottom w:val="single" w:sz="4" w:space="0" w:color="auto"/>
              <w:right w:val="single" w:sz="4" w:space="0" w:color="auto"/>
            </w:tcBorders>
            <w:shd w:val="clear" w:color="000000" w:fill="D9D9D9"/>
            <w:vAlign w:val="center"/>
            <w:hideMark/>
          </w:tcPr>
          <w:p w14:paraId="574E32CD"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841,830,000</w:t>
            </w:r>
          </w:p>
        </w:tc>
        <w:tc>
          <w:tcPr>
            <w:tcW w:w="346" w:type="pct"/>
            <w:tcBorders>
              <w:top w:val="nil"/>
              <w:left w:val="nil"/>
              <w:bottom w:val="single" w:sz="4" w:space="0" w:color="auto"/>
              <w:right w:val="single" w:sz="4" w:space="0" w:color="auto"/>
            </w:tcBorders>
            <w:shd w:val="clear" w:color="000000" w:fill="D9D9D9"/>
            <w:vAlign w:val="center"/>
            <w:hideMark/>
          </w:tcPr>
          <w:p w14:paraId="574E32CE"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2,283,870,421</w:t>
            </w:r>
          </w:p>
        </w:tc>
        <w:tc>
          <w:tcPr>
            <w:tcW w:w="259" w:type="pct"/>
            <w:gridSpan w:val="2"/>
            <w:tcBorders>
              <w:top w:val="nil"/>
              <w:left w:val="nil"/>
              <w:bottom w:val="single" w:sz="4" w:space="0" w:color="auto"/>
              <w:right w:val="single" w:sz="4" w:space="0" w:color="auto"/>
            </w:tcBorders>
            <w:shd w:val="clear" w:color="000000" w:fill="D9D9D9"/>
            <w:vAlign w:val="center"/>
            <w:hideMark/>
          </w:tcPr>
          <w:p w14:paraId="574E32CF"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58" w:type="pct"/>
            <w:gridSpan w:val="2"/>
            <w:tcBorders>
              <w:top w:val="nil"/>
              <w:left w:val="nil"/>
              <w:bottom w:val="single" w:sz="4" w:space="0" w:color="auto"/>
              <w:right w:val="single" w:sz="4" w:space="0" w:color="auto"/>
            </w:tcBorders>
            <w:shd w:val="clear" w:color="000000" w:fill="D9D9D9"/>
            <w:vAlign w:val="center"/>
            <w:hideMark/>
          </w:tcPr>
          <w:p w14:paraId="574E32D0"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332" w:type="pct"/>
            <w:tcBorders>
              <w:top w:val="nil"/>
              <w:left w:val="nil"/>
              <w:bottom w:val="single" w:sz="4" w:space="0" w:color="auto"/>
              <w:right w:val="single" w:sz="4" w:space="0" w:color="auto"/>
            </w:tcBorders>
            <w:shd w:val="clear" w:color="000000" w:fill="D9D9D9"/>
            <w:vAlign w:val="center"/>
            <w:hideMark/>
          </w:tcPr>
          <w:p w14:paraId="574E32D1"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1,686,515,139</w:t>
            </w:r>
          </w:p>
        </w:tc>
        <w:tc>
          <w:tcPr>
            <w:tcW w:w="229" w:type="pct"/>
            <w:tcBorders>
              <w:top w:val="nil"/>
              <w:left w:val="nil"/>
              <w:bottom w:val="single" w:sz="4" w:space="0" w:color="auto"/>
              <w:right w:val="single" w:sz="4" w:space="0" w:color="auto"/>
            </w:tcBorders>
            <w:shd w:val="clear" w:color="000000" w:fill="D9D9D9"/>
            <w:vAlign w:val="center"/>
            <w:hideMark/>
          </w:tcPr>
          <w:p w14:paraId="574E32D2"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41" w:type="pct"/>
            <w:tcBorders>
              <w:top w:val="nil"/>
              <w:left w:val="nil"/>
              <w:bottom w:val="single" w:sz="4" w:space="0" w:color="auto"/>
              <w:right w:val="single" w:sz="4" w:space="0" w:color="auto"/>
            </w:tcBorders>
            <w:shd w:val="clear" w:color="000000" w:fill="D9D9D9"/>
            <w:vAlign w:val="center"/>
            <w:hideMark/>
          </w:tcPr>
          <w:p w14:paraId="574E32D3"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84" w:type="pct"/>
            <w:gridSpan w:val="2"/>
            <w:tcBorders>
              <w:top w:val="nil"/>
              <w:left w:val="nil"/>
              <w:bottom w:val="single" w:sz="4" w:space="0" w:color="auto"/>
              <w:right w:val="single" w:sz="4" w:space="0" w:color="auto"/>
            </w:tcBorders>
            <w:shd w:val="clear" w:color="000000" w:fill="D9D9D9"/>
            <w:vAlign w:val="center"/>
            <w:hideMark/>
          </w:tcPr>
          <w:p w14:paraId="574E32D4"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435,000,000</w:t>
            </w:r>
          </w:p>
        </w:tc>
        <w:tc>
          <w:tcPr>
            <w:tcW w:w="379" w:type="pct"/>
            <w:tcBorders>
              <w:top w:val="nil"/>
              <w:left w:val="nil"/>
              <w:bottom w:val="single" w:sz="4" w:space="0" w:color="auto"/>
              <w:right w:val="single" w:sz="4" w:space="0" w:color="auto"/>
            </w:tcBorders>
            <w:shd w:val="clear" w:color="000000" w:fill="D9D9D9"/>
            <w:vAlign w:val="center"/>
            <w:hideMark/>
          </w:tcPr>
          <w:p w14:paraId="574E32D5"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-162,355,282</w:t>
            </w:r>
          </w:p>
        </w:tc>
      </w:tr>
      <w:tr w:rsidR="00444B63" w:rsidRPr="00E83C5E" w14:paraId="574E32E7" w14:textId="77777777" w:rsidTr="008C3E7E">
        <w:trPr>
          <w:trHeight w:val="1242"/>
          <w:jc w:val="center"/>
        </w:trPr>
        <w:tc>
          <w:tcPr>
            <w:tcW w:w="1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4E32D7"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2.2</w:t>
            </w:r>
          </w:p>
        </w:tc>
        <w:tc>
          <w:tcPr>
            <w:tcW w:w="646" w:type="pct"/>
            <w:tcBorders>
              <w:top w:val="single" w:sz="4" w:space="0" w:color="auto"/>
              <w:left w:val="nil"/>
              <w:bottom w:val="single" w:sz="4" w:space="0" w:color="auto"/>
              <w:right w:val="single" w:sz="4" w:space="0" w:color="auto"/>
            </w:tcBorders>
            <w:shd w:val="clear" w:color="000000" w:fill="FCE4D6"/>
            <w:hideMark/>
          </w:tcPr>
          <w:p w14:paraId="574E32D8" w14:textId="1E63238B"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2.2 Objektivi Specifik 2: Të rinjtë janë të informuar mirë për mundësitë arsimore të lidhura me tregun e punës dhe</w:t>
            </w:r>
            <w:r w:rsidR="00233C37" w:rsidRPr="00E83C5E">
              <w:rPr>
                <w:rFonts w:ascii="Garamond" w:eastAsia="Times New Roman" w:hAnsi="Garamond" w:cs="Times New Roman"/>
                <w:color w:val="000000"/>
                <w:sz w:val="14"/>
                <w:szCs w:val="14"/>
                <w:lang w:eastAsia="en-GB"/>
              </w:rPr>
              <w:t xml:space="preserve"> </w:t>
            </w:r>
            <w:r w:rsidRPr="00E83C5E">
              <w:rPr>
                <w:rFonts w:ascii="Garamond" w:eastAsia="Times New Roman" w:hAnsi="Garamond" w:cs="Times New Roman"/>
                <w:color w:val="000000"/>
                <w:sz w:val="14"/>
                <w:szCs w:val="14"/>
                <w:lang w:eastAsia="en-GB"/>
              </w:rPr>
              <w:t>ju mundësohet i mësuari cilësor si në arsimin formal ashtu edhe në atë joformal duke kontribuar në zhvillimin e</w:t>
            </w:r>
            <w:r w:rsidR="00233C37" w:rsidRPr="00E83C5E">
              <w:rPr>
                <w:rFonts w:ascii="Garamond" w:eastAsia="Times New Roman" w:hAnsi="Garamond" w:cs="Times New Roman"/>
                <w:color w:val="000000"/>
                <w:sz w:val="14"/>
                <w:szCs w:val="14"/>
                <w:lang w:eastAsia="en-GB"/>
              </w:rPr>
              <w:t xml:space="preserve"> </w:t>
            </w:r>
            <w:r w:rsidRPr="00E83C5E">
              <w:rPr>
                <w:rFonts w:ascii="Garamond" w:eastAsia="Times New Roman" w:hAnsi="Garamond" w:cs="Times New Roman"/>
                <w:color w:val="000000"/>
                <w:sz w:val="14"/>
                <w:szCs w:val="14"/>
                <w:lang w:eastAsia="en-GB"/>
              </w:rPr>
              <w:t>kompetencave, aftësive dhe virtyteve të tyre.</w:t>
            </w:r>
          </w:p>
        </w:tc>
        <w:tc>
          <w:tcPr>
            <w:tcW w:w="365" w:type="pct"/>
            <w:tcBorders>
              <w:top w:val="single" w:sz="4" w:space="0" w:color="auto"/>
              <w:left w:val="single" w:sz="4" w:space="0" w:color="auto"/>
              <w:bottom w:val="single" w:sz="4" w:space="0" w:color="auto"/>
              <w:right w:val="single" w:sz="4" w:space="0" w:color="auto"/>
            </w:tcBorders>
            <w:shd w:val="clear" w:color="000000" w:fill="FCE4D6"/>
            <w:hideMark/>
          </w:tcPr>
          <w:p w14:paraId="574E32D9" w14:textId="77777777" w:rsidR="00444B63" w:rsidRPr="00E83C5E" w:rsidRDefault="00444B63" w:rsidP="00444B63">
            <w:pPr>
              <w:spacing w:after="24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 MAS, AKR</w:t>
            </w:r>
            <w:r w:rsidRPr="00E83C5E">
              <w:rPr>
                <w:rFonts w:ascii="Garamond" w:eastAsia="Times New Roman" w:hAnsi="Garamond" w:cs="Times New Roman"/>
                <w:color w:val="000000"/>
                <w:sz w:val="14"/>
                <w:szCs w:val="14"/>
                <w:lang w:eastAsia="en-GB"/>
              </w:rPr>
              <w:br/>
            </w:r>
          </w:p>
        </w:tc>
        <w:tc>
          <w:tcPr>
            <w:tcW w:w="325" w:type="pct"/>
            <w:tcBorders>
              <w:top w:val="single" w:sz="4" w:space="0" w:color="auto"/>
              <w:left w:val="nil"/>
              <w:bottom w:val="single" w:sz="4" w:space="0" w:color="auto"/>
              <w:right w:val="single" w:sz="4" w:space="0" w:color="auto"/>
            </w:tcBorders>
            <w:shd w:val="clear" w:color="000000" w:fill="FCE4D6"/>
            <w:hideMark/>
          </w:tcPr>
          <w:p w14:paraId="574E32DA"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MEF, AKPA, AKSHI, RASH, AKCESK</w:t>
            </w:r>
          </w:p>
        </w:tc>
        <w:tc>
          <w:tcPr>
            <w:tcW w:w="215" w:type="pct"/>
            <w:tcBorders>
              <w:top w:val="single" w:sz="4" w:space="0" w:color="auto"/>
              <w:left w:val="nil"/>
              <w:bottom w:val="single" w:sz="4" w:space="0" w:color="auto"/>
              <w:right w:val="single" w:sz="4" w:space="0" w:color="auto"/>
            </w:tcBorders>
            <w:shd w:val="clear" w:color="000000" w:fill="FCE4D6"/>
            <w:hideMark/>
          </w:tcPr>
          <w:p w14:paraId="574E32DB"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2023</w:t>
            </w:r>
          </w:p>
        </w:tc>
        <w:tc>
          <w:tcPr>
            <w:tcW w:w="319" w:type="pct"/>
            <w:tcBorders>
              <w:top w:val="single" w:sz="4" w:space="0" w:color="auto"/>
              <w:left w:val="nil"/>
              <w:bottom w:val="single" w:sz="4" w:space="0" w:color="auto"/>
              <w:right w:val="single" w:sz="4" w:space="0" w:color="auto"/>
            </w:tcBorders>
            <w:shd w:val="clear" w:color="000000" w:fill="FCE4D6"/>
            <w:hideMark/>
          </w:tcPr>
          <w:p w14:paraId="574E32DC"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single" w:sz="4" w:space="0" w:color="auto"/>
              <w:left w:val="nil"/>
              <w:bottom w:val="single" w:sz="4" w:space="0" w:color="auto"/>
              <w:right w:val="single" w:sz="4" w:space="0" w:color="auto"/>
            </w:tcBorders>
            <w:shd w:val="clear" w:color="000000" w:fill="FCE4D6"/>
            <w:hideMark/>
          </w:tcPr>
          <w:p w14:paraId="574E32DD"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0" w:type="pct"/>
            <w:tcBorders>
              <w:top w:val="single" w:sz="4" w:space="0" w:color="auto"/>
              <w:left w:val="nil"/>
              <w:bottom w:val="single" w:sz="4" w:space="0" w:color="auto"/>
              <w:right w:val="single" w:sz="4" w:space="0" w:color="auto"/>
            </w:tcBorders>
            <w:shd w:val="clear" w:color="000000" w:fill="FCE4D6"/>
            <w:hideMark/>
          </w:tcPr>
          <w:p w14:paraId="574E32DE"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46" w:type="pct"/>
            <w:tcBorders>
              <w:top w:val="single" w:sz="4" w:space="0" w:color="auto"/>
              <w:left w:val="nil"/>
              <w:bottom w:val="single" w:sz="4" w:space="0" w:color="auto"/>
              <w:right w:val="single" w:sz="4" w:space="0" w:color="auto"/>
            </w:tcBorders>
            <w:shd w:val="clear" w:color="000000" w:fill="FCE4D6"/>
            <w:hideMark/>
          </w:tcPr>
          <w:p w14:paraId="574E32DF"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9" w:type="pct"/>
            <w:gridSpan w:val="2"/>
            <w:tcBorders>
              <w:top w:val="single" w:sz="4" w:space="0" w:color="auto"/>
              <w:left w:val="nil"/>
              <w:bottom w:val="single" w:sz="4" w:space="0" w:color="auto"/>
              <w:right w:val="single" w:sz="4" w:space="0" w:color="auto"/>
            </w:tcBorders>
            <w:shd w:val="clear" w:color="000000" w:fill="FCE4D6"/>
            <w:hideMark/>
          </w:tcPr>
          <w:p w14:paraId="574E32E0"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single" w:sz="4" w:space="0" w:color="auto"/>
              <w:left w:val="nil"/>
              <w:bottom w:val="single" w:sz="4" w:space="0" w:color="auto"/>
              <w:right w:val="single" w:sz="4" w:space="0" w:color="auto"/>
            </w:tcBorders>
            <w:shd w:val="clear" w:color="000000" w:fill="FCE4D6"/>
            <w:hideMark/>
          </w:tcPr>
          <w:p w14:paraId="574E32E1"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4" w:space="0" w:color="auto"/>
              <w:left w:val="nil"/>
              <w:bottom w:val="single" w:sz="4" w:space="0" w:color="auto"/>
              <w:right w:val="single" w:sz="4" w:space="0" w:color="auto"/>
            </w:tcBorders>
            <w:shd w:val="clear" w:color="000000" w:fill="FCE4D6"/>
            <w:hideMark/>
          </w:tcPr>
          <w:p w14:paraId="574E32E2"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29" w:type="pct"/>
            <w:tcBorders>
              <w:top w:val="single" w:sz="4" w:space="0" w:color="auto"/>
              <w:left w:val="nil"/>
              <w:bottom w:val="single" w:sz="4" w:space="0" w:color="auto"/>
              <w:right w:val="single" w:sz="4" w:space="0" w:color="auto"/>
            </w:tcBorders>
            <w:shd w:val="clear" w:color="000000" w:fill="FCE4D6"/>
            <w:hideMark/>
          </w:tcPr>
          <w:p w14:paraId="574E32E3"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single" w:sz="4" w:space="0" w:color="auto"/>
              <w:left w:val="nil"/>
              <w:bottom w:val="single" w:sz="4" w:space="0" w:color="auto"/>
              <w:right w:val="single" w:sz="4" w:space="0" w:color="auto"/>
            </w:tcBorders>
            <w:shd w:val="clear" w:color="000000" w:fill="FCE4D6"/>
            <w:hideMark/>
          </w:tcPr>
          <w:p w14:paraId="574E32E4"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single" w:sz="4" w:space="0" w:color="auto"/>
              <w:left w:val="nil"/>
              <w:bottom w:val="single" w:sz="4" w:space="0" w:color="auto"/>
              <w:right w:val="single" w:sz="4" w:space="0" w:color="auto"/>
            </w:tcBorders>
            <w:shd w:val="clear" w:color="000000" w:fill="FCE4D6"/>
            <w:hideMark/>
          </w:tcPr>
          <w:p w14:paraId="574E32E5"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79" w:type="pct"/>
            <w:tcBorders>
              <w:top w:val="single" w:sz="4" w:space="0" w:color="auto"/>
              <w:left w:val="nil"/>
              <w:bottom w:val="single" w:sz="4" w:space="0" w:color="auto"/>
              <w:right w:val="single" w:sz="4" w:space="0" w:color="auto"/>
            </w:tcBorders>
            <w:shd w:val="clear" w:color="000000" w:fill="FCE4D6"/>
            <w:hideMark/>
          </w:tcPr>
          <w:p w14:paraId="574E32E6"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r>
      <w:tr w:rsidR="00444B63" w:rsidRPr="00E83C5E" w14:paraId="574E32F8" w14:textId="77777777" w:rsidTr="008C3E7E">
        <w:trPr>
          <w:trHeight w:val="829"/>
          <w:jc w:val="center"/>
        </w:trPr>
        <w:tc>
          <w:tcPr>
            <w:tcW w:w="1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4E32E8"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2.2.1</w:t>
            </w:r>
          </w:p>
        </w:tc>
        <w:tc>
          <w:tcPr>
            <w:tcW w:w="646" w:type="pct"/>
            <w:tcBorders>
              <w:top w:val="single" w:sz="4" w:space="0" w:color="auto"/>
              <w:left w:val="nil"/>
              <w:bottom w:val="single" w:sz="4" w:space="0" w:color="auto"/>
              <w:right w:val="single" w:sz="4" w:space="0" w:color="auto"/>
            </w:tcBorders>
            <w:shd w:val="clear" w:color="000000" w:fill="DDEBF7"/>
            <w:hideMark/>
          </w:tcPr>
          <w:p w14:paraId="574E32E9"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xml:space="preserve">2.2.1. Masa 1 </w:t>
            </w:r>
            <w:r w:rsidRPr="00E83C5E">
              <w:rPr>
                <w:rFonts w:ascii="Garamond" w:eastAsia="Times New Roman" w:hAnsi="Garamond" w:cs="Times New Roman"/>
                <w:color w:val="000000"/>
                <w:sz w:val="14"/>
                <w:szCs w:val="14"/>
                <w:lang w:eastAsia="en-GB"/>
              </w:rPr>
              <w:br/>
              <w:t>Mbështeten të rejat dhe të rinjtë në pikat kritike të zhvillimit si kalimi në shkollën e mesme të lartë dhe kalimi nga shkolla në tregun e punës ose në studimet e nivelit universitar me këshillim dhe informacione që lidhin përzgjedhjen e fushës së arsimimit me mundësitë në tregun e punës në bashkërendim me masat e parashikuara në Strategjinë Kombëtare të Arsimit 2021 – 26 dhe Stategjinë Kombëtare për Punësimin dhe Aftësitë</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4E32E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MAS</w:t>
            </w:r>
          </w:p>
        </w:tc>
        <w:tc>
          <w:tcPr>
            <w:tcW w:w="325" w:type="pct"/>
            <w:tcBorders>
              <w:top w:val="single" w:sz="4" w:space="0" w:color="auto"/>
              <w:left w:val="nil"/>
              <w:bottom w:val="single" w:sz="4" w:space="0" w:color="auto"/>
              <w:right w:val="single" w:sz="4" w:space="0" w:color="auto"/>
            </w:tcBorders>
            <w:shd w:val="clear" w:color="auto" w:fill="auto"/>
            <w:vAlign w:val="center"/>
            <w:hideMark/>
          </w:tcPr>
          <w:p w14:paraId="574E32E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 MSHRF, MEPJ, SASPAC, AKPA</w:t>
            </w:r>
          </w:p>
        </w:tc>
        <w:tc>
          <w:tcPr>
            <w:tcW w:w="215" w:type="pct"/>
            <w:tcBorders>
              <w:top w:val="single" w:sz="4" w:space="0" w:color="auto"/>
              <w:left w:val="nil"/>
              <w:bottom w:val="single" w:sz="4" w:space="0" w:color="auto"/>
              <w:right w:val="single" w:sz="4" w:space="0" w:color="auto"/>
            </w:tcBorders>
            <w:shd w:val="clear" w:color="auto" w:fill="auto"/>
            <w:vAlign w:val="center"/>
            <w:hideMark/>
          </w:tcPr>
          <w:p w14:paraId="574E32E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2023</w:t>
            </w:r>
          </w:p>
        </w:tc>
        <w:tc>
          <w:tcPr>
            <w:tcW w:w="319" w:type="pct"/>
            <w:tcBorders>
              <w:top w:val="single" w:sz="4" w:space="0" w:color="auto"/>
              <w:left w:val="nil"/>
              <w:bottom w:val="single" w:sz="4" w:space="0" w:color="auto"/>
              <w:right w:val="single" w:sz="8" w:space="0" w:color="auto"/>
            </w:tcBorders>
            <w:shd w:val="clear" w:color="auto" w:fill="auto"/>
            <w:vAlign w:val="center"/>
            <w:hideMark/>
          </w:tcPr>
          <w:p w14:paraId="574E32E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single" w:sz="4" w:space="0" w:color="auto"/>
              <w:left w:val="nil"/>
              <w:bottom w:val="single" w:sz="4" w:space="0" w:color="auto"/>
              <w:right w:val="nil"/>
            </w:tcBorders>
            <w:shd w:val="clear" w:color="auto" w:fill="auto"/>
            <w:noWrap/>
            <w:vAlign w:val="center"/>
            <w:hideMark/>
          </w:tcPr>
          <w:p w14:paraId="574E32E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25,451,128</w:t>
            </w:r>
          </w:p>
        </w:tc>
        <w:tc>
          <w:tcPr>
            <w:tcW w:w="330" w:type="pct"/>
            <w:tcBorders>
              <w:top w:val="single" w:sz="4" w:space="0" w:color="auto"/>
              <w:left w:val="single" w:sz="4" w:space="0" w:color="auto"/>
              <w:bottom w:val="single" w:sz="4" w:space="0" w:color="auto"/>
              <w:right w:val="nil"/>
            </w:tcBorders>
            <w:shd w:val="clear" w:color="auto" w:fill="auto"/>
            <w:noWrap/>
            <w:vAlign w:val="center"/>
            <w:hideMark/>
          </w:tcPr>
          <w:p w14:paraId="574E32E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74E32F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25,451,128</w:t>
            </w:r>
          </w:p>
        </w:tc>
        <w:tc>
          <w:tcPr>
            <w:tcW w:w="259" w:type="pct"/>
            <w:gridSpan w:val="2"/>
            <w:tcBorders>
              <w:top w:val="single" w:sz="4" w:space="0" w:color="auto"/>
              <w:left w:val="nil"/>
              <w:bottom w:val="single" w:sz="4" w:space="0" w:color="auto"/>
              <w:right w:val="nil"/>
            </w:tcBorders>
            <w:shd w:val="clear" w:color="auto" w:fill="auto"/>
            <w:noWrap/>
            <w:vAlign w:val="center"/>
            <w:hideMark/>
          </w:tcPr>
          <w:p w14:paraId="574E32F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single" w:sz="4" w:space="0" w:color="auto"/>
              <w:left w:val="single" w:sz="4" w:space="0" w:color="auto"/>
              <w:bottom w:val="single" w:sz="4" w:space="0" w:color="auto"/>
              <w:right w:val="nil"/>
            </w:tcBorders>
            <w:shd w:val="clear" w:color="auto" w:fill="auto"/>
            <w:noWrap/>
            <w:vAlign w:val="center"/>
            <w:hideMark/>
          </w:tcPr>
          <w:p w14:paraId="574E32F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4" w:space="0" w:color="auto"/>
              <w:left w:val="single" w:sz="4" w:space="0" w:color="auto"/>
              <w:bottom w:val="single" w:sz="4" w:space="0" w:color="auto"/>
              <w:right w:val="nil"/>
            </w:tcBorders>
            <w:shd w:val="clear" w:color="auto" w:fill="auto"/>
            <w:vAlign w:val="center"/>
            <w:hideMark/>
          </w:tcPr>
          <w:p w14:paraId="574E32F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560,728</w:t>
            </w:r>
          </w:p>
        </w:tc>
        <w:tc>
          <w:tcPr>
            <w:tcW w:w="229" w:type="pct"/>
            <w:tcBorders>
              <w:top w:val="single" w:sz="4" w:space="0" w:color="auto"/>
              <w:left w:val="single" w:sz="8" w:space="0" w:color="auto"/>
              <w:bottom w:val="single" w:sz="4" w:space="0" w:color="auto"/>
              <w:right w:val="nil"/>
            </w:tcBorders>
            <w:shd w:val="clear" w:color="auto" w:fill="auto"/>
            <w:noWrap/>
            <w:vAlign w:val="center"/>
            <w:hideMark/>
          </w:tcPr>
          <w:p w14:paraId="574E32F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single" w:sz="4" w:space="0" w:color="auto"/>
              <w:left w:val="single" w:sz="4" w:space="0" w:color="auto"/>
              <w:bottom w:val="single" w:sz="4" w:space="0" w:color="auto"/>
              <w:right w:val="nil"/>
            </w:tcBorders>
            <w:shd w:val="clear" w:color="auto" w:fill="auto"/>
            <w:noWrap/>
            <w:vAlign w:val="center"/>
            <w:hideMark/>
          </w:tcPr>
          <w:p w14:paraId="574E32F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single" w:sz="4" w:space="0" w:color="auto"/>
              <w:left w:val="single" w:sz="4" w:space="0" w:color="auto"/>
              <w:bottom w:val="single" w:sz="4" w:space="0" w:color="auto"/>
              <w:right w:val="single" w:sz="8" w:space="0" w:color="auto"/>
            </w:tcBorders>
            <w:shd w:val="clear" w:color="auto" w:fill="auto"/>
            <w:vAlign w:val="center"/>
            <w:hideMark/>
          </w:tcPr>
          <w:p w14:paraId="574E32F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14,000,000</w:t>
            </w:r>
          </w:p>
        </w:tc>
        <w:tc>
          <w:tcPr>
            <w:tcW w:w="379" w:type="pct"/>
            <w:tcBorders>
              <w:top w:val="single" w:sz="4" w:space="0" w:color="auto"/>
              <w:left w:val="nil"/>
              <w:bottom w:val="single" w:sz="4" w:space="0" w:color="auto"/>
              <w:right w:val="single" w:sz="4" w:space="0" w:color="auto"/>
            </w:tcBorders>
            <w:shd w:val="clear" w:color="auto" w:fill="auto"/>
            <w:noWrap/>
            <w:vAlign w:val="center"/>
            <w:hideMark/>
          </w:tcPr>
          <w:p w14:paraId="574E32F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-10,890,400</w:t>
            </w:r>
          </w:p>
        </w:tc>
      </w:tr>
      <w:tr w:rsidR="00444B63" w:rsidRPr="00E83C5E" w14:paraId="574E3309" w14:textId="77777777" w:rsidTr="00BE7B59">
        <w:trPr>
          <w:trHeight w:val="37"/>
          <w:jc w:val="center"/>
        </w:trPr>
        <w:tc>
          <w:tcPr>
            <w:tcW w:w="141" w:type="pct"/>
            <w:tcBorders>
              <w:top w:val="nil"/>
              <w:left w:val="single" w:sz="8" w:space="0" w:color="auto"/>
              <w:bottom w:val="single" w:sz="4" w:space="0" w:color="auto"/>
              <w:right w:val="single" w:sz="4" w:space="0" w:color="auto"/>
            </w:tcBorders>
            <w:shd w:val="clear" w:color="auto" w:fill="auto"/>
            <w:noWrap/>
            <w:vAlign w:val="bottom"/>
            <w:hideMark/>
          </w:tcPr>
          <w:p w14:paraId="574E32F9"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2.2.2</w:t>
            </w:r>
          </w:p>
        </w:tc>
        <w:tc>
          <w:tcPr>
            <w:tcW w:w="646" w:type="pct"/>
            <w:tcBorders>
              <w:top w:val="single" w:sz="4" w:space="0" w:color="auto"/>
              <w:left w:val="nil"/>
              <w:bottom w:val="single" w:sz="4" w:space="0" w:color="auto"/>
              <w:right w:val="single" w:sz="4" w:space="0" w:color="auto"/>
            </w:tcBorders>
            <w:shd w:val="clear" w:color="000000" w:fill="DDEBF7"/>
            <w:hideMark/>
          </w:tcPr>
          <w:p w14:paraId="574E32FA" w14:textId="36CD8CF9"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xml:space="preserve">2.2.2 Masa 2 Promovohet përdorimi i sigurt i teknologjive të reja dhe mbështetet përvetësimi i aftësive dhe kompetencave digjitale të shekullit të 21-të për të rinjtë si në sistemin arsimor të përgjithshëm dhe atë profesional </w:t>
            </w:r>
            <w:r w:rsidRPr="00E83C5E">
              <w:rPr>
                <w:rFonts w:ascii="Garamond" w:eastAsia="Times New Roman" w:hAnsi="Garamond" w:cs="Times New Roman"/>
                <w:color w:val="000000"/>
                <w:sz w:val="14"/>
                <w:szCs w:val="14"/>
                <w:lang w:eastAsia="en-GB"/>
              </w:rPr>
              <w:lastRenderedPageBreak/>
              <w:t xml:space="preserve">ashtu edhe në sistemin e trajnimeve formale dhe </w:t>
            </w:r>
            <w:r w:rsidR="003B428A" w:rsidRPr="00E83C5E">
              <w:rPr>
                <w:rFonts w:ascii="Garamond" w:eastAsia="Times New Roman" w:hAnsi="Garamond" w:cs="Times New Roman"/>
                <w:color w:val="000000"/>
                <w:sz w:val="14"/>
                <w:szCs w:val="14"/>
                <w:lang w:eastAsia="en-GB"/>
              </w:rPr>
              <w:t>jo</w:t>
            </w:r>
            <w:r w:rsidRPr="00E83C5E">
              <w:rPr>
                <w:rFonts w:ascii="Garamond" w:eastAsia="Times New Roman" w:hAnsi="Garamond" w:cs="Times New Roman"/>
                <w:color w:val="000000"/>
                <w:sz w:val="14"/>
                <w:szCs w:val="14"/>
                <w:lang w:eastAsia="en-GB"/>
              </w:rPr>
              <w:t xml:space="preserve">formale. </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2F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lastRenderedPageBreak/>
              <w:t>AKR</w:t>
            </w:r>
          </w:p>
        </w:tc>
        <w:tc>
          <w:tcPr>
            <w:tcW w:w="325" w:type="pct"/>
            <w:tcBorders>
              <w:top w:val="nil"/>
              <w:left w:val="nil"/>
              <w:bottom w:val="single" w:sz="4" w:space="0" w:color="auto"/>
              <w:right w:val="single" w:sz="4" w:space="0" w:color="auto"/>
            </w:tcBorders>
            <w:shd w:val="clear" w:color="auto" w:fill="auto"/>
            <w:vAlign w:val="center"/>
            <w:hideMark/>
          </w:tcPr>
          <w:p w14:paraId="574E32F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AKCESK, MB, AKSHI</w:t>
            </w:r>
          </w:p>
        </w:tc>
        <w:tc>
          <w:tcPr>
            <w:tcW w:w="215" w:type="pct"/>
            <w:tcBorders>
              <w:top w:val="nil"/>
              <w:left w:val="nil"/>
              <w:bottom w:val="single" w:sz="4" w:space="0" w:color="auto"/>
              <w:right w:val="single" w:sz="4" w:space="0" w:color="auto"/>
            </w:tcBorders>
            <w:shd w:val="clear" w:color="auto" w:fill="auto"/>
            <w:vAlign w:val="center"/>
            <w:hideMark/>
          </w:tcPr>
          <w:p w14:paraId="574E32F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2022</w:t>
            </w:r>
          </w:p>
        </w:tc>
        <w:tc>
          <w:tcPr>
            <w:tcW w:w="319" w:type="pct"/>
            <w:tcBorders>
              <w:top w:val="nil"/>
              <w:left w:val="nil"/>
              <w:bottom w:val="single" w:sz="4" w:space="0" w:color="auto"/>
              <w:right w:val="single" w:sz="8" w:space="0" w:color="auto"/>
            </w:tcBorders>
            <w:shd w:val="clear" w:color="auto" w:fill="auto"/>
            <w:vAlign w:val="center"/>
            <w:hideMark/>
          </w:tcPr>
          <w:p w14:paraId="574E32F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2023</w:t>
            </w:r>
          </w:p>
        </w:tc>
        <w:tc>
          <w:tcPr>
            <w:tcW w:w="329" w:type="pct"/>
            <w:tcBorders>
              <w:top w:val="nil"/>
              <w:left w:val="nil"/>
              <w:bottom w:val="single" w:sz="4" w:space="0" w:color="auto"/>
              <w:right w:val="nil"/>
            </w:tcBorders>
            <w:shd w:val="clear" w:color="auto" w:fill="auto"/>
            <w:noWrap/>
            <w:vAlign w:val="center"/>
            <w:hideMark/>
          </w:tcPr>
          <w:p w14:paraId="574E32F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3,875,995</w:t>
            </w:r>
          </w:p>
        </w:tc>
        <w:tc>
          <w:tcPr>
            <w:tcW w:w="330" w:type="pct"/>
            <w:tcBorders>
              <w:top w:val="nil"/>
              <w:left w:val="single" w:sz="4" w:space="0" w:color="auto"/>
              <w:bottom w:val="single" w:sz="4" w:space="0" w:color="auto"/>
              <w:right w:val="nil"/>
            </w:tcBorders>
            <w:shd w:val="clear" w:color="auto" w:fill="auto"/>
            <w:noWrap/>
            <w:vAlign w:val="center"/>
            <w:hideMark/>
          </w:tcPr>
          <w:p w14:paraId="574E3300"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0</w:t>
            </w:r>
          </w:p>
        </w:tc>
        <w:tc>
          <w:tcPr>
            <w:tcW w:w="346" w:type="pc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574E330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3,875,995</w:t>
            </w:r>
          </w:p>
        </w:tc>
        <w:tc>
          <w:tcPr>
            <w:tcW w:w="259" w:type="pct"/>
            <w:gridSpan w:val="2"/>
            <w:tcBorders>
              <w:top w:val="nil"/>
              <w:left w:val="nil"/>
              <w:bottom w:val="single" w:sz="4" w:space="0" w:color="auto"/>
              <w:right w:val="nil"/>
            </w:tcBorders>
            <w:shd w:val="clear" w:color="auto" w:fill="auto"/>
            <w:noWrap/>
            <w:vAlign w:val="center"/>
            <w:hideMark/>
          </w:tcPr>
          <w:p w14:paraId="574E330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single" w:sz="4" w:space="0" w:color="auto"/>
              <w:bottom w:val="single" w:sz="4" w:space="0" w:color="auto"/>
              <w:right w:val="nil"/>
            </w:tcBorders>
            <w:shd w:val="clear" w:color="auto" w:fill="auto"/>
            <w:noWrap/>
            <w:vAlign w:val="center"/>
            <w:hideMark/>
          </w:tcPr>
          <w:p w14:paraId="574E3303"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32" w:type="pct"/>
            <w:tcBorders>
              <w:top w:val="single" w:sz="8" w:space="0" w:color="auto"/>
              <w:left w:val="single" w:sz="4" w:space="0" w:color="auto"/>
              <w:bottom w:val="single" w:sz="4" w:space="0" w:color="auto"/>
              <w:right w:val="nil"/>
            </w:tcBorders>
            <w:shd w:val="clear" w:color="auto" w:fill="auto"/>
            <w:vAlign w:val="center"/>
            <w:hideMark/>
          </w:tcPr>
          <w:p w14:paraId="574E330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1,520,395</w:t>
            </w:r>
          </w:p>
        </w:tc>
        <w:tc>
          <w:tcPr>
            <w:tcW w:w="229" w:type="pct"/>
            <w:tcBorders>
              <w:top w:val="nil"/>
              <w:left w:val="single" w:sz="8" w:space="0" w:color="auto"/>
              <w:bottom w:val="single" w:sz="4" w:space="0" w:color="auto"/>
              <w:right w:val="nil"/>
            </w:tcBorders>
            <w:shd w:val="clear" w:color="auto" w:fill="auto"/>
            <w:noWrap/>
            <w:vAlign w:val="center"/>
            <w:hideMark/>
          </w:tcPr>
          <w:p w14:paraId="574E3305"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41" w:type="pct"/>
            <w:tcBorders>
              <w:top w:val="nil"/>
              <w:left w:val="single" w:sz="4" w:space="0" w:color="auto"/>
              <w:bottom w:val="single" w:sz="4" w:space="0" w:color="auto"/>
              <w:right w:val="nil"/>
            </w:tcBorders>
            <w:shd w:val="clear" w:color="auto" w:fill="auto"/>
            <w:noWrap/>
            <w:vAlign w:val="center"/>
            <w:hideMark/>
          </w:tcPr>
          <w:p w14:paraId="574E3306"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84" w:type="pct"/>
            <w:gridSpan w:val="2"/>
            <w:tcBorders>
              <w:top w:val="nil"/>
              <w:left w:val="single" w:sz="4" w:space="0" w:color="auto"/>
              <w:bottom w:val="single" w:sz="4" w:space="0" w:color="auto"/>
              <w:right w:val="single" w:sz="8" w:space="0" w:color="auto"/>
            </w:tcBorders>
            <w:shd w:val="clear" w:color="auto" w:fill="auto"/>
            <w:vAlign w:val="center"/>
            <w:hideMark/>
          </w:tcPr>
          <w:p w14:paraId="574E330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nil"/>
              <w:left w:val="nil"/>
              <w:bottom w:val="single" w:sz="4" w:space="0" w:color="auto"/>
              <w:right w:val="single" w:sz="8" w:space="0" w:color="auto"/>
            </w:tcBorders>
            <w:shd w:val="clear" w:color="auto" w:fill="auto"/>
            <w:noWrap/>
            <w:vAlign w:val="center"/>
            <w:hideMark/>
          </w:tcPr>
          <w:p w14:paraId="574E330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-2,355,600</w:t>
            </w:r>
          </w:p>
        </w:tc>
      </w:tr>
      <w:tr w:rsidR="00444B63" w:rsidRPr="00E83C5E" w14:paraId="574E331B" w14:textId="77777777" w:rsidTr="008C3E7E">
        <w:trPr>
          <w:trHeight w:val="829"/>
          <w:jc w:val="center"/>
        </w:trPr>
        <w:tc>
          <w:tcPr>
            <w:tcW w:w="141" w:type="pct"/>
            <w:tcBorders>
              <w:top w:val="nil"/>
              <w:left w:val="single" w:sz="8" w:space="0" w:color="auto"/>
              <w:bottom w:val="single" w:sz="4" w:space="0" w:color="auto"/>
              <w:right w:val="single" w:sz="4" w:space="0" w:color="auto"/>
            </w:tcBorders>
            <w:shd w:val="clear" w:color="auto" w:fill="auto"/>
            <w:noWrap/>
            <w:vAlign w:val="bottom"/>
            <w:hideMark/>
          </w:tcPr>
          <w:p w14:paraId="574E330A"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lastRenderedPageBreak/>
              <w:t>2.2.3</w:t>
            </w:r>
          </w:p>
        </w:tc>
        <w:tc>
          <w:tcPr>
            <w:tcW w:w="646" w:type="pct"/>
            <w:tcBorders>
              <w:top w:val="single" w:sz="4" w:space="0" w:color="auto"/>
              <w:left w:val="nil"/>
              <w:bottom w:val="single" w:sz="4" w:space="0" w:color="auto"/>
              <w:right w:val="single" w:sz="4" w:space="0" w:color="auto"/>
            </w:tcBorders>
            <w:shd w:val="clear" w:color="000000" w:fill="DDEBF7"/>
            <w:hideMark/>
          </w:tcPr>
          <w:p w14:paraId="574E330B" w14:textId="31CC2A4D"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2.2.3</w:t>
            </w:r>
            <w:r w:rsidR="00233C37" w:rsidRPr="00E83C5E">
              <w:rPr>
                <w:rFonts w:ascii="Garamond" w:eastAsia="Times New Roman" w:hAnsi="Garamond" w:cs="Times New Roman"/>
                <w:color w:val="000000"/>
                <w:sz w:val="14"/>
                <w:szCs w:val="14"/>
                <w:lang w:eastAsia="en-GB"/>
              </w:rPr>
              <w:t xml:space="preserve"> </w:t>
            </w:r>
            <w:r w:rsidRPr="00E83C5E">
              <w:rPr>
                <w:rFonts w:ascii="Garamond" w:eastAsia="Times New Roman" w:hAnsi="Garamond" w:cs="Times New Roman"/>
                <w:color w:val="000000"/>
                <w:sz w:val="14"/>
                <w:szCs w:val="14"/>
                <w:lang w:eastAsia="en-GB"/>
              </w:rPr>
              <w:t>Masa 3</w:t>
            </w:r>
            <w:r w:rsidR="00233C37" w:rsidRPr="00E83C5E">
              <w:rPr>
                <w:rFonts w:ascii="Garamond" w:eastAsia="Times New Roman" w:hAnsi="Garamond" w:cs="Times New Roman"/>
                <w:color w:val="000000"/>
                <w:sz w:val="14"/>
                <w:szCs w:val="14"/>
                <w:lang w:eastAsia="en-GB"/>
              </w:rPr>
              <w:t xml:space="preserve"> </w:t>
            </w:r>
            <w:r w:rsidRPr="00E83C5E">
              <w:rPr>
                <w:rFonts w:ascii="Garamond" w:eastAsia="Times New Roman" w:hAnsi="Garamond" w:cs="Times New Roman"/>
                <w:color w:val="000000"/>
                <w:sz w:val="14"/>
                <w:szCs w:val="14"/>
                <w:lang w:eastAsia="en-GB"/>
              </w:rPr>
              <w:t xml:space="preserve">Mbështeten dhe zhvillohen programe të seksioneve sportive amatore, arteve, artizanatit dhe aktiviteteve të tjera jashtë-kurrikulare që synojnë zhvillimin e aftësive për jetë të shëndetshme, me fokus të veçantë tek të rejat. </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30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MAS, MSHRF</w:t>
            </w:r>
          </w:p>
          <w:p w14:paraId="574E330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KOKSH</w:t>
            </w:r>
          </w:p>
        </w:tc>
        <w:tc>
          <w:tcPr>
            <w:tcW w:w="325" w:type="pct"/>
            <w:tcBorders>
              <w:top w:val="nil"/>
              <w:left w:val="nil"/>
              <w:bottom w:val="single" w:sz="4" w:space="0" w:color="auto"/>
              <w:right w:val="single" w:sz="4" w:space="0" w:color="auto"/>
            </w:tcBorders>
            <w:shd w:val="clear" w:color="auto" w:fill="auto"/>
            <w:vAlign w:val="center"/>
            <w:hideMark/>
          </w:tcPr>
          <w:p w14:paraId="574E330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NjVV</w:t>
            </w:r>
          </w:p>
        </w:tc>
        <w:tc>
          <w:tcPr>
            <w:tcW w:w="215" w:type="pct"/>
            <w:tcBorders>
              <w:top w:val="nil"/>
              <w:left w:val="nil"/>
              <w:bottom w:val="single" w:sz="4" w:space="0" w:color="auto"/>
              <w:right w:val="single" w:sz="4" w:space="0" w:color="auto"/>
            </w:tcBorders>
            <w:shd w:val="clear" w:color="auto" w:fill="auto"/>
            <w:vAlign w:val="center"/>
            <w:hideMark/>
          </w:tcPr>
          <w:p w14:paraId="574E330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2023</w:t>
            </w:r>
          </w:p>
        </w:tc>
        <w:tc>
          <w:tcPr>
            <w:tcW w:w="319" w:type="pct"/>
            <w:tcBorders>
              <w:top w:val="nil"/>
              <w:left w:val="nil"/>
              <w:bottom w:val="single" w:sz="4" w:space="0" w:color="auto"/>
              <w:right w:val="single" w:sz="8" w:space="0" w:color="auto"/>
            </w:tcBorders>
            <w:shd w:val="clear" w:color="auto" w:fill="auto"/>
            <w:vAlign w:val="center"/>
            <w:hideMark/>
          </w:tcPr>
          <w:p w14:paraId="574E331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nil"/>
              <w:left w:val="nil"/>
              <w:bottom w:val="single" w:sz="4" w:space="0" w:color="auto"/>
              <w:right w:val="nil"/>
            </w:tcBorders>
            <w:shd w:val="clear" w:color="auto" w:fill="auto"/>
            <w:noWrap/>
            <w:vAlign w:val="center"/>
            <w:hideMark/>
          </w:tcPr>
          <w:p w14:paraId="574E331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797,607,904</w:t>
            </w:r>
          </w:p>
        </w:tc>
        <w:tc>
          <w:tcPr>
            <w:tcW w:w="330" w:type="pct"/>
            <w:tcBorders>
              <w:top w:val="nil"/>
              <w:left w:val="single" w:sz="4" w:space="0" w:color="auto"/>
              <w:bottom w:val="single" w:sz="4" w:space="0" w:color="auto"/>
              <w:right w:val="nil"/>
            </w:tcBorders>
            <w:shd w:val="clear" w:color="auto" w:fill="auto"/>
            <w:noWrap/>
            <w:vAlign w:val="center"/>
            <w:hideMark/>
          </w:tcPr>
          <w:p w14:paraId="574E3312"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0</w:t>
            </w:r>
          </w:p>
        </w:tc>
        <w:tc>
          <w:tcPr>
            <w:tcW w:w="346" w:type="pc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574E331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797,607,904</w:t>
            </w:r>
          </w:p>
        </w:tc>
        <w:tc>
          <w:tcPr>
            <w:tcW w:w="259" w:type="pct"/>
            <w:gridSpan w:val="2"/>
            <w:tcBorders>
              <w:top w:val="nil"/>
              <w:left w:val="nil"/>
              <w:bottom w:val="single" w:sz="4" w:space="0" w:color="auto"/>
              <w:right w:val="nil"/>
            </w:tcBorders>
            <w:shd w:val="clear" w:color="auto" w:fill="auto"/>
            <w:noWrap/>
            <w:vAlign w:val="center"/>
            <w:hideMark/>
          </w:tcPr>
          <w:p w14:paraId="574E331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single" w:sz="4" w:space="0" w:color="auto"/>
              <w:bottom w:val="single" w:sz="4" w:space="0" w:color="auto"/>
              <w:right w:val="nil"/>
            </w:tcBorders>
            <w:shd w:val="clear" w:color="auto" w:fill="auto"/>
            <w:noWrap/>
            <w:vAlign w:val="center"/>
            <w:hideMark/>
          </w:tcPr>
          <w:p w14:paraId="574E3315"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32" w:type="pct"/>
            <w:tcBorders>
              <w:top w:val="single" w:sz="8" w:space="0" w:color="auto"/>
              <w:left w:val="single" w:sz="4" w:space="0" w:color="auto"/>
              <w:bottom w:val="single" w:sz="4" w:space="0" w:color="auto"/>
              <w:right w:val="nil"/>
            </w:tcBorders>
            <w:shd w:val="clear" w:color="auto" w:fill="auto"/>
            <w:vAlign w:val="center"/>
            <w:hideMark/>
          </w:tcPr>
          <w:p w14:paraId="574E331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790,407,904</w:t>
            </w:r>
          </w:p>
        </w:tc>
        <w:tc>
          <w:tcPr>
            <w:tcW w:w="229" w:type="pct"/>
            <w:tcBorders>
              <w:top w:val="nil"/>
              <w:left w:val="single" w:sz="8" w:space="0" w:color="auto"/>
              <w:bottom w:val="single" w:sz="4" w:space="0" w:color="auto"/>
              <w:right w:val="nil"/>
            </w:tcBorders>
            <w:shd w:val="clear" w:color="auto" w:fill="auto"/>
            <w:noWrap/>
            <w:vAlign w:val="center"/>
            <w:hideMark/>
          </w:tcPr>
          <w:p w14:paraId="574E3317"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41" w:type="pct"/>
            <w:tcBorders>
              <w:top w:val="nil"/>
              <w:left w:val="single" w:sz="4" w:space="0" w:color="auto"/>
              <w:bottom w:val="single" w:sz="4" w:space="0" w:color="auto"/>
              <w:right w:val="nil"/>
            </w:tcBorders>
            <w:shd w:val="clear" w:color="auto" w:fill="auto"/>
            <w:noWrap/>
            <w:vAlign w:val="center"/>
            <w:hideMark/>
          </w:tcPr>
          <w:p w14:paraId="574E3318"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84" w:type="pct"/>
            <w:gridSpan w:val="2"/>
            <w:tcBorders>
              <w:top w:val="nil"/>
              <w:left w:val="single" w:sz="4" w:space="0" w:color="auto"/>
              <w:bottom w:val="single" w:sz="4" w:space="0" w:color="auto"/>
              <w:right w:val="single" w:sz="8" w:space="0" w:color="auto"/>
            </w:tcBorders>
            <w:shd w:val="clear" w:color="auto" w:fill="auto"/>
            <w:vAlign w:val="center"/>
            <w:hideMark/>
          </w:tcPr>
          <w:p w14:paraId="574E331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nil"/>
              <w:left w:val="nil"/>
              <w:bottom w:val="single" w:sz="4" w:space="0" w:color="auto"/>
              <w:right w:val="single" w:sz="8" w:space="0" w:color="auto"/>
            </w:tcBorders>
            <w:shd w:val="clear" w:color="auto" w:fill="auto"/>
            <w:noWrap/>
            <w:vAlign w:val="center"/>
            <w:hideMark/>
          </w:tcPr>
          <w:p w14:paraId="574E331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-7,200,000</w:t>
            </w:r>
          </w:p>
        </w:tc>
      </w:tr>
      <w:tr w:rsidR="00444B63" w:rsidRPr="00E83C5E" w14:paraId="574E332C" w14:textId="77777777" w:rsidTr="00BE7B59">
        <w:trPr>
          <w:trHeight w:val="47"/>
          <w:jc w:val="center"/>
        </w:trPr>
        <w:tc>
          <w:tcPr>
            <w:tcW w:w="141" w:type="pct"/>
            <w:tcBorders>
              <w:top w:val="nil"/>
              <w:left w:val="single" w:sz="8" w:space="0" w:color="auto"/>
              <w:bottom w:val="nil"/>
              <w:right w:val="single" w:sz="4" w:space="0" w:color="auto"/>
            </w:tcBorders>
            <w:shd w:val="clear" w:color="000000" w:fill="D9D9D9"/>
            <w:vAlign w:val="center"/>
            <w:hideMark/>
          </w:tcPr>
          <w:p w14:paraId="574E331C"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646" w:type="pct"/>
            <w:tcBorders>
              <w:top w:val="nil"/>
              <w:left w:val="nil"/>
              <w:bottom w:val="nil"/>
              <w:right w:val="single" w:sz="4" w:space="0" w:color="auto"/>
            </w:tcBorders>
            <w:shd w:val="clear" w:color="000000" w:fill="D9D9D9"/>
            <w:vAlign w:val="center"/>
            <w:hideMark/>
          </w:tcPr>
          <w:p w14:paraId="574E331D" w14:textId="77777777" w:rsidR="00444B63" w:rsidRPr="00E83C5E" w:rsidRDefault="00444B63" w:rsidP="00444B63">
            <w:pPr>
              <w:spacing w:after="0" w:line="240" w:lineRule="auto"/>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Kosto Objektivi specifik 2.2</w:t>
            </w:r>
          </w:p>
        </w:tc>
        <w:tc>
          <w:tcPr>
            <w:tcW w:w="365" w:type="pct"/>
            <w:tcBorders>
              <w:top w:val="nil"/>
              <w:left w:val="nil"/>
              <w:bottom w:val="single" w:sz="4" w:space="0" w:color="auto"/>
              <w:right w:val="single" w:sz="4" w:space="0" w:color="auto"/>
            </w:tcBorders>
            <w:shd w:val="clear" w:color="000000" w:fill="D9D9D9"/>
            <w:vAlign w:val="center"/>
            <w:hideMark/>
          </w:tcPr>
          <w:p w14:paraId="574E331E"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25" w:type="pct"/>
            <w:tcBorders>
              <w:top w:val="nil"/>
              <w:left w:val="nil"/>
              <w:bottom w:val="single" w:sz="4" w:space="0" w:color="auto"/>
              <w:right w:val="single" w:sz="4" w:space="0" w:color="auto"/>
            </w:tcBorders>
            <w:shd w:val="clear" w:color="000000" w:fill="D9D9D9"/>
            <w:vAlign w:val="center"/>
            <w:hideMark/>
          </w:tcPr>
          <w:p w14:paraId="574E331F"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15" w:type="pct"/>
            <w:tcBorders>
              <w:top w:val="nil"/>
              <w:left w:val="nil"/>
              <w:bottom w:val="nil"/>
              <w:right w:val="single" w:sz="4" w:space="0" w:color="auto"/>
            </w:tcBorders>
            <w:shd w:val="clear" w:color="000000" w:fill="D9D9D9"/>
            <w:vAlign w:val="center"/>
            <w:hideMark/>
          </w:tcPr>
          <w:p w14:paraId="574E3320"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19" w:type="pct"/>
            <w:tcBorders>
              <w:top w:val="nil"/>
              <w:left w:val="nil"/>
              <w:bottom w:val="nil"/>
              <w:right w:val="single" w:sz="4" w:space="0" w:color="auto"/>
            </w:tcBorders>
            <w:shd w:val="clear" w:color="000000" w:fill="D9D9D9"/>
            <w:vAlign w:val="center"/>
            <w:hideMark/>
          </w:tcPr>
          <w:p w14:paraId="574E3321"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29" w:type="pct"/>
            <w:tcBorders>
              <w:top w:val="nil"/>
              <w:left w:val="nil"/>
              <w:bottom w:val="nil"/>
              <w:right w:val="single" w:sz="4" w:space="0" w:color="auto"/>
            </w:tcBorders>
            <w:shd w:val="clear" w:color="000000" w:fill="D9D9D9"/>
            <w:vAlign w:val="center"/>
            <w:hideMark/>
          </w:tcPr>
          <w:p w14:paraId="574E3322"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826,935,027</w:t>
            </w:r>
          </w:p>
        </w:tc>
        <w:tc>
          <w:tcPr>
            <w:tcW w:w="330" w:type="pct"/>
            <w:tcBorders>
              <w:top w:val="nil"/>
              <w:left w:val="nil"/>
              <w:bottom w:val="nil"/>
              <w:right w:val="single" w:sz="4" w:space="0" w:color="auto"/>
            </w:tcBorders>
            <w:shd w:val="clear" w:color="000000" w:fill="D9D9D9"/>
            <w:vAlign w:val="center"/>
            <w:hideMark/>
          </w:tcPr>
          <w:p w14:paraId="574E3323"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346" w:type="pct"/>
            <w:tcBorders>
              <w:top w:val="nil"/>
              <w:left w:val="nil"/>
              <w:bottom w:val="nil"/>
              <w:right w:val="single" w:sz="4" w:space="0" w:color="auto"/>
            </w:tcBorders>
            <w:shd w:val="clear" w:color="000000" w:fill="D9D9D9"/>
            <w:vAlign w:val="center"/>
            <w:hideMark/>
          </w:tcPr>
          <w:p w14:paraId="574E3324"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826,935,027</w:t>
            </w:r>
          </w:p>
        </w:tc>
        <w:tc>
          <w:tcPr>
            <w:tcW w:w="259" w:type="pct"/>
            <w:gridSpan w:val="2"/>
            <w:tcBorders>
              <w:top w:val="nil"/>
              <w:left w:val="nil"/>
              <w:bottom w:val="nil"/>
              <w:right w:val="single" w:sz="4" w:space="0" w:color="auto"/>
            </w:tcBorders>
            <w:shd w:val="clear" w:color="000000" w:fill="D9D9D9"/>
            <w:vAlign w:val="center"/>
            <w:hideMark/>
          </w:tcPr>
          <w:p w14:paraId="574E3325"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58" w:type="pct"/>
            <w:gridSpan w:val="2"/>
            <w:tcBorders>
              <w:top w:val="nil"/>
              <w:left w:val="nil"/>
              <w:bottom w:val="nil"/>
              <w:right w:val="single" w:sz="4" w:space="0" w:color="auto"/>
            </w:tcBorders>
            <w:shd w:val="clear" w:color="000000" w:fill="D9D9D9"/>
            <w:vAlign w:val="center"/>
            <w:hideMark/>
          </w:tcPr>
          <w:p w14:paraId="574E3326"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332" w:type="pct"/>
            <w:tcBorders>
              <w:top w:val="nil"/>
              <w:left w:val="nil"/>
              <w:bottom w:val="nil"/>
              <w:right w:val="single" w:sz="4" w:space="0" w:color="auto"/>
            </w:tcBorders>
            <w:shd w:val="clear" w:color="000000" w:fill="D9D9D9"/>
            <w:vAlign w:val="center"/>
            <w:hideMark/>
          </w:tcPr>
          <w:p w14:paraId="574E3327"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792,489,027</w:t>
            </w:r>
          </w:p>
        </w:tc>
        <w:tc>
          <w:tcPr>
            <w:tcW w:w="229" w:type="pct"/>
            <w:tcBorders>
              <w:top w:val="nil"/>
              <w:left w:val="nil"/>
              <w:bottom w:val="nil"/>
              <w:right w:val="single" w:sz="4" w:space="0" w:color="auto"/>
            </w:tcBorders>
            <w:shd w:val="clear" w:color="000000" w:fill="D9D9D9"/>
            <w:vAlign w:val="center"/>
            <w:hideMark/>
          </w:tcPr>
          <w:p w14:paraId="574E3328"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41" w:type="pct"/>
            <w:tcBorders>
              <w:top w:val="nil"/>
              <w:left w:val="nil"/>
              <w:bottom w:val="nil"/>
              <w:right w:val="single" w:sz="4" w:space="0" w:color="auto"/>
            </w:tcBorders>
            <w:shd w:val="clear" w:color="000000" w:fill="D9D9D9"/>
            <w:vAlign w:val="center"/>
            <w:hideMark/>
          </w:tcPr>
          <w:p w14:paraId="574E3329"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84" w:type="pct"/>
            <w:gridSpan w:val="2"/>
            <w:tcBorders>
              <w:top w:val="nil"/>
              <w:left w:val="nil"/>
              <w:bottom w:val="nil"/>
              <w:right w:val="single" w:sz="4" w:space="0" w:color="auto"/>
            </w:tcBorders>
            <w:shd w:val="clear" w:color="000000" w:fill="D9D9D9"/>
            <w:vAlign w:val="center"/>
            <w:hideMark/>
          </w:tcPr>
          <w:p w14:paraId="574E332A"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14,000,000</w:t>
            </w:r>
          </w:p>
        </w:tc>
        <w:tc>
          <w:tcPr>
            <w:tcW w:w="379" w:type="pct"/>
            <w:tcBorders>
              <w:top w:val="nil"/>
              <w:left w:val="nil"/>
              <w:bottom w:val="nil"/>
              <w:right w:val="single" w:sz="4" w:space="0" w:color="auto"/>
            </w:tcBorders>
            <w:shd w:val="clear" w:color="000000" w:fill="D9D9D9"/>
            <w:vAlign w:val="center"/>
            <w:hideMark/>
          </w:tcPr>
          <w:p w14:paraId="574E332B"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-20,446,000</w:t>
            </w:r>
          </w:p>
        </w:tc>
      </w:tr>
      <w:tr w:rsidR="00444B63" w:rsidRPr="00E83C5E" w14:paraId="574E333D" w14:textId="77777777" w:rsidTr="008C3E7E">
        <w:trPr>
          <w:trHeight w:val="1200"/>
          <w:jc w:val="center"/>
        </w:trPr>
        <w:tc>
          <w:tcPr>
            <w:tcW w:w="141"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574E332D"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2.3</w:t>
            </w:r>
          </w:p>
        </w:tc>
        <w:tc>
          <w:tcPr>
            <w:tcW w:w="646" w:type="pct"/>
            <w:tcBorders>
              <w:top w:val="single" w:sz="4" w:space="0" w:color="auto"/>
              <w:left w:val="nil"/>
              <w:bottom w:val="single" w:sz="4" w:space="0" w:color="auto"/>
              <w:right w:val="single" w:sz="4" w:space="0" w:color="auto"/>
            </w:tcBorders>
            <w:shd w:val="clear" w:color="000000" w:fill="FCE4D6"/>
            <w:hideMark/>
          </w:tcPr>
          <w:p w14:paraId="574E332E" w14:textId="21427AAA"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xml:space="preserve">2.3 Objektivi </w:t>
            </w:r>
            <w:r w:rsidR="00BE7B59" w:rsidRPr="00E83C5E">
              <w:rPr>
                <w:rFonts w:ascii="Garamond" w:eastAsia="Times New Roman" w:hAnsi="Garamond" w:cs="Times New Roman"/>
                <w:color w:val="000000"/>
                <w:sz w:val="14"/>
                <w:szCs w:val="14"/>
                <w:lang w:eastAsia="en-GB"/>
              </w:rPr>
              <w:t xml:space="preserve">specifik </w:t>
            </w:r>
            <w:r w:rsidRPr="00E83C5E">
              <w:rPr>
                <w:rFonts w:ascii="Garamond" w:eastAsia="Times New Roman" w:hAnsi="Garamond" w:cs="Times New Roman"/>
                <w:color w:val="000000"/>
                <w:sz w:val="14"/>
                <w:szCs w:val="14"/>
                <w:lang w:eastAsia="en-GB"/>
              </w:rPr>
              <w:t>3: Të rinjtë, në të gjitha kushtet dhe situatat,</w:t>
            </w:r>
            <w:r w:rsidR="00233C37" w:rsidRPr="00E83C5E">
              <w:rPr>
                <w:rFonts w:ascii="Garamond" w:eastAsia="Times New Roman" w:hAnsi="Garamond" w:cs="Times New Roman"/>
                <w:color w:val="000000"/>
                <w:sz w:val="14"/>
                <w:szCs w:val="14"/>
                <w:lang w:eastAsia="en-GB"/>
              </w:rPr>
              <w:t xml:space="preserve"> </w:t>
            </w:r>
            <w:r w:rsidRPr="00E83C5E">
              <w:rPr>
                <w:rFonts w:ascii="Garamond" w:eastAsia="Times New Roman" w:hAnsi="Garamond" w:cs="Times New Roman"/>
                <w:color w:val="000000"/>
                <w:sz w:val="14"/>
                <w:szCs w:val="14"/>
                <w:lang w:eastAsia="en-GB"/>
              </w:rPr>
              <w:t>përfaqësojnë një fokus të veçantë në aftësim, punësim, sipërmarrje dhe politika punësimi që ofrojnë një shumëllojshmëri të modaliteteve specifike rinore për rritjen e mbështetjes për ta në tranzicionin nga sistemi arsimor drejt tregut të punës dhe moshës madhore.</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4E332F"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 MFE, MAS</w:t>
            </w:r>
          </w:p>
        </w:tc>
        <w:tc>
          <w:tcPr>
            <w:tcW w:w="325" w:type="pct"/>
            <w:tcBorders>
              <w:top w:val="single" w:sz="4" w:space="0" w:color="auto"/>
              <w:left w:val="single" w:sz="4" w:space="0" w:color="auto"/>
              <w:bottom w:val="single" w:sz="4" w:space="0" w:color="auto"/>
              <w:right w:val="nil"/>
            </w:tcBorders>
            <w:shd w:val="clear" w:color="auto" w:fill="auto"/>
            <w:vAlign w:val="center"/>
            <w:hideMark/>
          </w:tcPr>
          <w:p w14:paraId="574E3330"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br/>
              <w:t>MiSHMS, AKR, AKPA, AKAPFK</w:t>
            </w: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4E3331"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2023</w:t>
            </w: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574E3332"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2029</w:t>
            </w:r>
          </w:p>
        </w:tc>
        <w:tc>
          <w:tcPr>
            <w:tcW w:w="32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574E333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0" w:type="pct"/>
            <w:tcBorders>
              <w:top w:val="single" w:sz="8" w:space="0" w:color="auto"/>
              <w:left w:val="nil"/>
              <w:bottom w:val="single" w:sz="4" w:space="0" w:color="auto"/>
              <w:right w:val="single" w:sz="4" w:space="0" w:color="auto"/>
            </w:tcBorders>
            <w:shd w:val="clear" w:color="auto" w:fill="auto"/>
            <w:noWrap/>
            <w:vAlign w:val="center"/>
            <w:hideMark/>
          </w:tcPr>
          <w:p w14:paraId="574E333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46" w:type="pct"/>
            <w:tcBorders>
              <w:top w:val="single" w:sz="8" w:space="0" w:color="auto"/>
              <w:left w:val="nil"/>
              <w:bottom w:val="single" w:sz="4" w:space="0" w:color="auto"/>
              <w:right w:val="single" w:sz="8" w:space="0" w:color="auto"/>
            </w:tcBorders>
            <w:shd w:val="clear" w:color="auto" w:fill="auto"/>
            <w:noWrap/>
            <w:vAlign w:val="center"/>
            <w:hideMark/>
          </w:tcPr>
          <w:p w14:paraId="574E333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9" w:type="pct"/>
            <w:gridSpan w:val="2"/>
            <w:tcBorders>
              <w:top w:val="single" w:sz="8" w:space="0" w:color="auto"/>
              <w:left w:val="nil"/>
              <w:bottom w:val="single" w:sz="4" w:space="0" w:color="auto"/>
              <w:right w:val="single" w:sz="4" w:space="0" w:color="auto"/>
            </w:tcBorders>
            <w:shd w:val="clear" w:color="auto" w:fill="auto"/>
            <w:noWrap/>
            <w:vAlign w:val="center"/>
            <w:hideMark/>
          </w:tcPr>
          <w:p w14:paraId="574E333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single" w:sz="8" w:space="0" w:color="auto"/>
              <w:left w:val="nil"/>
              <w:bottom w:val="single" w:sz="4" w:space="0" w:color="auto"/>
              <w:right w:val="single" w:sz="4" w:space="0" w:color="auto"/>
            </w:tcBorders>
            <w:shd w:val="clear" w:color="auto" w:fill="auto"/>
            <w:noWrap/>
            <w:vAlign w:val="center"/>
            <w:hideMark/>
          </w:tcPr>
          <w:p w14:paraId="574E333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8" w:space="0" w:color="auto"/>
              <w:left w:val="nil"/>
              <w:bottom w:val="single" w:sz="4" w:space="0" w:color="auto"/>
              <w:right w:val="nil"/>
            </w:tcBorders>
            <w:shd w:val="clear" w:color="auto" w:fill="auto"/>
            <w:noWrap/>
            <w:vAlign w:val="center"/>
            <w:hideMark/>
          </w:tcPr>
          <w:p w14:paraId="574E333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2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574E333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single" w:sz="8" w:space="0" w:color="auto"/>
              <w:left w:val="nil"/>
              <w:bottom w:val="single" w:sz="4" w:space="0" w:color="auto"/>
              <w:right w:val="single" w:sz="4" w:space="0" w:color="auto"/>
            </w:tcBorders>
            <w:shd w:val="clear" w:color="auto" w:fill="auto"/>
            <w:noWrap/>
            <w:vAlign w:val="center"/>
            <w:hideMark/>
          </w:tcPr>
          <w:p w14:paraId="574E333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single" w:sz="8" w:space="0" w:color="auto"/>
              <w:left w:val="nil"/>
              <w:bottom w:val="single" w:sz="4" w:space="0" w:color="auto"/>
              <w:right w:val="single" w:sz="8" w:space="0" w:color="auto"/>
            </w:tcBorders>
            <w:shd w:val="clear" w:color="auto" w:fill="auto"/>
            <w:noWrap/>
            <w:vAlign w:val="center"/>
            <w:hideMark/>
          </w:tcPr>
          <w:p w14:paraId="574E333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79" w:type="pct"/>
            <w:tcBorders>
              <w:top w:val="single" w:sz="8" w:space="0" w:color="auto"/>
              <w:left w:val="nil"/>
              <w:bottom w:val="single" w:sz="4" w:space="0" w:color="auto"/>
              <w:right w:val="single" w:sz="8" w:space="0" w:color="auto"/>
            </w:tcBorders>
            <w:shd w:val="clear" w:color="auto" w:fill="auto"/>
            <w:noWrap/>
            <w:vAlign w:val="center"/>
            <w:hideMark/>
          </w:tcPr>
          <w:p w14:paraId="574E333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r>
      <w:tr w:rsidR="00444B63" w:rsidRPr="00E83C5E" w14:paraId="574E334E" w14:textId="77777777" w:rsidTr="008C3E7E">
        <w:trPr>
          <w:trHeight w:val="829"/>
          <w:jc w:val="center"/>
        </w:trPr>
        <w:tc>
          <w:tcPr>
            <w:tcW w:w="1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4E333E"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2.3.1</w:t>
            </w:r>
          </w:p>
        </w:tc>
        <w:tc>
          <w:tcPr>
            <w:tcW w:w="646" w:type="pct"/>
            <w:tcBorders>
              <w:top w:val="single" w:sz="4" w:space="0" w:color="auto"/>
              <w:left w:val="nil"/>
              <w:bottom w:val="single" w:sz="4" w:space="0" w:color="auto"/>
              <w:right w:val="single" w:sz="4" w:space="0" w:color="auto"/>
            </w:tcBorders>
            <w:shd w:val="clear" w:color="000000" w:fill="DDEBF7"/>
            <w:hideMark/>
          </w:tcPr>
          <w:p w14:paraId="574E333F" w14:textId="31E8CED3" w:rsidR="00444B63" w:rsidRPr="00E83C5E" w:rsidRDefault="00444B63" w:rsidP="0038059A">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2.3.1 Masa 1</w:t>
            </w:r>
            <w:r w:rsidRPr="00E83C5E">
              <w:rPr>
                <w:rFonts w:ascii="Garamond" w:eastAsia="Times New Roman" w:hAnsi="Garamond" w:cs="Times New Roman"/>
                <w:color w:val="000000"/>
                <w:sz w:val="14"/>
                <w:szCs w:val="14"/>
                <w:lang w:eastAsia="en-GB"/>
              </w:rPr>
              <w:br/>
              <w:t>Nxiten punët e denja dhe të përshtatshme për të rejat dhe të rinjtë përmes politikave t</w:t>
            </w:r>
            <w:r w:rsidR="00EE5150" w:rsidRPr="00E83C5E">
              <w:rPr>
                <w:rFonts w:ascii="Garamond" w:eastAsia="Times New Roman" w:hAnsi="Garamond" w:cs="Times New Roman"/>
                <w:color w:val="000000"/>
                <w:sz w:val="14"/>
                <w:szCs w:val="14"/>
                <w:lang w:eastAsia="en-GB"/>
              </w:rPr>
              <w:t>ë</w:t>
            </w:r>
            <w:r w:rsidRPr="00E83C5E">
              <w:rPr>
                <w:rFonts w:ascii="Garamond" w:eastAsia="Times New Roman" w:hAnsi="Garamond" w:cs="Times New Roman"/>
                <w:color w:val="000000"/>
                <w:sz w:val="14"/>
                <w:szCs w:val="14"/>
                <w:lang w:eastAsia="en-GB"/>
              </w:rPr>
              <w:t xml:space="preserve"> punësimit, miqësore dhe të orientuara nga të rinjtë q</w:t>
            </w:r>
            <w:r w:rsidR="0038059A" w:rsidRPr="00E83C5E">
              <w:rPr>
                <w:rFonts w:ascii="Garamond" w:eastAsia="Times New Roman" w:hAnsi="Garamond" w:cs="Times New Roman"/>
                <w:color w:val="000000"/>
                <w:sz w:val="14"/>
                <w:szCs w:val="14"/>
                <w:lang w:eastAsia="en-GB"/>
              </w:rPr>
              <w:t>ë</w:t>
            </w:r>
            <w:r w:rsidRPr="00E83C5E">
              <w:rPr>
                <w:rFonts w:ascii="Garamond" w:eastAsia="Times New Roman" w:hAnsi="Garamond" w:cs="Times New Roman"/>
                <w:color w:val="000000"/>
                <w:sz w:val="14"/>
                <w:szCs w:val="14"/>
                <w:lang w:eastAsia="en-GB"/>
              </w:rPr>
              <w:t xml:space="preserve"> kontribuojnë në krijimin e vendeve të punës për të rejat dhe të rinjtë dhe q</w:t>
            </w:r>
            <w:r w:rsidR="0038059A" w:rsidRPr="00E83C5E">
              <w:rPr>
                <w:rFonts w:ascii="Garamond" w:eastAsia="Times New Roman" w:hAnsi="Garamond" w:cs="Times New Roman"/>
                <w:color w:val="000000"/>
                <w:sz w:val="14"/>
                <w:szCs w:val="14"/>
                <w:lang w:eastAsia="en-GB"/>
              </w:rPr>
              <w:t xml:space="preserve">ë </w:t>
            </w:r>
            <w:r w:rsidRPr="00E83C5E">
              <w:rPr>
                <w:rFonts w:ascii="Garamond" w:eastAsia="Times New Roman" w:hAnsi="Garamond" w:cs="Times New Roman"/>
                <w:color w:val="000000"/>
                <w:sz w:val="14"/>
                <w:szCs w:val="14"/>
                <w:lang w:eastAsia="en-GB"/>
              </w:rPr>
              <w:t>sigurojnë qasje novative dhe digjitale në informacionet mbi të drejtat dhe përgjegjësitë e punësimit</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4E334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single" w:sz="4" w:space="0" w:color="auto"/>
              <w:left w:val="nil"/>
              <w:bottom w:val="single" w:sz="4" w:space="0" w:color="auto"/>
              <w:right w:val="single" w:sz="4" w:space="0" w:color="auto"/>
            </w:tcBorders>
            <w:shd w:val="clear" w:color="auto" w:fill="auto"/>
            <w:vAlign w:val="center"/>
            <w:hideMark/>
          </w:tcPr>
          <w:p w14:paraId="574E334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 MFE, AKPA, AKAPFK</w:t>
            </w:r>
          </w:p>
        </w:tc>
        <w:tc>
          <w:tcPr>
            <w:tcW w:w="215" w:type="pct"/>
            <w:tcBorders>
              <w:top w:val="single" w:sz="4" w:space="0" w:color="auto"/>
              <w:left w:val="nil"/>
              <w:bottom w:val="single" w:sz="4" w:space="0" w:color="auto"/>
              <w:right w:val="single" w:sz="4" w:space="0" w:color="auto"/>
            </w:tcBorders>
            <w:shd w:val="clear" w:color="auto" w:fill="auto"/>
            <w:vAlign w:val="center"/>
            <w:hideMark/>
          </w:tcPr>
          <w:p w14:paraId="574E3342"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2023</w:t>
            </w:r>
          </w:p>
        </w:tc>
        <w:tc>
          <w:tcPr>
            <w:tcW w:w="319" w:type="pct"/>
            <w:tcBorders>
              <w:top w:val="single" w:sz="4" w:space="0" w:color="auto"/>
              <w:left w:val="nil"/>
              <w:bottom w:val="single" w:sz="4" w:space="0" w:color="auto"/>
              <w:right w:val="single" w:sz="8" w:space="0" w:color="auto"/>
            </w:tcBorders>
            <w:shd w:val="clear" w:color="auto" w:fill="auto"/>
            <w:vAlign w:val="center"/>
            <w:hideMark/>
          </w:tcPr>
          <w:p w14:paraId="574E3343"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2029</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574E334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11,659,192</w:t>
            </w:r>
          </w:p>
        </w:tc>
        <w:tc>
          <w:tcPr>
            <w:tcW w:w="330" w:type="pct"/>
            <w:tcBorders>
              <w:top w:val="single" w:sz="4" w:space="0" w:color="auto"/>
              <w:left w:val="nil"/>
              <w:bottom w:val="single" w:sz="4" w:space="0" w:color="auto"/>
              <w:right w:val="single" w:sz="4" w:space="0" w:color="auto"/>
            </w:tcBorders>
            <w:shd w:val="clear" w:color="auto" w:fill="auto"/>
            <w:noWrap/>
            <w:vAlign w:val="center"/>
            <w:hideMark/>
          </w:tcPr>
          <w:p w14:paraId="574E334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single" w:sz="4" w:space="0" w:color="auto"/>
              <w:left w:val="nil"/>
              <w:bottom w:val="single" w:sz="4" w:space="0" w:color="auto"/>
              <w:right w:val="single" w:sz="8" w:space="0" w:color="auto"/>
            </w:tcBorders>
            <w:shd w:val="clear" w:color="auto" w:fill="auto"/>
            <w:noWrap/>
            <w:vAlign w:val="center"/>
            <w:hideMark/>
          </w:tcPr>
          <w:p w14:paraId="574E334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11,659,192</w:t>
            </w:r>
          </w:p>
        </w:tc>
        <w:tc>
          <w:tcPr>
            <w:tcW w:w="259" w:type="pct"/>
            <w:gridSpan w:val="2"/>
            <w:tcBorders>
              <w:top w:val="single" w:sz="4" w:space="0" w:color="auto"/>
              <w:left w:val="nil"/>
              <w:bottom w:val="single" w:sz="4" w:space="0" w:color="auto"/>
              <w:right w:val="single" w:sz="4" w:space="0" w:color="auto"/>
            </w:tcBorders>
            <w:shd w:val="clear" w:color="auto" w:fill="auto"/>
            <w:noWrap/>
            <w:vAlign w:val="center"/>
            <w:hideMark/>
          </w:tcPr>
          <w:p w14:paraId="574E334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single" w:sz="4" w:space="0" w:color="auto"/>
              <w:left w:val="nil"/>
              <w:bottom w:val="single" w:sz="4" w:space="0" w:color="auto"/>
              <w:right w:val="single" w:sz="4" w:space="0" w:color="auto"/>
            </w:tcBorders>
            <w:shd w:val="clear" w:color="auto" w:fill="auto"/>
            <w:noWrap/>
            <w:vAlign w:val="center"/>
            <w:hideMark/>
          </w:tcPr>
          <w:p w14:paraId="574E334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4" w:space="0" w:color="auto"/>
              <w:left w:val="nil"/>
              <w:bottom w:val="single" w:sz="4" w:space="0" w:color="auto"/>
              <w:right w:val="nil"/>
            </w:tcBorders>
            <w:shd w:val="clear" w:color="auto" w:fill="auto"/>
            <w:vAlign w:val="center"/>
            <w:hideMark/>
          </w:tcPr>
          <w:p w14:paraId="574E334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1,817,592</w:t>
            </w:r>
          </w:p>
        </w:tc>
        <w:tc>
          <w:tcPr>
            <w:tcW w:w="22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74E334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single" w:sz="4" w:space="0" w:color="auto"/>
              <w:left w:val="nil"/>
              <w:bottom w:val="single" w:sz="4" w:space="0" w:color="auto"/>
              <w:right w:val="single" w:sz="4" w:space="0" w:color="auto"/>
            </w:tcBorders>
            <w:shd w:val="clear" w:color="auto" w:fill="auto"/>
            <w:noWrap/>
            <w:vAlign w:val="center"/>
            <w:hideMark/>
          </w:tcPr>
          <w:p w14:paraId="574E334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single" w:sz="4" w:space="0" w:color="auto"/>
              <w:left w:val="nil"/>
              <w:bottom w:val="single" w:sz="4" w:space="0" w:color="auto"/>
              <w:right w:val="single" w:sz="8" w:space="0" w:color="auto"/>
            </w:tcBorders>
            <w:shd w:val="clear" w:color="auto" w:fill="auto"/>
            <w:vAlign w:val="center"/>
            <w:hideMark/>
          </w:tcPr>
          <w:p w14:paraId="574E334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4" w:space="0" w:color="auto"/>
              <w:left w:val="nil"/>
              <w:bottom w:val="single" w:sz="4" w:space="0" w:color="auto"/>
              <w:right w:val="single" w:sz="4" w:space="0" w:color="auto"/>
            </w:tcBorders>
            <w:shd w:val="clear" w:color="auto" w:fill="auto"/>
            <w:noWrap/>
            <w:vAlign w:val="center"/>
            <w:hideMark/>
          </w:tcPr>
          <w:p w14:paraId="574E334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-9,841,600</w:t>
            </w:r>
          </w:p>
        </w:tc>
      </w:tr>
      <w:tr w:rsidR="00444B63" w:rsidRPr="00E83C5E" w14:paraId="574E335F" w14:textId="77777777" w:rsidTr="008C3E7E">
        <w:trPr>
          <w:trHeight w:val="829"/>
          <w:jc w:val="center"/>
        </w:trPr>
        <w:tc>
          <w:tcPr>
            <w:tcW w:w="141" w:type="pct"/>
            <w:tcBorders>
              <w:top w:val="single" w:sz="4" w:space="0" w:color="auto"/>
              <w:left w:val="single" w:sz="8" w:space="0" w:color="auto"/>
              <w:bottom w:val="nil"/>
              <w:right w:val="single" w:sz="4" w:space="0" w:color="auto"/>
            </w:tcBorders>
            <w:shd w:val="clear" w:color="auto" w:fill="auto"/>
            <w:noWrap/>
            <w:vAlign w:val="center"/>
            <w:hideMark/>
          </w:tcPr>
          <w:p w14:paraId="574E334F"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2.3.2</w:t>
            </w:r>
          </w:p>
        </w:tc>
        <w:tc>
          <w:tcPr>
            <w:tcW w:w="646" w:type="pct"/>
            <w:tcBorders>
              <w:top w:val="single" w:sz="4" w:space="0" w:color="auto"/>
              <w:left w:val="nil"/>
              <w:bottom w:val="single" w:sz="4" w:space="0" w:color="auto"/>
              <w:right w:val="single" w:sz="4" w:space="0" w:color="auto"/>
            </w:tcBorders>
            <w:shd w:val="clear" w:color="000000" w:fill="DDEBF7"/>
            <w:hideMark/>
          </w:tcPr>
          <w:p w14:paraId="574E3350"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xml:space="preserve">2.3.2 Masa 2. </w:t>
            </w:r>
            <w:r w:rsidRPr="00E83C5E">
              <w:rPr>
                <w:rFonts w:ascii="Garamond" w:eastAsia="Times New Roman" w:hAnsi="Garamond" w:cs="Times New Roman"/>
                <w:color w:val="000000"/>
                <w:sz w:val="14"/>
                <w:szCs w:val="14"/>
                <w:lang w:eastAsia="en-GB"/>
              </w:rPr>
              <w:br/>
              <w:t>Sigurohet mbështetje e përshtatshme dhe miqësore për të rinjtë dhe të rejat e në veçanti për ata me aftësi të kufizuara mbi punësueshmërinë e tyre, punësimin dhe sipërmarrjen rinore.</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4E335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single" w:sz="4" w:space="0" w:color="auto"/>
              <w:left w:val="nil"/>
              <w:bottom w:val="single" w:sz="4" w:space="0" w:color="auto"/>
              <w:right w:val="single" w:sz="4" w:space="0" w:color="auto"/>
            </w:tcBorders>
            <w:shd w:val="clear" w:color="auto" w:fill="auto"/>
            <w:vAlign w:val="center"/>
            <w:hideMark/>
          </w:tcPr>
          <w:p w14:paraId="574E335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 MiSHMS, MFE, AKPA</w:t>
            </w:r>
          </w:p>
        </w:tc>
        <w:tc>
          <w:tcPr>
            <w:tcW w:w="215" w:type="pct"/>
            <w:tcBorders>
              <w:top w:val="single" w:sz="4" w:space="0" w:color="auto"/>
              <w:left w:val="nil"/>
              <w:bottom w:val="single" w:sz="4" w:space="0" w:color="auto"/>
              <w:right w:val="single" w:sz="4" w:space="0" w:color="auto"/>
            </w:tcBorders>
            <w:shd w:val="clear" w:color="auto" w:fill="auto"/>
            <w:vAlign w:val="center"/>
            <w:hideMark/>
          </w:tcPr>
          <w:p w14:paraId="574E3353"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2027</w:t>
            </w: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574E3354"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2029</w:t>
            </w:r>
          </w:p>
        </w:tc>
        <w:tc>
          <w:tcPr>
            <w:tcW w:w="329" w:type="pct"/>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574E335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6,261,844</w:t>
            </w:r>
          </w:p>
        </w:tc>
        <w:tc>
          <w:tcPr>
            <w:tcW w:w="330" w:type="pct"/>
            <w:tcBorders>
              <w:top w:val="single" w:sz="4" w:space="0" w:color="auto"/>
              <w:left w:val="nil"/>
              <w:bottom w:val="single" w:sz="8" w:space="0" w:color="auto"/>
              <w:right w:val="single" w:sz="4" w:space="0" w:color="auto"/>
            </w:tcBorders>
            <w:shd w:val="clear" w:color="auto" w:fill="auto"/>
            <w:noWrap/>
            <w:vAlign w:val="center"/>
            <w:hideMark/>
          </w:tcPr>
          <w:p w14:paraId="574E335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single" w:sz="4" w:space="0" w:color="auto"/>
              <w:left w:val="nil"/>
              <w:bottom w:val="single" w:sz="4" w:space="0" w:color="auto"/>
              <w:right w:val="single" w:sz="8" w:space="0" w:color="auto"/>
            </w:tcBorders>
            <w:shd w:val="clear" w:color="auto" w:fill="auto"/>
            <w:noWrap/>
            <w:vAlign w:val="center"/>
            <w:hideMark/>
          </w:tcPr>
          <w:p w14:paraId="574E335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6,261,844</w:t>
            </w:r>
          </w:p>
        </w:tc>
        <w:tc>
          <w:tcPr>
            <w:tcW w:w="259" w:type="pct"/>
            <w:gridSpan w:val="2"/>
            <w:tcBorders>
              <w:top w:val="single" w:sz="4" w:space="0" w:color="auto"/>
              <w:left w:val="nil"/>
              <w:bottom w:val="single" w:sz="8" w:space="0" w:color="auto"/>
              <w:right w:val="single" w:sz="4" w:space="0" w:color="auto"/>
            </w:tcBorders>
            <w:shd w:val="clear" w:color="auto" w:fill="auto"/>
            <w:noWrap/>
            <w:vAlign w:val="center"/>
            <w:hideMark/>
          </w:tcPr>
          <w:p w14:paraId="574E335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single" w:sz="4" w:space="0" w:color="auto"/>
              <w:left w:val="nil"/>
              <w:bottom w:val="single" w:sz="8" w:space="0" w:color="auto"/>
              <w:right w:val="single" w:sz="4" w:space="0" w:color="auto"/>
            </w:tcBorders>
            <w:shd w:val="clear" w:color="auto" w:fill="auto"/>
            <w:noWrap/>
            <w:vAlign w:val="center"/>
            <w:hideMark/>
          </w:tcPr>
          <w:p w14:paraId="574E335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4" w:space="0" w:color="auto"/>
              <w:left w:val="nil"/>
              <w:bottom w:val="single" w:sz="4" w:space="0" w:color="auto"/>
              <w:right w:val="nil"/>
            </w:tcBorders>
            <w:shd w:val="clear" w:color="auto" w:fill="auto"/>
            <w:vAlign w:val="center"/>
            <w:hideMark/>
          </w:tcPr>
          <w:p w14:paraId="574E335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601,860</w:t>
            </w:r>
          </w:p>
        </w:tc>
        <w:tc>
          <w:tcPr>
            <w:tcW w:w="229" w:type="pct"/>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574E335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single" w:sz="4" w:space="0" w:color="auto"/>
              <w:left w:val="nil"/>
              <w:bottom w:val="single" w:sz="8" w:space="0" w:color="auto"/>
              <w:right w:val="single" w:sz="4" w:space="0" w:color="auto"/>
            </w:tcBorders>
            <w:shd w:val="clear" w:color="auto" w:fill="auto"/>
            <w:noWrap/>
            <w:vAlign w:val="center"/>
            <w:hideMark/>
          </w:tcPr>
          <w:p w14:paraId="574E335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single" w:sz="4" w:space="0" w:color="auto"/>
              <w:left w:val="nil"/>
              <w:bottom w:val="single" w:sz="4" w:space="0" w:color="auto"/>
              <w:right w:val="single" w:sz="8" w:space="0" w:color="auto"/>
            </w:tcBorders>
            <w:shd w:val="clear" w:color="auto" w:fill="auto"/>
            <w:vAlign w:val="center"/>
            <w:hideMark/>
          </w:tcPr>
          <w:p w14:paraId="574E335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4" w:space="0" w:color="auto"/>
              <w:left w:val="nil"/>
              <w:bottom w:val="single" w:sz="4" w:space="0" w:color="auto"/>
              <w:right w:val="single" w:sz="8" w:space="0" w:color="auto"/>
            </w:tcBorders>
            <w:shd w:val="clear" w:color="auto" w:fill="auto"/>
            <w:noWrap/>
            <w:vAlign w:val="center"/>
            <w:hideMark/>
          </w:tcPr>
          <w:p w14:paraId="574E335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-5,659,984</w:t>
            </w:r>
          </w:p>
        </w:tc>
      </w:tr>
      <w:tr w:rsidR="00444B63" w:rsidRPr="00E83C5E" w14:paraId="574E3370" w14:textId="77777777" w:rsidTr="008C3E7E">
        <w:trPr>
          <w:trHeight w:val="829"/>
          <w:jc w:val="center"/>
        </w:trPr>
        <w:tc>
          <w:tcPr>
            <w:tcW w:w="141" w:type="pct"/>
            <w:tcBorders>
              <w:top w:val="single" w:sz="4" w:space="0" w:color="auto"/>
              <w:left w:val="single" w:sz="8" w:space="0" w:color="auto"/>
              <w:bottom w:val="nil"/>
              <w:right w:val="single" w:sz="4" w:space="0" w:color="auto"/>
            </w:tcBorders>
            <w:shd w:val="clear" w:color="auto" w:fill="auto"/>
            <w:noWrap/>
            <w:vAlign w:val="center"/>
            <w:hideMark/>
          </w:tcPr>
          <w:p w14:paraId="574E3360"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2.3.3</w:t>
            </w:r>
          </w:p>
        </w:tc>
        <w:tc>
          <w:tcPr>
            <w:tcW w:w="646" w:type="pct"/>
            <w:tcBorders>
              <w:top w:val="single" w:sz="4" w:space="0" w:color="auto"/>
              <w:left w:val="nil"/>
              <w:bottom w:val="single" w:sz="4" w:space="0" w:color="auto"/>
              <w:right w:val="single" w:sz="4" w:space="0" w:color="auto"/>
            </w:tcBorders>
            <w:shd w:val="clear" w:color="000000" w:fill="DDEBF7"/>
            <w:hideMark/>
          </w:tcPr>
          <w:p w14:paraId="574E3361" w14:textId="268D0A14" w:rsidR="00444B63" w:rsidRPr="00E83C5E" w:rsidRDefault="00444B63" w:rsidP="00EE5150">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xml:space="preserve">2.3.3 Masa 3 </w:t>
            </w:r>
            <w:r w:rsidRPr="00E83C5E">
              <w:rPr>
                <w:rFonts w:ascii="Garamond" w:eastAsia="Times New Roman" w:hAnsi="Garamond" w:cs="Times New Roman"/>
                <w:color w:val="000000"/>
                <w:sz w:val="14"/>
                <w:szCs w:val="14"/>
                <w:lang w:eastAsia="en-GB"/>
              </w:rPr>
              <w:br/>
              <w:t xml:space="preserve">Nxitet dhe promovohet novacioni në tregun e punës </w:t>
            </w:r>
            <w:r w:rsidR="00BE7B59" w:rsidRPr="00E83C5E">
              <w:rPr>
                <w:rFonts w:ascii="Garamond" w:eastAsia="Times New Roman" w:hAnsi="Garamond" w:cs="Times New Roman"/>
                <w:color w:val="000000"/>
                <w:sz w:val="14"/>
                <w:szCs w:val="14"/>
                <w:lang w:eastAsia="en-GB"/>
              </w:rPr>
              <w:t>për</w:t>
            </w:r>
            <w:r w:rsidRPr="00E83C5E">
              <w:rPr>
                <w:rFonts w:ascii="Garamond" w:eastAsia="Times New Roman" w:hAnsi="Garamond" w:cs="Times New Roman"/>
                <w:color w:val="000000"/>
                <w:sz w:val="14"/>
                <w:szCs w:val="14"/>
                <w:lang w:eastAsia="en-GB"/>
              </w:rPr>
              <w:t xml:space="preserve"> </w:t>
            </w:r>
            <w:r w:rsidR="00BE7B59" w:rsidRPr="00E83C5E">
              <w:rPr>
                <w:rFonts w:ascii="Garamond" w:eastAsia="Times New Roman" w:hAnsi="Garamond" w:cs="Times New Roman"/>
                <w:color w:val="000000"/>
                <w:sz w:val="14"/>
                <w:szCs w:val="14"/>
                <w:lang w:eastAsia="en-GB"/>
              </w:rPr>
              <w:t>punësimin</w:t>
            </w:r>
            <w:r w:rsidRPr="00E83C5E">
              <w:rPr>
                <w:rFonts w:ascii="Garamond" w:eastAsia="Times New Roman" w:hAnsi="Garamond" w:cs="Times New Roman"/>
                <w:color w:val="000000"/>
                <w:sz w:val="14"/>
                <w:szCs w:val="14"/>
                <w:lang w:eastAsia="en-GB"/>
              </w:rPr>
              <w:t xml:space="preserve"> me kohë të pjesshme t</w:t>
            </w:r>
            <w:r w:rsidR="00EE5150" w:rsidRPr="00E83C5E">
              <w:rPr>
                <w:rFonts w:ascii="Garamond" w:eastAsia="Times New Roman" w:hAnsi="Garamond" w:cs="Times New Roman"/>
                <w:color w:val="000000"/>
                <w:sz w:val="14"/>
                <w:szCs w:val="14"/>
                <w:lang w:eastAsia="en-GB"/>
              </w:rPr>
              <w:t>ë</w:t>
            </w:r>
            <w:r w:rsidRPr="00E83C5E">
              <w:rPr>
                <w:rFonts w:ascii="Garamond" w:eastAsia="Times New Roman" w:hAnsi="Garamond" w:cs="Times New Roman"/>
                <w:color w:val="000000"/>
                <w:sz w:val="14"/>
                <w:szCs w:val="14"/>
                <w:lang w:eastAsia="en-GB"/>
              </w:rPr>
              <w:t xml:space="preserve"> orientuar nga të rejat.</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36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nil"/>
              <w:left w:val="nil"/>
              <w:bottom w:val="single" w:sz="4" w:space="0" w:color="auto"/>
              <w:right w:val="single" w:sz="4" w:space="0" w:color="auto"/>
            </w:tcBorders>
            <w:shd w:val="clear" w:color="auto" w:fill="auto"/>
            <w:vAlign w:val="center"/>
            <w:hideMark/>
          </w:tcPr>
          <w:p w14:paraId="574E336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 MFE, AKPA, AKAPFK</w:t>
            </w:r>
          </w:p>
        </w:tc>
        <w:tc>
          <w:tcPr>
            <w:tcW w:w="215" w:type="pct"/>
            <w:tcBorders>
              <w:top w:val="single" w:sz="4" w:space="0" w:color="auto"/>
              <w:left w:val="nil"/>
              <w:bottom w:val="single" w:sz="4" w:space="0" w:color="auto"/>
              <w:right w:val="single" w:sz="4" w:space="0" w:color="auto"/>
            </w:tcBorders>
            <w:shd w:val="clear" w:color="auto" w:fill="auto"/>
            <w:vAlign w:val="center"/>
            <w:hideMark/>
          </w:tcPr>
          <w:p w14:paraId="574E3364"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2027</w:t>
            </w: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574E3365"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2029</w:t>
            </w:r>
          </w:p>
        </w:tc>
        <w:tc>
          <w:tcPr>
            <w:tcW w:w="329" w:type="pct"/>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574E336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6,261,844</w:t>
            </w:r>
          </w:p>
        </w:tc>
        <w:tc>
          <w:tcPr>
            <w:tcW w:w="330" w:type="pct"/>
            <w:tcBorders>
              <w:top w:val="single" w:sz="4" w:space="0" w:color="auto"/>
              <w:left w:val="nil"/>
              <w:bottom w:val="single" w:sz="8" w:space="0" w:color="auto"/>
              <w:right w:val="single" w:sz="4" w:space="0" w:color="auto"/>
            </w:tcBorders>
            <w:shd w:val="clear" w:color="auto" w:fill="auto"/>
            <w:noWrap/>
            <w:vAlign w:val="center"/>
            <w:hideMark/>
          </w:tcPr>
          <w:p w14:paraId="574E336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single" w:sz="8" w:space="0" w:color="auto"/>
              <w:left w:val="nil"/>
              <w:bottom w:val="single" w:sz="4" w:space="0" w:color="auto"/>
              <w:right w:val="single" w:sz="8" w:space="0" w:color="auto"/>
            </w:tcBorders>
            <w:shd w:val="clear" w:color="auto" w:fill="auto"/>
            <w:noWrap/>
            <w:vAlign w:val="center"/>
            <w:hideMark/>
          </w:tcPr>
          <w:p w14:paraId="574E336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6,261,844</w:t>
            </w:r>
          </w:p>
        </w:tc>
        <w:tc>
          <w:tcPr>
            <w:tcW w:w="259" w:type="pct"/>
            <w:gridSpan w:val="2"/>
            <w:tcBorders>
              <w:top w:val="single" w:sz="4" w:space="0" w:color="auto"/>
              <w:left w:val="nil"/>
              <w:bottom w:val="single" w:sz="8" w:space="0" w:color="auto"/>
              <w:right w:val="single" w:sz="4" w:space="0" w:color="auto"/>
            </w:tcBorders>
            <w:shd w:val="clear" w:color="auto" w:fill="auto"/>
            <w:noWrap/>
            <w:vAlign w:val="center"/>
            <w:hideMark/>
          </w:tcPr>
          <w:p w14:paraId="574E336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single" w:sz="4" w:space="0" w:color="auto"/>
              <w:left w:val="nil"/>
              <w:bottom w:val="single" w:sz="8" w:space="0" w:color="auto"/>
              <w:right w:val="single" w:sz="4" w:space="0" w:color="auto"/>
            </w:tcBorders>
            <w:shd w:val="clear" w:color="auto" w:fill="auto"/>
            <w:noWrap/>
            <w:vAlign w:val="center"/>
            <w:hideMark/>
          </w:tcPr>
          <w:p w14:paraId="574E336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8" w:space="0" w:color="auto"/>
              <w:left w:val="nil"/>
              <w:bottom w:val="single" w:sz="4" w:space="0" w:color="auto"/>
              <w:right w:val="nil"/>
            </w:tcBorders>
            <w:shd w:val="clear" w:color="auto" w:fill="auto"/>
            <w:vAlign w:val="center"/>
            <w:hideMark/>
          </w:tcPr>
          <w:p w14:paraId="574E336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601,860</w:t>
            </w:r>
          </w:p>
        </w:tc>
        <w:tc>
          <w:tcPr>
            <w:tcW w:w="229" w:type="pct"/>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574E336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single" w:sz="4" w:space="0" w:color="auto"/>
              <w:left w:val="nil"/>
              <w:bottom w:val="single" w:sz="8" w:space="0" w:color="auto"/>
              <w:right w:val="single" w:sz="4" w:space="0" w:color="auto"/>
            </w:tcBorders>
            <w:shd w:val="clear" w:color="auto" w:fill="auto"/>
            <w:noWrap/>
            <w:vAlign w:val="center"/>
            <w:hideMark/>
          </w:tcPr>
          <w:p w14:paraId="574E336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36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8" w:space="0" w:color="auto"/>
              <w:left w:val="nil"/>
              <w:bottom w:val="single" w:sz="4" w:space="0" w:color="auto"/>
              <w:right w:val="single" w:sz="8" w:space="0" w:color="auto"/>
            </w:tcBorders>
            <w:shd w:val="clear" w:color="auto" w:fill="auto"/>
            <w:noWrap/>
            <w:vAlign w:val="center"/>
            <w:hideMark/>
          </w:tcPr>
          <w:p w14:paraId="574E336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-5,659,984</w:t>
            </w:r>
          </w:p>
        </w:tc>
      </w:tr>
      <w:tr w:rsidR="00444B63" w:rsidRPr="00E83C5E" w14:paraId="574E3381" w14:textId="77777777" w:rsidTr="00BE7B59">
        <w:trPr>
          <w:trHeight w:val="37"/>
          <w:jc w:val="center"/>
        </w:trPr>
        <w:tc>
          <w:tcPr>
            <w:tcW w:w="141"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74E3371"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2.3.4</w:t>
            </w:r>
          </w:p>
        </w:tc>
        <w:tc>
          <w:tcPr>
            <w:tcW w:w="646" w:type="pct"/>
            <w:tcBorders>
              <w:top w:val="single" w:sz="4" w:space="0" w:color="auto"/>
              <w:left w:val="nil"/>
              <w:bottom w:val="single" w:sz="4" w:space="0" w:color="auto"/>
              <w:right w:val="single" w:sz="4" w:space="0" w:color="auto"/>
            </w:tcBorders>
            <w:shd w:val="clear" w:color="000000" w:fill="DDEBF7"/>
            <w:hideMark/>
          </w:tcPr>
          <w:p w14:paraId="574E3372" w14:textId="5FEDDB89"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2.3.4 Masa 4 Fuqizohen qasjet e integruara për të mbështetur të rinjtë që rrezikojnë</w:t>
            </w:r>
            <w:r w:rsidR="00233C37" w:rsidRPr="00E83C5E">
              <w:rPr>
                <w:rFonts w:ascii="Garamond" w:eastAsia="Times New Roman" w:hAnsi="Garamond" w:cs="Times New Roman"/>
                <w:color w:val="000000"/>
                <w:sz w:val="14"/>
                <w:szCs w:val="14"/>
                <w:lang w:eastAsia="en-GB"/>
              </w:rPr>
              <w:t xml:space="preserve"> </w:t>
            </w:r>
            <w:r w:rsidRPr="00E83C5E">
              <w:rPr>
                <w:rFonts w:ascii="Garamond" w:eastAsia="Times New Roman" w:hAnsi="Garamond" w:cs="Times New Roman"/>
                <w:color w:val="000000"/>
                <w:sz w:val="14"/>
                <w:szCs w:val="14"/>
                <w:lang w:eastAsia="en-GB"/>
              </w:rPr>
              <w:t xml:space="preserve">lënien e parakohshme të shkollimit dhe pa mbështetje për shkollim në </w:t>
            </w:r>
            <w:r w:rsidRPr="00E83C5E">
              <w:rPr>
                <w:rFonts w:ascii="Garamond" w:eastAsia="Times New Roman" w:hAnsi="Garamond" w:cs="Times New Roman"/>
                <w:color w:val="000000"/>
                <w:sz w:val="14"/>
                <w:szCs w:val="14"/>
                <w:lang w:eastAsia="en-GB"/>
              </w:rPr>
              <w:lastRenderedPageBreak/>
              <w:t>përputhje me Strategjinë Kombëtare të Arsimit (Garancia Rinore dhe UNICEF)</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37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lastRenderedPageBreak/>
              <w:t>MSHRF</w:t>
            </w:r>
          </w:p>
        </w:tc>
        <w:tc>
          <w:tcPr>
            <w:tcW w:w="325" w:type="pct"/>
            <w:tcBorders>
              <w:top w:val="nil"/>
              <w:left w:val="nil"/>
              <w:bottom w:val="single" w:sz="4" w:space="0" w:color="auto"/>
              <w:right w:val="single" w:sz="4" w:space="0" w:color="auto"/>
            </w:tcBorders>
            <w:shd w:val="clear" w:color="auto" w:fill="auto"/>
            <w:vAlign w:val="center"/>
            <w:hideMark/>
          </w:tcPr>
          <w:p w14:paraId="574E337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 AKPA, ASCAP</w:t>
            </w:r>
          </w:p>
        </w:tc>
        <w:tc>
          <w:tcPr>
            <w:tcW w:w="215" w:type="pct"/>
            <w:tcBorders>
              <w:top w:val="single" w:sz="4" w:space="0" w:color="auto"/>
              <w:left w:val="nil"/>
              <w:bottom w:val="single" w:sz="4" w:space="0" w:color="auto"/>
              <w:right w:val="single" w:sz="4" w:space="0" w:color="auto"/>
            </w:tcBorders>
            <w:shd w:val="clear" w:color="auto" w:fill="auto"/>
            <w:vAlign w:val="center"/>
            <w:hideMark/>
          </w:tcPr>
          <w:p w14:paraId="574E3375"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2023</w:t>
            </w:r>
          </w:p>
        </w:tc>
        <w:tc>
          <w:tcPr>
            <w:tcW w:w="319" w:type="pct"/>
            <w:tcBorders>
              <w:top w:val="single" w:sz="4" w:space="0" w:color="auto"/>
              <w:left w:val="nil"/>
              <w:bottom w:val="single" w:sz="4" w:space="0" w:color="auto"/>
              <w:right w:val="nil"/>
            </w:tcBorders>
            <w:shd w:val="clear" w:color="auto" w:fill="auto"/>
            <w:vAlign w:val="center"/>
            <w:hideMark/>
          </w:tcPr>
          <w:p w14:paraId="574E3376"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2029</w:t>
            </w:r>
          </w:p>
        </w:tc>
        <w:tc>
          <w:tcPr>
            <w:tcW w:w="32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74E337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22,356,400</w:t>
            </w:r>
          </w:p>
        </w:tc>
        <w:tc>
          <w:tcPr>
            <w:tcW w:w="330" w:type="pct"/>
            <w:tcBorders>
              <w:top w:val="single" w:sz="4" w:space="0" w:color="auto"/>
              <w:left w:val="nil"/>
              <w:bottom w:val="single" w:sz="8" w:space="0" w:color="auto"/>
              <w:right w:val="single" w:sz="4" w:space="0" w:color="auto"/>
            </w:tcBorders>
            <w:shd w:val="clear" w:color="auto" w:fill="auto"/>
            <w:noWrap/>
            <w:vAlign w:val="center"/>
            <w:hideMark/>
          </w:tcPr>
          <w:p w14:paraId="574E337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single" w:sz="8" w:space="0" w:color="auto"/>
              <w:left w:val="nil"/>
              <w:bottom w:val="single" w:sz="4" w:space="0" w:color="auto"/>
              <w:right w:val="single" w:sz="8" w:space="0" w:color="auto"/>
            </w:tcBorders>
            <w:shd w:val="clear" w:color="auto" w:fill="auto"/>
            <w:noWrap/>
            <w:vAlign w:val="center"/>
            <w:hideMark/>
          </w:tcPr>
          <w:p w14:paraId="574E337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22,356,400</w:t>
            </w:r>
          </w:p>
        </w:tc>
        <w:tc>
          <w:tcPr>
            <w:tcW w:w="259" w:type="pct"/>
            <w:gridSpan w:val="2"/>
            <w:tcBorders>
              <w:top w:val="single" w:sz="4" w:space="0" w:color="auto"/>
              <w:left w:val="nil"/>
              <w:bottom w:val="single" w:sz="8" w:space="0" w:color="auto"/>
              <w:right w:val="single" w:sz="4" w:space="0" w:color="auto"/>
            </w:tcBorders>
            <w:shd w:val="clear" w:color="auto" w:fill="auto"/>
            <w:noWrap/>
            <w:vAlign w:val="center"/>
            <w:hideMark/>
          </w:tcPr>
          <w:p w14:paraId="574E337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single" w:sz="4" w:space="0" w:color="auto"/>
              <w:left w:val="nil"/>
              <w:bottom w:val="single" w:sz="8" w:space="0" w:color="auto"/>
              <w:right w:val="single" w:sz="4" w:space="0" w:color="auto"/>
            </w:tcBorders>
            <w:shd w:val="clear" w:color="auto" w:fill="auto"/>
            <w:noWrap/>
            <w:vAlign w:val="center"/>
            <w:hideMark/>
          </w:tcPr>
          <w:p w14:paraId="574E337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8" w:space="0" w:color="auto"/>
              <w:left w:val="nil"/>
              <w:bottom w:val="single" w:sz="4" w:space="0" w:color="auto"/>
              <w:right w:val="nil"/>
            </w:tcBorders>
            <w:shd w:val="clear" w:color="auto" w:fill="auto"/>
            <w:vAlign w:val="center"/>
            <w:hideMark/>
          </w:tcPr>
          <w:p w14:paraId="574E337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10,000,000</w:t>
            </w:r>
          </w:p>
        </w:tc>
        <w:tc>
          <w:tcPr>
            <w:tcW w:w="229" w:type="pct"/>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574E337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single" w:sz="4" w:space="0" w:color="auto"/>
              <w:left w:val="nil"/>
              <w:bottom w:val="single" w:sz="8" w:space="0" w:color="auto"/>
              <w:right w:val="single" w:sz="4" w:space="0" w:color="auto"/>
            </w:tcBorders>
            <w:shd w:val="clear" w:color="auto" w:fill="auto"/>
            <w:noWrap/>
            <w:vAlign w:val="center"/>
            <w:hideMark/>
          </w:tcPr>
          <w:p w14:paraId="574E337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37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3,000,000</w:t>
            </w:r>
          </w:p>
        </w:tc>
        <w:tc>
          <w:tcPr>
            <w:tcW w:w="379" w:type="pct"/>
            <w:tcBorders>
              <w:top w:val="single" w:sz="8" w:space="0" w:color="auto"/>
              <w:left w:val="nil"/>
              <w:bottom w:val="single" w:sz="4" w:space="0" w:color="auto"/>
              <w:right w:val="single" w:sz="8" w:space="0" w:color="auto"/>
            </w:tcBorders>
            <w:shd w:val="clear" w:color="auto" w:fill="auto"/>
            <w:noWrap/>
            <w:vAlign w:val="center"/>
            <w:hideMark/>
          </w:tcPr>
          <w:p w14:paraId="574E338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-9,356,400</w:t>
            </w:r>
          </w:p>
        </w:tc>
      </w:tr>
      <w:tr w:rsidR="00444B63" w:rsidRPr="00E83C5E" w14:paraId="574E3392" w14:textId="77777777" w:rsidTr="00BE7B59">
        <w:trPr>
          <w:trHeight w:val="37"/>
          <w:jc w:val="center"/>
        </w:trPr>
        <w:tc>
          <w:tcPr>
            <w:tcW w:w="141"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74E3382"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lastRenderedPageBreak/>
              <w:t> </w:t>
            </w:r>
          </w:p>
        </w:tc>
        <w:tc>
          <w:tcPr>
            <w:tcW w:w="646" w:type="pct"/>
            <w:tcBorders>
              <w:top w:val="single" w:sz="4" w:space="0" w:color="auto"/>
              <w:left w:val="nil"/>
              <w:bottom w:val="single" w:sz="4" w:space="0" w:color="auto"/>
              <w:right w:val="single" w:sz="4" w:space="0" w:color="auto"/>
            </w:tcBorders>
            <w:shd w:val="clear" w:color="000000" w:fill="D9D9D9"/>
            <w:vAlign w:val="center"/>
            <w:hideMark/>
          </w:tcPr>
          <w:p w14:paraId="574E3383" w14:textId="77777777" w:rsidR="00444B63" w:rsidRPr="00E83C5E" w:rsidRDefault="00444B63" w:rsidP="00444B63">
            <w:pPr>
              <w:spacing w:after="0" w:line="240" w:lineRule="auto"/>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Kosto Objektivi specifik 2.3</w:t>
            </w:r>
          </w:p>
        </w:tc>
        <w:tc>
          <w:tcPr>
            <w:tcW w:w="365" w:type="pct"/>
            <w:tcBorders>
              <w:top w:val="single" w:sz="4" w:space="0" w:color="auto"/>
              <w:left w:val="nil"/>
              <w:bottom w:val="single" w:sz="4" w:space="0" w:color="auto"/>
              <w:right w:val="single" w:sz="4" w:space="0" w:color="auto"/>
            </w:tcBorders>
            <w:shd w:val="clear" w:color="000000" w:fill="D9D9D9"/>
            <w:vAlign w:val="center"/>
            <w:hideMark/>
          </w:tcPr>
          <w:p w14:paraId="574E3384"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25" w:type="pct"/>
            <w:tcBorders>
              <w:top w:val="single" w:sz="4" w:space="0" w:color="auto"/>
              <w:left w:val="nil"/>
              <w:bottom w:val="single" w:sz="4" w:space="0" w:color="auto"/>
              <w:right w:val="single" w:sz="4" w:space="0" w:color="auto"/>
            </w:tcBorders>
            <w:shd w:val="clear" w:color="000000" w:fill="D9D9D9"/>
            <w:vAlign w:val="center"/>
            <w:hideMark/>
          </w:tcPr>
          <w:p w14:paraId="574E3385"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15" w:type="pct"/>
            <w:tcBorders>
              <w:top w:val="single" w:sz="4" w:space="0" w:color="auto"/>
              <w:left w:val="nil"/>
              <w:bottom w:val="single" w:sz="4" w:space="0" w:color="auto"/>
              <w:right w:val="single" w:sz="4" w:space="0" w:color="auto"/>
            </w:tcBorders>
            <w:shd w:val="clear" w:color="000000" w:fill="D9D9D9"/>
            <w:vAlign w:val="center"/>
            <w:hideMark/>
          </w:tcPr>
          <w:p w14:paraId="574E3386"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19" w:type="pct"/>
            <w:tcBorders>
              <w:top w:val="single" w:sz="4" w:space="0" w:color="auto"/>
              <w:left w:val="nil"/>
              <w:bottom w:val="single" w:sz="4" w:space="0" w:color="auto"/>
              <w:right w:val="single" w:sz="4" w:space="0" w:color="auto"/>
            </w:tcBorders>
            <w:shd w:val="clear" w:color="000000" w:fill="D9D9D9"/>
            <w:vAlign w:val="center"/>
            <w:hideMark/>
          </w:tcPr>
          <w:p w14:paraId="574E3387"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29" w:type="pct"/>
            <w:tcBorders>
              <w:top w:val="single" w:sz="4" w:space="0" w:color="auto"/>
              <w:left w:val="nil"/>
              <w:bottom w:val="nil"/>
              <w:right w:val="single" w:sz="4" w:space="0" w:color="auto"/>
            </w:tcBorders>
            <w:shd w:val="clear" w:color="000000" w:fill="D9D9D9"/>
            <w:vAlign w:val="center"/>
            <w:hideMark/>
          </w:tcPr>
          <w:p w14:paraId="574E3388"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46,539,280</w:t>
            </w:r>
          </w:p>
        </w:tc>
        <w:tc>
          <w:tcPr>
            <w:tcW w:w="330" w:type="pct"/>
            <w:tcBorders>
              <w:top w:val="nil"/>
              <w:left w:val="nil"/>
              <w:bottom w:val="nil"/>
              <w:right w:val="single" w:sz="4" w:space="0" w:color="auto"/>
            </w:tcBorders>
            <w:shd w:val="clear" w:color="000000" w:fill="D9D9D9"/>
            <w:vAlign w:val="center"/>
            <w:hideMark/>
          </w:tcPr>
          <w:p w14:paraId="574E3389"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346" w:type="pct"/>
            <w:tcBorders>
              <w:top w:val="nil"/>
              <w:left w:val="nil"/>
              <w:bottom w:val="nil"/>
              <w:right w:val="single" w:sz="4" w:space="0" w:color="auto"/>
            </w:tcBorders>
            <w:shd w:val="clear" w:color="000000" w:fill="D9D9D9"/>
            <w:vAlign w:val="center"/>
            <w:hideMark/>
          </w:tcPr>
          <w:p w14:paraId="574E338A"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46,539,280</w:t>
            </w:r>
          </w:p>
        </w:tc>
        <w:tc>
          <w:tcPr>
            <w:tcW w:w="259" w:type="pct"/>
            <w:gridSpan w:val="2"/>
            <w:tcBorders>
              <w:top w:val="nil"/>
              <w:left w:val="nil"/>
              <w:bottom w:val="nil"/>
              <w:right w:val="single" w:sz="4" w:space="0" w:color="auto"/>
            </w:tcBorders>
            <w:shd w:val="clear" w:color="000000" w:fill="D9D9D9"/>
            <w:vAlign w:val="center"/>
            <w:hideMark/>
          </w:tcPr>
          <w:p w14:paraId="574E338B"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58" w:type="pct"/>
            <w:gridSpan w:val="2"/>
            <w:tcBorders>
              <w:top w:val="nil"/>
              <w:left w:val="nil"/>
              <w:bottom w:val="nil"/>
              <w:right w:val="single" w:sz="4" w:space="0" w:color="auto"/>
            </w:tcBorders>
            <w:shd w:val="clear" w:color="000000" w:fill="D9D9D9"/>
            <w:vAlign w:val="center"/>
            <w:hideMark/>
          </w:tcPr>
          <w:p w14:paraId="574E338C"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332" w:type="pct"/>
            <w:tcBorders>
              <w:top w:val="nil"/>
              <w:left w:val="nil"/>
              <w:bottom w:val="nil"/>
              <w:right w:val="single" w:sz="4" w:space="0" w:color="auto"/>
            </w:tcBorders>
            <w:shd w:val="clear" w:color="000000" w:fill="D9D9D9"/>
            <w:vAlign w:val="center"/>
            <w:hideMark/>
          </w:tcPr>
          <w:p w14:paraId="574E338D"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13,021,312</w:t>
            </w:r>
          </w:p>
        </w:tc>
        <w:tc>
          <w:tcPr>
            <w:tcW w:w="229" w:type="pct"/>
            <w:tcBorders>
              <w:top w:val="nil"/>
              <w:left w:val="nil"/>
              <w:bottom w:val="nil"/>
              <w:right w:val="single" w:sz="4" w:space="0" w:color="auto"/>
            </w:tcBorders>
            <w:shd w:val="clear" w:color="000000" w:fill="D9D9D9"/>
            <w:vAlign w:val="center"/>
            <w:hideMark/>
          </w:tcPr>
          <w:p w14:paraId="574E338E"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41" w:type="pct"/>
            <w:tcBorders>
              <w:top w:val="nil"/>
              <w:left w:val="nil"/>
              <w:bottom w:val="nil"/>
              <w:right w:val="single" w:sz="4" w:space="0" w:color="auto"/>
            </w:tcBorders>
            <w:shd w:val="clear" w:color="000000" w:fill="D9D9D9"/>
            <w:vAlign w:val="center"/>
            <w:hideMark/>
          </w:tcPr>
          <w:p w14:paraId="574E338F"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84" w:type="pct"/>
            <w:gridSpan w:val="2"/>
            <w:tcBorders>
              <w:top w:val="nil"/>
              <w:left w:val="nil"/>
              <w:bottom w:val="nil"/>
              <w:right w:val="single" w:sz="4" w:space="0" w:color="auto"/>
            </w:tcBorders>
            <w:shd w:val="clear" w:color="000000" w:fill="D9D9D9"/>
            <w:vAlign w:val="center"/>
            <w:hideMark/>
          </w:tcPr>
          <w:p w14:paraId="574E3390"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3,000,000</w:t>
            </w:r>
          </w:p>
        </w:tc>
        <w:tc>
          <w:tcPr>
            <w:tcW w:w="379" w:type="pct"/>
            <w:tcBorders>
              <w:top w:val="nil"/>
              <w:left w:val="nil"/>
              <w:bottom w:val="nil"/>
              <w:right w:val="single" w:sz="4" w:space="0" w:color="auto"/>
            </w:tcBorders>
            <w:shd w:val="clear" w:color="000000" w:fill="D9D9D9"/>
            <w:vAlign w:val="center"/>
            <w:hideMark/>
          </w:tcPr>
          <w:p w14:paraId="574E3391"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-30,517,968</w:t>
            </w:r>
          </w:p>
        </w:tc>
      </w:tr>
      <w:tr w:rsidR="00444B63" w:rsidRPr="00E83C5E" w14:paraId="574E33A3" w14:textId="77777777" w:rsidTr="00BE7B59">
        <w:trPr>
          <w:trHeight w:val="47"/>
          <w:jc w:val="center"/>
        </w:trPr>
        <w:tc>
          <w:tcPr>
            <w:tcW w:w="141" w:type="pct"/>
            <w:tcBorders>
              <w:top w:val="single" w:sz="4" w:space="0" w:color="auto"/>
              <w:left w:val="single" w:sz="4" w:space="0" w:color="auto"/>
              <w:bottom w:val="single" w:sz="4" w:space="0" w:color="auto"/>
              <w:right w:val="nil"/>
            </w:tcBorders>
            <w:shd w:val="clear" w:color="auto" w:fill="D9D9D9" w:themeFill="background1" w:themeFillShade="D9"/>
            <w:vAlign w:val="center"/>
            <w:hideMark/>
          </w:tcPr>
          <w:p w14:paraId="574E3393"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646" w:type="pct"/>
            <w:tcBorders>
              <w:top w:val="single" w:sz="4" w:space="0" w:color="auto"/>
              <w:left w:val="nil"/>
              <w:bottom w:val="single" w:sz="4" w:space="0" w:color="auto"/>
              <w:right w:val="nil"/>
            </w:tcBorders>
            <w:shd w:val="clear" w:color="auto" w:fill="D9D9D9" w:themeFill="background1" w:themeFillShade="D9"/>
            <w:vAlign w:val="center"/>
            <w:hideMark/>
          </w:tcPr>
          <w:p w14:paraId="574E3394" w14:textId="7FFDA3E2" w:rsidR="00444B63" w:rsidRPr="00E83C5E" w:rsidRDefault="00444B63" w:rsidP="00BC1D73">
            <w:pPr>
              <w:spacing w:after="0" w:line="240" w:lineRule="auto"/>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 xml:space="preserve">Kosto totale </w:t>
            </w:r>
            <w:r w:rsidR="00BC1D73" w:rsidRPr="00E83C5E">
              <w:rPr>
                <w:rFonts w:ascii="Garamond" w:eastAsia="Times New Roman" w:hAnsi="Garamond" w:cs="Times New Roman"/>
                <w:b/>
                <w:bCs/>
                <w:color w:val="FF0000"/>
                <w:sz w:val="14"/>
                <w:szCs w:val="14"/>
                <w:lang w:eastAsia="en-GB"/>
              </w:rPr>
              <w:t xml:space="preserve">qëllimi i politikës </w:t>
            </w:r>
            <w:r w:rsidRPr="00E83C5E">
              <w:rPr>
                <w:rFonts w:ascii="Garamond" w:eastAsia="Times New Roman" w:hAnsi="Garamond" w:cs="Times New Roman"/>
                <w:b/>
                <w:bCs/>
                <w:color w:val="FF0000"/>
                <w:sz w:val="14"/>
                <w:szCs w:val="14"/>
                <w:lang w:eastAsia="en-GB"/>
              </w:rPr>
              <w:t>I (objektiva specifik</w:t>
            </w:r>
            <w:r w:rsidR="00BC1D73">
              <w:rPr>
                <w:rFonts w:ascii="Garamond" w:eastAsia="Times New Roman" w:hAnsi="Garamond" w:cs="Times New Roman"/>
                <w:b/>
                <w:bCs/>
                <w:color w:val="FF0000"/>
                <w:sz w:val="14"/>
                <w:szCs w:val="14"/>
                <w:lang w:eastAsia="en-GB"/>
              </w:rPr>
              <w:t>ë</w:t>
            </w:r>
            <w:r w:rsidRPr="00E83C5E">
              <w:rPr>
                <w:rFonts w:ascii="Garamond" w:eastAsia="Times New Roman" w:hAnsi="Garamond" w:cs="Times New Roman"/>
                <w:b/>
                <w:bCs/>
                <w:color w:val="FF0000"/>
                <w:sz w:val="14"/>
                <w:szCs w:val="14"/>
                <w:lang w:eastAsia="en-GB"/>
              </w:rPr>
              <w:t xml:space="preserve"> 2.1+2.2+2.3)</w:t>
            </w:r>
          </w:p>
        </w:tc>
        <w:tc>
          <w:tcPr>
            <w:tcW w:w="365" w:type="pct"/>
            <w:tcBorders>
              <w:top w:val="single" w:sz="4" w:space="0" w:color="auto"/>
              <w:left w:val="nil"/>
              <w:bottom w:val="single" w:sz="4" w:space="0" w:color="auto"/>
              <w:right w:val="nil"/>
            </w:tcBorders>
            <w:shd w:val="clear" w:color="auto" w:fill="D9D9D9" w:themeFill="background1" w:themeFillShade="D9"/>
            <w:vAlign w:val="center"/>
            <w:hideMark/>
          </w:tcPr>
          <w:p w14:paraId="574E3395"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25" w:type="pct"/>
            <w:tcBorders>
              <w:top w:val="single" w:sz="4" w:space="0" w:color="auto"/>
              <w:left w:val="nil"/>
              <w:bottom w:val="single" w:sz="4" w:space="0" w:color="auto"/>
              <w:right w:val="nil"/>
            </w:tcBorders>
            <w:shd w:val="clear" w:color="auto" w:fill="D9D9D9" w:themeFill="background1" w:themeFillShade="D9"/>
            <w:vAlign w:val="center"/>
            <w:hideMark/>
          </w:tcPr>
          <w:p w14:paraId="574E3396"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15" w:type="pct"/>
            <w:tcBorders>
              <w:top w:val="single" w:sz="4" w:space="0" w:color="auto"/>
              <w:left w:val="nil"/>
              <w:bottom w:val="single" w:sz="4" w:space="0" w:color="auto"/>
              <w:right w:val="nil"/>
            </w:tcBorders>
            <w:shd w:val="clear" w:color="auto" w:fill="D9D9D9" w:themeFill="background1" w:themeFillShade="D9"/>
            <w:vAlign w:val="center"/>
            <w:hideMark/>
          </w:tcPr>
          <w:p w14:paraId="574E3397"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19" w:type="pct"/>
            <w:tcBorders>
              <w:top w:val="single" w:sz="4" w:space="0" w:color="auto"/>
              <w:left w:val="nil"/>
              <w:bottom w:val="single" w:sz="4" w:space="0" w:color="auto"/>
              <w:right w:val="nil"/>
            </w:tcBorders>
            <w:shd w:val="clear" w:color="auto" w:fill="D9D9D9" w:themeFill="background1" w:themeFillShade="D9"/>
            <w:vAlign w:val="center"/>
            <w:hideMark/>
          </w:tcPr>
          <w:p w14:paraId="574E3398"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2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74E3399"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2,315,514,728</w:t>
            </w:r>
          </w:p>
        </w:tc>
        <w:tc>
          <w:tcPr>
            <w:tcW w:w="330" w:type="pct"/>
            <w:tcBorders>
              <w:top w:val="single" w:sz="4" w:space="0" w:color="auto"/>
              <w:left w:val="nil"/>
              <w:bottom w:val="single" w:sz="4" w:space="0" w:color="auto"/>
              <w:right w:val="single" w:sz="4" w:space="0" w:color="auto"/>
            </w:tcBorders>
            <w:shd w:val="clear" w:color="000000" w:fill="D9D9D9"/>
            <w:vAlign w:val="center"/>
            <w:hideMark/>
          </w:tcPr>
          <w:p w14:paraId="574E339A"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841,830,000</w:t>
            </w:r>
          </w:p>
        </w:tc>
        <w:tc>
          <w:tcPr>
            <w:tcW w:w="346" w:type="pct"/>
            <w:tcBorders>
              <w:top w:val="single" w:sz="4" w:space="0" w:color="auto"/>
              <w:left w:val="nil"/>
              <w:bottom w:val="single" w:sz="4" w:space="0" w:color="auto"/>
              <w:right w:val="single" w:sz="4" w:space="0" w:color="auto"/>
            </w:tcBorders>
            <w:shd w:val="clear" w:color="000000" w:fill="D9D9D9"/>
            <w:vAlign w:val="center"/>
            <w:hideMark/>
          </w:tcPr>
          <w:p w14:paraId="574E339B"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3,157,344,728</w:t>
            </w:r>
          </w:p>
        </w:tc>
        <w:tc>
          <w:tcPr>
            <w:tcW w:w="259" w:type="pct"/>
            <w:gridSpan w:val="2"/>
            <w:tcBorders>
              <w:top w:val="single" w:sz="4" w:space="0" w:color="auto"/>
              <w:left w:val="nil"/>
              <w:bottom w:val="single" w:sz="4" w:space="0" w:color="auto"/>
              <w:right w:val="single" w:sz="4" w:space="0" w:color="auto"/>
            </w:tcBorders>
            <w:shd w:val="clear" w:color="000000" w:fill="D9D9D9"/>
            <w:vAlign w:val="center"/>
            <w:hideMark/>
          </w:tcPr>
          <w:p w14:paraId="574E339C"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58" w:type="pct"/>
            <w:gridSpan w:val="2"/>
            <w:tcBorders>
              <w:top w:val="single" w:sz="4" w:space="0" w:color="auto"/>
              <w:left w:val="nil"/>
              <w:bottom w:val="single" w:sz="4" w:space="0" w:color="auto"/>
              <w:right w:val="single" w:sz="4" w:space="0" w:color="auto"/>
            </w:tcBorders>
            <w:shd w:val="clear" w:color="000000" w:fill="D9D9D9"/>
            <w:vAlign w:val="center"/>
            <w:hideMark/>
          </w:tcPr>
          <w:p w14:paraId="574E339D"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332" w:type="pct"/>
            <w:tcBorders>
              <w:top w:val="single" w:sz="4" w:space="0" w:color="auto"/>
              <w:left w:val="nil"/>
              <w:bottom w:val="single" w:sz="4" w:space="0" w:color="auto"/>
              <w:right w:val="single" w:sz="4" w:space="0" w:color="auto"/>
            </w:tcBorders>
            <w:shd w:val="clear" w:color="000000" w:fill="D9D9D9"/>
            <w:vAlign w:val="center"/>
            <w:hideMark/>
          </w:tcPr>
          <w:p w14:paraId="574E339E"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2,492,025,478</w:t>
            </w:r>
          </w:p>
        </w:tc>
        <w:tc>
          <w:tcPr>
            <w:tcW w:w="229" w:type="pct"/>
            <w:tcBorders>
              <w:top w:val="single" w:sz="4" w:space="0" w:color="auto"/>
              <w:left w:val="nil"/>
              <w:bottom w:val="single" w:sz="4" w:space="0" w:color="auto"/>
              <w:right w:val="single" w:sz="4" w:space="0" w:color="auto"/>
            </w:tcBorders>
            <w:shd w:val="clear" w:color="000000" w:fill="D9D9D9"/>
            <w:vAlign w:val="center"/>
            <w:hideMark/>
          </w:tcPr>
          <w:p w14:paraId="574E339F"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41" w:type="pct"/>
            <w:tcBorders>
              <w:top w:val="single" w:sz="4" w:space="0" w:color="auto"/>
              <w:left w:val="nil"/>
              <w:bottom w:val="single" w:sz="4" w:space="0" w:color="auto"/>
              <w:right w:val="single" w:sz="4" w:space="0" w:color="auto"/>
            </w:tcBorders>
            <w:shd w:val="clear" w:color="000000" w:fill="D9D9D9"/>
            <w:vAlign w:val="center"/>
            <w:hideMark/>
          </w:tcPr>
          <w:p w14:paraId="574E33A0"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84" w:type="pct"/>
            <w:gridSpan w:val="2"/>
            <w:tcBorders>
              <w:top w:val="single" w:sz="4" w:space="0" w:color="auto"/>
              <w:left w:val="nil"/>
              <w:bottom w:val="single" w:sz="4" w:space="0" w:color="auto"/>
              <w:right w:val="single" w:sz="4" w:space="0" w:color="auto"/>
            </w:tcBorders>
            <w:shd w:val="clear" w:color="000000" w:fill="D9D9D9"/>
            <w:vAlign w:val="center"/>
            <w:hideMark/>
          </w:tcPr>
          <w:p w14:paraId="574E33A1"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452,000,000</w:t>
            </w:r>
          </w:p>
        </w:tc>
        <w:tc>
          <w:tcPr>
            <w:tcW w:w="379" w:type="pct"/>
            <w:tcBorders>
              <w:top w:val="nil"/>
              <w:left w:val="nil"/>
              <w:bottom w:val="nil"/>
              <w:right w:val="single" w:sz="4" w:space="0" w:color="auto"/>
            </w:tcBorders>
            <w:shd w:val="clear" w:color="000000" w:fill="D9D9D9"/>
            <w:vAlign w:val="center"/>
            <w:hideMark/>
          </w:tcPr>
          <w:p w14:paraId="574E33A2"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-213,319,250</w:t>
            </w:r>
          </w:p>
        </w:tc>
      </w:tr>
      <w:tr w:rsidR="00444B63" w:rsidRPr="00E83C5E" w14:paraId="574E33A5" w14:textId="77777777" w:rsidTr="00BE7B59">
        <w:trPr>
          <w:trHeight w:val="37"/>
          <w:jc w:val="center"/>
        </w:trPr>
        <w:tc>
          <w:tcPr>
            <w:tcW w:w="5000" w:type="pct"/>
            <w:gridSpan w:val="19"/>
            <w:tcBorders>
              <w:top w:val="single" w:sz="8" w:space="0" w:color="auto"/>
              <w:left w:val="single" w:sz="8" w:space="0" w:color="auto"/>
              <w:bottom w:val="single" w:sz="8" w:space="0" w:color="auto"/>
              <w:right w:val="nil"/>
            </w:tcBorders>
            <w:shd w:val="clear" w:color="000000" w:fill="F2F2F2"/>
            <w:vAlign w:val="center"/>
            <w:hideMark/>
          </w:tcPr>
          <w:p w14:paraId="574E33A4" w14:textId="4D8EF77F" w:rsidR="00444B63" w:rsidRPr="00E83C5E" w:rsidRDefault="00444B63" w:rsidP="00EE5150">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rPr>
              <w:t xml:space="preserve">I. ZHVILLIMI STRATEGJIK (DUHEN IDENTIFIKUAR PAS </w:t>
            </w:r>
            <w:r w:rsidR="00BC1D73" w:rsidRPr="00E83C5E">
              <w:rPr>
                <w:rFonts w:ascii="Garamond" w:eastAsia="Times New Roman" w:hAnsi="Garamond" w:cs="Times New Roman"/>
                <w:b/>
                <w:bCs/>
                <w:color w:val="FF0000"/>
                <w:sz w:val="14"/>
                <w:szCs w:val="14"/>
              </w:rPr>
              <w:t>PLOTËSIMIT</w:t>
            </w:r>
            <w:r w:rsidRPr="00E83C5E">
              <w:rPr>
                <w:rFonts w:ascii="Garamond" w:eastAsia="Times New Roman" w:hAnsi="Garamond" w:cs="Times New Roman"/>
                <w:b/>
                <w:bCs/>
                <w:color w:val="FF0000"/>
                <w:sz w:val="14"/>
                <w:szCs w:val="14"/>
              </w:rPr>
              <w:t xml:space="preserve"> T</w:t>
            </w:r>
            <w:r w:rsidR="00EE5150" w:rsidRPr="00E83C5E">
              <w:rPr>
                <w:rFonts w:ascii="Garamond" w:eastAsia="Times New Roman" w:hAnsi="Garamond" w:cs="Times New Roman"/>
                <w:b/>
                <w:bCs/>
                <w:color w:val="FF0000"/>
                <w:sz w:val="14"/>
                <w:szCs w:val="14"/>
              </w:rPr>
              <w:t>Ë</w:t>
            </w:r>
            <w:r w:rsidRPr="00E83C5E">
              <w:rPr>
                <w:rFonts w:ascii="Garamond" w:eastAsia="Times New Roman" w:hAnsi="Garamond" w:cs="Times New Roman"/>
                <w:b/>
                <w:bCs/>
                <w:color w:val="FF0000"/>
                <w:sz w:val="14"/>
                <w:szCs w:val="14"/>
              </w:rPr>
              <w:t xml:space="preserve"> MASAVE): FAZA ii</w:t>
            </w:r>
          </w:p>
        </w:tc>
      </w:tr>
      <w:tr w:rsidR="00444B63" w:rsidRPr="00E83C5E" w14:paraId="574E33A7" w14:textId="77777777" w:rsidTr="00BE7B59">
        <w:trPr>
          <w:trHeight w:val="37"/>
          <w:jc w:val="center"/>
        </w:trPr>
        <w:tc>
          <w:tcPr>
            <w:tcW w:w="5000" w:type="pct"/>
            <w:gridSpan w:val="19"/>
            <w:tcBorders>
              <w:top w:val="single" w:sz="8" w:space="0" w:color="auto"/>
              <w:left w:val="single" w:sz="8" w:space="0" w:color="auto"/>
              <w:bottom w:val="single" w:sz="8" w:space="0" w:color="auto"/>
              <w:right w:val="nil"/>
            </w:tcBorders>
            <w:shd w:val="clear" w:color="000000" w:fill="F2F2F2"/>
            <w:vAlign w:val="center"/>
            <w:hideMark/>
          </w:tcPr>
          <w:p w14:paraId="574E33A6" w14:textId="187EB081"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III. Q</w:t>
            </w:r>
            <w:r w:rsidR="00EE5150" w:rsidRPr="00E83C5E">
              <w:rPr>
                <w:rFonts w:ascii="Garamond" w:eastAsia="Times New Roman" w:hAnsi="Garamond" w:cs="Times New Roman"/>
                <w:b/>
                <w:bCs/>
                <w:color w:val="FF0000"/>
                <w:sz w:val="14"/>
                <w:szCs w:val="14"/>
              </w:rPr>
              <w:t>Ë</w:t>
            </w:r>
            <w:r w:rsidRPr="00E83C5E">
              <w:rPr>
                <w:rFonts w:ascii="Garamond" w:eastAsia="Times New Roman" w:hAnsi="Garamond" w:cs="Times New Roman"/>
                <w:b/>
                <w:bCs/>
                <w:color w:val="FF0000"/>
                <w:sz w:val="14"/>
                <w:szCs w:val="14"/>
                <w:lang w:eastAsia="en-GB"/>
              </w:rPr>
              <w:t>LLIMI I POLITIKAVE II – Mirëqenia dhe Përfshirja</w:t>
            </w:r>
            <w:r w:rsidRPr="00E83C5E">
              <w:rPr>
                <w:rFonts w:ascii="Garamond" w:eastAsia="Times New Roman" w:hAnsi="Garamond" w:cs="Times New Roman"/>
                <w:b/>
                <w:bCs/>
                <w:color w:val="FF0000"/>
                <w:sz w:val="14"/>
                <w:szCs w:val="14"/>
                <w:lang w:eastAsia="en-GB"/>
              </w:rPr>
              <w:br/>
              <w:t>Mirëqenia aktive, e shëndetshme, fizike, sociale dhe mendore e të rejave / rinjve. Siguria, mbrojtja dhe përfshirja e të rejave/ të rinjve/ në të gjithë diversitetin e tyre, veçanërisht për ata të rinj që janë në situatë rreziku apo mënjanimi social (vulnerabiliteti)</w:t>
            </w:r>
          </w:p>
        </w:tc>
      </w:tr>
      <w:tr w:rsidR="00444B63" w:rsidRPr="00E83C5E" w14:paraId="574E33A9" w14:textId="77777777" w:rsidTr="00BE7B59">
        <w:trPr>
          <w:trHeight w:val="37"/>
          <w:jc w:val="center"/>
        </w:trPr>
        <w:tc>
          <w:tcPr>
            <w:tcW w:w="5000" w:type="pct"/>
            <w:gridSpan w:val="19"/>
            <w:tcBorders>
              <w:top w:val="single" w:sz="8" w:space="0" w:color="auto"/>
              <w:left w:val="single" w:sz="8" w:space="0" w:color="auto"/>
              <w:bottom w:val="nil"/>
              <w:right w:val="nil"/>
            </w:tcBorders>
            <w:shd w:val="clear" w:color="000000" w:fill="E7E6E6"/>
            <w:vAlign w:val="center"/>
            <w:hideMark/>
          </w:tcPr>
          <w:p w14:paraId="574E33A8" w14:textId="3681C396" w:rsidR="00444B63" w:rsidRPr="00E83C5E" w:rsidRDefault="00444B63" w:rsidP="00EE5150">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rPr>
              <w:t>III. PROGRAMET BUXHETORE DUHET T</w:t>
            </w:r>
            <w:r w:rsidR="00EE5150" w:rsidRPr="00E83C5E">
              <w:rPr>
                <w:rFonts w:ascii="Garamond" w:eastAsia="Times New Roman" w:hAnsi="Garamond" w:cs="Times New Roman"/>
                <w:b/>
                <w:bCs/>
                <w:color w:val="FF0000"/>
                <w:sz w:val="14"/>
                <w:szCs w:val="14"/>
              </w:rPr>
              <w:t>Ë</w:t>
            </w:r>
            <w:r w:rsidRPr="00E83C5E">
              <w:rPr>
                <w:rFonts w:ascii="Garamond" w:eastAsia="Times New Roman" w:hAnsi="Garamond" w:cs="Times New Roman"/>
                <w:b/>
                <w:bCs/>
                <w:color w:val="FF0000"/>
                <w:sz w:val="14"/>
                <w:szCs w:val="14"/>
              </w:rPr>
              <w:t xml:space="preserve"> IDENTIFIKOHEN P</w:t>
            </w:r>
            <w:r w:rsidR="00EE5150" w:rsidRPr="00E83C5E">
              <w:rPr>
                <w:rFonts w:ascii="Garamond" w:eastAsia="Times New Roman" w:hAnsi="Garamond" w:cs="Times New Roman"/>
                <w:b/>
                <w:bCs/>
                <w:color w:val="FF0000"/>
                <w:sz w:val="14"/>
                <w:szCs w:val="14"/>
              </w:rPr>
              <w:t>Ë</w:t>
            </w:r>
            <w:r w:rsidRPr="00E83C5E">
              <w:rPr>
                <w:rFonts w:ascii="Garamond" w:eastAsia="Times New Roman" w:hAnsi="Garamond" w:cs="Times New Roman"/>
                <w:b/>
                <w:bCs/>
                <w:color w:val="FF0000"/>
                <w:sz w:val="14"/>
                <w:szCs w:val="14"/>
              </w:rPr>
              <w:t>R ÇDO MAS</w:t>
            </w:r>
            <w:r w:rsidR="00EE5150" w:rsidRPr="00E83C5E">
              <w:rPr>
                <w:rFonts w:ascii="Garamond" w:eastAsia="Times New Roman" w:hAnsi="Garamond" w:cs="Times New Roman"/>
                <w:b/>
                <w:bCs/>
                <w:color w:val="FF0000"/>
                <w:sz w:val="14"/>
                <w:szCs w:val="14"/>
              </w:rPr>
              <w:t>Ë</w:t>
            </w:r>
            <w:r w:rsidRPr="00E83C5E">
              <w:rPr>
                <w:rFonts w:ascii="Garamond" w:eastAsia="Times New Roman" w:hAnsi="Garamond" w:cs="Times New Roman"/>
                <w:b/>
                <w:bCs/>
                <w:color w:val="FF0000"/>
                <w:sz w:val="14"/>
                <w:szCs w:val="14"/>
              </w:rPr>
              <w:t>/REKOMANDIM : FAZA</w:t>
            </w:r>
            <w:r w:rsidR="00233C37" w:rsidRPr="00E83C5E">
              <w:rPr>
                <w:rFonts w:ascii="Garamond" w:eastAsia="Times New Roman" w:hAnsi="Garamond" w:cs="Times New Roman"/>
                <w:b/>
                <w:bCs/>
                <w:color w:val="FF0000"/>
                <w:sz w:val="14"/>
                <w:szCs w:val="14"/>
              </w:rPr>
              <w:t xml:space="preserve"> </w:t>
            </w:r>
            <w:r w:rsidRPr="00E83C5E">
              <w:rPr>
                <w:rFonts w:ascii="Garamond" w:eastAsia="Times New Roman" w:hAnsi="Garamond" w:cs="Times New Roman"/>
                <w:b/>
                <w:bCs/>
                <w:color w:val="FF0000"/>
                <w:sz w:val="14"/>
                <w:szCs w:val="14"/>
              </w:rPr>
              <w:t>i</w:t>
            </w:r>
          </w:p>
        </w:tc>
      </w:tr>
      <w:tr w:rsidR="00444B63" w:rsidRPr="00E83C5E" w14:paraId="574E33B1" w14:textId="77777777" w:rsidTr="00BE7B59">
        <w:trPr>
          <w:trHeight w:val="37"/>
          <w:jc w:val="center"/>
        </w:trPr>
        <w:tc>
          <w:tcPr>
            <w:tcW w:w="141" w:type="pct"/>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574E33AA"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Nr.</w:t>
            </w:r>
          </w:p>
        </w:tc>
        <w:tc>
          <w:tcPr>
            <w:tcW w:w="646"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574E33AB" w14:textId="644AFFFA" w:rsidR="00444B63" w:rsidRPr="00E83C5E" w:rsidRDefault="00444B63" w:rsidP="00BC1D7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Tit</w:t>
            </w:r>
            <w:r w:rsidR="00BC1D73">
              <w:rPr>
                <w:rFonts w:ascii="Garamond" w:eastAsia="Times New Roman" w:hAnsi="Garamond" w:cs="Times New Roman"/>
                <w:b/>
                <w:bCs/>
                <w:color w:val="000000"/>
                <w:sz w:val="14"/>
                <w:szCs w:val="14"/>
                <w:lang w:eastAsia="en-GB"/>
              </w:rPr>
              <w:t>ulli</w:t>
            </w:r>
          </w:p>
        </w:tc>
        <w:tc>
          <w:tcPr>
            <w:tcW w:w="690" w:type="pct"/>
            <w:gridSpan w:val="2"/>
            <w:tcBorders>
              <w:top w:val="single" w:sz="8" w:space="0" w:color="auto"/>
              <w:left w:val="nil"/>
              <w:bottom w:val="single" w:sz="4" w:space="0" w:color="auto"/>
              <w:right w:val="single" w:sz="4" w:space="0" w:color="auto"/>
            </w:tcBorders>
            <w:shd w:val="clear" w:color="auto" w:fill="auto"/>
            <w:vAlign w:val="center"/>
            <w:hideMark/>
          </w:tcPr>
          <w:p w14:paraId="574E33AC"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Institucionet përgjegjëse</w:t>
            </w:r>
          </w:p>
        </w:tc>
        <w:tc>
          <w:tcPr>
            <w:tcW w:w="535" w:type="pct"/>
            <w:gridSpan w:val="2"/>
            <w:tcBorders>
              <w:top w:val="single" w:sz="8" w:space="0" w:color="auto"/>
              <w:left w:val="nil"/>
              <w:bottom w:val="single" w:sz="4" w:space="0" w:color="auto"/>
              <w:right w:val="single" w:sz="8" w:space="0" w:color="000000"/>
            </w:tcBorders>
            <w:shd w:val="clear" w:color="auto" w:fill="auto"/>
            <w:vAlign w:val="center"/>
            <w:hideMark/>
          </w:tcPr>
          <w:p w14:paraId="574E33AD"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Periudha e zbatimit</w:t>
            </w:r>
          </w:p>
        </w:tc>
        <w:tc>
          <w:tcPr>
            <w:tcW w:w="1006" w:type="pct"/>
            <w:gridSpan w:val="3"/>
            <w:vMerge w:val="restart"/>
            <w:tcBorders>
              <w:top w:val="single" w:sz="8" w:space="0" w:color="auto"/>
              <w:left w:val="nil"/>
              <w:bottom w:val="single" w:sz="8" w:space="0" w:color="000000"/>
              <w:right w:val="single" w:sz="8" w:space="0" w:color="000000"/>
            </w:tcBorders>
            <w:shd w:val="clear" w:color="auto" w:fill="auto"/>
            <w:vAlign w:val="center"/>
            <w:hideMark/>
          </w:tcPr>
          <w:p w14:paraId="574E33AE" w14:textId="48C7446D" w:rsidR="00444B63" w:rsidRPr="00E83C5E" w:rsidRDefault="00444B63" w:rsidP="00BC1D7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xml:space="preserve">Kosto </w:t>
            </w:r>
            <w:r w:rsidR="00BC1D73">
              <w:rPr>
                <w:rFonts w:ascii="Garamond" w:eastAsia="Times New Roman" w:hAnsi="Garamond" w:cs="Times New Roman"/>
                <w:b/>
                <w:bCs/>
                <w:color w:val="000000"/>
                <w:sz w:val="14"/>
                <w:szCs w:val="14"/>
                <w:lang w:eastAsia="en-GB"/>
              </w:rPr>
              <w:t>i</w:t>
            </w:r>
            <w:r w:rsidRPr="00E83C5E">
              <w:rPr>
                <w:rFonts w:ascii="Garamond" w:eastAsia="Times New Roman" w:hAnsi="Garamond" w:cs="Times New Roman"/>
                <w:b/>
                <w:bCs/>
                <w:color w:val="000000"/>
                <w:sz w:val="14"/>
                <w:szCs w:val="14"/>
                <w:lang w:eastAsia="en-GB"/>
              </w:rPr>
              <w:t>ndikative</w:t>
            </w:r>
          </w:p>
        </w:tc>
        <w:tc>
          <w:tcPr>
            <w:tcW w:w="1603" w:type="pct"/>
            <w:gridSpan w:val="9"/>
            <w:tcBorders>
              <w:top w:val="single" w:sz="8" w:space="0" w:color="auto"/>
              <w:left w:val="nil"/>
              <w:bottom w:val="single" w:sz="8" w:space="0" w:color="auto"/>
              <w:right w:val="nil"/>
            </w:tcBorders>
            <w:shd w:val="clear" w:color="auto" w:fill="auto"/>
            <w:vAlign w:val="center"/>
            <w:hideMark/>
          </w:tcPr>
          <w:p w14:paraId="574E33AF"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Burimi</w:t>
            </w:r>
          </w:p>
        </w:tc>
        <w:tc>
          <w:tcPr>
            <w:tcW w:w="37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74E33B0"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Hendeku Financiar</w:t>
            </w:r>
          </w:p>
        </w:tc>
      </w:tr>
      <w:tr w:rsidR="00444B63" w:rsidRPr="00E83C5E" w14:paraId="574E33BC" w14:textId="77777777" w:rsidTr="00BE7B59">
        <w:trPr>
          <w:trHeight w:val="37"/>
          <w:jc w:val="center"/>
        </w:trPr>
        <w:tc>
          <w:tcPr>
            <w:tcW w:w="141" w:type="pct"/>
            <w:vMerge/>
            <w:tcBorders>
              <w:top w:val="single" w:sz="8" w:space="0" w:color="auto"/>
              <w:left w:val="single" w:sz="8" w:space="0" w:color="auto"/>
              <w:bottom w:val="single" w:sz="8" w:space="0" w:color="000000"/>
              <w:right w:val="single" w:sz="4" w:space="0" w:color="auto"/>
            </w:tcBorders>
            <w:vAlign w:val="center"/>
            <w:hideMark/>
          </w:tcPr>
          <w:p w14:paraId="574E33B2" w14:textId="77777777" w:rsidR="00444B63" w:rsidRPr="00E83C5E" w:rsidRDefault="00444B63" w:rsidP="00444B63">
            <w:pPr>
              <w:spacing w:after="0" w:line="240" w:lineRule="auto"/>
              <w:rPr>
                <w:rFonts w:ascii="Garamond" w:eastAsia="Times New Roman" w:hAnsi="Garamond" w:cs="Times New Roman"/>
                <w:b/>
                <w:bCs/>
                <w:color w:val="000000"/>
                <w:sz w:val="14"/>
                <w:szCs w:val="14"/>
                <w:lang w:eastAsia="en-GB"/>
              </w:rPr>
            </w:pPr>
          </w:p>
        </w:tc>
        <w:tc>
          <w:tcPr>
            <w:tcW w:w="646" w:type="pct"/>
            <w:vMerge/>
            <w:tcBorders>
              <w:top w:val="single" w:sz="8" w:space="0" w:color="auto"/>
              <w:left w:val="single" w:sz="4" w:space="0" w:color="auto"/>
              <w:bottom w:val="single" w:sz="8" w:space="0" w:color="000000"/>
              <w:right w:val="single" w:sz="4" w:space="0" w:color="auto"/>
            </w:tcBorders>
            <w:vAlign w:val="center"/>
            <w:hideMark/>
          </w:tcPr>
          <w:p w14:paraId="574E33B3" w14:textId="77777777" w:rsidR="00444B63" w:rsidRPr="00E83C5E" w:rsidRDefault="00444B63" w:rsidP="00444B63">
            <w:pPr>
              <w:spacing w:after="0" w:line="240" w:lineRule="auto"/>
              <w:rPr>
                <w:rFonts w:ascii="Garamond" w:eastAsia="Times New Roman" w:hAnsi="Garamond" w:cs="Times New Roman"/>
                <w:b/>
                <w:bCs/>
                <w:color w:val="000000"/>
                <w:sz w:val="14"/>
                <w:szCs w:val="14"/>
                <w:lang w:eastAsia="en-GB"/>
              </w:rPr>
            </w:pPr>
          </w:p>
        </w:tc>
        <w:tc>
          <w:tcPr>
            <w:tcW w:w="365" w:type="pct"/>
            <w:vMerge w:val="restart"/>
            <w:tcBorders>
              <w:top w:val="nil"/>
              <w:left w:val="single" w:sz="4" w:space="0" w:color="auto"/>
              <w:bottom w:val="single" w:sz="4" w:space="0" w:color="auto"/>
              <w:right w:val="single" w:sz="4" w:space="0" w:color="auto"/>
            </w:tcBorders>
            <w:shd w:val="clear" w:color="auto" w:fill="auto"/>
            <w:vAlign w:val="center"/>
            <w:hideMark/>
          </w:tcPr>
          <w:p w14:paraId="574E33B4"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Institucion udhëheqës</w:t>
            </w:r>
          </w:p>
        </w:tc>
        <w:tc>
          <w:tcPr>
            <w:tcW w:w="325" w:type="pct"/>
            <w:vMerge w:val="restart"/>
            <w:tcBorders>
              <w:top w:val="nil"/>
              <w:left w:val="single" w:sz="4" w:space="0" w:color="auto"/>
              <w:bottom w:val="single" w:sz="4" w:space="0" w:color="auto"/>
              <w:right w:val="single" w:sz="4" w:space="0" w:color="auto"/>
            </w:tcBorders>
            <w:shd w:val="clear" w:color="auto" w:fill="auto"/>
            <w:vAlign w:val="center"/>
            <w:hideMark/>
          </w:tcPr>
          <w:p w14:paraId="574E33B5"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Institucionet</w:t>
            </w:r>
            <w:r w:rsidRPr="00E83C5E">
              <w:rPr>
                <w:rFonts w:ascii="Garamond" w:eastAsia="Times New Roman" w:hAnsi="Garamond" w:cs="Times New Roman"/>
                <w:b/>
                <w:bCs/>
                <w:color w:val="000000"/>
                <w:sz w:val="14"/>
                <w:szCs w:val="14"/>
                <w:lang w:eastAsia="en-GB"/>
              </w:rPr>
              <w:br/>
              <w:t>kontribuuese</w:t>
            </w:r>
          </w:p>
        </w:tc>
        <w:tc>
          <w:tcPr>
            <w:tcW w:w="215" w:type="pct"/>
            <w:vMerge w:val="restart"/>
            <w:tcBorders>
              <w:top w:val="nil"/>
              <w:left w:val="single" w:sz="4" w:space="0" w:color="auto"/>
              <w:bottom w:val="single" w:sz="4" w:space="0" w:color="auto"/>
              <w:right w:val="single" w:sz="4" w:space="0" w:color="auto"/>
            </w:tcBorders>
            <w:shd w:val="clear" w:color="auto" w:fill="auto"/>
            <w:vAlign w:val="center"/>
            <w:hideMark/>
          </w:tcPr>
          <w:p w14:paraId="574E33B6" w14:textId="6AC5B0E5"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xml:space="preserve">Data e </w:t>
            </w:r>
            <w:r w:rsidR="00BC1D73" w:rsidRPr="00E83C5E">
              <w:rPr>
                <w:rFonts w:ascii="Garamond" w:eastAsia="Times New Roman" w:hAnsi="Garamond" w:cs="Times New Roman"/>
                <w:b/>
                <w:bCs/>
                <w:color w:val="000000"/>
                <w:sz w:val="14"/>
                <w:szCs w:val="14"/>
                <w:lang w:eastAsia="en-GB"/>
              </w:rPr>
              <w:t>fillimit</w:t>
            </w:r>
          </w:p>
        </w:tc>
        <w:tc>
          <w:tcPr>
            <w:tcW w:w="319" w:type="pct"/>
            <w:vMerge w:val="restart"/>
            <w:tcBorders>
              <w:top w:val="nil"/>
              <w:left w:val="single" w:sz="4" w:space="0" w:color="auto"/>
              <w:bottom w:val="single" w:sz="4" w:space="0" w:color="auto"/>
              <w:right w:val="single" w:sz="8" w:space="0" w:color="auto"/>
            </w:tcBorders>
            <w:shd w:val="clear" w:color="auto" w:fill="auto"/>
            <w:vAlign w:val="center"/>
            <w:hideMark/>
          </w:tcPr>
          <w:p w14:paraId="574E33B7" w14:textId="4A3CD01F"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xml:space="preserve">Data e </w:t>
            </w:r>
            <w:r w:rsidR="00BC1D73" w:rsidRPr="00E83C5E">
              <w:rPr>
                <w:rFonts w:ascii="Garamond" w:eastAsia="Times New Roman" w:hAnsi="Garamond" w:cs="Times New Roman"/>
                <w:b/>
                <w:bCs/>
                <w:color w:val="000000"/>
                <w:sz w:val="14"/>
                <w:szCs w:val="14"/>
                <w:lang w:eastAsia="en-GB"/>
              </w:rPr>
              <w:t>mbarimit</w:t>
            </w:r>
          </w:p>
        </w:tc>
        <w:tc>
          <w:tcPr>
            <w:tcW w:w="1006" w:type="pct"/>
            <w:gridSpan w:val="3"/>
            <w:vMerge/>
            <w:tcBorders>
              <w:top w:val="nil"/>
              <w:left w:val="single" w:sz="4" w:space="0" w:color="auto"/>
              <w:bottom w:val="single" w:sz="4" w:space="0" w:color="auto"/>
              <w:right w:val="single" w:sz="8" w:space="0" w:color="auto"/>
            </w:tcBorders>
            <w:vAlign w:val="center"/>
            <w:hideMark/>
          </w:tcPr>
          <w:p w14:paraId="574E33B8" w14:textId="77777777" w:rsidR="00444B63" w:rsidRPr="00E83C5E" w:rsidRDefault="00444B63" w:rsidP="00444B63">
            <w:pPr>
              <w:spacing w:after="0" w:line="240" w:lineRule="auto"/>
              <w:rPr>
                <w:rFonts w:ascii="Garamond" w:eastAsia="Times New Roman" w:hAnsi="Garamond" w:cs="Times New Roman"/>
                <w:b/>
                <w:bCs/>
                <w:color w:val="000000"/>
                <w:sz w:val="14"/>
                <w:szCs w:val="14"/>
                <w:lang w:eastAsia="en-GB"/>
              </w:rPr>
            </w:pPr>
          </w:p>
        </w:tc>
        <w:tc>
          <w:tcPr>
            <w:tcW w:w="849" w:type="pct"/>
            <w:gridSpan w:val="5"/>
            <w:tcBorders>
              <w:top w:val="single" w:sz="8" w:space="0" w:color="auto"/>
              <w:left w:val="nil"/>
              <w:bottom w:val="single" w:sz="8" w:space="0" w:color="auto"/>
              <w:right w:val="single" w:sz="8" w:space="0" w:color="000000"/>
            </w:tcBorders>
            <w:shd w:val="clear" w:color="auto" w:fill="auto"/>
            <w:vAlign w:val="center"/>
            <w:hideMark/>
          </w:tcPr>
          <w:p w14:paraId="574E33B9"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PBA</w:t>
            </w:r>
          </w:p>
        </w:tc>
        <w:tc>
          <w:tcPr>
            <w:tcW w:w="754" w:type="pct"/>
            <w:gridSpan w:val="4"/>
            <w:tcBorders>
              <w:top w:val="single" w:sz="8" w:space="0" w:color="auto"/>
              <w:left w:val="nil"/>
              <w:bottom w:val="single" w:sz="8" w:space="0" w:color="auto"/>
              <w:right w:val="nil"/>
            </w:tcBorders>
            <w:shd w:val="clear" w:color="auto" w:fill="auto"/>
            <w:vAlign w:val="center"/>
            <w:hideMark/>
          </w:tcPr>
          <w:p w14:paraId="574E33BA" w14:textId="4BEBE795"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Fi</w:t>
            </w:r>
            <w:r w:rsidR="00BC1D73">
              <w:rPr>
                <w:rFonts w:ascii="Garamond" w:eastAsia="Times New Roman" w:hAnsi="Garamond" w:cs="Times New Roman"/>
                <w:b/>
                <w:bCs/>
                <w:color w:val="000000"/>
                <w:sz w:val="14"/>
                <w:szCs w:val="14"/>
                <w:lang w:eastAsia="en-GB"/>
              </w:rPr>
              <w:t>nancim i huaj</w:t>
            </w:r>
            <w:r w:rsidRPr="00E83C5E">
              <w:rPr>
                <w:rFonts w:ascii="Garamond" w:eastAsia="Times New Roman" w:hAnsi="Garamond" w:cs="Times New Roman"/>
                <w:b/>
                <w:bCs/>
                <w:color w:val="000000"/>
                <w:sz w:val="14"/>
                <w:szCs w:val="14"/>
                <w:lang w:eastAsia="en-GB"/>
              </w:rPr>
              <w:t xml:space="preserve"> </w:t>
            </w:r>
          </w:p>
        </w:tc>
        <w:tc>
          <w:tcPr>
            <w:tcW w:w="379" w:type="pct"/>
            <w:vMerge/>
            <w:tcBorders>
              <w:top w:val="single" w:sz="8" w:space="0" w:color="auto"/>
              <w:left w:val="single" w:sz="8" w:space="0" w:color="auto"/>
              <w:bottom w:val="single" w:sz="8" w:space="0" w:color="000000"/>
              <w:right w:val="single" w:sz="8" w:space="0" w:color="auto"/>
            </w:tcBorders>
            <w:vAlign w:val="center"/>
            <w:hideMark/>
          </w:tcPr>
          <w:p w14:paraId="574E33BB" w14:textId="77777777" w:rsidR="00444B63" w:rsidRPr="00E83C5E" w:rsidRDefault="00444B63" w:rsidP="00444B63">
            <w:pPr>
              <w:spacing w:after="0" w:line="240" w:lineRule="auto"/>
              <w:rPr>
                <w:rFonts w:ascii="Garamond" w:eastAsia="Times New Roman" w:hAnsi="Garamond" w:cs="Times New Roman"/>
                <w:b/>
                <w:bCs/>
                <w:color w:val="000000"/>
                <w:sz w:val="14"/>
                <w:szCs w:val="14"/>
                <w:lang w:eastAsia="en-GB"/>
              </w:rPr>
            </w:pPr>
          </w:p>
        </w:tc>
      </w:tr>
      <w:tr w:rsidR="00444B63" w:rsidRPr="00E83C5E" w14:paraId="574E33CD" w14:textId="77777777" w:rsidTr="00BE7B59">
        <w:trPr>
          <w:trHeight w:val="37"/>
          <w:jc w:val="center"/>
        </w:trPr>
        <w:tc>
          <w:tcPr>
            <w:tcW w:w="141" w:type="pct"/>
            <w:vMerge/>
            <w:tcBorders>
              <w:top w:val="single" w:sz="8" w:space="0" w:color="auto"/>
              <w:left w:val="single" w:sz="8" w:space="0" w:color="auto"/>
              <w:bottom w:val="single" w:sz="4" w:space="0" w:color="auto"/>
              <w:right w:val="single" w:sz="4" w:space="0" w:color="auto"/>
            </w:tcBorders>
            <w:vAlign w:val="center"/>
            <w:hideMark/>
          </w:tcPr>
          <w:p w14:paraId="574E33BD" w14:textId="77777777" w:rsidR="00444B63" w:rsidRPr="00E83C5E" w:rsidRDefault="00444B63" w:rsidP="00444B63">
            <w:pPr>
              <w:spacing w:after="0" w:line="240" w:lineRule="auto"/>
              <w:rPr>
                <w:rFonts w:ascii="Garamond" w:eastAsia="Times New Roman" w:hAnsi="Garamond" w:cs="Times New Roman"/>
                <w:b/>
                <w:bCs/>
                <w:color w:val="000000"/>
                <w:sz w:val="14"/>
                <w:szCs w:val="14"/>
                <w:lang w:eastAsia="en-GB"/>
              </w:rPr>
            </w:pPr>
          </w:p>
        </w:tc>
        <w:tc>
          <w:tcPr>
            <w:tcW w:w="646" w:type="pct"/>
            <w:vMerge/>
            <w:tcBorders>
              <w:top w:val="single" w:sz="8" w:space="0" w:color="auto"/>
              <w:left w:val="single" w:sz="4" w:space="0" w:color="auto"/>
              <w:bottom w:val="single" w:sz="4" w:space="0" w:color="auto"/>
              <w:right w:val="single" w:sz="4" w:space="0" w:color="auto"/>
            </w:tcBorders>
            <w:vAlign w:val="center"/>
            <w:hideMark/>
          </w:tcPr>
          <w:p w14:paraId="574E33BE" w14:textId="77777777" w:rsidR="00444B63" w:rsidRPr="00E83C5E" w:rsidRDefault="00444B63" w:rsidP="00444B63">
            <w:pPr>
              <w:spacing w:after="0" w:line="240" w:lineRule="auto"/>
              <w:rPr>
                <w:rFonts w:ascii="Garamond" w:eastAsia="Times New Roman" w:hAnsi="Garamond" w:cs="Times New Roman"/>
                <w:b/>
                <w:bCs/>
                <w:color w:val="000000"/>
                <w:sz w:val="14"/>
                <w:szCs w:val="14"/>
                <w:lang w:eastAsia="en-GB"/>
              </w:rPr>
            </w:pPr>
          </w:p>
        </w:tc>
        <w:tc>
          <w:tcPr>
            <w:tcW w:w="365" w:type="pct"/>
            <w:vMerge/>
            <w:tcBorders>
              <w:top w:val="nil"/>
              <w:left w:val="single" w:sz="4" w:space="0" w:color="auto"/>
              <w:bottom w:val="single" w:sz="4" w:space="0" w:color="auto"/>
              <w:right w:val="single" w:sz="4" w:space="0" w:color="auto"/>
            </w:tcBorders>
            <w:vAlign w:val="center"/>
            <w:hideMark/>
          </w:tcPr>
          <w:p w14:paraId="574E33BF" w14:textId="77777777" w:rsidR="00444B63" w:rsidRPr="00E83C5E" w:rsidRDefault="00444B63" w:rsidP="00444B63">
            <w:pPr>
              <w:spacing w:after="0" w:line="240" w:lineRule="auto"/>
              <w:rPr>
                <w:rFonts w:ascii="Garamond" w:eastAsia="Times New Roman" w:hAnsi="Garamond" w:cs="Times New Roman"/>
                <w:b/>
                <w:bCs/>
                <w:color w:val="000000"/>
                <w:sz w:val="14"/>
                <w:szCs w:val="14"/>
                <w:lang w:eastAsia="en-GB"/>
              </w:rPr>
            </w:pPr>
          </w:p>
        </w:tc>
        <w:tc>
          <w:tcPr>
            <w:tcW w:w="325" w:type="pct"/>
            <w:vMerge/>
            <w:tcBorders>
              <w:top w:val="nil"/>
              <w:left w:val="single" w:sz="4" w:space="0" w:color="auto"/>
              <w:bottom w:val="single" w:sz="4" w:space="0" w:color="auto"/>
              <w:right w:val="single" w:sz="4" w:space="0" w:color="auto"/>
            </w:tcBorders>
            <w:vAlign w:val="center"/>
            <w:hideMark/>
          </w:tcPr>
          <w:p w14:paraId="574E33C0" w14:textId="77777777" w:rsidR="00444B63" w:rsidRPr="00E83C5E" w:rsidRDefault="00444B63" w:rsidP="00444B63">
            <w:pPr>
              <w:spacing w:after="0" w:line="240" w:lineRule="auto"/>
              <w:rPr>
                <w:rFonts w:ascii="Garamond" w:eastAsia="Times New Roman" w:hAnsi="Garamond" w:cs="Times New Roman"/>
                <w:b/>
                <w:bCs/>
                <w:color w:val="000000"/>
                <w:sz w:val="14"/>
                <w:szCs w:val="14"/>
                <w:lang w:eastAsia="en-GB"/>
              </w:rPr>
            </w:pPr>
          </w:p>
        </w:tc>
        <w:tc>
          <w:tcPr>
            <w:tcW w:w="215" w:type="pct"/>
            <w:vMerge/>
            <w:tcBorders>
              <w:top w:val="nil"/>
              <w:left w:val="single" w:sz="4" w:space="0" w:color="auto"/>
              <w:bottom w:val="single" w:sz="4" w:space="0" w:color="auto"/>
              <w:right w:val="single" w:sz="4" w:space="0" w:color="auto"/>
            </w:tcBorders>
            <w:vAlign w:val="center"/>
            <w:hideMark/>
          </w:tcPr>
          <w:p w14:paraId="574E33C1" w14:textId="77777777" w:rsidR="00444B63" w:rsidRPr="00E83C5E" w:rsidRDefault="00444B63" w:rsidP="00444B63">
            <w:pPr>
              <w:spacing w:after="0" w:line="240" w:lineRule="auto"/>
              <w:rPr>
                <w:rFonts w:ascii="Garamond" w:eastAsia="Times New Roman" w:hAnsi="Garamond" w:cs="Times New Roman"/>
                <w:b/>
                <w:bCs/>
                <w:color w:val="000000"/>
                <w:sz w:val="14"/>
                <w:szCs w:val="14"/>
                <w:lang w:eastAsia="en-GB"/>
              </w:rPr>
            </w:pPr>
          </w:p>
        </w:tc>
        <w:tc>
          <w:tcPr>
            <w:tcW w:w="319" w:type="pct"/>
            <w:vMerge/>
            <w:tcBorders>
              <w:top w:val="nil"/>
              <w:left w:val="single" w:sz="4" w:space="0" w:color="auto"/>
              <w:bottom w:val="single" w:sz="4" w:space="0" w:color="auto"/>
              <w:right w:val="single" w:sz="8" w:space="0" w:color="auto"/>
            </w:tcBorders>
            <w:vAlign w:val="center"/>
            <w:hideMark/>
          </w:tcPr>
          <w:p w14:paraId="574E33C2" w14:textId="77777777" w:rsidR="00444B63" w:rsidRPr="00E83C5E" w:rsidRDefault="00444B63" w:rsidP="00444B63">
            <w:pPr>
              <w:spacing w:after="0" w:line="240" w:lineRule="auto"/>
              <w:rPr>
                <w:rFonts w:ascii="Garamond" w:eastAsia="Times New Roman" w:hAnsi="Garamond" w:cs="Times New Roman"/>
                <w:b/>
                <w:bCs/>
                <w:color w:val="000000"/>
                <w:sz w:val="14"/>
                <w:szCs w:val="14"/>
                <w:lang w:eastAsia="en-GB"/>
              </w:rPr>
            </w:pPr>
          </w:p>
        </w:tc>
        <w:tc>
          <w:tcPr>
            <w:tcW w:w="329" w:type="pct"/>
            <w:tcBorders>
              <w:top w:val="nil"/>
              <w:left w:val="nil"/>
              <w:bottom w:val="single" w:sz="4" w:space="0" w:color="auto"/>
              <w:right w:val="nil"/>
            </w:tcBorders>
            <w:shd w:val="clear" w:color="auto" w:fill="auto"/>
            <w:vAlign w:val="center"/>
            <w:hideMark/>
          </w:tcPr>
          <w:p w14:paraId="574E33C3" w14:textId="00B9AD64"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Kor</w:t>
            </w:r>
            <w:r w:rsidR="00BC1D73">
              <w:rPr>
                <w:rFonts w:ascii="Garamond" w:eastAsia="Times New Roman" w:hAnsi="Garamond" w:cs="Times New Roman"/>
                <w:b/>
                <w:bCs/>
                <w:color w:val="000000"/>
                <w:sz w:val="14"/>
                <w:szCs w:val="14"/>
                <w:lang w:eastAsia="en-GB"/>
              </w:rPr>
              <w:t>r</w:t>
            </w:r>
            <w:r w:rsidRPr="00E83C5E">
              <w:rPr>
                <w:rFonts w:ascii="Garamond" w:eastAsia="Times New Roman" w:hAnsi="Garamond" w:cs="Times New Roman"/>
                <w:b/>
                <w:bCs/>
                <w:color w:val="000000"/>
                <w:sz w:val="14"/>
                <w:szCs w:val="14"/>
                <w:lang w:eastAsia="en-GB"/>
              </w:rPr>
              <w:t>ente</w:t>
            </w:r>
          </w:p>
        </w:tc>
        <w:tc>
          <w:tcPr>
            <w:tcW w:w="330" w:type="pct"/>
            <w:tcBorders>
              <w:top w:val="nil"/>
              <w:left w:val="single" w:sz="8" w:space="0" w:color="auto"/>
              <w:bottom w:val="single" w:sz="4" w:space="0" w:color="auto"/>
              <w:right w:val="single" w:sz="8" w:space="0" w:color="auto"/>
            </w:tcBorders>
            <w:shd w:val="clear" w:color="auto" w:fill="auto"/>
            <w:vAlign w:val="center"/>
            <w:hideMark/>
          </w:tcPr>
          <w:p w14:paraId="574E33C4"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Kapitale</w:t>
            </w:r>
          </w:p>
        </w:tc>
        <w:tc>
          <w:tcPr>
            <w:tcW w:w="346" w:type="pct"/>
            <w:tcBorders>
              <w:top w:val="nil"/>
              <w:left w:val="nil"/>
              <w:bottom w:val="single" w:sz="4" w:space="0" w:color="auto"/>
              <w:right w:val="single" w:sz="8" w:space="0" w:color="auto"/>
            </w:tcBorders>
            <w:shd w:val="clear" w:color="auto" w:fill="auto"/>
            <w:vAlign w:val="center"/>
            <w:hideMark/>
          </w:tcPr>
          <w:p w14:paraId="574E33C5"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Kosto totale</w:t>
            </w:r>
          </w:p>
        </w:tc>
        <w:tc>
          <w:tcPr>
            <w:tcW w:w="259" w:type="pct"/>
            <w:gridSpan w:val="2"/>
            <w:tcBorders>
              <w:top w:val="nil"/>
              <w:left w:val="nil"/>
              <w:bottom w:val="single" w:sz="4" w:space="0" w:color="auto"/>
              <w:right w:val="nil"/>
            </w:tcBorders>
            <w:shd w:val="clear" w:color="auto" w:fill="auto"/>
            <w:vAlign w:val="center"/>
            <w:hideMark/>
          </w:tcPr>
          <w:p w14:paraId="574E33C6" w14:textId="6E3D782B"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Ko</w:t>
            </w:r>
            <w:r w:rsidR="00BC1D73">
              <w:rPr>
                <w:rFonts w:ascii="Garamond" w:eastAsia="Times New Roman" w:hAnsi="Garamond" w:cs="Times New Roman"/>
                <w:b/>
                <w:bCs/>
                <w:color w:val="000000"/>
                <w:sz w:val="14"/>
                <w:szCs w:val="14"/>
                <w:lang w:eastAsia="en-GB"/>
              </w:rPr>
              <w:t>r</w:t>
            </w:r>
            <w:r w:rsidRPr="00E83C5E">
              <w:rPr>
                <w:rFonts w:ascii="Garamond" w:eastAsia="Times New Roman" w:hAnsi="Garamond" w:cs="Times New Roman"/>
                <w:b/>
                <w:bCs/>
                <w:color w:val="000000"/>
                <w:sz w:val="14"/>
                <w:szCs w:val="14"/>
                <w:lang w:eastAsia="en-GB"/>
              </w:rPr>
              <w:t>rente</w:t>
            </w:r>
          </w:p>
        </w:tc>
        <w:tc>
          <w:tcPr>
            <w:tcW w:w="258" w:type="pct"/>
            <w:gridSpan w:val="2"/>
            <w:tcBorders>
              <w:top w:val="nil"/>
              <w:left w:val="single" w:sz="8" w:space="0" w:color="auto"/>
              <w:bottom w:val="single" w:sz="4" w:space="0" w:color="auto"/>
              <w:right w:val="single" w:sz="8" w:space="0" w:color="auto"/>
            </w:tcBorders>
            <w:shd w:val="clear" w:color="auto" w:fill="auto"/>
            <w:vAlign w:val="center"/>
            <w:hideMark/>
          </w:tcPr>
          <w:p w14:paraId="574E33C7"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Kapitale</w:t>
            </w:r>
          </w:p>
        </w:tc>
        <w:tc>
          <w:tcPr>
            <w:tcW w:w="332" w:type="pct"/>
            <w:tcBorders>
              <w:top w:val="nil"/>
              <w:left w:val="nil"/>
              <w:bottom w:val="single" w:sz="4" w:space="0" w:color="auto"/>
              <w:right w:val="single" w:sz="8" w:space="0" w:color="auto"/>
            </w:tcBorders>
            <w:shd w:val="clear" w:color="auto" w:fill="auto"/>
            <w:vAlign w:val="center"/>
            <w:hideMark/>
          </w:tcPr>
          <w:p w14:paraId="574E33C8"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Total BSH</w:t>
            </w:r>
          </w:p>
        </w:tc>
        <w:tc>
          <w:tcPr>
            <w:tcW w:w="229" w:type="pct"/>
            <w:tcBorders>
              <w:top w:val="nil"/>
              <w:left w:val="nil"/>
              <w:bottom w:val="single" w:sz="4" w:space="0" w:color="auto"/>
              <w:right w:val="nil"/>
            </w:tcBorders>
            <w:shd w:val="clear" w:color="auto" w:fill="auto"/>
            <w:vAlign w:val="center"/>
            <w:hideMark/>
          </w:tcPr>
          <w:p w14:paraId="574E33C9" w14:textId="3D2042F8"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Ko</w:t>
            </w:r>
            <w:r w:rsidR="00BC1D73">
              <w:rPr>
                <w:rFonts w:ascii="Garamond" w:eastAsia="Times New Roman" w:hAnsi="Garamond" w:cs="Times New Roman"/>
                <w:b/>
                <w:bCs/>
                <w:color w:val="000000"/>
                <w:sz w:val="14"/>
                <w:szCs w:val="14"/>
                <w:lang w:eastAsia="en-GB"/>
              </w:rPr>
              <w:t>r</w:t>
            </w:r>
            <w:r w:rsidRPr="00E83C5E">
              <w:rPr>
                <w:rFonts w:ascii="Garamond" w:eastAsia="Times New Roman" w:hAnsi="Garamond" w:cs="Times New Roman"/>
                <w:b/>
                <w:bCs/>
                <w:color w:val="000000"/>
                <w:sz w:val="14"/>
                <w:szCs w:val="14"/>
                <w:lang w:eastAsia="en-GB"/>
              </w:rPr>
              <w:t>rente</w:t>
            </w:r>
          </w:p>
        </w:tc>
        <w:tc>
          <w:tcPr>
            <w:tcW w:w="241" w:type="pct"/>
            <w:tcBorders>
              <w:top w:val="nil"/>
              <w:left w:val="single" w:sz="8" w:space="0" w:color="auto"/>
              <w:bottom w:val="single" w:sz="4" w:space="0" w:color="auto"/>
              <w:right w:val="single" w:sz="8" w:space="0" w:color="auto"/>
            </w:tcBorders>
            <w:shd w:val="clear" w:color="auto" w:fill="auto"/>
            <w:vAlign w:val="center"/>
            <w:hideMark/>
          </w:tcPr>
          <w:p w14:paraId="574E33CA"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Kapitale</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3CB"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Total FH</w:t>
            </w:r>
          </w:p>
        </w:tc>
        <w:tc>
          <w:tcPr>
            <w:tcW w:w="379" w:type="pct"/>
            <w:tcBorders>
              <w:top w:val="nil"/>
              <w:left w:val="nil"/>
              <w:bottom w:val="single" w:sz="4" w:space="0" w:color="auto"/>
              <w:right w:val="single" w:sz="8" w:space="0" w:color="auto"/>
            </w:tcBorders>
            <w:shd w:val="clear" w:color="auto" w:fill="auto"/>
            <w:vAlign w:val="center"/>
            <w:hideMark/>
          </w:tcPr>
          <w:p w14:paraId="574E33CC"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r>
      <w:tr w:rsidR="00444B63" w:rsidRPr="00E83C5E" w14:paraId="574E33DE" w14:textId="77777777" w:rsidTr="008C3E7E">
        <w:trPr>
          <w:trHeight w:val="675"/>
          <w:jc w:val="center"/>
        </w:trPr>
        <w:tc>
          <w:tcPr>
            <w:tcW w:w="1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4E33CE"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3.1</w:t>
            </w:r>
          </w:p>
        </w:tc>
        <w:tc>
          <w:tcPr>
            <w:tcW w:w="646" w:type="pct"/>
            <w:tcBorders>
              <w:top w:val="single" w:sz="4" w:space="0" w:color="auto"/>
              <w:left w:val="nil"/>
              <w:bottom w:val="single" w:sz="4" w:space="0" w:color="auto"/>
              <w:right w:val="nil"/>
            </w:tcBorders>
            <w:shd w:val="clear" w:color="000000" w:fill="FCE4D6"/>
            <w:hideMark/>
          </w:tcPr>
          <w:p w14:paraId="574E33CF"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3.1 Objektivi Specifik 3.1 Mbrojtja mbështetja dhe siguria e të rejave dhe të rinjve, veçanërisht e atyre në situatë rreziku, në vendin ku jetojnë dhe hapësirën digjitale</w:t>
            </w:r>
          </w:p>
        </w:tc>
        <w:tc>
          <w:tcPr>
            <w:tcW w:w="365" w:type="pct"/>
            <w:tcBorders>
              <w:top w:val="single" w:sz="4" w:space="0" w:color="auto"/>
              <w:left w:val="single" w:sz="4" w:space="0" w:color="auto"/>
              <w:bottom w:val="single" w:sz="4" w:space="0" w:color="auto"/>
              <w:right w:val="single" w:sz="4" w:space="0" w:color="auto"/>
            </w:tcBorders>
            <w:shd w:val="clear" w:color="000000" w:fill="FCE4D6"/>
            <w:hideMark/>
          </w:tcPr>
          <w:p w14:paraId="574E33D0"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 AKR, MAS, MD dhe MB</w:t>
            </w:r>
          </w:p>
        </w:tc>
        <w:tc>
          <w:tcPr>
            <w:tcW w:w="325" w:type="pct"/>
            <w:tcBorders>
              <w:top w:val="single" w:sz="4" w:space="0" w:color="auto"/>
              <w:left w:val="nil"/>
              <w:bottom w:val="single" w:sz="4" w:space="0" w:color="auto"/>
              <w:right w:val="single" w:sz="4" w:space="0" w:color="auto"/>
            </w:tcBorders>
            <w:shd w:val="clear" w:color="000000" w:fill="FCE4D6"/>
            <w:hideMark/>
          </w:tcPr>
          <w:p w14:paraId="574E33D1"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br/>
              <w:t>-AKSHI, AKCESK, AMA, Agjencia e Mbrojtjes së të Drejtave të Fëmijëve, Drejtoria e Përgjithshme e Policisë, NjVV</w:t>
            </w:r>
          </w:p>
        </w:tc>
        <w:tc>
          <w:tcPr>
            <w:tcW w:w="215" w:type="pct"/>
            <w:tcBorders>
              <w:top w:val="single" w:sz="4" w:space="0" w:color="auto"/>
              <w:left w:val="nil"/>
              <w:bottom w:val="single" w:sz="4" w:space="0" w:color="auto"/>
              <w:right w:val="single" w:sz="4" w:space="0" w:color="auto"/>
            </w:tcBorders>
            <w:shd w:val="clear" w:color="000000" w:fill="FCE4D6"/>
            <w:hideMark/>
          </w:tcPr>
          <w:p w14:paraId="574E33D2" w14:textId="77777777" w:rsidR="00444B63" w:rsidRPr="00E83C5E" w:rsidRDefault="00444B63" w:rsidP="00444B63">
            <w:pPr>
              <w:spacing w:after="0" w:line="240" w:lineRule="auto"/>
              <w:jc w:val="right"/>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2022</w:t>
            </w:r>
          </w:p>
        </w:tc>
        <w:tc>
          <w:tcPr>
            <w:tcW w:w="319" w:type="pct"/>
            <w:tcBorders>
              <w:top w:val="single" w:sz="4" w:space="0" w:color="auto"/>
              <w:left w:val="nil"/>
              <w:bottom w:val="single" w:sz="4" w:space="0" w:color="auto"/>
              <w:right w:val="single" w:sz="4" w:space="0" w:color="auto"/>
            </w:tcBorders>
            <w:shd w:val="clear" w:color="000000" w:fill="FCE4D6"/>
            <w:hideMark/>
          </w:tcPr>
          <w:p w14:paraId="574E33D3" w14:textId="77777777" w:rsidR="00444B63" w:rsidRPr="00E83C5E" w:rsidRDefault="00444B63" w:rsidP="00444B63">
            <w:pPr>
              <w:spacing w:after="0" w:line="240" w:lineRule="auto"/>
              <w:jc w:val="right"/>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single" w:sz="4" w:space="0" w:color="auto"/>
              <w:left w:val="nil"/>
              <w:bottom w:val="single" w:sz="4" w:space="0" w:color="auto"/>
              <w:right w:val="single" w:sz="4" w:space="0" w:color="auto"/>
            </w:tcBorders>
            <w:shd w:val="clear" w:color="000000" w:fill="FCE4D6"/>
            <w:hideMark/>
          </w:tcPr>
          <w:p w14:paraId="574E33D4"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0" w:type="pct"/>
            <w:tcBorders>
              <w:top w:val="single" w:sz="4" w:space="0" w:color="auto"/>
              <w:left w:val="nil"/>
              <w:bottom w:val="single" w:sz="4" w:space="0" w:color="auto"/>
              <w:right w:val="single" w:sz="4" w:space="0" w:color="auto"/>
            </w:tcBorders>
            <w:shd w:val="clear" w:color="000000" w:fill="FCE4D6"/>
            <w:hideMark/>
          </w:tcPr>
          <w:p w14:paraId="574E33D5"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46" w:type="pct"/>
            <w:tcBorders>
              <w:top w:val="single" w:sz="4" w:space="0" w:color="auto"/>
              <w:left w:val="nil"/>
              <w:bottom w:val="single" w:sz="4" w:space="0" w:color="auto"/>
              <w:right w:val="single" w:sz="4" w:space="0" w:color="auto"/>
            </w:tcBorders>
            <w:shd w:val="clear" w:color="000000" w:fill="FCE4D6"/>
            <w:hideMark/>
          </w:tcPr>
          <w:p w14:paraId="574E33D6"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9" w:type="pct"/>
            <w:gridSpan w:val="2"/>
            <w:tcBorders>
              <w:top w:val="single" w:sz="4" w:space="0" w:color="auto"/>
              <w:left w:val="nil"/>
              <w:bottom w:val="single" w:sz="4" w:space="0" w:color="auto"/>
              <w:right w:val="single" w:sz="4" w:space="0" w:color="auto"/>
            </w:tcBorders>
            <w:shd w:val="clear" w:color="000000" w:fill="FCE4D6"/>
            <w:hideMark/>
          </w:tcPr>
          <w:p w14:paraId="574E33D7"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single" w:sz="4" w:space="0" w:color="auto"/>
              <w:left w:val="nil"/>
              <w:bottom w:val="single" w:sz="4" w:space="0" w:color="auto"/>
              <w:right w:val="single" w:sz="4" w:space="0" w:color="auto"/>
            </w:tcBorders>
            <w:shd w:val="clear" w:color="000000" w:fill="FCE4D6"/>
            <w:hideMark/>
          </w:tcPr>
          <w:p w14:paraId="574E33D8"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4" w:space="0" w:color="auto"/>
              <w:left w:val="nil"/>
              <w:bottom w:val="single" w:sz="4" w:space="0" w:color="auto"/>
              <w:right w:val="single" w:sz="4" w:space="0" w:color="auto"/>
            </w:tcBorders>
            <w:shd w:val="clear" w:color="000000" w:fill="FCE4D6"/>
            <w:hideMark/>
          </w:tcPr>
          <w:p w14:paraId="574E33D9"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29" w:type="pct"/>
            <w:tcBorders>
              <w:top w:val="single" w:sz="4" w:space="0" w:color="auto"/>
              <w:left w:val="nil"/>
              <w:bottom w:val="single" w:sz="4" w:space="0" w:color="auto"/>
              <w:right w:val="single" w:sz="4" w:space="0" w:color="auto"/>
            </w:tcBorders>
            <w:shd w:val="clear" w:color="000000" w:fill="FCE4D6"/>
            <w:hideMark/>
          </w:tcPr>
          <w:p w14:paraId="574E33DA"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single" w:sz="4" w:space="0" w:color="auto"/>
              <w:left w:val="nil"/>
              <w:bottom w:val="single" w:sz="4" w:space="0" w:color="auto"/>
              <w:right w:val="single" w:sz="4" w:space="0" w:color="auto"/>
            </w:tcBorders>
            <w:shd w:val="clear" w:color="000000" w:fill="FCE4D6"/>
            <w:hideMark/>
          </w:tcPr>
          <w:p w14:paraId="574E33DB"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single" w:sz="4" w:space="0" w:color="auto"/>
              <w:left w:val="nil"/>
              <w:bottom w:val="single" w:sz="4" w:space="0" w:color="auto"/>
              <w:right w:val="single" w:sz="4" w:space="0" w:color="auto"/>
            </w:tcBorders>
            <w:shd w:val="clear" w:color="000000" w:fill="FCE4D6"/>
            <w:hideMark/>
          </w:tcPr>
          <w:p w14:paraId="574E33DC"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79" w:type="pct"/>
            <w:tcBorders>
              <w:top w:val="single" w:sz="4" w:space="0" w:color="auto"/>
              <w:left w:val="nil"/>
              <w:bottom w:val="single" w:sz="4" w:space="0" w:color="auto"/>
              <w:right w:val="single" w:sz="4" w:space="0" w:color="auto"/>
            </w:tcBorders>
            <w:shd w:val="clear" w:color="000000" w:fill="FCE4D6"/>
            <w:hideMark/>
          </w:tcPr>
          <w:p w14:paraId="574E33DD"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r>
      <w:tr w:rsidR="00444B63" w:rsidRPr="00E83C5E" w14:paraId="574E33EF" w14:textId="77777777" w:rsidTr="008C3E7E">
        <w:trPr>
          <w:trHeight w:val="792"/>
          <w:jc w:val="center"/>
        </w:trPr>
        <w:tc>
          <w:tcPr>
            <w:tcW w:w="141"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574E33DF"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3.1.1</w:t>
            </w:r>
          </w:p>
        </w:tc>
        <w:tc>
          <w:tcPr>
            <w:tcW w:w="646" w:type="pct"/>
            <w:tcBorders>
              <w:top w:val="single" w:sz="4" w:space="0" w:color="auto"/>
              <w:left w:val="nil"/>
              <w:bottom w:val="single" w:sz="4" w:space="0" w:color="auto"/>
              <w:right w:val="single" w:sz="4" w:space="0" w:color="auto"/>
            </w:tcBorders>
            <w:shd w:val="clear" w:color="000000" w:fill="DDEBF7"/>
            <w:hideMark/>
          </w:tcPr>
          <w:p w14:paraId="574E33E0" w14:textId="20FF1B50" w:rsidR="00444B63" w:rsidRPr="00E83C5E" w:rsidRDefault="00444B63" w:rsidP="00D034D6">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3.1.1 Masa 1. Bashkërendohet zbatimi i Strategjive dhe programeve Kombëtare të Mbrojtjes dhe Sigurisë me një fokus të veçantë te prezenca virtuale e të rinjve online, krijimi i hapësirave të sigurta, krimi kibernetik dhe bullizmi online (digjital).</w:t>
            </w:r>
          </w:p>
        </w:tc>
        <w:tc>
          <w:tcPr>
            <w:tcW w:w="36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4E33E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single" w:sz="4" w:space="0" w:color="auto"/>
              <w:left w:val="nil"/>
              <w:bottom w:val="single" w:sz="4" w:space="0" w:color="auto"/>
              <w:right w:val="single" w:sz="4" w:space="0" w:color="auto"/>
            </w:tcBorders>
            <w:shd w:val="clear" w:color="auto" w:fill="auto"/>
            <w:noWrap/>
            <w:vAlign w:val="bottom"/>
            <w:hideMark/>
          </w:tcPr>
          <w:p w14:paraId="574E33E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 MB, MM, MD, MAS, AKSHI, AKCESK, AMA, Agjencia e Mbrojtjes së të Drejtave të Fëmijëve</w:t>
            </w:r>
          </w:p>
        </w:tc>
        <w:tc>
          <w:tcPr>
            <w:tcW w:w="215" w:type="pct"/>
            <w:tcBorders>
              <w:top w:val="single" w:sz="4" w:space="0" w:color="auto"/>
              <w:left w:val="nil"/>
              <w:bottom w:val="single" w:sz="4" w:space="0" w:color="auto"/>
              <w:right w:val="single" w:sz="4" w:space="0" w:color="auto"/>
            </w:tcBorders>
            <w:shd w:val="clear" w:color="auto" w:fill="auto"/>
            <w:noWrap/>
            <w:vAlign w:val="bottom"/>
            <w:hideMark/>
          </w:tcPr>
          <w:p w14:paraId="574E33E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2023</w:t>
            </w:r>
          </w:p>
        </w:tc>
        <w:tc>
          <w:tcPr>
            <w:tcW w:w="319" w:type="pct"/>
            <w:tcBorders>
              <w:top w:val="single" w:sz="4" w:space="0" w:color="auto"/>
              <w:left w:val="nil"/>
              <w:bottom w:val="single" w:sz="4" w:space="0" w:color="auto"/>
              <w:right w:val="single" w:sz="8" w:space="0" w:color="auto"/>
            </w:tcBorders>
            <w:shd w:val="clear" w:color="auto" w:fill="auto"/>
            <w:noWrap/>
            <w:vAlign w:val="bottom"/>
            <w:hideMark/>
          </w:tcPr>
          <w:p w14:paraId="574E33E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574E33E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21,452,835</w:t>
            </w:r>
          </w:p>
        </w:tc>
        <w:tc>
          <w:tcPr>
            <w:tcW w:w="330" w:type="pct"/>
            <w:tcBorders>
              <w:top w:val="single" w:sz="4" w:space="0" w:color="auto"/>
              <w:left w:val="nil"/>
              <w:bottom w:val="single" w:sz="4" w:space="0" w:color="auto"/>
              <w:right w:val="single" w:sz="4" w:space="0" w:color="auto"/>
            </w:tcBorders>
            <w:shd w:val="clear" w:color="auto" w:fill="auto"/>
            <w:noWrap/>
            <w:vAlign w:val="center"/>
            <w:hideMark/>
          </w:tcPr>
          <w:p w14:paraId="574E33E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1,150,000</w:t>
            </w:r>
          </w:p>
        </w:tc>
        <w:tc>
          <w:tcPr>
            <w:tcW w:w="346" w:type="pct"/>
            <w:tcBorders>
              <w:top w:val="single" w:sz="4" w:space="0" w:color="auto"/>
              <w:left w:val="nil"/>
              <w:bottom w:val="single" w:sz="4" w:space="0" w:color="auto"/>
              <w:right w:val="single" w:sz="8" w:space="0" w:color="auto"/>
            </w:tcBorders>
            <w:shd w:val="clear" w:color="auto" w:fill="auto"/>
            <w:noWrap/>
            <w:vAlign w:val="center"/>
            <w:hideMark/>
          </w:tcPr>
          <w:p w14:paraId="574E33E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22,602,835</w:t>
            </w:r>
          </w:p>
        </w:tc>
        <w:tc>
          <w:tcPr>
            <w:tcW w:w="259" w:type="pct"/>
            <w:gridSpan w:val="2"/>
            <w:tcBorders>
              <w:top w:val="single" w:sz="4" w:space="0" w:color="auto"/>
              <w:left w:val="nil"/>
              <w:bottom w:val="single" w:sz="4" w:space="0" w:color="auto"/>
              <w:right w:val="single" w:sz="4" w:space="0" w:color="auto"/>
            </w:tcBorders>
            <w:shd w:val="clear" w:color="auto" w:fill="auto"/>
            <w:noWrap/>
            <w:vAlign w:val="center"/>
            <w:hideMark/>
          </w:tcPr>
          <w:p w14:paraId="574E33E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single" w:sz="4" w:space="0" w:color="auto"/>
              <w:left w:val="nil"/>
              <w:bottom w:val="single" w:sz="4" w:space="0" w:color="auto"/>
              <w:right w:val="single" w:sz="4" w:space="0" w:color="auto"/>
            </w:tcBorders>
            <w:shd w:val="clear" w:color="auto" w:fill="auto"/>
            <w:noWrap/>
            <w:vAlign w:val="center"/>
            <w:hideMark/>
          </w:tcPr>
          <w:p w14:paraId="574E33E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4" w:space="0" w:color="auto"/>
              <w:left w:val="nil"/>
              <w:bottom w:val="single" w:sz="4" w:space="0" w:color="auto"/>
              <w:right w:val="nil"/>
            </w:tcBorders>
            <w:shd w:val="clear" w:color="auto" w:fill="auto"/>
            <w:vAlign w:val="center"/>
            <w:hideMark/>
          </w:tcPr>
          <w:p w14:paraId="574E33E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4,326,834</w:t>
            </w:r>
          </w:p>
        </w:tc>
        <w:tc>
          <w:tcPr>
            <w:tcW w:w="22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74E33E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single" w:sz="4" w:space="0" w:color="auto"/>
              <w:left w:val="nil"/>
              <w:bottom w:val="single" w:sz="4" w:space="0" w:color="auto"/>
              <w:right w:val="single" w:sz="4" w:space="0" w:color="auto"/>
            </w:tcBorders>
            <w:shd w:val="clear" w:color="auto" w:fill="auto"/>
            <w:noWrap/>
            <w:vAlign w:val="center"/>
            <w:hideMark/>
          </w:tcPr>
          <w:p w14:paraId="574E33E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single" w:sz="4" w:space="0" w:color="auto"/>
              <w:left w:val="nil"/>
              <w:bottom w:val="single" w:sz="4" w:space="0" w:color="auto"/>
              <w:right w:val="single" w:sz="8" w:space="0" w:color="auto"/>
            </w:tcBorders>
            <w:shd w:val="clear" w:color="auto" w:fill="auto"/>
            <w:vAlign w:val="center"/>
            <w:hideMark/>
          </w:tcPr>
          <w:p w14:paraId="574E33E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4" w:space="0" w:color="auto"/>
              <w:left w:val="nil"/>
              <w:bottom w:val="single" w:sz="4" w:space="0" w:color="auto"/>
              <w:right w:val="single" w:sz="8" w:space="0" w:color="auto"/>
            </w:tcBorders>
            <w:shd w:val="clear" w:color="auto" w:fill="auto"/>
            <w:noWrap/>
            <w:vAlign w:val="center"/>
            <w:hideMark/>
          </w:tcPr>
          <w:p w14:paraId="574E33EE"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-18,276,001</w:t>
            </w:r>
          </w:p>
        </w:tc>
      </w:tr>
      <w:tr w:rsidR="00444B63" w:rsidRPr="00E83C5E" w14:paraId="574E3400" w14:textId="77777777" w:rsidTr="008C3E7E">
        <w:trPr>
          <w:trHeight w:val="360"/>
          <w:jc w:val="center"/>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574E33F0"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3.1.2</w:t>
            </w:r>
          </w:p>
        </w:tc>
        <w:tc>
          <w:tcPr>
            <w:tcW w:w="646" w:type="pct"/>
            <w:tcBorders>
              <w:top w:val="single" w:sz="4" w:space="0" w:color="auto"/>
              <w:left w:val="nil"/>
              <w:bottom w:val="single" w:sz="4" w:space="0" w:color="auto"/>
              <w:right w:val="single" w:sz="4" w:space="0" w:color="auto"/>
            </w:tcBorders>
            <w:shd w:val="clear" w:color="000000" w:fill="DDEBF7"/>
            <w:hideMark/>
          </w:tcPr>
          <w:p w14:paraId="574E33F1"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3.1.2 Masa 2. Fuqizohen programet që trajtojnë çështjet e rreziqet e sigurisë me të cilat përballen të rejat dhe të rinjtë e trafikuar, rreziqet e formave të ndryshme të krimit dhe, parandalimi dhe luftimi i dhunës seksuale me bazë gjinore dhe dhunës nga partneri ndaj grave të reja dhe parandalimi i trafikimit të qenieve njerëzore/të rinjve.</w:t>
            </w:r>
          </w:p>
        </w:tc>
        <w:tc>
          <w:tcPr>
            <w:tcW w:w="365" w:type="pct"/>
            <w:tcBorders>
              <w:top w:val="nil"/>
              <w:left w:val="single" w:sz="4" w:space="0" w:color="auto"/>
              <w:bottom w:val="single" w:sz="4" w:space="0" w:color="auto"/>
              <w:right w:val="single" w:sz="4" w:space="0" w:color="auto"/>
            </w:tcBorders>
            <w:shd w:val="clear" w:color="auto" w:fill="auto"/>
            <w:noWrap/>
            <w:vAlign w:val="bottom"/>
            <w:hideMark/>
          </w:tcPr>
          <w:p w14:paraId="574E33F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MB</w:t>
            </w:r>
          </w:p>
        </w:tc>
        <w:tc>
          <w:tcPr>
            <w:tcW w:w="325" w:type="pct"/>
            <w:tcBorders>
              <w:top w:val="nil"/>
              <w:left w:val="nil"/>
              <w:bottom w:val="single" w:sz="4" w:space="0" w:color="auto"/>
              <w:right w:val="single" w:sz="4" w:space="0" w:color="auto"/>
            </w:tcBorders>
            <w:shd w:val="clear" w:color="auto" w:fill="auto"/>
            <w:noWrap/>
            <w:vAlign w:val="bottom"/>
            <w:hideMark/>
          </w:tcPr>
          <w:p w14:paraId="574E33F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Drejtoria e Përgjithshme e Policisë</w:t>
            </w:r>
          </w:p>
        </w:tc>
        <w:tc>
          <w:tcPr>
            <w:tcW w:w="215" w:type="pct"/>
            <w:tcBorders>
              <w:top w:val="nil"/>
              <w:left w:val="nil"/>
              <w:bottom w:val="single" w:sz="4" w:space="0" w:color="auto"/>
              <w:right w:val="single" w:sz="4" w:space="0" w:color="auto"/>
            </w:tcBorders>
            <w:shd w:val="clear" w:color="auto" w:fill="auto"/>
            <w:noWrap/>
            <w:vAlign w:val="bottom"/>
            <w:hideMark/>
          </w:tcPr>
          <w:p w14:paraId="574E33F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2023</w:t>
            </w:r>
          </w:p>
        </w:tc>
        <w:tc>
          <w:tcPr>
            <w:tcW w:w="319" w:type="pct"/>
            <w:tcBorders>
              <w:top w:val="nil"/>
              <w:left w:val="nil"/>
              <w:bottom w:val="single" w:sz="4" w:space="0" w:color="auto"/>
              <w:right w:val="single" w:sz="8" w:space="0" w:color="auto"/>
            </w:tcBorders>
            <w:shd w:val="clear" w:color="auto" w:fill="auto"/>
            <w:noWrap/>
            <w:vAlign w:val="bottom"/>
            <w:hideMark/>
          </w:tcPr>
          <w:p w14:paraId="574E33F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nil"/>
              <w:left w:val="nil"/>
              <w:bottom w:val="single" w:sz="4" w:space="0" w:color="auto"/>
              <w:right w:val="single" w:sz="4" w:space="0" w:color="auto"/>
            </w:tcBorders>
            <w:shd w:val="clear" w:color="auto" w:fill="auto"/>
            <w:noWrap/>
            <w:vAlign w:val="center"/>
            <w:hideMark/>
          </w:tcPr>
          <w:p w14:paraId="574E33F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11,097,172</w:t>
            </w:r>
          </w:p>
        </w:tc>
        <w:tc>
          <w:tcPr>
            <w:tcW w:w="330" w:type="pct"/>
            <w:tcBorders>
              <w:top w:val="nil"/>
              <w:left w:val="nil"/>
              <w:bottom w:val="single" w:sz="4" w:space="0" w:color="auto"/>
              <w:right w:val="single" w:sz="4" w:space="0" w:color="auto"/>
            </w:tcBorders>
            <w:shd w:val="clear" w:color="auto" w:fill="auto"/>
            <w:noWrap/>
            <w:vAlign w:val="center"/>
            <w:hideMark/>
          </w:tcPr>
          <w:p w14:paraId="574E33F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single" w:sz="8" w:space="0" w:color="auto"/>
              <w:left w:val="nil"/>
              <w:bottom w:val="single" w:sz="4" w:space="0" w:color="auto"/>
              <w:right w:val="single" w:sz="8" w:space="0" w:color="auto"/>
            </w:tcBorders>
            <w:shd w:val="clear" w:color="auto" w:fill="auto"/>
            <w:noWrap/>
            <w:vAlign w:val="center"/>
            <w:hideMark/>
          </w:tcPr>
          <w:p w14:paraId="574E33F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11,097,172</w:t>
            </w:r>
          </w:p>
        </w:tc>
        <w:tc>
          <w:tcPr>
            <w:tcW w:w="259" w:type="pct"/>
            <w:gridSpan w:val="2"/>
            <w:tcBorders>
              <w:top w:val="nil"/>
              <w:left w:val="nil"/>
              <w:bottom w:val="single" w:sz="4" w:space="0" w:color="auto"/>
              <w:right w:val="single" w:sz="4" w:space="0" w:color="auto"/>
            </w:tcBorders>
            <w:shd w:val="clear" w:color="auto" w:fill="auto"/>
            <w:noWrap/>
            <w:vAlign w:val="center"/>
            <w:hideMark/>
          </w:tcPr>
          <w:p w14:paraId="574E33F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noWrap/>
            <w:vAlign w:val="center"/>
            <w:hideMark/>
          </w:tcPr>
          <w:p w14:paraId="574E33FA" w14:textId="77777777" w:rsidR="00444B63" w:rsidRPr="00E83C5E" w:rsidRDefault="00444B63" w:rsidP="00444B63">
            <w:pPr>
              <w:spacing w:after="0" w:line="240" w:lineRule="auto"/>
              <w:jc w:val="center"/>
              <w:rPr>
                <w:rFonts w:ascii="Garamond" w:eastAsia="Times New Roman" w:hAnsi="Garamond" w:cs="Times New Roman"/>
                <w:sz w:val="14"/>
                <w:szCs w:val="14"/>
                <w:lang w:eastAsia="en-GB"/>
              </w:rPr>
            </w:pPr>
            <w:r w:rsidRPr="00E83C5E">
              <w:rPr>
                <w:rFonts w:ascii="Garamond" w:eastAsia="Times New Roman" w:hAnsi="Garamond" w:cs="Times New Roman"/>
                <w:sz w:val="14"/>
                <w:szCs w:val="14"/>
                <w:lang w:eastAsia="en-GB"/>
              </w:rPr>
              <w:t> </w:t>
            </w:r>
          </w:p>
        </w:tc>
        <w:tc>
          <w:tcPr>
            <w:tcW w:w="332" w:type="pct"/>
            <w:tcBorders>
              <w:top w:val="single" w:sz="8" w:space="0" w:color="auto"/>
              <w:left w:val="nil"/>
              <w:bottom w:val="single" w:sz="4" w:space="0" w:color="auto"/>
              <w:right w:val="nil"/>
            </w:tcBorders>
            <w:shd w:val="clear" w:color="auto" w:fill="auto"/>
            <w:vAlign w:val="center"/>
            <w:hideMark/>
          </w:tcPr>
          <w:p w14:paraId="574E33F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4,845,940</w:t>
            </w:r>
          </w:p>
        </w:tc>
        <w:tc>
          <w:tcPr>
            <w:tcW w:w="229" w:type="pct"/>
            <w:tcBorders>
              <w:top w:val="nil"/>
              <w:left w:val="single" w:sz="8" w:space="0" w:color="auto"/>
              <w:bottom w:val="single" w:sz="4" w:space="0" w:color="auto"/>
              <w:right w:val="single" w:sz="4" w:space="0" w:color="auto"/>
            </w:tcBorders>
            <w:shd w:val="clear" w:color="auto" w:fill="auto"/>
            <w:noWrap/>
            <w:vAlign w:val="center"/>
            <w:hideMark/>
          </w:tcPr>
          <w:p w14:paraId="574E33FC" w14:textId="77777777" w:rsidR="00444B63" w:rsidRPr="00E83C5E" w:rsidRDefault="00444B63" w:rsidP="00444B63">
            <w:pPr>
              <w:spacing w:after="0" w:line="240" w:lineRule="auto"/>
              <w:jc w:val="center"/>
              <w:rPr>
                <w:rFonts w:ascii="Garamond" w:eastAsia="Times New Roman" w:hAnsi="Garamond" w:cs="Times New Roman"/>
                <w:sz w:val="14"/>
                <w:szCs w:val="14"/>
                <w:lang w:eastAsia="en-GB"/>
              </w:rPr>
            </w:pPr>
            <w:r w:rsidRPr="00E83C5E">
              <w:rPr>
                <w:rFonts w:ascii="Garamond" w:eastAsia="Times New Roman" w:hAnsi="Garamond" w:cs="Times New Roman"/>
                <w:sz w:val="14"/>
                <w:szCs w:val="14"/>
                <w:lang w:eastAsia="en-GB"/>
              </w:rPr>
              <w:t> </w:t>
            </w:r>
          </w:p>
        </w:tc>
        <w:tc>
          <w:tcPr>
            <w:tcW w:w="241" w:type="pct"/>
            <w:tcBorders>
              <w:top w:val="nil"/>
              <w:left w:val="nil"/>
              <w:bottom w:val="single" w:sz="4" w:space="0" w:color="auto"/>
              <w:right w:val="single" w:sz="4" w:space="0" w:color="auto"/>
            </w:tcBorders>
            <w:shd w:val="clear" w:color="auto" w:fill="auto"/>
            <w:noWrap/>
            <w:vAlign w:val="center"/>
            <w:hideMark/>
          </w:tcPr>
          <w:p w14:paraId="574E33F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3F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8" w:space="0" w:color="auto"/>
              <w:left w:val="nil"/>
              <w:bottom w:val="single" w:sz="4" w:space="0" w:color="auto"/>
              <w:right w:val="single" w:sz="8" w:space="0" w:color="auto"/>
            </w:tcBorders>
            <w:shd w:val="clear" w:color="auto" w:fill="auto"/>
            <w:noWrap/>
            <w:vAlign w:val="center"/>
            <w:hideMark/>
          </w:tcPr>
          <w:p w14:paraId="574E33FF"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-6,251,232</w:t>
            </w:r>
          </w:p>
        </w:tc>
      </w:tr>
      <w:tr w:rsidR="00444B63" w:rsidRPr="00E83C5E" w14:paraId="574E3411" w14:textId="77777777" w:rsidTr="00BE7B59">
        <w:trPr>
          <w:trHeight w:val="37"/>
          <w:jc w:val="center"/>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574E3401"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3.1.3</w:t>
            </w:r>
          </w:p>
        </w:tc>
        <w:tc>
          <w:tcPr>
            <w:tcW w:w="646" w:type="pct"/>
            <w:tcBorders>
              <w:top w:val="single" w:sz="4" w:space="0" w:color="auto"/>
              <w:left w:val="nil"/>
              <w:bottom w:val="single" w:sz="4" w:space="0" w:color="auto"/>
              <w:right w:val="single" w:sz="4" w:space="0" w:color="auto"/>
            </w:tcBorders>
            <w:shd w:val="clear" w:color="000000" w:fill="DDEBF7"/>
            <w:hideMark/>
          </w:tcPr>
          <w:p w14:paraId="574E3402" w14:textId="7680A666"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xml:space="preserve">3.1.3 Masa 3. </w:t>
            </w:r>
            <w:r w:rsidRPr="00E83C5E">
              <w:rPr>
                <w:rFonts w:ascii="Garamond" w:eastAsia="Times New Roman" w:hAnsi="Garamond" w:cs="Times New Roman"/>
                <w:color w:val="000000"/>
                <w:sz w:val="14"/>
                <w:szCs w:val="14"/>
                <w:lang w:eastAsia="en-GB"/>
              </w:rPr>
              <w:br/>
              <w:t xml:space="preserve">Fuqizohen programet që u mundësojnë të rinjve të përfshirë në grupe të dhunshme ose të radikalizuara të braktisin dhunën duke propozuar të ashtuquajturat </w:t>
            </w:r>
            <w:r w:rsidR="00D540B0" w:rsidRPr="00E83C5E">
              <w:rPr>
                <w:rFonts w:ascii="Garamond" w:eastAsia="Times New Roman" w:hAnsi="Garamond" w:cs="Times New Roman"/>
                <w:color w:val="000000"/>
                <w:sz w:val="14"/>
                <w:szCs w:val="14"/>
                <w:lang w:eastAsia="en-GB"/>
              </w:rPr>
              <w:t>“</w:t>
            </w:r>
            <w:r w:rsidRPr="00E83C5E">
              <w:rPr>
                <w:rFonts w:ascii="Garamond" w:eastAsia="Times New Roman" w:hAnsi="Garamond" w:cs="Times New Roman"/>
                <w:color w:val="000000"/>
                <w:sz w:val="14"/>
                <w:szCs w:val="14"/>
                <w:lang w:eastAsia="en-GB"/>
              </w:rPr>
              <w:t xml:space="preserve">strategjitë e </w:t>
            </w:r>
            <w:r w:rsidRPr="00E83C5E">
              <w:rPr>
                <w:rFonts w:ascii="Garamond" w:eastAsia="Times New Roman" w:hAnsi="Garamond" w:cs="Times New Roman"/>
                <w:color w:val="000000"/>
                <w:sz w:val="14"/>
                <w:szCs w:val="14"/>
                <w:lang w:eastAsia="en-GB"/>
              </w:rPr>
              <w:lastRenderedPageBreak/>
              <w:t>daljes</w:t>
            </w:r>
            <w:r w:rsidR="00D540B0" w:rsidRPr="00E83C5E">
              <w:rPr>
                <w:rFonts w:ascii="Garamond" w:eastAsia="Times New Roman" w:hAnsi="Garamond" w:cs="Times New Roman"/>
                <w:color w:val="000000"/>
                <w:sz w:val="14"/>
                <w:szCs w:val="14"/>
                <w:lang w:eastAsia="en-GB"/>
              </w:rPr>
              <w:t>”</w:t>
            </w:r>
            <w:r w:rsidRPr="00E83C5E">
              <w:rPr>
                <w:rFonts w:ascii="Garamond" w:eastAsia="Times New Roman" w:hAnsi="Garamond" w:cs="Times New Roman"/>
                <w:color w:val="000000"/>
                <w:sz w:val="14"/>
                <w:szCs w:val="14"/>
                <w:lang w:eastAsia="en-GB"/>
              </w:rPr>
              <w:t xml:space="preserve"> </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40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lastRenderedPageBreak/>
              <w:t>MSHRF</w:t>
            </w:r>
          </w:p>
        </w:tc>
        <w:tc>
          <w:tcPr>
            <w:tcW w:w="325" w:type="pct"/>
            <w:tcBorders>
              <w:top w:val="nil"/>
              <w:left w:val="nil"/>
              <w:bottom w:val="single" w:sz="4" w:space="0" w:color="auto"/>
              <w:right w:val="single" w:sz="4" w:space="0" w:color="auto"/>
            </w:tcBorders>
            <w:shd w:val="clear" w:color="auto" w:fill="auto"/>
            <w:vAlign w:val="center"/>
            <w:hideMark/>
          </w:tcPr>
          <w:p w14:paraId="574E340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 MB, NjVV</w:t>
            </w:r>
          </w:p>
        </w:tc>
        <w:tc>
          <w:tcPr>
            <w:tcW w:w="215" w:type="pct"/>
            <w:tcBorders>
              <w:top w:val="nil"/>
              <w:left w:val="nil"/>
              <w:bottom w:val="single" w:sz="4" w:space="0" w:color="auto"/>
              <w:right w:val="single" w:sz="4" w:space="0" w:color="auto"/>
            </w:tcBorders>
            <w:shd w:val="clear" w:color="auto" w:fill="auto"/>
            <w:vAlign w:val="center"/>
            <w:hideMark/>
          </w:tcPr>
          <w:p w14:paraId="574E3405"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2023</w:t>
            </w:r>
          </w:p>
        </w:tc>
        <w:tc>
          <w:tcPr>
            <w:tcW w:w="319" w:type="pct"/>
            <w:tcBorders>
              <w:top w:val="nil"/>
              <w:left w:val="nil"/>
              <w:bottom w:val="single" w:sz="4" w:space="0" w:color="auto"/>
              <w:right w:val="single" w:sz="8" w:space="0" w:color="auto"/>
            </w:tcBorders>
            <w:shd w:val="clear" w:color="auto" w:fill="auto"/>
            <w:vAlign w:val="center"/>
            <w:hideMark/>
          </w:tcPr>
          <w:p w14:paraId="574E3406"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2029</w:t>
            </w:r>
          </w:p>
        </w:tc>
        <w:tc>
          <w:tcPr>
            <w:tcW w:w="329" w:type="pct"/>
            <w:tcBorders>
              <w:top w:val="nil"/>
              <w:left w:val="nil"/>
              <w:bottom w:val="single" w:sz="4" w:space="0" w:color="auto"/>
              <w:right w:val="single" w:sz="4" w:space="0" w:color="auto"/>
            </w:tcBorders>
            <w:shd w:val="clear" w:color="auto" w:fill="auto"/>
            <w:noWrap/>
            <w:vAlign w:val="center"/>
            <w:hideMark/>
          </w:tcPr>
          <w:p w14:paraId="574E340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1,415,589</w:t>
            </w:r>
          </w:p>
        </w:tc>
        <w:tc>
          <w:tcPr>
            <w:tcW w:w="330" w:type="pct"/>
            <w:tcBorders>
              <w:top w:val="nil"/>
              <w:left w:val="nil"/>
              <w:bottom w:val="single" w:sz="4" w:space="0" w:color="auto"/>
              <w:right w:val="single" w:sz="4" w:space="0" w:color="auto"/>
            </w:tcBorders>
            <w:shd w:val="clear" w:color="auto" w:fill="auto"/>
            <w:noWrap/>
            <w:vAlign w:val="center"/>
            <w:hideMark/>
          </w:tcPr>
          <w:p w14:paraId="574E340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single" w:sz="8" w:space="0" w:color="auto"/>
              <w:left w:val="nil"/>
              <w:bottom w:val="single" w:sz="4" w:space="0" w:color="auto"/>
              <w:right w:val="single" w:sz="8" w:space="0" w:color="auto"/>
            </w:tcBorders>
            <w:shd w:val="clear" w:color="auto" w:fill="auto"/>
            <w:noWrap/>
            <w:vAlign w:val="center"/>
            <w:hideMark/>
          </w:tcPr>
          <w:p w14:paraId="574E340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1,415,589</w:t>
            </w:r>
          </w:p>
        </w:tc>
        <w:tc>
          <w:tcPr>
            <w:tcW w:w="259" w:type="pct"/>
            <w:gridSpan w:val="2"/>
            <w:tcBorders>
              <w:top w:val="nil"/>
              <w:left w:val="nil"/>
              <w:bottom w:val="single" w:sz="4" w:space="0" w:color="auto"/>
              <w:right w:val="single" w:sz="4" w:space="0" w:color="auto"/>
            </w:tcBorders>
            <w:shd w:val="clear" w:color="auto" w:fill="auto"/>
            <w:noWrap/>
            <w:vAlign w:val="center"/>
            <w:hideMark/>
          </w:tcPr>
          <w:p w14:paraId="574E340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noWrap/>
            <w:vAlign w:val="center"/>
            <w:hideMark/>
          </w:tcPr>
          <w:p w14:paraId="574E340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8" w:space="0" w:color="auto"/>
              <w:left w:val="nil"/>
              <w:bottom w:val="single" w:sz="4" w:space="0" w:color="auto"/>
              <w:right w:val="nil"/>
            </w:tcBorders>
            <w:shd w:val="clear" w:color="auto" w:fill="auto"/>
            <w:vAlign w:val="center"/>
            <w:hideMark/>
          </w:tcPr>
          <w:p w14:paraId="574E340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47,586</w:t>
            </w:r>
          </w:p>
        </w:tc>
        <w:tc>
          <w:tcPr>
            <w:tcW w:w="229" w:type="pct"/>
            <w:tcBorders>
              <w:top w:val="nil"/>
              <w:left w:val="single" w:sz="8" w:space="0" w:color="auto"/>
              <w:bottom w:val="single" w:sz="4" w:space="0" w:color="auto"/>
              <w:right w:val="single" w:sz="4" w:space="0" w:color="auto"/>
            </w:tcBorders>
            <w:shd w:val="clear" w:color="auto" w:fill="auto"/>
            <w:noWrap/>
            <w:vAlign w:val="center"/>
            <w:hideMark/>
          </w:tcPr>
          <w:p w14:paraId="574E340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nil"/>
              <w:left w:val="nil"/>
              <w:bottom w:val="single" w:sz="4" w:space="0" w:color="auto"/>
              <w:right w:val="single" w:sz="4" w:space="0" w:color="auto"/>
            </w:tcBorders>
            <w:shd w:val="clear" w:color="auto" w:fill="auto"/>
            <w:noWrap/>
            <w:vAlign w:val="center"/>
            <w:hideMark/>
          </w:tcPr>
          <w:p w14:paraId="574E340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40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8" w:space="0" w:color="auto"/>
              <w:left w:val="nil"/>
              <w:bottom w:val="single" w:sz="4" w:space="0" w:color="auto"/>
              <w:right w:val="single" w:sz="8" w:space="0" w:color="auto"/>
            </w:tcBorders>
            <w:shd w:val="clear" w:color="auto" w:fill="auto"/>
            <w:noWrap/>
            <w:vAlign w:val="center"/>
            <w:hideMark/>
          </w:tcPr>
          <w:p w14:paraId="574E3410"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-1,368,003</w:t>
            </w:r>
          </w:p>
        </w:tc>
      </w:tr>
      <w:tr w:rsidR="00444B63" w:rsidRPr="00E83C5E" w14:paraId="574E3422" w14:textId="77777777" w:rsidTr="008C3E7E">
        <w:trPr>
          <w:trHeight w:val="600"/>
          <w:jc w:val="center"/>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574E3412"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lastRenderedPageBreak/>
              <w:t>3.1.4</w:t>
            </w:r>
          </w:p>
        </w:tc>
        <w:tc>
          <w:tcPr>
            <w:tcW w:w="646" w:type="pct"/>
            <w:tcBorders>
              <w:top w:val="single" w:sz="4" w:space="0" w:color="auto"/>
              <w:left w:val="nil"/>
              <w:bottom w:val="single" w:sz="4" w:space="0" w:color="auto"/>
              <w:right w:val="single" w:sz="4" w:space="0" w:color="auto"/>
            </w:tcBorders>
            <w:shd w:val="clear" w:color="000000" w:fill="DDEBF7"/>
            <w:hideMark/>
          </w:tcPr>
          <w:p w14:paraId="574E3413" w14:textId="3768BF68" w:rsidR="00444B63" w:rsidRPr="00E83C5E" w:rsidRDefault="00444B63" w:rsidP="0036463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3.1.4 Masa 4. Promovohen programet për të rinjtë në masa reformuese duke vendosur mekanizma riintegrimi dhe mbështetje për trajnimin e aftësive për punësim, integrimin përmes punës në komunitet dhe mbështetje psikologjike dhe sipërmarrjeve sociale</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41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MD</w:t>
            </w:r>
          </w:p>
        </w:tc>
        <w:tc>
          <w:tcPr>
            <w:tcW w:w="325" w:type="pct"/>
            <w:tcBorders>
              <w:top w:val="nil"/>
              <w:left w:val="nil"/>
              <w:bottom w:val="single" w:sz="4" w:space="0" w:color="auto"/>
              <w:right w:val="single" w:sz="4" w:space="0" w:color="auto"/>
            </w:tcBorders>
            <w:shd w:val="clear" w:color="auto" w:fill="auto"/>
            <w:vAlign w:val="center"/>
            <w:hideMark/>
          </w:tcPr>
          <w:p w14:paraId="574E341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 MSHMS, NjVV</w:t>
            </w:r>
          </w:p>
        </w:tc>
        <w:tc>
          <w:tcPr>
            <w:tcW w:w="215" w:type="pct"/>
            <w:tcBorders>
              <w:top w:val="nil"/>
              <w:left w:val="nil"/>
              <w:bottom w:val="single" w:sz="4" w:space="0" w:color="auto"/>
              <w:right w:val="single" w:sz="4" w:space="0" w:color="auto"/>
            </w:tcBorders>
            <w:shd w:val="clear" w:color="auto" w:fill="auto"/>
            <w:vAlign w:val="center"/>
            <w:hideMark/>
          </w:tcPr>
          <w:p w14:paraId="574E3416"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2025</w:t>
            </w:r>
          </w:p>
        </w:tc>
        <w:tc>
          <w:tcPr>
            <w:tcW w:w="319" w:type="pct"/>
            <w:tcBorders>
              <w:top w:val="nil"/>
              <w:left w:val="nil"/>
              <w:bottom w:val="single" w:sz="4" w:space="0" w:color="auto"/>
              <w:right w:val="single" w:sz="8" w:space="0" w:color="auto"/>
            </w:tcBorders>
            <w:shd w:val="clear" w:color="auto" w:fill="auto"/>
            <w:vAlign w:val="center"/>
            <w:hideMark/>
          </w:tcPr>
          <w:p w14:paraId="574E3417"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2029</w:t>
            </w:r>
          </w:p>
        </w:tc>
        <w:tc>
          <w:tcPr>
            <w:tcW w:w="329" w:type="pct"/>
            <w:tcBorders>
              <w:top w:val="nil"/>
              <w:left w:val="nil"/>
              <w:bottom w:val="single" w:sz="4" w:space="0" w:color="auto"/>
              <w:right w:val="single" w:sz="4" w:space="0" w:color="auto"/>
            </w:tcBorders>
            <w:shd w:val="clear" w:color="auto" w:fill="auto"/>
            <w:noWrap/>
            <w:vAlign w:val="center"/>
            <w:hideMark/>
          </w:tcPr>
          <w:p w14:paraId="574E341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10,084,980</w:t>
            </w:r>
          </w:p>
        </w:tc>
        <w:tc>
          <w:tcPr>
            <w:tcW w:w="330" w:type="pct"/>
            <w:tcBorders>
              <w:top w:val="nil"/>
              <w:left w:val="nil"/>
              <w:bottom w:val="single" w:sz="4" w:space="0" w:color="auto"/>
              <w:right w:val="single" w:sz="4" w:space="0" w:color="auto"/>
            </w:tcBorders>
            <w:shd w:val="clear" w:color="auto" w:fill="auto"/>
            <w:noWrap/>
            <w:vAlign w:val="center"/>
            <w:hideMark/>
          </w:tcPr>
          <w:p w14:paraId="574E341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single" w:sz="8" w:space="0" w:color="auto"/>
              <w:left w:val="nil"/>
              <w:bottom w:val="single" w:sz="4" w:space="0" w:color="auto"/>
              <w:right w:val="single" w:sz="8" w:space="0" w:color="auto"/>
            </w:tcBorders>
            <w:shd w:val="clear" w:color="auto" w:fill="auto"/>
            <w:noWrap/>
            <w:vAlign w:val="center"/>
            <w:hideMark/>
          </w:tcPr>
          <w:p w14:paraId="574E341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10,084,980</w:t>
            </w:r>
          </w:p>
        </w:tc>
        <w:tc>
          <w:tcPr>
            <w:tcW w:w="259" w:type="pct"/>
            <w:gridSpan w:val="2"/>
            <w:tcBorders>
              <w:top w:val="nil"/>
              <w:left w:val="nil"/>
              <w:bottom w:val="single" w:sz="4" w:space="0" w:color="auto"/>
              <w:right w:val="single" w:sz="4" w:space="0" w:color="auto"/>
            </w:tcBorders>
            <w:shd w:val="clear" w:color="auto" w:fill="auto"/>
            <w:noWrap/>
            <w:vAlign w:val="center"/>
            <w:hideMark/>
          </w:tcPr>
          <w:p w14:paraId="574E341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noWrap/>
            <w:vAlign w:val="center"/>
            <w:hideMark/>
          </w:tcPr>
          <w:p w14:paraId="574E341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8" w:space="0" w:color="auto"/>
              <w:left w:val="nil"/>
              <w:bottom w:val="single" w:sz="4" w:space="0" w:color="auto"/>
              <w:right w:val="nil"/>
            </w:tcBorders>
            <w:shd w:val="clear" w:color="auto" w:fill="auto"/>
            <w:vAlign w:val="center"/>
            <w:hideMark/>
          </w:tcPr>
          <w:p w14:paraId="574E341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10,084,980</w:t>
            </w:r>
          </w:p>
        </w:tc>
        <w:tc>
          <w:tcPr>
            <w:tcW w:w="229" w:type="pct"/>
            <w:tcBorders>
              <w:top w:val="nil"/>
              <w:left w:val="single" w:sz="8" w:space="0" w:color="auto"/>
              <w:bottom w:val="single" w:sz="4" w:space="0" w:color="auto"/>
              <w:right w:val="single" w:sz="4" w:space="0" w:color="auto"/>
            </w:tcBorders>
            <w:shd w:val="clear" w:color="auto" w:fill="auto"/>
            <w:noWrap/>
            <w:vAlign w:val="center"/>
            <w:hideMark/>
          </w:tcPr>
          <w:p w14:paraId="574E341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nil"/>
              <w:left w:val="nil"/>
              <w:bottom w:val="single" w:sz="4" w:space="0" w:color="auto"/>
              <w:right w:val="single" w:sz="4" w:space="0" w:color="auto"/>
            </w:tcBorders>
            <w:shd w:val="clear" w:color="auto" w:fill="auto"/>
            <w:noWrap/>
            <w:vAlign w:val="center"/>
            <w:hideMark/>
          </w:tcPr>
          <w:p w14:paraId="574E341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42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8" w:space="0" w:color="auto"/>
              <w:left w:val="nil"/>
              <w:bottom w:val="single" w:sz="4" w:space="0" w:color="auto"/>
              <w:right w:val="single" w:sz="8" w:space="0" w:color="auto"/>
            </w:tcBorders>
            <w:shd w:val="clear" w:color="auto" w:fill="auto"/>
            <w:noWrap/>
            <w:vAlign w:val="center"/>
            <w:hideMark/>
          </w:tcPr>
          <w:p w14:paraId="574E3421"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0</w:t>
            </w:r>
          </w:p>
        </w:tc>
      </w:tr>
      <w:tr w:rsidR="00444B63" w:rsidRPr="00E83C5E" w14:paraId="574E3433" w14:textId="77777777" w:rsidTr="008C3E7E">
        <w:trPr>
          <w:trHeight w:val="679"/>
          <w:jc w:val="center"/>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574E3423"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3.1.5</w:t>
            </w:r>
          </w:p>
        </w:tc>
        <w:tc>
          <w:tcPr>
            <w:tcW w:w="646" w:type="pct"/>
            <w:tcBorders>
              <w:top w:val="single" w:sz="4" w:space="0" w:color="auto"/>
              <w:left w:val="nil"/>
              <w:bottom w:val="single" w:sz="4" w:space="0" w:color="auto"/>
              <w:right w:val="single" w:sz="4" w:space="0" w:color="auto"/>
            </w:tcBorders>
            <w:shd w:val="clear" w:color="000000" w:fill="DDEBF7"/>
            <w:hideMark/>
          </w:tcPr>
          <w:p w14:paraId="574E3424"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3.1.5 Masa 5. Përmirësohen me qasje specifike rinore, miqësore dhe të pranueshme, programet që trajtojnë migrimin e parregullt dhe trafikimin e qenieve njerëzore me në fokus parandalimin e këtyre fenomeneve dhe kthimin e të rinjve në shkollë, trajnim ose punë</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42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nil"/>
              <w:left w:val="nil"/>
              <w:bottom w:val="single" w:sz="4" w:space="0" w:color="auto"/>
              <w:right w:val="single" w:sz="4" w:space="0" w:color="auto"/>
            </w:tcBorders>
            <w:shd w:val="clear" w:color="auto" w:fill="auto"/>
            <w:vAlign w:val="center"/>
            <w:hideMark/>
          </w:tcPr>
          <w:p w14:paraId="574E342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 MB</w:t>
            </w:r>
          </w:p>
        </w:tc>
        <w:tc>
          <w:tcPr>
            <w:tcW w:w="215" w:type="pct"/>
            <w:tcBorders>
              <w:top w:val="nil"/>
              <w:left w:val="nil"/>
              <w:bottom w:val="single" w:sz="4" w:space="0" w:color="auto"/>
              <w:right w:val="single" w:sz="4" w:space="0" w:color="auto"/>
            </w:tcBorders>
            <w:shd w:val="clear" w:color="auto" w:fill="auto"/>
            <w:vAlign w:val="center"/>
            <w:hideMark/>
          </w:tcPr>
          <w:p w14:paraId="574E3427"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2023</w:t>
            </w:r>
          </w:p>
        </w:tc>
        <w:tc>
          <w:tcPr>
            <w:tcW w:w="319" w:type="pct"/>
            <w:tcBorders>
              <w:top w:val="nil"/>
              <w:left w:val="nil"/>
              <w:bottom w:val="single" w:sz="4" w:space="0" w:color="auto"/>
              <w:right w:val="single" w:sz="8" w:space="0" w:color="auto"/>
            </w:tcBorders>
            <w:shd w:val="clear" w:color="auto" w:fill="auto"/>
            <w:vAlign w:val="center"/>
            <w:hideMark/>
          </w:tcPr>
          <w:p w14:paraId="574E3428"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2029</w:t>
            </w:r>
          </w:p>
        </w:tc>
        <w:tc>
          <w:tcPr>
            <w:tcW w:w="329" w:type="pct"/>
            <w:tcBorders>
              <w:top w:val="nil"/>
              <w:left w:val="nil"/>
              <w:bottom w:val="single" w:sz="4" w:space="0" w:color="auto"/>
              <w:right w:val="single" w:sz="4" w:space="0" w:color="auto"/>
            </w:tcBorders>
            <w:shd w:val="clear" w:color="auto" w:fill="auto"/>
            <w:noWrap/>
            <w:vAlign w:val="center"/>
            <w:hideMark/>
          </w:tcPr>
          <w:p w14:paraId="574E342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16,151,197</w:t>
            </w:r>
          </w:p>
        </w:tc>
        <w:tc>
          <w:tcPr>
            <w:tcW w:w="330" w:type="pct"/>
            <w:tcBorders>
              <w:top w:val="nil"/>
              <w:left w:val="nil"/>
              <w:bottom w:val="single" w:sz="4" w:space="0" w:color="auto"/>
              <w:right w:val="single" w:sz="4" w:space="0" w:color="auto"/>
            </w:tcBorders>
            <w:shd w:val="clear" w:color="auto" w:fill="auto"/>
            <w:noWrap/>
            <w:vAlign w:val="center"/>
            <w:hideMark/>
          </w:tcPr>
          <w:p w14:paraId="574E342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single" w:sz="8" w:space="0" w:color="auto"/>
              <w:left w:val="nil"/>
              <w:bottom w:val="single" w:sz="4" w:space="0" w:color="auto"/>
              <w:right w:val="single" w:sz="8" w:space="0" w:color="auto"/>
            </w:tcBorders>
            <w:shd w:val="clear" w:color="auto" w:fill="auto"/>
            <w:noWrap/>
            <w:vAlign w:val="center"/>
            <w:hideMark/>
          </w:tcPr>
          <w:p w14:paraId="574E342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16,151,197</w:t>
            </w:r>
          </w:p>
        </w:tc>
        <w:tc>
          <w:tcPr>
            <w:tcW w:w="259" w:type="pct"/>
            <w:gridSpan w:val="2"/>
            <w:tcBorders>
              <w:top w:val="nil"/>
              <w:left w:val="nil"/>
              <w:bottom w:val="single" w:sz="4" w:space="0" w:color="auto"/>
              <w:right w:val="single" w:sz="4" w:space="0" w:color="auto"/>
            </w:tcBorders>
            <w:shd w:val="clear" w:color="auto" w:fill="auto"/>
            <w:noWrap/>
            <w:vAlign w:val="center"/>
            <w:hideMark/>
          </w:tcPr>
          <w:p w14:paraId="574E342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noWrap/>
            <w:vAlign w:val="center"/>
            <w:hideMark/>
          </w:tcPr>
          <w:p w14:paraId="574E342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8" w:space="0" w:color="auto"/>
              <w:left w:val="nil"/>
              <w:bottom w:val="single" w:sz="4" w:space="0" w:color="auto"/>
              <w:right w:val="nil"/>
            </w:tcBorders>
            <w:shd w:val="clear" w:color="auto" w:fill="auto"/>
            <w:vAlign w:val="center"/>
            <w:hideMark/>
          </w:tcPr>
          <w:p w14:paraId="574E342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13,596</w:t>
            </w:r>
          </w:p>
        </w:tc>
        <w:tc>
          <w:tcPr>
            <w:tcW w:w="229" w:type="pct"/>
            <w:tcBorders>
              <w:top w:val="nil"/>
              <w:left w:val="single" w:sz="8" w:space="0" w:color="auto"/>
              <w:bottom w:val="single" w:sz="4" w:space="0" w:color="auto"/>
              <w:right w:val="single" w:sz="4" w:space="0" w:color="auto"/>
            </w:tcBorders>
            <w:shd w:val="clear" w:color="auto" w:fill="auto"/>
            <w:noWrap/>
            <w:vAlign w:val="center"/>
            <w:hideMark/>
          </w:tcPr>
          <w:p w14:paraId="574E342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nil"/>
              <w:left w:val="nil"/>
              <w:bottom w:val="single" w:sz="4" w:space="0" w:color="auto"/>
              <w:right w:val="single" w:sz="4" w:space="0" w:color="auto"/>
            </w:tcBorders>
            <w:shd w:val="clear" w:color="auto" w:fill="auto"/>
            <w:noWrap/>
            <w:vAlign w:val="center"/>
            <w:hideMark/>
          </w:tcPr>
          <w:p w14:paraId="574E343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43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8" w:space="0" w:color="auto"/>
              <w:left w:val="nil"/>
              <w:bottom w:val="single" w:sz="4" w:space="0" w:color="auto"/>
              <w:right w:val="single" w:sz="8" w:space="0" w:color="auto"/>
            </w:tcBorders>
            <w:shd w:val="clear" w:color="auto" w:fill="auto"/>
            <w:noWrap/>
            <w:vAlign w:val="center"/>
            <w:hideMark/>
          </w:tcPr>
          <w:p w14:paraId="574E3432"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-16,137,601</w:t>
            </w:r>
          </w:p>
        </w:tc>
      </w:tr>
      <w:tr w:rsidR="00444B63" w:rsidRPr="00E83C5E" w14:paraId="574E3444" w14:textId="77777777" w:rsidTr="008C3E7E">
        <w:trPr>
          <w:trHeight w:val="750"/>
          <w:jc w:val="center"/>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574E3434"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3.1.6</w:t>
            </w:r>
          </w:p>
        </w:tc>
        <w:tc>
          <w:tcPr>
            <w:tcW w:w="646" w:type="pct"/>
            <w:tcBorders>
              <w:top w:val="single" w:sz="4" w:space="0" w:color="auto"/>
              <w:left w:val="nil"/>
              <w:bottom w:val="single" w:sz="4" w:space="0" w:color="auto"/>
              <w:right w:val="nil"/>
            </w:tcBorders>
            <w:shd w:val="clear" w:color="000000" w:fill="DDEBF7"/>
            <w:hideMark/>
          </w:tcPr>
          <w:p w14:paraId="574E3435"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3.1.6 Masa 6</w:t>
            </w:r>
            <w:r w:rsidRPr="00E83C5E">
              <w:rPr>
                <w:rFonts w:ascii="Garamond" w:eastAsia="Times New Roman" w:hAnsi="Garamond" w:cs="Times New Roman"/>
                <w:color w:val="000000"/>
                <w:sz w:val="14"/>
                <w:szCs w:val="14"/>
                <w:lang w:eastAsia="en-GB"/>
              </w:rPr>
              <w:br/>
              <w:t>Fuqizohen programet rinore që fokusohen në të drejtat e njeriut dhe të pakicave, antikorrupsionin, barazinë gjinore, pranimit të diversitetit, tolerancës dhe komunikimit jo të dhunshëm</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43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nil"/>
              <w:left w:val="nil"/>
              <w:bottom w:val="single" w:sz="4" w:space="0" w:color="auto"/>
              <w:right w:val="single" w:sz="4" w:space="0" w:color="auto"/>
            </w:tcBorders>
            <w:shd w:val="clear" w:color="auto" w:fill="auto"/>
            <w:vAlign w:val="center"/>
            <w:hideMark/>
          </w:tcPr>
          <w:p w14:paraId="574E343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 MB</w:t>
            </w:r>
          </w:p>
        </w:tc>
        <w:tc>
          <w:tcPr>
            <w:tcW w:w="215" w:type="pct"/>
            <w:tcBorders>
              <w:top w:val="nil"/>
              <w:left w:val="nil"/>
              <w:bottom w:val="single" w:sz="4" w:space="0" w:color="auto"/>
              <w:right w:val="single" w:sz="4" w:space="0" w:color="auto"/>
            </w:tcBorders>
            <w:shd w:val="clear" w:color="auto" w:fill="auto"/>
            <w:vAlign w:val="center"/>
            <w:hideMark/>
          </w:tcPr>
          <w:p w14:paraId="574E3438"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2023</w:t>
            </w:r>
          </w:p>
        </w:tc>
        <w:tc>
          <w:tcPr>
            <w:tcW w:w="319" w:type="pct"/>
            <w:tcBorders>
              <w:top w:val="nil"/>
              <w:left w:val="nil"/>
              <w:bottom w:val="single" w:sz="4" w:space="0" w:color="auto"/>
              <w:right w:val="single" w:sz="8" w:space="0" w:color="auto"/>
            </w:tcBorders>
            <w:shd w:val="clear" w:color="auto" w:fill="auto"/>
            <w:vAlign w:val="center"/>
            <w:hideMark/>
          </w:tcPr>
          <w:p w14:paraId="574E3439"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2029</w:t>
            </w:r>
          </w:p>
        </w:tc>
        <w:tc>
          <w:tcPr>
            <w:tcW w:w="329" w:type="pct"/>
            <w:tcBorders>
              <w:top w:val="nil"/>
              <w:left w:val="nil"/>
              <w:bottom w:val="single" w:sz="4" w:space="0" w:color="auto"/>
              <w:right w:val="single" w:sz="4" w:space="0" w:color="auto"/>
            </w:tcBorders>
            <w:shd w:val="clear" w:color="auto" w:fill="auto"/>
            <w:noWrap/>
            <w:vAlign w:val="center"/>
            <w:hideMark/>
          </w:tcPr>
          <w:p w14:paraId="574E343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67,768,000</w:t>
            </w:r>
          </w:p>
        </w:tc>
        <w:tc>
          <w:tcPr>
            <w:tcW w:w="330" w:type="pct"/>
            <w:tcBorders>
              <w:top w:val="nil"/>
              <w:left w:val="nil"/>
              <w:bottom w:val="single" w:sz="4" w:space="0" w:color="auto"/>
              <w:right w:val="single" w:sz="4" w:space="0" w:color="auto"/>
            </w:tcBorders>
            <w:shd w:val="clear" w:color="auto" w:fill="auto"/>
            <w:noWrap/>
            <w:vAlign w:val="center"/>
            <w:hideMark/>
          </w:tcPr>
          <w:p w14:paraId="574E343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single" w:sz="8" w:space="0" w:color="auto"/>
              <w:left w:val="nil"/>
              <w:bottom w:val="single" w:sz="4" w:space="0" w:color="auto"/>
              <w:right w:val="single" w:sz="8" w:space="0" w:color="auto"/>
            </w:tcBorders>
            <w:shd w:val="clear" w:color="auto" w:fill="auto"/>
            <w:noWrap/>
            <w:vAlign w:val="center"/>
            <w:hideMark/>
          </w:tcPr>
          <w:p w14:paraId="574E343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67,768,000</w:t>
            </w:r>
          </w:p>
        </w:tc>
        <w:tc>
          <w:tcPr>
            <w:tcW w:w="259" w:type="pct"/>
            <w:gridSpan w:val="2"/>
            <w:tcBorders>
              <w:top w:val="nil"/>
              <w:left w:val="nil"/>
              <w:bottom w:val="single" w:sz="4" w:space="0" w:color="auto"/>
              <w:right w:val="single" w:sz="4" w:space="0" w:color="auto"/>
            </w:tcBorders>
            <w:shd w:val="clear" w:color="auto" w:fill="auto"/>
            <w:noWrap/>
            <w:vAlign w:val="center"/>
            <w:hideMark/>
          </w:tcPr>
          <w:p w14:paraId="574E343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noWrap/>
            <w:vAlign w:val="center"/>
            <w:hideMark/>
          </w:tcPr>
          <w:p w14:paraId="574E343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8" w:space="0" w:color="auto"/>
              <w:left w:val="nil"/>
              <w:bottom w:val="single" w:sz="4" w:space="0" w:color="auto"/>
              <w:right w:val="nil"/>
            </w:tcBorders>
            <w:shd w:val="clear" w:color="auto" w:fill="auto"/>
            <w:vAlign w:val="center"/>
            <w:hideMark/>
          </w:tcPr>
          <w:p w14:paraId="574E343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61,000,000</w:t>
            </w:r>
          </w:p>
        </w:tc>
        <w:tc>
          <w:tcPr>
            <w:tcW w:w="229" w:type="pct"/>
            <w:tcBorders>
              <w:top w:val="nil"/>
              <w:left w:val="single" w:sz="8" w:space="0" w:color="auto"/>
              <w:bottom w:val="single" w:sz="4" w:space="0" w:color="auto"/>
              <w:right w:val="single" w:sz="4" w:space="0" w:color="auto"/>
            </w:tcBorders>
            <w:shd w:val="clear" w:color="auto" w:fill="auto"/>
            <w:noWrap/>
            <w:vAlign w:val="center"/>
            <w:hideMark/>
          </w:tcPr>
          <w:p w14:paraId="574E344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nil"/>
              <w:left w:val="nil"/>
              <w:bottom w:val="single" w:sz="4" w:space="0" w:color="auto"/>
              <w:right w:val="single" w:sz="4" w:space="0" w:color="auto"/>
            </w:tcBorders>
            <w:shd w:val="clear" w:color="auto" w:fill="auto"/>
            <w:noWrap/>
            <w:vAlign w:val="center"/>
            <w:hideMark/>
          </w:tcPr>
          <w:p w14:paraId="574E344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44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8" w:space="0" w:color="auto"/>
              <w:left w:val="nil"/>
              <w:bottom w:val="single" w:sz="4" w:space="0" w:color="auto"/>
              <w:right w:val="single" w:sz="8" w:space="0" w:color="auto"/>
            </w:tcBorders>
            <w:shd w:val="clear" w:color="auto" w:fill="auto"/>
            <w:noWrap/>
            <w:vAlign w:val="center"/>
            <w:hideMark/>
          </w:tcPr>
          <w:p w14:paraId="574E3443"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-6,768,000</w:t>
            </w:r>
          </w:p>
        </w:tc>
      </w:tr>
      <w:tr w:rsidR="00444B63" w:rsidRPr="00E83C5E" w14:paraId="574E3455" w14:textId="77777777" w:rsidTr="008C3E7E">
        <w:trPr>
          <w:trHeight w:val="750"/>
          <w:jc w:val="center"/>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574E3445"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3.1.7</w:t>
            </w:r>
          </w:p>
        </w:tc>
        <w:tc>
          <w:tcPr>
            <w:tcW w:w="646" w:type="pct"/>
            <w:tcBorders>
              <w:top w:val="single" w:sz="4" w:space="0" w:color="auto"/>
              <w:left w:val="nil"/>
              <w:bottom w:val="single" w:sz="4" w:space="0" w:color="auto"/>
              <w:right w:val="nil"/>
            </w:tcBorders>
            <w:shd w:val="clear" w:color="000000" w:fill="DDEBF7"/>
            <w:hideMark/>
          </w:tcPr>
          <w:p w14:paraId="574E3446" w14:textId="7EC8DC73"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3.1.7 Masa Hartohen dhe</w:t>
            </w:r>
            <w:r w:rsidR="00233C37" w:rsidRPr="00E83C5E">
              <w:rPr>
                <w:rFonts w:ascii="Garamond" w:eastAsia="Times New Roman" w:hAnsi="Garamond" w:cs="Times New Roman"/>
                <w:color w:val="000000"/>
                <w:sz w:val="14"/>
                <w:szCs w:val="14"/>
                <w:lang w:eastAsia="en-GB"/>
              </w:rPr>
              <w:t xml:space="preserve"> </w:t>
            </w:r>
            <w:r w:rsidRPr="00E83C5E">
              <w:rPr>
                <w:rFonts w:ascii="Garamond" w:eastAsia="Times New Roman" w:hAnsi="Garamond" w:cs="Times New Roman"/>
                <w:color w:val="000000"/>
                <w:sz w:val="14"/>
                <w:szCs w:val="14"/>
                <w:lang w:eastAsia="en-GB"/>
              </w:rPr>
              <w:t>fuqizohen programet dhe aktivitetet rinore që trajtojnë çështje në lidhje me format e ndryshme të diskriminimit kundrejt identiteteve socio-kulturore, fetare, seksuale dhe të tjera.</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44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nil"/>
              <w:left w:val="nil"/>
              <w:bottom w:val="single" w:sz="4" w:space="0" w:color="auto"/>
              <w:right w:val="single" w:sz="4" w:space="0" w:color="auto"/>
            </w:tcBorders>
            <w:shd w:val="clear" w:color="auto" w:fill="auto"/>
            <w:vAlign w:val="center"/>
            <w:hideMark/>
          </w:tcPr>
          <w:p w14:paraId="574E344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 MAS, MSHMS</w:t>
            </w:r>
          </w:p>
        </w:tc>
        <w:tc>
          <w:tcPr>
            <w:tcW w:w="215" w:type="pct"/>
            <w:tcBorders>
              <w:top w:val="nil"/>
              <w:left w:val="nil"/>
              <w:bottom w:val="single" w:sz="4" w:space="0" w:color="auto"/>
              <w:right w:val="single" w:sz="4" w:space="0" w:color="auto"/>
            </w:tcBorders>
            <w:shd w:val="clear" w:color="auto" w:fill="auto"/>
            <w:vAlign w:val="center"/>
            <w:hideMark/>
          </w:tcPr>
          <w:p w14:paraId="574E3449"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2023</w:t>
            </w:r>
          </w:p>
        </w:tc>
        <w:tc>
          <w:tcPr>
            <w:tcW w:w="319" w:type="pct"/>
            <w:tcBorders>
              <w:top w:val="nil"/>
              <w:left w:val="nil"/>
              <w:bottom w:val="single" w:sz="4" w:space="0" w:color="auto"/>
              <w:right w:val="single" w:sz="8" w:space="0" w:color="auto"/>
            </w:tcBorders>
            <w:shd w:val="clear" w:color="auto" w:fill="auto"/>
            <w:vAlign w:val="center"/>
            <w:hideMark/>
          </w:tcPr>
          <w:p w14:paraId="574E344A"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2029</w:t>
            </w:r>
          </w:p>
        </w:tc>
        <w:tc>
          <w:tcPr>
            <w:tcW w:w="329" w:type="pct"/>
            <w:tcBorders>
              <w:top w:val="nil"/>
              <w:left w:val="nil"/>
              <w:bottom w:val="single" w:sz="4" w:space="0" w:color="auto"/>
              <w:right w:val="single" w:sz="4" w:space="0" w:color="auto"/>
            </w:tcBorders>
            <w:shd w:val="clear" w:color="auto" w:fill="auto"/>
            <w:noWrap/>
            <w:vAlign w:val="center"/>
            <w:hideMark/>
          </w:tcPr>
          <w:p w14:paraId="574E344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36,848,000</w:t>
            </w:r>
          </w:p>
        </w:tc>
        <w:tc>
          <w:tcPr>
            <w:tcW w:w="330" w:type="pct"/>
            <w:tcBorders>
              <w:top w:val="nil"/>
              <w:left w:val="nil"/>
              <w:bottom w:val="single" w:sz="4" w:space="0" w:color="auto"/>
              <w:right w:val="single" w:sz="4" w:space="0" w:color="auto"/>
            </w:tcBorders>
            <w:shd w:val="clear" w:color="auto" w:fill="auto"/>
            <w:noWrap/>
            <w:vAlign w:val="center"/>
            <w:hideMark/>
          </w:tcPr>
          <w:p w14:paraId="574E344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single" w:sz="8" w:space="0" w:color="auto"/>
              <w:left w:val="nil"/>
              <w:bottom w:val="single" w:sz="4" w:space="0" w:color="auto"/>
              <w:right w:val="single" w:sz="8" w:space="0" w:color="auto"/>
            </w:tcBorders>
            <w:shd w:val="clear" w:color="auto" w:fill="auto"/>
            <w:noWrap/>
            <w:vAlign w:val="center"/>
            <w:hideMark/>
          </w:tcPr>
          <w:p w14:paraId="574E344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36,848,000</w:t>
            </w:r>
          </w:p>
        </w:tc>
        <w:tc>
          <w:tcPr>
            <w:tcW w:w="259" w:type="pct"/>
            <w:gridSpan w:val="2"/>
            <w:tcBorders>
              <w:top w:val="nil"/>
              <w:left w:val="nil"/>
              <w:bottom w:val="single" w:sz="4" w:space="0" w:color="auto"/>
              <w:right w:val="single" w:sz="4" w:space="0" w:color="auto"/>
            </w:tcBorders>
            <w:shd w:val="clear" w:color="auto" w:fill="auto"/>
            <w:noWrap/>
            <w:vAlign w:val="center"/>
            <w:hideMark/>
          </w:tcPr>
          <w:p w14:paraId="574E344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noWrap/>
            <w:vAlign w:val="center"/>
            <w:hideMark/>
          </w:tcPr>
          <w:p w14:paraId="574E344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8" w:space="0" w:color="auto"/>
              <w:left w:val="nil"/>
              <w:bottom w:val="single" w:sz="4" w:space="0" w:color="auto"/>
              <w:right w:val="nil"/>
            </w:tcBorders>
            <w:shd w:val="clear" w:color="auto" w:fill="auto"/>
            <w:vAlign w:val="center"/>
            <w:hideMark/>
          </w:tcPr>
          <w:p w14:paraId="574E345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35,000,000</w:t>
            </w:r>
          </w:p>
        </w:tc>
        <w:tc>
          <w:tcPr>
            <w:tcW w:w="229" w:type="pct"/>
            <w:tcBorders>
              <w:top w:val="nil"/>
              <w:left w:val="single" w:sz="8" w:space="0" w:color="auto"/>
              <w:bottom w:val="single" w:sz="4" w:space="0" w:color="auto"/>
              <w:right w:val="single" w:sz="4" w:space="0" w:color="auto"/>
            </w:tcBorders>
            <w:shd w:val="clear" w:color="auto" w:fill="auto"/>
            <w:noWrap/>
            <w:vAlign w:val="center"/>
            <w:hideMark/>
          </w:tcPr>
          <w:p w14:paraId="574E345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nil"/>
              <w:left w:val="nil"/>
              <w:bottom w:val="single" w:sz="4" w:space="0" w:color="auto"/>
              <w:right w:val="single" w:sz="4" w:space="0" w:color="auto"/>
            </w:tcBorders>
            <w:shd w:val="clear" w:color="auto" w:fill="auto"/>
            <w:noWrap/>
            <w:vAlign w:val="center"/>
            <w:hideMark/>
          </w:tcPr>
          <w:p w14:paraId="574E345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45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8" w:space="0" w:color="auto"/>
              <w:left w:val="nil"/>
              <w:bottom w:val="single" w:sz="4" w:space="0" w:color="auto"/>
              <w:right w:val="single" w:sz="8" w:space="0" w:color="auto"/>
            </w:tcBorders>
            <w:shd w:val="clear" w:color="auto" w:fill="auto"/>
            <w:noWrap/>
            <w:vAlign w:val="center"/>
            <w:hideMark/>
          </w:tcPr>
          <w:p w14:paraId="574E3454"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-1,848,000</w:t>
            </w:r>
          </w:p>
        </w:tc>
      </w:tr>
      <w:tr w:rsidR="00444B63" w:rsidRPr="00E83C5E" w14:paraId="574E3466" w14:textId="77777777" w:rsidTr="00BE7B59">
        <w:trPr>
          <w:trHeight w:val="47"/>
          <w:jc w:val="center"/>
        </w:trPr>
        <w:tc>
          <w:tcPr>
            <w:tcW w:w="141"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74E3456"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646" w:type="pct"/>
            <w:tcBorders>
              <w:top w:val="single" w:sz="4" w:space="0" w:color="auto"/>
              <w:left w:val="nil"/>
              <w:bottom w:val="single" w:sz="4" w:space="0" w:color="auto"/>
              <w:right w:val="single" w:sz="4" w:space="0" w:color="auto"/>
            </w:tcBorders>
            <w:shd w:val="clear" w:color="000000" w:fill="D9D9D9"/>
            <w:vAlign w:val="center"/>
            <w:hideMark/>
          </w:tcPr>
          <w:p w14:paraId="574E3457" w14:textId="77777777" w:rsidR="00444B63" w:rsidRPr="00E83C5E" w:rsidRDefault="00444B63" w:rsidP="00444B63">
            <w:pPr>
              <w:spacing w:after="0" w:line="240" w:lineRule="auto"/>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Kosto Objektivi specifik 3.1</w:t>
            </w:r>
          </w:p>
        </w:tc>
        <w:tc>
          <w:tcPr>
            <w:tcW w:w="365" w:type="pct"/>
            <w:tcBorders>
              <w:top w:val="single" w:sz="4" w:space="0" w:color="auto"/>
              <w:left w:val="nil"/>
              <w:bottom w:val="single" w:sz="4" w:space="0" w:color="auto"/>
              <w:right w:val="single" w:sz="4" w:space="0" w:color="auto"/>
            </w:tcBorders>
            <w:shd w:val="clear" w:color="000000" w:fill="D9D9D9"/>
            <w:vAlign w:val="center"/>
            <w:hideMark/>
          </w:tcPr>
          <w:p w14:paraId="574E3458"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25" w:type="pct"/>
            <w:tcBorders>
              <w:top w:val="single" w:sz="4" w:space="0" w:color="auto"/>
              <w:left w:val="nil"/>
              <w:bottom w:val="single" w:sz="4" w:space="0" w:color="auto"/>
              <w:right w:val="single" w:sz="4" w:space="0" w:color="auto"/>
            </w:tcBorders>
            <w:shd w:val="clear" w:color="000000" w:fill="D9D9D9"/>
            <w:vAlign w:val="center"/>
            <w:hideMark/>
          </w:tcPr>
          <w:p w14:paraId="574E3459"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15" w:type="pct"/>
            <w:tcBorders>
              <w:top w:val="single" w:sz="4" w:space="0" w:color="auto"/>
              <w:left w:val="nil"/>
              <w:bottom w:val="single" w:sz="4" w:space="0" w:color="auto"/>
              <w:right w:val="single" w:sz="4" w:space="0" w:color="auto"/>
            </w:tcBorders>
            <w:shd w:val="clear" w:color="000000" w:fill="D9D9D9"/>
            <w:vAlign w:val="center"/>
            <w:hideMark/>
          </w:tcPr>
          <w:p w14:paraId="574E345A"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19" w:type="pct"/>
            <w:tcBorders>
              <w:top w:val="single" w:sz="4" w:space="0" w:color="auto"/>
              <w:left w:val="nil"/>
              <w:bottom w:val="single" w:sz="4" w:space="0" w:color="auto"/>
              <w:right w:val="single" w:sz="4" w:space="0" w:color="auto"/>
            </w:tcBorders>
            <w:shd w:val="clear" w:color="000000" w:fill="D9D9D9"/>
            <w:vAlign w:val="center"/>
            <w:hideMark/>
          </w:tcPr>
          <w:p w14:paraId="574E345B"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29" w:type="pct"/>
            <w:tcBorders>
              <w:top w:val="single" w:sz="4" w:space="0" w:color="auto"/>
              <w:left w:val="nil"/>
              <w:bottom w:val="single" w:sz="4" w:space="0" w:color="auto"/>
              <w:right w:val="single" w:sz="4" w:space="0" w:color="auto"/>
            </w:tcBorders>
            <w:shd w:val="clear" w:color="000000" w:fill="D9D9D9"/>
            <w:vAlign w:val="center"/>
            <w:hideMark/>
          </w:tcPr>
          <w:p w14:paraId="574E345C"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164,817,773</w:t>
            </w:r>
          </w:p>
        </w:tc>
        <w:tc>
          <w:tcPr>
            <w:tcW w:w="330" w:type="pct"/>
            <w:tcBorders>
              <w:top w:val="single" w:sz="4" w:space="0" w:color="auto"/>
              <w:left w:val="nil"/>
              <w:bottom w:val="single" w:sz="4" w:space="0" w:color="auto"/>
              <w:right w:val="single" w:sz="4" w:space="0" w:color="auto"/>
            </w:tcBorders>
            <w:shd w:val="clear" w:color="000000" w:fill="D9D9D9"/>
            <w:vAlign w:val="center"/>
            <w:hideMark/>
          </w:tcPr>
          <w:p w14:paraId="574E345D"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1,150,000</w:t>
            </w:r>
          </w:p>
        </w:tc>
        <w:tc>
          <w:tcPr>
            <w:tcW w:w="346" w:type="pct"/>
            <w:tcBorders>
              <w:top w:val="single" w:sz="4" w:space="0" w:color="auto"/>
              <w:left w:val="nil"/>
              <w:bottom w:val="single" w:sz="4" w:space="0" w:color="auto"/>
              <w:right w:val="single" w:sz="4" w:space="0" w:color="auto"/>
            </w:tcBorders>
            <w:shd w:val="clear" w:color="000000" w:fill="D9D9D9"/>
            <w:vAlign w:val="center"/>
            <w:hideMark/>
          </w:tcPr>
          <w:p w14:paraId="574E345E"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165,967,773</w:t>
            </w:r>
          </w:p>
        </w:tc>
        <w:tc>
          <w:tcPr>
            <w:tcW w:w="259" w:type="pct"/>
            <w:gridSpan w:val="2"/>
            <w:tcBorders>
              <w:top w:val="single" w:sz="4" w:space="0" w:color="auto"/>
              <w:left w:val="nil"/>
              <w:bottom w:val="single" w:sz="4" w:space="0" w:color="auto"/>
              <w:right w:val="single" w:sz="4" w:space="0" w:color="auto"/>
            </w:tcBorders>
            <w:shd w:val="clear" w:color="000000" w:fill="D9D9D9"/>
            <w:vAlign w:val="center"/>
            <w:hideMark/>
          </w:tcPr>
          <w:p w14:paraId="574E345F"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58" w:type="pct"/>
            <w:gridSpan w:val="2"/>
            <w:tcBorders>
              <w:top w:val="single" w:sz="4" w:space="0" w:color="auto"/>
              <w:left w:val="nil"/>
              <w:bottom w:val="single" w:sz="4" w:space="0" w:color="auto"/>
              <w:right w:val="single" w:sz="4" w:space="0" w:color="auto"/>
            </w:tcBorders>
            <w:shd w:val="clear" w:color="000000" w:fill="D9D9D9"/>
            <w:vAlign w:val="center"/>
            <w:hideMark/>
          </w:tcPr>
          <w:p w14:paraId="574E3460"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332" w:type="pct"/>
            <w:tcBorders>
              <w:top w:val="single" w:sz="4" w:space="0" w:color="auto"/>
              <w:left w:val="nil"/>
              <w:bottom w:val="single" w:sz="4" w:space="0" w:color="auto"/>
              <w:right w:val="single" w:sz="4" w:space="0" w:color="auto"/>
            </w:tcBorders>
            <w:shd w:val="clear" w:color="000000" w:fill="D9D9D9"/>
            <w:vAlign w:val="center"/>
            <w:hideMark/>
          </w:tcPr>
          <w:p w14:paraId="574E3461"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115,318,936</w:t>
            </w:r>
          </w:p>
        </w:tc>
        <w:tc>
          <w:tcPr>
            <w:tcW w:w="229" w:type="pct"/>
            <w:tcBorders>
              <w:top w:val="single" w:sz="4" w:space="0" w:color="auto"/>
              <w:left w:val="nil"/>
              <w:bottom w:val="single" w:sz="4" w:space="0" w:color="auto"/>
              <w:right w:val="single" w:sz="4" w:space="0" w:color="auto"/>
            </w:tcBorders>
            <w:shd w:val="clear" w:color="000000" w:fill="D9D9D9"/>
            <w:vAlign w:val="center"/>
            <w:hideMark/>
          </w:tcPr>
          <w:p w14:paraId="574E3462"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41" w:type="pct"/>
            <w:tcBorders>
              <w:top w:val="single" w:sz="4" w:space="0" w:color="auto"/>
              <w:left w:val="nil"/>
              <w:bottom w:val="single" w:sz="4" w:space="0" w:color="auto"/>
              <w:right w:val="single" w:sz="4" w:space="0" w:color="auto"/>
            </w:tcBorders>
            <w:shd w:val="clear" w:color="000000" w:fill="D9D9D9"/>
            <w:vAlign w:val="center"/>
            <w:hideMark/>
          </w:tcPr>
          <w:p w14:paraId="574E3463"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84" w:type="pct"/>
            <w:gridSpan w:val="2"/>
            <w:tcBorders>
              <w:top w:val="single" w:sz="4" w:space="0" w:color="auto"/>
              <w:left w:val="nil"/>
              <w:bottom w:val="single" w:sz="4" w:space="0" w:color="auto"/>
              <w:right w:val="single" w:sz="4" w:space="0" w:color="auto"/>
            </w:tcBorders>
            <w:shd w:val="clear" w:color="000000" w:fill="D9D9D9"/>
            <w:vAlign w:val="center"/>
            <w:hideMark/>
          </w:tcPr>
          <w:p w14:paraId="574E3464"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379" w:type="pct"/>
            <w:tcBorders>
              <w:top w:val="single" w:sz="4" w:space="0" w:color="auto"/>
              <w:left w:val="nil"/>
              <w:bottom w:val="single" w:sz="4" w:space="0" w:color="auto"/>
              <w:right w:val="single" w:sz="4" w:space="0" w:color="auto"/>
            </w:tcBorders>
            <w:shd w:val="clear" w:color="000000" w:fill="D9D9D9"/>
            <w:vAlign w:val="center"/>
            <w:hideMark/>
          </w:tcPr>
          <w:p w14:paraId="574E3465"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-50,648,837</w:t>
            </w:r>
          </w:p>
        </w:tc>
      </w:tr>
      <w:tr w:rsidR="00444B63" w:rsidRPr="00E83C5E" w14:paraId="574E3477" w14:textId="77777777" w:rsidTr="008C3E7E">
        <w:trPr>
          <w:trHeight w:val="675"/>
          <w:jc w:val="center"/>
        </w:trPr>
        <w:tc>
          <w:tcPr>
            <w:tcW w:w="141"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574E3467"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3.2</w:t>
            </w:r>
          </w:p>
        </w:tc>
        <w:tc>
          <w:tcPr>
            <w:tcW w:w="646" w:type="pct"/>
            <w:tcBorders>
              <w:top w:val="single" w:sz="4" w:space="0" w:color="auto"/>
              <w:left w:val="nil"/>
              <w:bottom w:val="single" w:sz="4" w:space="0" w:color="auto"/>
              <w:right w:val="nil"/>
            </w:tcBorders>
            <w:shd w:val="clear" w:color="000000" w:fill="FCE4D6"/>
            <w:hideMark/>
          </w:tcPr>
          <w:p w14:paraId="574E3468" w14:textId="558ACE03"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xml:space="preserve">3.2 Objektivi </w:t>
            </w:r>
            <w:r w:rsidR="00BE7B59" w:rsidRPr="00E83C5E">
              <w:rPr>
                <w:rFonts w:ascii="Garamond" w:eastAsia="Times New Roman" w:hAnsi="Garamond" w:cs="Times New Roman"/>
                <w:color w:val="000000"/>
                <w:sz w:val="14"/>
                <w:szCs w:val="14"/>
                <w:lang w:eastAsia="en-GB"/>
              </w:rPr>
              <w:t xml:space="preserve">specifik </w:t>
            </w:r>
            <w:r w:rsidRPr="00E83C5E">
              <w:rPr>
                <w:rFonts w:ascii="Garamond" w:eastAsia="Times New Roman" w:hAnsi="Garamond" w:cs="Times New Roman"/>
                <w:color w:val="000000"/>
                <w:sz w:val="14"/>
                <w:szCs w:val="14"/>
                <w:lang w:eastAsia="en-GB"/>
              </w:rPr>
              <w:t>2: Të rejave dhe të rinjve ju ofrohen shërbime shëndetësore miqësore dhe</w:t>
            </w:r>
            <w:r w:rsidR="00233C37" w:rsidRPr="00E83C5E">
              <w:rPr>
                <w:rFonts w:ascii="Garamond" w:eastAsia="Times New Roman" w:hAnsi="Garamond" w:cs="Times New Roman"/>
                <w:color w:val="000000"/>
                <w:sz w:val="14"/>
                <w:szCs w:val="14"/>
                <w:lang w:eastAsia="en-GB"/>
              </w:rPr>
              <w:t xml:space="preserve"> </w:t>
            </w:r>
            <w:r w:rsidRPr="00E83C5E">
              <w:rPr>
                <w:rFonts w:ascii="Garamond" w:eastAsia="Times New Roman" w:hAnsi="Garamond" w:cs="Times New Roman"/>
                <w:color w:val="000000"/>
                <w:sz w:val="14"/>
                <w:szCs w:val="14"/>
                <w:lang w:eastAsia="en-GB"/>
              </w:rPr>
              <w:t>ata praktikojnë stile jetese të shëndetshme, veçanërisht në lidhje me shëndetin dhe mirëqenien e tyre fizike, sociale, mendore dhe seksuale</w:t>
            </w:r>
          </w:p>
        </w:tc>
        <w:tc>
          <w:tcPr>
            <w:tcW w:w="365" w:type="pct"/>
            <w:tcBorders>
              <w:top w:val="single" w:sz="4" w:space="0" w:color="auto"/>
              <w:left w:val="single" w:sz="4" w:space="0" w:color="auto"/>
              <w:bottom w:val="single" w:sz="4" w:space="0" w:color="auto"/>
              <w:right w:val="single" w:sz="4" w:space="0" w:color="auto"/>
            </w:tcBorders>
            <w:shd w:val="clear" w:color="000000" w:fill="FCE4D6"/>
            <w:hideMark/>
          </w:tcPr>
          <w:p w14:paraId="574E3469"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 dhe MSHMS</w:t>
            </w:r>
          </w:p>
        </w:tc>
        <w:tc>
          <w:tcPr>
            <w:tcW w:w="325" w:type="pct"/>
            <w:tcBorders>
              <w:top w:val="single" w:sz="4" w:space="0" w:color="auto"/>
              <w:left w:val="nil"/>
              <w:bottom w:val="single" w:sz="4" w:space="0" w:color="auto"/>
              <w:right w:val="single" w:sz="4" w:space="0" w:color="auto"/>
            </w:tcBorders>
            <w:shd w:val="clear" w:color="000000" w:fill="FCE4D6"/>
            <w:hideMark/>
          </w:tcPr>
          <w:p w14:paraId="574E346A"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br/>
              <w:t>AKR, ISHP</w:t>
            </w:r>
          </w:p>
        </w:tc>
        <w:tc>
          <w:tcPr>
            <w:tcW w:w="215" w:type="pct"/>
            <w:tcBorders>
              <w:top w:val="single" w:sz="4" w:space="0" w:color="auto"/>
              <w:left w:val="nil"/>
              <w:bottom w:val="single" w:sz="4" w:space="0" w:color="auto"/>
              <w:right w:val="single" w:sz="4" w:space="0" w:color="auto"/>
            </w:tcBorders>
            <w:shd w:val="clear" w:color="000000" w:fill="FCE4D6"/>
            <w:hideMark/>
          </w:tcPr>
          <w:p w14:paraId="574E346B" w14:textId="77777777" w:rsidR="00444B63" w:rsidRPr="00E83C5E" w:rsidRDefault="00444B63" w:rsidP="00444B63">
            <w:pPr>
              <w:spacing w:after="0" w:line="240" w:lineRule="auto"/>
              <w:jc w:val="right"/>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2022</w:t>
            </w:r>
          </w:p>
        </w:tc>
        <w:tc>
          <w:tcPr>
            <w:tcW w:w="319" w:type="pct"/>
            <w:tcBorders>
              <w:top w:val="single" w:sz="4" w:space="0" w:color="auto"/>
              <w:left w:val="nil"/>
              <w:bottom w:val="single" w:sz="4" w:space="0" w:color="auto"/>
              <w:right w:val="single" w:sz="4" w:space="0" w:color="auto"/>
            </w:tcBorders>
            <w:shd w:val="clear" w:color="000000" w:fill="FCE4D6"/>
            <w:hideMark/>
          </w:tcPr>
          <w:p w14:paraId="574E346C" w14:textId="77777777" w:rsidR="00444B63" w:rsidRPr="00E83C5E" w:rsidRDefault="00444B63" w:rsidP="00444B63">
            <w:pPr>
              <w:spacing w:after="0" w:line="240" w:lineRule="auto"/>
              <w:jc w:val="right"/>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single" w:sz="4" w:space="0" w:color="auto"/>
              <w:left w:val="nil"/>
              <w:bottom w:val="single" w:sz="4" w:space="0" w:color="auto"/>
              <w:right w:val="single" w:sz="4" w:space="0" w:color="auto"/>
            </w:tcBorders>
            <w:shd w:val="clear" w:color="000000" w:fill="FCE4D6"/>
            <w:hideMark/>
          </w:tcPr>
          <w:p w14:paraId="574E346D"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0" w:type="pct"/>
            <w:tcBorders>
              <w:top w:val="single" w:sz="4" w:space="0" w:color="auto"/>
              <w:left w:val="nil"/>
              <w:bottom w:val="single" w:sz="4" w:space="0" w:color="auto"/>
              <w:right w:val="single" w:sz="4" w:space="0" w:color="auto"/>
            </w:tcBorders>
            <w:shd w:val="clear" w:color="000000" w:fill="FCE4D6"/>
            <w:hideMark/>
          </w:tcPr>
          <w:p w14:paraId="574E346E"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46" w:type="pct"/>
            <w:tcBorders>
              <w:top w:val="single" w:sz="4" w:space="0" w:color="auto"/>
              <w:left w:val="nil"/>
              <w:bottom w:val="single" w:sz="4" w:space="0" w:color="auto"/>
              <w:right w:val="single" w:sz="4" w:space="0" w:color="auto"/>
            </w:tcBorders>
            <w:shd w:val="clear" w:color="000000" w:fill="FCE4D6"/>
            <w:hideMark/>
          </w:tcPr>
          <w:p w14:paraId="574E346F"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9" w:type="pct"/>
            <w:gridSpan w:val="2"/>
            <w:tcBorders>
              <w:top w:val="single" w:sz="4" w:space="0" w:color="auto"/>
              <w:left w:val="nil"/>
              <w:bottom w:val="single" w:sz="4" w:space="0" w:color="auto"/>
              <w:right w:val="single" w:sz="4" w:space="0" w:color="auto"/>
            </w:tcBorders>
            <w:shd w:val="clear" w:color="000000" w:fill="FCE4D6"/>
            <w:hideMark/>
          </w:tcPr>
          <w:p w14:paraId="574E3470"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single" w:sz="4" w:space="0" w:color="auto"/>
              <w:left w:val="nil"/>
              <w:bottom w:val="single" w:sz="4" w:space="0" w:color="auto"/>
              <w:right w:val="single" w:sz="4" w:space="0" w:color="auto"/>
            </w:tcBorders>
            <w:shd w:val="clear" w:color="000000" w:fill="FCE4D6"/>
            <w:hideMark/>
          </w:tcPr>
          <w:p w14:paraId="574E3471"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4" w:space="0" w:color="auto"/>
              <w:left w:val="nil"/>
              <w:bottom w:val="single" w:sz="4" w:space="0" w:color="auto"/>
              <w:right w:val="single" w:sz="4" w:space="0" w:color="auto"/>
            </w:tcBorders>
            <w:shd w:val="clear" w:color="000000" w:fill="FCE4D6"/>
            <w:hideMark/>
          </w:tcPr>
          <w:p w14:paraId="574E3472"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29" w:type="pct"/>
            <w:tcBorders>
              <w:top w:val="single" w:sz="4" w:space="0" w:color="auto"/>
              <w:left w:val="nil"/>
              <w:bottom w:val="single" w:sz="4" w:space="0" w:color="auto"/>
              <w:right w:val="single" w:sz="4" w:space="0" w:color="auto"/>
            </w:tcBorders>
            <w:shd w:val="clear" w:color="000000" w:fill="FCE4D6"/>
            <w:hideMark/>
          </w:tcPr>
          <w:p w14:paraId="574E3473"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single" w:sz="4" w:space="0" w:color="auto"/>
              <w:left w:val="nil"/>
              <w:bottom w:val="single" w:sz="4" w:space="0" w:color="auto"/>
              <w:right w:val="single" w:sz="4" w:space="0" w:color="auto"/>
            </w:tcBorders>
            <w:shd w:val="clear" w:color="000000" w:fill="FCE4D6"/>
            <w:hideMark/>
          </w:tcPr>
          <w:p w14:paraId="574E3474"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single" w:sz="4" w:space="0" w:color="auto"/>
              <w:left w:val="nil"/>
              <w:bottom w:val="single" w:sz="4" w:space="0" w:color="auto"/>
              <w:right w:val="single" w:sz="4" w:space="0" w:color="auto"/>
            </w:tcBorders>
            <w:shd w:val="clear" w:color="000000" w:fill="FCE4D6"/>
            <w:hideMark/>
          </w:tcPr>
          <w:p w14:paraId="574E3475"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79" w:type="pct"/>
            <w:tcBorders>
              <w:top w:val="single" w:sz="4" w:space="0" w:color="auto"/>
              <w:left w:val="nil"/>
              <w:bottom w:val="single" w:sz="4" w:space="0" w:color="auto"/>
              <w:right w:val="single" w:sz="4" w:space="0" w:color="auto"/>
            </w:tcBorders>
            <w:shd w:val="clear" w:color="000000" w:fill="FCE4D6"/>
            <w:hideMark/>
          </w:tcPr>
          <w:p w14:paraId="574E3476"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r>
      <w:tr w:rsidR="00444B63" w:rsidRPr="00E83C5E" w14:paraId="574E3488" w14:textId="77777777" w:rsidTr="008C3E7E">
        <w:trPr>
          <w:trHeight w:val="792"/>
          <w:jc w:val="center"/>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574E3478"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3.2.1</w:t>
            </w:r>
          </w:p>
        </w:tc>
        <w:tc>
          <w:tcPr>
            <w:tcW w:w="646" w:type="pct"/>
            <w:tcBorders>
              <w:top w:val="single" w:sz="4" w:space="0" w:color="auto"/>
              <w:left w:val="nil"/>
              <w:bottom w:val="single" w:sz="4" w:space="0" w:color="auto"/>
              <w:right w:val="single" w:sz="4" w:space="0" w:color="auto"/>
            </w:tcBorders>
            <w:shd w:val="clear" w:color="000000" w:fill="DDEBF7"/>
            <w:hideMark/>
          </w:tcPr>
          <w:p w14:paraId="574E3479" w14:textId="49BB0DA0"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3.2.1 Masa 1. Bashkërendohet Strategjia Kombëtare e Shëndetit 2021-2030, Agjenda e Fëmijëve 2021 – 2026, planet e veprimit dhe strategjitë e tjera lidhur me to me masat e propozuara në Strategjinë Kombëtare të Rinisë, në veçanti promovimin e jetesës së shëndetshme</w:t>
            </w:r>
            <w:r w:rsidR="00233C37" w:rsidRPr="00E83C5E">
              <w:rPr>
                <w:rFonts w:ascii="Garamond" w:eastAsia="Times New Roman" w:hAnsi="Garamond" w:cs="Times New Roman"/>
                <w:color w:val="000000"/>
                <w:sz w:val="14"/>
                <w:szCs w:val="14"/>
                <w:lang w:eastAsia="en-GB"/>
              </w:rPr>
              <w:t xml:space="preserve"> </w:t>
            </w:r>
          </w:p>
        </w:tc>
        <w:tc>
          <w:tcPr>
            <w:tcW w:w="365" w:type="pct"/>
            <w:tcBorders>
              <w:top w:val="nil"/>
              <w:left w:val="single" w:sz="4" w:space="0" w:color="auto"/>
              <w:bottom w:val="single" w:sz="4" w:space="0" w:color="auto"/>
              <w:right w:val="single" w:sz="4" w:space="0" w:color="auto"/>
            </w:tcBorders>
            <w:shd w:val="clear" w:color="auto" w:fill="auto"/>
            <w:noWrap/>
            <w:vAlign w:val="bottom"/>
            <w:hideMark/>
          </w:tcPr>
          <w:p w14:paraId="574E347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nil"/>
              <w:left w:val="nil"/>
              <w:bottom w:val="single" w:sz="4" w:space="0" w:color="auto"/>
              <w:right w:val="single" w:sz="4" w:space="0" w:color="auto"/>
            </w:tcBorders>
            <w:shd w:val="clear" w:color="auto" w:fill="auto"/>
            <w:noWrap/>
            <w:vAlign w:val="bottom"/>
            <w:hideMark/>
          </w:tcPr>
          <w:p w14:paraId="574E347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 MSHMS, ASPA</w:t>
            </w:r>
          </w:p>
        </w:tc>
        <w:tc>
          <w:tcPr>
            <w:tcW w:w="215" w:type="pct"/>
            <w:tcBorders>
              <w:top w:val="nil"/>
              <w:left w:val="nil"/>
              <w:bottom w:val="single" w:sz="4" w:space="0" w:color="auto"/>
              <w:right w:val="single" w:sz="4" w:space="0" w:color="auto"/>
            </w:tcBorders>
            <w:shd w:val="clear" w:color="auto" w:fill="auto"/>
            <w:noWrap/>
            <w:vAlign w:val="bottom"/>
            <w:hideMark/>
          </w:tcPr>
          <w:p w14:paraId="574E347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2023</w:t>
            </w:r>
          </w:p>
        </w:tc>
        <w:tc>
          <w:tcPr>
            <w:tcW w:w="319" w:type="pct"/>
            <w:tcBorders>
              <w:top w:val="nil"/>
              <w:left w:val="nil"/>
              <w:bottom w:val="single" w:sz="4" w:space="0" w:color="auto"/>
              <w:right w:val="single" w:sz="8" w:space="0" w:color="auto"/>
            </w:tcBorders>
            <w:shd w:val="clear" w:color="auto" w:fill="auto"/>
            <w:noWrap/>
            <w:vAlign w:val="bottom"/>
            <w:hideMark/>
          </w:tcPr>
          <w:p w14:paraId="574E347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nil"/>
              <w:left w:val="nil"/>
              <w:bottom w:val="single" w:sz="4" w:space="0" w:color="auto"/>
              <w:right w:val="single" w:sz="4" w:space="0" w:color="auto"/>
            </w:tcBorders>
            <w:shd w:val="clear" w:color="auto" w:fill="auto"/>
            <w:noWrap/>
            <w:vAlign w:val="center"/>
            <w:hideMark/>
          </w:tcPr>
          <w:p w14:paraId="574E347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74,200,000</w:t>
            </w:r>
          </w:p>
        </w:tc>
        <w:tc>
          <w:tcPr>
            <w:tcW w:w="330" w:type="pct"/>
            <w:tcBorders>
              <w:top w:val="nil"/>
              <w:left w:val="nil"/>
              <w:bottom w:val="single" w:sz="4" w:space="0" w:color="auto"/>
              <w:right w:val="single" w:sz="4" w:space="0" w:color="auto"/>
            </w:tcBorders>
            <w:shd w:val="clear" w:color="auto" w:fill="auto"/>
            <w:noWrap/>
            <w:vAlign w:val="center"/>
            <w:hideMark/>
          </w:tcPr>
          <w:p w14:paraId="574E347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nil"/>
              <w:left w:val="nil"/>
              <w:bottom w:val="single" w:sz="4" w:space="0" w:color="auto"/>
              <w:right w:val="single" w:sz="8" w:space="0" w:color="auto"/>
            </w:tcBorders>
            <w:shd w:val="clear" w:color="auto" w:fill="auto"/>
            <w:noWrap/>
            <w:vAlign w:val="center"/>
            <w:hideMark/>
          </w:tcPr>
          <w:p w14:paraId="574E348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74,200,000</w:t>
            </w:r>
          </w:p>
        </w:tc>
        <w:tc>
          <w:tcPr>
            <w:tcW w:w="259" w:type="pct"/>
            <w:gridSpan w:val="2"/>
            <w:tcBorders>
              <w:top w:val="nil"/>
              <w:left w:val="nil"/>
              <w:bottom w:val="single" w:sz="4" w:space="0" w:color="auto"/>
              <w:right w:val="single" w:sz="4" w:space="0" w:color="auto"/>
            </w:tcBorders>
            <w:shd w:val="clear" w:color="auto" w:fill="auto"/>
            <w:noWrap/>
            <w:vAlign w:val="center"/>
            <w:hideMark/>
          </w:tcPr>
          <w:p w14:paraId="574E348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noWrap/>
            <w:vAlign w:val="center"/>
            <w:hideMark/>
          </w:tcPr>
          <w:p w14:paraId="574E348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nil"/>
              <w:left w:val="nil"/>
              <w:bottom w:val="single" w:sz="4" w:space="0" w:color="auto"/>
              <w:right w:val="nil"/>
            </w:tcBorders>
            <w:shd w:val="clear" w:color="auto" w:fill="auto"/>
            <w:vAlign w:val="center"/>
            <w:hideMark/>
          </w:tcPr>
          <w:p w14:paraId="574E348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70,000,000</w:t>
            </w:r>
          </w:p>
        </w:tc>
        <w:tc>
          <w:tcPr>
            <w:tcW w:w="229" w:type="pct"/>
            <w:tcBorders>
              <w:top w:val="nil"/>
              <w:left w:val="single" w:sz="8" w:space="0" w:color="auto"/>
              <w:bottom w:val="single" w:sz="4" w:space="0" w:color="auto"/>
              <w:right w:val="single" w:sz="4" w:space="0" w:color="auto"/>
            </w:tcBorders>
            <w:shd w:val="clear" w:color="auto" w:fill="auto"/>
            <w:noWrap/>
            <w:vAlign w:val="center"/>
            <w:hideMark/>
          </w:tcPr>
          <w:p w14:paraId="574E348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nil"/>
              <w:left w:val="nil"/>
              <w:bottom w:val="single" w:sz="4" w:space="0" w:color="auto"/>
              <w:right w:val="single" w:sz="4" w:space="0" w:color="auto"/>
            </w:tcBorders>
            <w:shd w:val="clear" w:color="auto" w:fill="auto"/>
            <w:noWrap/>
            <w:vAlign w:val="center"/>
            <w:hideMark/>
          </w:tcPr>
          <w:p w14:paraId="574E348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48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nil"/>
              <w:left w:val="nil"/>
              <w:bottom w:val="single" w:sz="4" w:space="0" w:color="auto"/>
              <w:right w:val="single" w:sz="8" w:space="0" w:color="auto"/>
            </w:tcBorders>
            <w:shd w:val="clear" w:color="auto" w:fill="auto"/>
            <w:noWrap/>
            <w:vAlign w:val="center"/>
            <w:hideMark/>
          </w:tcPr>
          <w:p w14:paraId="574E348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-4,200,000</w:t>
            </w:r>
          </w:p>
        </w:tc>
      </w:tr>
      <w:tr w:rsidR="00444B63" w:rsidRPr="00E83C5E" w14:paraId="574E3499" w14:textId="77777777" w:rsidTr="008C3E7E">
        <w:trPr>
          <w:trHeight w:val="360"/>
          <w:jc w:val="center"/>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574E3489"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lastRenderedPageBreak/>
              <w:t>3.2.2</w:t>
            </w:r>
          </w:p>
        </w:tc>
        <w:tc>
          <w:tcPr>
            <w:tcW w:w="646" w:type="pct"/>
            <w:tcBorders>
              <w:top w:val="single" w:sz="4" w:space="0" w:color="auto"/>
              <w:left w:val="nil"/>
              <w:bottom w:val="single" w:sz="4" w:space="0" w:color="auto"/>
              <w:right w:val="single" w:sz="4" w:space="0" w:color="auto"/>
            </w:tcBorders>
            <w:shd w:val="clear" w:color="000000" w:fill="DDEBF7"/>
            <w:hideMark/>
          </w:tcPr>
          <w:p w14:paraId="574E348A" w14:textId="2B39232A"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3.2.2 Masa 2 Zhvillohen qasje të pranueshme dhe miqësore për të rinjtë</w:t>
            </w:r>
            <w:r w:rsidR="00233C37" w:rsidRPr="00E83C5E">
              <w:rPr>
                <w:rFonts w:ascii="Garamond" w:eastAsia="Times New Roman" w:hAnsi="Garamond" w:cs="Times New Roman"/>
                <w:color w:val="000000"/>
                <w:sz w:val="14"/>
                <w:szCs w:val="14"/>
                <w:lang w:eastAsia="en-GB"/>
              </w:rPr>
              <w:t xml:space="preserve"> </w:t>
            </w:r>
            <w:r w:rsidRPr="00E83C5E">
              <w:rPr>
                <w:rFonts w:ascii="Garamond" w:eastAsia="Times New Roman" w:hAnsi="Garamond" w:cs="Times New Roman"/>
                <w:color w:val="000000"/>
                <w:sz w:val="14"/>
                <w:szCs w:val="14"/>
                <w:lang w:eastAsia="en-GB"/>
              </w:rPr>
              <w:t>në strukturat shëndetësore, të cilat marrin në konsideratë tranzicionin nga strukturat dhe shërbimet mjekësore për fëmijë te</w:t>
            </w:r>
            <w:r w:rsidR="00EE5150" w:rsidRPr="00E83C5E">
              <w:rPr>
                <w:rFonts w:ascii="Garamond" w:eastAsia="Times New Roman" w:hAnsi="Garamond" w:cs="Times New Roman"/>
                <w:color w:val="000000"/>
                <w:sz w:val="14"/>
                <w:szCs w:val="14"/>
                <w:lang w:eastAsia="en-GB"/>
              </w:rPr>
              <w:t>k</w:t>
            </w:r>
            <w:r w:rsidRPr="00E83C5E">
              <w:rPr>
                <w:rFonts w:ascii="Garamond" w:eastAsia="Times New Roman" w:hAnsi="Garamond" w:cs="Times New Roman"/>
                <w:color w:val="000000"/>
                <w:sz w:val="14"/>
                <w:szCs w:val="14"/>
                <w:lang w:eastAsia="en-GB"/>
              </w:rPr>
              <w:t xml:space="preserve"> ato për të rriturit.</w:t>
            </w:r>
          </w:p>
        </w:tc>
        <w:tc>
          <w:tcPr>
            <w:tcW w:w="365" w:type="pct"/>
            <w:tcBorders>
              <w:top w:val="nil"/>
              <w:left w:val="single" w:sz="4" w:space="0" w:color="auto"/>
              <w:bottom w:val="single" w:sz="4" w:space="0" w:color="auto"/>
              <w:right w:val="single" w:sz="4" w:space="0" w:color="auto"/>
            </w:tcBorders>
            <w:shd w:val="clear" w:color="auto" w:fill="auto"/>
            <w:noWrap/>
            <w:vAlign w:val="bottom"/>
            <w:hideMark/>
          </w:tcPr>
          <w:p w14:paraId="574E348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nil"/>
              <w:left w:val="nil"/>
              <w:bottom w:val="single" w:sz="4" w:space="0" w:color="auto"/>
              <w:right w:val="single" w:sz="4" w:space="0" w:color="auto"/>
            </w:tcBorders>
            <w:shd w:val="clear" w:color="auto" w:fill="auto"/>
            <w:noWrap/>
            <w:vAlign w:val="bottom"/>
            <w:hideMark/>
          </w:tcPr>
          <w:p w14:paraId="574E348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 MSHMS, ASPA</w:t>
            </w:r>
          </w:p>
        </w:tc>
        <w:tc>
          <w:tcPr>
            <w:tcW w:w="215" w:type="pct"/>
            <w:tcBorders>
              <w:top w:val="nil"/>
              <w:left w:val="nil"/>
              <w:bottom w:val="single" w:sz="4" w:space="0" w:color="auto"/>
              <w:right w:val="single" w:sz="4" w:space="0" w:color="auto"/>
            </w:tcBorders>
            <w:shd w:val="clear" w:color="auto" w:fill="auto"/>
            <w:noWrap/>
            <w:vAlign w:val="bottom"/>
            <w:hideMark/>
          </w:tcPr>
          <w:p w14:paraId="574E348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2023</w:t>
            </w:r>
          </w:p>
        </w:tc>
        <w:tc>
          <w:tcPr>
            <w:tcW w:w="319" w:type="pct"/>
            <w:tcBorders>
              <w:top w:val="nil"/>
              <w:left w:val="nil"/>
              <w:bottom w:val="single" w:sz="4" w:space="0" w:color="auto"/>
              <w:right w:val="single" w:sz="8" w:space="0" w:color="auto"/>
            </w:tcBorders>
            <w:shd w:val="clear" w:color="auto" w:fill="auto"/>
            <w:noWrap/>
            <w:vAlign w:val="bottom"/>
            <w:hideMark/>
          </w:tcPr>
          <w:p w14:paraId="574E348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nil"/>
              <w:left w:val="nil"/>
              <w:bottom w:val="single" w:sz="4" w:space="0" w:color="auto"/>
              <w:right w:val="single" w:sz="4" w:space="0" w:color="auto"/>
            </w:tcBorders>
            <w:shd w:val="clear" w:color="auto" w:fill="auto"/>
            <w:noWrap/>
            <w:vAlign w:val="center"/>
            <w:hideMark/>
          </w:tcPr>
          <w:p w14:paraId="574E348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42,600,000</w:t>
            </w:r>
          </w:p>
        </w:tc>
        <w:tc>
          <w:tcPr>
            <w:tcW w:w="330" w:type="pct"/>
            <w:tcBorders>
              <w:top w:val="nil"/>
              <w:left w:val="nil"/>
              <w:bottom w:val="single" w:sz="4" w:space="0" w:color="auto"/>
              <w:right w:val="single" w:sz="4" w:space="0" w:color="auto"/>
            </w:tcBorders>
            <w:shd w:val="clear" w:color="auto" w:fill="auto"/>
            <w:noWrap/>
            <w:vAlign w:val="center"/>
            <w:hideMark/>
          </w:tcPr>
          <w:p w14:paraId="574E349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nil"/>
              <w:left w:val="nil"/>
              <w:bottom w:val="single" w:sz="4" w:space="0" w:color="auto"/>
              <w:right w:val="single" w:sz="8" w:space="0" w:color="auto"/>
            </w:tcBorders>
            <w:shd w:val="clear" w:color="auto" w:fill="auto"/>
            <w:noWrap/>
            <w:vAlign w:val="center"/>
            <w:hideMark/>
          </w:tcPr>
          <w:p w14:paraId="574E349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42,600,000</w:t>
            </w:r>
          </w:p>
        </w:tc>
        <w:tc>
          <w:tcPr>
            <w:tcW w:w="259" w:type="pct"/>
            <w:gridSpan w:val="2"/>
            <w:tcBorders>
              <w:top w:val="nil"/>
              <w:left w:val="nil"/>
              <w:bottom w:val="single" w:sz="4" w:space="0" w:color="auto"/>
              <w:right w:val="single" w:sz="4" w:space="0" w:color="auto"/>
            </w:tcBorders>
            <w:shd w:val="clear" w:color="auto" w:fill="auto"/>
            <w:noWrap/>
            <w:vAlign w:val="center"/>
            <w:hideMark/>
          </w:tcPr>
          <w:p w14:paraId="574E349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noWrap/>
            <w:vAlign w:val="center"/>
            <w:hideMark/>
          </w:tcPr>
          <w:p w14:paraId="574E3493" w14:textId="77777777" w:rsidR="00444B63" w:rsidRPr="00E83C5E" w:rsidRDefault="00444B63" w:rsidP="00444B63">
            <w:pPr>
              <w:spacing w:after="0" w:line="240" w:lineRule="auto"/>
              <w:jc w:val="center"/>
              <w:rPr>
                <w:rFonts w:ascii="Garamond" w:eastAsia="Times New Roman" w:hAnsi="Garamond" w:cs="Times New Roman"/>
                <w:b/>
                <w:bCs/>
                <w:sz w:val="14"/>
                <w:szCs w:val="14"/>
                <w:lang w:eastAsia="en-GB"/>
              </w:rPr>
            </w:pPr>
            <w:r w:rsidRPr="00E83C5E">
              <w:rPr>
                <w:rFonts w:ascii="Garamond" w:eastAsia="Times New Roman" w:hAnsi="Garamond" w:cs="Times New Roman"/>
                <w:b/>
                <w:bCs/>
                <w:sz w:val="14"/>
                <w:szCs w:val="14"/>
                <w:lang w:eastAsia="en-GB"/>
              </w:rPr>
              <w:t> </w:t>
            </w:r>
          </w:p>
        </w:tc>
        <w:tc>
          <w:tcPr>
            <w:tcW w:w="332" w:type="pct"/>
            <w:tcBorders>
              <w:top w:val="single" w:sz="8" w:space="0" w:color="auto"/>
              <w:left w:val="nil"/>
              <w:bottom w:val="single" w:sz="4" w:space="0" w:color="auto"/>
              <w:right w:val="nil"/>
            </w:tcBorders>
            <w:shd w:val="clear" w:color="auto" w:fill="auto"/>
            <w:vAlign w:val="center"/>
            <w:hideMark/>
          </w:tcPr>
          <w:p w14:paraId="574E349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3,600,000</w:t>
            </w:r>
          </w:p>
        </w:tc>
        <w:tc>
          <w:tcPr>
            <w:tcW w:w="229" w:type="pct"/>
            <w:tcBorders>
              <w:top w:val="nil"/>
              <w:left w:val="single" w:sz="8" w:space="0" w:color="auto"/>
              <w:bottom w:val="single" w:sz="4" w:space="0" w:color="auto"/>
              <w:right w:val="single" w:sz="4" w:space="0" w:color="auto"/>
            </w:tcBorders>
            <w:shd w:val="clear" w:color="auto" w:fill="auto"/>
            <w:noWrap/>
            <w:vAlign w:val="center"/>
            <w:hideMark/>
          </w:tcPr>
          <w:p w14:paraId="574E3495" w14:textId="77777777" w:rsidR="00444B63" w:rsidRPr="00E83C5E" w:rsidRDefault="00444B63" w:rsidP="00444B63">
            <w:pPr>
              <w:spacing w:after="0" w:line="240" w:lineRule="auto"/>
              <w:jc w:val="center"/>
              <w:rPr>
                <w:rFonts w:ascii="Garamond" w:eastAsia="Times New Roman" w:hAnsi="Garamond" w:cs="Times New Roman"/>
                <w:b/>
                <w:bCs/>
                <w:sz w:val="14"/>
                <w:szCs w:val="14"/>
                <w:lang w:eastAsia="en-GB"/>
              </w:rPr>
            </w:pPr>
            <w:r w:rsidRPr="00E83C5E">
              <w:rPr>
                <w:rFonts w:ascii="Garamond" w:eastAsia="Times New Roman" w:hAnsi="Garamond" w:cs="Times New Roman"/>
                <w:b/>
                <w:bCs/>
                <w:sz w:val="14"/>
                <w:szCs w:val="14"/>
                <w:lang w:eastAsia="en-GB"/>
              </w:rPr>
              <w:t> </w:t>
            </w:r>
          </w:p>
        </w:tc>
        <w:tc>
          <w:tcPr>
            <w:tcW w:w="241" w:type="pct"/>
            <w:tcBorders>
              <w:top w:val="nil"/>
              <w:left w:val="nil"/>
              <w:bottom w:val="single" w:sz="4" w:space="0" w:color="auto"/>
              <w:right w:val="single" w:sz="4" w:space="0" w:color="auto"/>
            </w:tcBorders>
            <w:shd w:val="clear" w:color="auto" w:fill="auto"/>
            <w:noWrap/>
            <w:vAlign w:val="center"/>
            <w:hideMark/>
          </w:tcPr>
          <w:p w14:paraId="574E3496" w14:textId="77777777" w:rsidR="00444B63" w:rsidRPr="00E83C5E" w:rsidRDefault="00444B63" w:rsidP="00444B63">
            <w:pPr>
              <w:spacing w:after="0" w:line="240" w:lineRule="auto"/>
              <w:jc w:val="center"/>
              <w:rPr>
                <w:rFonts w:ascii="Garamond" w:eastAsia="Times New Roman" w:hAnsi="Garamond" w:cs="Times New Roman"/>
                <w:b/>
                <w:bCs/>
                <w:sz w:val="14"/>
                <w:szCs w:val="14"/>
                <w:lang w:eastAsia="en-GB"/>
              </w:rPr>
            </w:pPr>
            <w:r w:rsidRPr="00E83C5E">
              <w:rPr>
                <w:rFonts w:ascii="Garamond" w:eastAsia="Times New Roman" w:hAnsi="Garamond" w:cs="Times New Roman"/>
                <w:b/>
                <w:bCs/>
                <w:sz w:val="14"/>
                <w:szCs w:val="14"/>
                <w:lang w:eastAsia="en-GB"/>
              </w:rPr>
              <w:t> </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49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8" w:space="0" w:color="auto"/>
              <w:left w:val="nil"/>
              <w:bottom w:val="single" w:sz="4" w:space="0" w:color="auto"/>
              <w:right w:val="single" w:sz="8" w:space="0" w:color="auto"/>
            </w:tcBorders>
            <w:shd w:val="clear" w:color="auto" w:fill="auto"/>
            <w:noWrap/>
            <w:vAlign w:val="center"/>
            <w:hideMark/>
          </w:tcPr>
          <w:p w14:paraId="574E349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-39,000,000</w:t>
            </w:r>
          </w:p>
        </w:tc>
      </w:tr>
      <w:tr w:rsidR="00444B63" w:rsidRPr="00E83C5E" w14:paraId="574E34AA" w14:textId="77777777" w:rsidTr="008C3E7E">
        <w:trPr>
          <w:trHeight w:val="630"/>
          <w:jc w:val="center"/>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574E349A"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3.2.3</w:t>
            </w:r>
          </w:p>
        </w:tc>
        <w:tc>
          <w:tcPr>
            <w:tcW w:w="646" w:type="pct"/>
            <w:tcBorders>
              <w:top w:val="single" w:sz="4" w:space="0" w:color="auto"/>
              <w:left w:val="nil"/>
              <w:bottom w:val="single" w:sz="4" w:space="0" w:color="auto"/>
              <w:right w:val="single" w:sz="4" w:space="0" w:color="auto"/>
            </w:tcBorders>
            <w:shd w:val="clear" w:color="000000" w:fill="DDEBF7"/>
            <w:hideMark/>
          </w:tcPr>
          <w:p w14:paraId="574E349B"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3.2.3 Masa 3 Zhvillohen shërbime të reja dhe forcohen ato ekzistuese nëpër shkolla me cilësi të garantuar për ofrimin e mbështetjes për shëndetin mendor dhe psikologjik, si edhe mbështeten shërbimet online të shëndetit mendor në platformën për rininë (të rinjtë për të rinjtë).</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49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nil"/>
              <w:left w:val="nil"/>
              <w:bottom w:val="single" w:sz="4" w:space="0" w:color="auto"/>
              <w:right w:val="single" w:sz="4" w:space="0" w:color="auto"/>
            </w:tcBorders>
            <w:shd w:val="clear" w:color="auto" w:fill="auto"/>
            <w:vAlign w:val="center"/>
            <w:hideMark/>
          </w:tcPr>
          <w:p w14:paraId="574E349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 MSHMS</w:t>
            </w:r>
          </w:p>
        </w:tc>
        <w:tc>
          <w:tcPr>
            <w:tcW w:w="215" w:type="pct"/>
            <w:tcBorders>
              <w:top w:val="nil"/>
              <w:left w:val="nil"/>
              <w:bottom w:val="single" w:sz="4" w:space="0" w:color="auto"/>
              <w:right w:val="single" w:sz="4" w:space="0" w:color="auto"/>
            </w:tcBorders>
            <w:shd w:val="clear" w:color="auto" w:fill="auto"/>
            <w:vAlign w:val="center"/>
            <w:hideMark/>
          </w:tcPr>
          <w:p w14:paraId="574E349E"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2023</w:t>
            </w:r>
          </w:p>
        </w:tc>
        <w:tc>
          <w:tcPr>
            <w:tcW w:w="319" w:type="pct"/>
            <w:tcBorders>
              <w:top w:val="nil"/>
              <w:left w:val="nil"/>
              <w:bottom w:val="single" w:sz="4" w:space="0" w:color="auto"/>
              <w:right w:val="single" w:sz="8" w:space="0" w:color="auto"/>
            </w:tcBorders>
            <w:shd w:val="clear" w:color="auto" w:fill="auto"/>
            <w:vAlign w:val="center"/>
            <w:hideMark/>
          </w:tcPr>
          <w:p w14:paraId="574E349F"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2029</w:t>
            </w:r>
          </w:p>
        </w:tc>
        <w:tc>
          <w:tcPr>
            <w:tcW w:w="329" w:type="pct"/>
            <w:tcBorders>
              <w:top w:val="nil"/>
              <w:left w:val="nil"/>
              <w:bottom w:val="single" w:sz="4" w:space="0" w:color="auto"/>
              <w:right w:val="single" w:sz="4" w:space="0" w:color="auto"/>
            </w:tcBorders>
            <w:shd w:val="clear" w:color="auto" w:fill="auto"/>
            <w:noWrap/>
            <w:vAlign w:val="center"/>
            <w:hideMark/>
          </w:tcPr>
          <w:p w14:paraId="574E34A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9,456,475</w:t>
            </w:r>
          </w:p>
        </w:tc>
        <w:tc>
          <w:tcPr>
            <w:tcW w:w="330" w:type="pct"/>
            <w:tcBorders>
              <w:top w:val="nil"/>
              <w:left w:val="nil"/>
              <w:bottom w:val="single" w:sz="4" w:space="0" w:color="auto"/>
              <w:right w:val="single" w:sz="4" w:space="0" w:color="auto"/>
            </w:tcBorders>
            <w:shd w:val="clear" w:color="auto" w:fill="auto"/>
            <w:noWrap/>
            <w:vAlign w:val="center"/>
            <w:hideMark/>
          </w:tcPr>
          <w:p w14:paraId="574E34A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nil"/>
              <w:left w:val="nil"/>
              <w:bottom w:val="single" w:sz="4" w:space="0" w:color="auto"/>
              <w:right w:val="single" w:sz="8" w:space="0" w:color="auto"/>
            </w:tcBorders>
            <w:shd w:val="clear" w:color="auto" w:fill="auto"/>
            <w:noWrap/>
            <w:vAlign w:val="center"/>
            <w:hideMark/>
          </w:tcPr>
          <w:p w14:paraId="574E34A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9,456,475</w:t>
            </w:r>
          </w:p>
        </w:tc>
        <w:tc>
          <w:tcPr>
            <w:tcW w:w="259" w:type="pct"/>
            <w:gridSpan w:val="2"/>
            <w:tcBorders>
              <w:top w:val="nil"/>
              <w:left w:val="nil"/>
              <w:bottom w:val="single" w:sz="4" w:space="0" w:color="auto"/>
              <w:right w:val="single" w:sz="4" w:space="0" w:color="auto"/>
            </w:tcBorders>
            <w:shd w:val="clear" w:color="auto" w:fill="auto"/>
            <w:noWrap/>
            <w:vAlign w:val="center"/>
            <w:hideMark/>
          </w:tcPr>
          <w:p w14:paraId="574E34A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noWrap/>
            <w:vAlign w:val="center"/>
            <w:hideMark/>
          </w:tcPr>
          <w:p w14:paraId="574E34A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8" w:space="0" w:color="auto"/>
              <w:left w:val="nil"/>
              <w:bottom w:val="single" w:sz="4" w:space="0" w:color="auto"/>
              <w:right w:val="nil"/>
            </w:tcBorders>
            <w:shd w:val="clear" w:color="auto" w:fill="auto"/>
            <w:vAlign w:val="center"/>
            <w:hideMark/>
          </w:tcPr>
          <w:p w14:paraId="574E34A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699,114</w:t>
            </w:r>
          </w:p>
        </w:tc>
        <w:tc>
          <w:tcPr>
            <w:tcW w:w="229" w:type="pct"/>
            <w:tcBorders>
              <w:top w:val="nil"/>
              <w:left w:val="single" w:sz="8" w:space="0" w:color="auto"/>
              <w:bottom w:val="single" w:sz="4" w:space="0" w:color="auto"/>
              <w:right w:val="single" w:sz="4" w:space="0" w:color="auto"/>
            </w:tcBorders>
            <w:shd w:val="clear" w:color="auto" w:fill="auto"/>
            <w:noWrap/>
            <w:vAlign w:val="center"/>
            <w:hideMark/>
          </w:tcPr>
          <w:p w14:paraId="574E34A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nil"/>
              <w:left w:val="nil"/>
              <w:bottom w:val="single" w:sz="4" w:space="0" w:color="auto"/>
              <w:right w:val="single" w:sz="4" w:space="0" w:color="auto"/>
            </w:tcBorders>
            <w:shd w:val="clear" w:color="auto" w:fill="auto"/>
            <w:noWrap/>
            <w:vAlign w:val="center"/>
            <w:hideMark/>
          </w:tcPr>
          <w:p w14:paraId="574E34A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4A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4,800,000</w:t>
            </w:r>
          </w:p>
        </w:tc>
        <w:tc>
          <w:tcPr>
            <w:tcW w:w="379" w:type="pct"/>
            <w:tcBorders>
              <w:top w:val="single" w:sz="8" w:space="0" w:color="auto"/>
              <w:left w:val="nil"/>
              <w:bottom w:val="single" w:sz="4" w:space="0" w:color="auto"/>
              <w:right w:val="single" w:sz="8" w:space="0" w:color="auto"/>
            </w:tcBorders>
            <w:shd w:val="clear" w:color="auto" w:fill="auto"/>
            <w:noWrap/>
            <w:vAlign w:val="center"/>
            <w:hideMark/>
          </w:tcPr>
          <w:p w14:paraId="574E34A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-3,957,361</w:t>
            </w:r>
          </w:p>
        </w:tc>
      </w:tr>
      <w:tr w:rsidR="00444B63" w:rsidRPr="00E83C5E" w14:paraId="574E34BB" w14:textId="77777777" w:rsidTr="008C3E7E">
        <w:trPr>
          <w:trHeight w:val="360"/>
          <w:jc w:val="center"/>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574E34AB"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3.2.4</w:t>
            </w:r>
          </w:p>
        </w:tc>
        <w:tc>
          <w:tcPr>
            <w:tcW w:w="646" w:type="pct"/>
            <w:tcBorders>
              <w:top w:val="single" w:sz="4" w:space="0" w:color="auto"/>
              <w:left w:val="nil"/>
              <w:bottom w:val="single" w:sz="4" w:space="0" w:color="auto"/>
              <w:right w:val="single" w:sz="4" w:space="0" w:color="auto"/>
            </w:tcBorders>
            <w:shd w:val="clear" w:color="000000" w:fill="DDEBF7"/>
            <w:hideMark/>
          </w:tcPr>
          <w:p w14:paraId="574E34AC"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3.2.4 Masa 4 Sigurohet pranimi i të rinjve në shërbimet e duhura të parandalimit dhe promovimit sipas Planit Kombëtar të Veprimit mbi Shëndetin dhe të Drejtat Seksuale dhe Riprodhuese 2022 - 2030 për të siguruar që të rinjtë që jetojnë në Shqipëri marrin edukim / informacione të përgjithshme në formë të pranueshme dhe miqësore ndaj tyre</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4A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xml:space="preserve">MSHMS </w:t>
            </w:r>
          </w:p>
        </w:tc>
        <w:tc>
          <w:tcPr>
            <w:tcW w:w="325" w:type="pct"/>
            <w:tcBorders>
              <w:top w:val="nil"/>
              <w:left w:val="nil"/>
              <w:bottom w:val="single" w:sz="4" w:space="0" w:color="auto"/>
              <w:right w:val="single" w:sz="4" w:space="0" w:color="auto"/>
            </w:tcBorders>
            <w:shd w:val="clear" w:color="auto" w:fill="auto"/>
            <w:vAlign w:val="center"/>
            <w:hideMark/>
          </w:tcPr>
          <w:p w14:paraId="574E34A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 MSHRF</w:t>
            </w:r>
          </w:p>
        </w:tc>
        <w:tc>
          <w:tcPr>
            <w:tcW w:w="215" w:type="pct"/>
            <w:tcBorders>
              <w:top w:val="nil"/>
              <w:left w:val="nil"/>
              <w:bottom w:val="single" w:sz="4" w:space="0" w:color="auto"/>
              <w:right w:val="single" w:sz="4" w:space="0" w:color="auto"/>
            </w:tcBorders>
            <w:shd w:val="clear" w:color="auto" w:fill="auto"/>
            <w:vAlign w:val="center"/>
            <w:hideMark/>
          </w:tcPr>
          <w:p w14:paraId="574E34AF"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2023</w:t>
            </w:r>
          </w:p>
        </w:tc>
        <w:tc>
          <w:tcPr>
            <w:tcW w:w="319" w:type="pct"/>
            <w:tcBorders>
              <w:top w:val="nil"/>
              <w:left w:val="nil"/>
              <w:bottom w:val="single" w:sz="4" w:space="0" w:color="auto"/>
              <w:right w:val="single" w:sz="8" w:space="0" w:color="auto"/>
            </w:tcBorders>
            <w:shd w:val="clear" w:color="auto" w:fill="auto"/>
            <w:vAlign w:val="center"/>
            <w:hideMark/>
          </w:tcPr>
          <w:p w14:paraId="574E34B0"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2029</w:t>
            </w:r>
          </w:p>
        </w:tc>
        <w:tc>
          <w:tcPr>
            <w:tcW w:w="329" w:type="pct"/>
            <w:tcBorders>
              <w:top w:val="nil"/>
              <w:left w:val="nil"/>
              <w:bottom w:val="single" w:sz="4" w:space="0" w:color="auto"/>
              <w:right w:val="single" w:sz="4" w:space="0" w:color="auto"/>
            </w:tcBorders>
            <w:shd w:val="clear" w:color="auto" w:fill="auto"/>
            <w:noWrap/>
            <w:vAlign w:val="center"/>
            <w:hideMark/>
          </w:tcPr>
          <w:p w14:paraId="574E34B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19,414,601</w:t>
            </w:r>
          </w:p>
        </w:tc>
        <w:tc>
          <w:tcPr>
            <w:tcW w:w="330" w:type="pct"/>
            <w:tcBorders>
              <w:top w:val="nil"/>
              <w:left w:val="nil"/>
              <w:bottom w:val="single" w:sz="4" w:space="0" w:color="auto"/>
              <w:right w:val="single" w:sz="4" w:space="0" w:color="auto"/>
            </w:tcBorders>
            <w:shd w:val="clear" w:color="auto" w:fill="auto"/>
            <w:noWrap/>
            <w:vAlign w:val="center"/>
            <w:hideMark/>
          </w:tcPr>
          <w:p w14:paraId="574E34B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nil"/>
              <w:left w:val="nil"/>
              <w:bottom w:val="single" w:sz="4" w:space="0" w:color="auto"/>
              <w:right w:val="single" w:sz="8" w:space="0" w:color="auto"/>
            </w:tcBorders>
            <w:shd w:val="clear" w:color="auto" w:fill="auto"/>
            <w:noWrap/>
            <w:vAlign w:val="center"/>
            <w:hideMark/>
          </w:tcPr>
          <w:p w14:paraId="574E34B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19,414,601</w:t>
            </w:r>
          </w:p>
        </w:tc>
        <w:tc>
          <w:tcPr>
            <w:tcW w:w="259" w:type="pct"/>
            <w:gridSpan w:val="2"/>
            <w:tcBorders>
              <w:top w:val="nil"/>
              <w:left w:val="nil"/>
              <w:bottom w:val="single" w:sz="4" w:space="0" w:color="auto"/>
              <w:right w:val="single" w:sz="4" w:space="0" w:color="auto"/>
            </w:tcBorders>
            <w:shd w:val="clear" w:color="auto" w:fill="auto"/>
            <w:noWrap/>
            <w:vAlign w:val="center"/>
            <w:hideMark/>
          </w:tcPr>
          <w:p w14:paraId="574E34B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noWrap/>
            <w:vAlign w:val="center"/>
            <w:hideMark/>
          </w:tcPr>
          <w:p w14:paraId="574E34B5" w14:textId="77777777" w:rsidR="00444B63" w:rsidRPr="00E83C5E" w:rsidRDefault="00444B63" w:rsidP="00444B63">
            <w:pPr>
              <w:spacing w:after="0" w:line="240" w:lineRule="auto"/>
              <w:jc w:val="center"/>
              <w:rPr>
                <w:rFonts w:ascii="Garamond" w:eastAsia="Times New Roman" w:hAnsi="Garamond" w:cs="Times New Roman"/>
                <w:b/>
                <w:bCs/>
                <w:sz w:val="14"/>
                <w:szCs w:val="14"/>
                <w:lang w:eastAsia="en-GB"/>
              </w:rPr>
            </w:pPr>
            <w:r w:rsidRPr="00E83C5E">
              <w:rPr>
                <w:rFonts w:ascii="Garamond" w:eastAsia="Times New Roman" w:hAnsi="Garamond" w:cs="Times New Roman"/>
                <w:b/>
                <w:bCs/>
                <w:sz w:val="14"/>
                <w:szCs w:val="14"/>
                <w:lang w:eastAsia="en-GB"/>
              </w:rPr>
              <w:t> </w:t>
            </w:r>
          </w:p>
        </w:tc>
        <w:tc>
          <w:tcPr>
            <w:tcW w:w="332" w:type="pct"/>
            <w:tcBorders>
              <w:top w:val="single" w:sz="8" w:space="0" w:color="auto"/>
              <w:left w:val="nil"/>
              <w:bottom w:val="single" w:sz="4" w:space="0" w:color="auto"/>
              <w:right w:val="nil"/>
            </w:tcBorders>
            <w:shd w:val="clear" w:color="auto" w:fill="auto"/>
            <w:vAlign w:val="center"/>
            <w:hideMark/>
          </w:tcPr>
          <w:p w14:paraId="574E34B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2,489,016</w:t>
            </w:r>
          </w:p>
        </w:tc>
        <w:tc>
          <w:tcPr>
            <w:tcW w:w="229" w:type="pct"/>
            <w:tcBorders>
              <w:top w:val="nil"/>
              <w:left w:val="single" w:sz="8" w:space="0" w:color="auto"/>
              <w:bottom w:val="single" w:sz="4" w:space="0" w:color="auto"/>
              <w:right w:val="single" w:sz="4" w:space="0" w:color="auto"/>
            </w:tcBorders>
            <w:shd w:val="clear" w:color="auto" w:fill="auto"/>
            <w:noWrap/>
            <w:vAlign w:val="center"/>
            <w:hideMark/>
          </w:tcPr>
          <w:p w14:paraId="574E34B7" w14:textId="77777777" w:rsidR="00444B63" w:rsidRPr="00E83C5E" w:rsidRDefault="00444B63" w:rsidP="00444B63">
            <w:pPr>
              <w:spacing w:after="0" w:line="240" w:lineRule="auto"/>
              <w:jc w:val="center"/>
              <w:rPr>
                <w:rFonts w:ascii="Garamond" w:eastAsia="Times New Roman" w:hAnsi="Garamond" w:cs="Times New Roman"/>
                <w:b/>
                <w:bCs/>
                <w:sz w:val="14"/>
                <w:szCs w:val="14"/>
                <w:lang w:eastAsia="en-GB"/>
              </w:rPr>
            </w:pPr>
            <w:r w:rsidRPr="00E83C5E">
              <w:rPr>
                <w:rFonts w:ascii="Garamond" w:eastAsia="Times New Roman" w:hAnsi="Garamond" w:cs="Times New Roman"/>
                <w:b/>
                <w:bCs/>
                <w:sz w:val="14"/>
                <w:szCs w:val="14"/>
                <w:lang w:eastAsia="en-GB"/>
              </w:rPr>
              <w:t> </w:t>
            </w:r>
          </w:p>
        </w:tc>
        <w:tc>
          <w:tcPr>
            <w:tcW w:w="241" w:type="pct"/>
            <w:tcBorders>
              <w:top w:val="nil"/>
              <w:left w:val="nil"/>
              <w:bottom w:val="single" w:sz="4" w:space="0" w:color="auto"/>
              <w:right w:val="single" w:sz="4" w:space="0" w:color="auto"/>
            </w:tcBorders>
            <w:shd w:val="clear" w:color="auto" w:fill="auto"/>
            <w:noWrap/>
            <w:vAlign w:val="center"/>
            <w:hideMark/>
          </w:tcPr>
          <w:p w14:paraId="574E34B8" w14:textId="77777777" w:rsidR="00444B63" w:rsidRPr="00E83C5E" w:rsidRDefault="00444B63" w:rsidP="00444B63">
            <w:pPr>
              <w:spacing w:after="0" w:line="240" w:lineRule="auto"/>
              <w:jc w:val="center"/>
              <w:rPr>
                <w:rFonts w:ascii="Garamond" w:eastAsia="Times New Roman" w:hAnsi="Garamond" w:cs="Times New Roman"/>
                <w:b/>
                <w:bCs/>
                <w:sz w:val="14"/>
                <w:szCs w:val="14"/>
                <w:lang w:eastAsia="en-GB"/>
              </w:rPr>
            </w:pPr>
            <w:r w:rsidRPr="00E83C5E">
              <w:rPr>
                <w:rFonts w:ascii="Garamond" w:eastAsia="Times New Roman" w:hAnsi="Garamond" w:cs="Times New Roman"/>
                <w:b/>
                <w:bCs/>
                <w:sz w:val="14"/>
                <w:szCs w:val="14"/>
                <w:lang w:eastAsia="en-GB"/>
              </w:rPr>
              <w:t> </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4B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8" w:space="0" w:color="auto"/>
              <w:left w:val="nil"/>
              <w:bottom w:val="single" w:sz="4" w:space="0" w:color="auto"/>
              <w:right w:val="single" w:sz="8" w:space="0" w:color="auto"/>
            </w:tcBorders>
            <w:shd w:val="clear" w:color="auto" w:fill="auto"/>
            <w:noWrap/>
            <w:vAlign w:val="center"/>
            <w:hideMark/>
          </w:tcPr>
          <w:p w14:paraId="574E34B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-16,925,585</w:t>
            </w:r>
          </w:p>
        </w:tc>
      </w:tr>
      <w:tr w:rsidR="00444B63" w:rsidRPr="00E83C5E" w14:paraId="574E34CC" w14:textId="77777777" w:rsidTr="008C3E7E">
        <w:trPr>
          <w:trHeight w:val="630"/>
          <w:jc w:val="center"/>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574E34BC"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3.2.5</w:t>
            </w:r>
          </w:p>
        </w:tc>
        <w:tc>
          <w:tcPr>
            <w:tcW w:w="646" w:type="pct"/>
            <w:tcBorders>
              <w:top w:val="single" w:sz="4" w:space="0" w:color="auto"/>
              <w:left w:val="nil"/>
              <w:bottom w:val="single" w:sz="4" w:space="0" w:color="auto"/>
              <w:right w:val="single" w:sz="4" w:space="0" w:color="auto"/>
            </w:tcBorders>
            <w:shd w:val="clear" w:color="000000" w:fill="DDEBF7"/>
            <w:hideMark/>
          </w:tcPr>
          <w:p w14:paraId="574E34BD"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3.2.5 Masa 5 Propozohen dhe zhvillohen veprimtari në lidhje me sjelljen e rrezikshme dhe konsumin e drogës duke siguruar që të rinjtë marrin informacione dhe edukim tërësor. Sigurohet që të rinjtë kanë akses në ndërhyrjet e duhura parandaluese dhe shërbimet e trajtimit të varësisë.</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74E34B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nil"/>
              <w:left w:val="nil"/>
              <w:bottom w:val="single" w:sz="4" w:space="0" w:color="auto"/>
              <w:right w:val="single" w:sz="4" w:space="0" w:color="auto"/>
            </w:tcBorders>
            <w:shd w:val="clear" w:color="auto" w:fill="auto"/>
            <w:vAlign w:val="center"/>
            <w:hideMark/>
          </w:tcPr>
          <w:p w14:paraId="574E34B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 MSHMS</w:t>
            </w:r>
          </w:p>
        </w:tc>
        <w:tc>
          <w:tcPr>
            <w:tcW w:w="215" w:type="pct"/>
            <w:tcBorders>
              <w:top w:val="nil"/>
              <w:left w:val="nil"/>
              <w:bottom w:val="single" w:sz="4" w:space="0" w:color="auto"/>
              <w:right w:val="single" w:sz="4" w:space="0" w:color="auto"/>
            </w:tcBorders>
            <w:shd w:val="clear" w:color="auto" w:fill="auto"/>
            <w:vAlign w:val="center"/>
            <w:hideMark/>
          </w:tcPr>
          <w:p w14:paraId="574E34C0"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2023</w:t>
            </w:r>
          </w:p>
        </w:tc>
        <w:tc>
          <w:tcPr>
            <w:tcW w:w="319" w:type="pct"/>
            <w:tcBorders>
              <w:top w:val="nil"/>
              <w:left w:val="nil"/>
              <w:bottom w:val="single" w:sz="4" w:space="0" w:color="auto"/>
              <w:right w:val="single" w:sz="8" w:space="0" w:color="auto"/>
            </w:tcBorders>
            <w:shd w:val="clear" w:color="auto" w:fill="auto"/>
            <w:vAlign w:val="center"/>
            <w:hideMark/>
          </w:tcPr>
          <w:p w14:paraId="574E34C1"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2029</w:t>
            </w:r>
          </w:p>
        </w:tc>
        <w:tc>
          <w:tcPr>
            <w:tcW w:w="329" w:type="pct"/>
            <w:tcBorders>
              <w:top w:val="nil"/>
              <w:left w:val="nil"/>
              <w:bottom w:val="single" w:sz="4" w:space="0" w:color="auto"/>
              <w:right w:val="single" w:sz="4" w:space="0" w:color="auto"/>
            </w:tcBorders>
            <w:shd w:val="clear" w:color="auto" w:fill="auto"/>
            <w:noWrap/>
            <w:vAlign w:val="center"/>
            <w:hideMark/>
          </w:tcPr>
          <w:p w14:paraId="574E34C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15,626,040</w:t>
            </w:r>
          </w:p>
        </w:tc>
        <w:tc>
          <w:tcPr>
            <w:tcW w:w="330" w:type="pct"/>
            <w:tcBorders>
              <w:top w:val="nil"/>
              <w:left w:val="nil"/>
              <w:bottom w:val="single" w:sz="4" w:space="0" w:color="auto"/>
              <w:right w:val="single" w:sz="4" w:space="0" w:color="auto"/>
            </w:tcBorders>
            <w:shd w:val="clear" w:color="auto" w:fill="auto"/>
            <w:noWrap/>
            <w:vAlign w:val="center"/>
            <w:hideMark/>
          </w:tcPr>
          <w:p w14:paraId="574E34C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nil"/>
              <w:left w:val="nil"/>
              <w:bottom w:val="single" w:sz="4" w:space="0" w:color="auto"/>
              <w:right w:val="single" w:sz="8" w:space="0" w:color="auto"/>
            </w:tcBorders>
            <w:shd w:val="clear" w:color="auto" w:fill="auto"/>
            <w:noWrap/>
            <w:vAlign w:val="center"/>
            <w:hideMark/>
          </w:tcPr>
          <w:p w14:paraId="574E34C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15,626,040</w:t>
            </w:r>
          </w:p>
        </w:tc>
        <w:tc>
          <w:tcPr>
            <w:tcW w:w="259" w:type="pct"/>
            <w:gridSpan w:val="2"/>
            <w:tcBorders>
              <w:top w:val="nil"/>
              <w:left w:val="nil"/>
              <w:bottom w:val="single" w:sz="4" w:space="0" w:color="auto"/>
              <w:right w:val="single" w:sz="4" w:space="0" w:color="auto"/>
            </w:tcBorders>
            <w:shd w:val="clear" w:color="auto" w:fill="auto"/>
            <w:noWrap/>
            <w:vAlign w:val="center"/>
            <w:hideMark/>
          </w:tcPr>
          <w:p w14:paraId="574E34C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noWrap/>
            <w:vAlign w:val="center"/>
            <w:hideMark/>
          </w:tcPr>
          <w:p w14:paraId="574E34C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8" w:space="0" w:color="auto"/>
              <w:left w:val="nil"/>
              <w:bottom w:val="single" w:sz="4" w:space="0" w:color="auto"/>
              <w:right w:val="nil"/>
            </w:tcBorders>
            <w:shd w:val="clear" w:color="auto" w:fill="auto"/>
            <w:vAlign w:val="center"/>
            <w:hideMark/>
          </w:tcPr>
          <w:p w14:paraId="574E34C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8,426,040</w:t>
            </w:r>
          </w:p>
        </w:tc>
        <w:tc>
          <w:tcPr>
            <w:tcW w:w="229" w:type="pct"/>
            <w:tcBorders>
              <w:top w:val="nil"/>
              <w:left w:val="single" w:sz="8" w:space="0" w:color="auto"/>
              <w:bottom w:val="single" w:sz="4" w:space="0" w:color="auto"/>
              <w:right w:val="single" w:sz="4" w:space="0" w:color="auto"/>
            </w:tcBorders>
            <w:shd w:val="clear" w:color="auto" w:fill="auto"/>
            <w:noWrap/>
            <w:vAlign w:val="center"/>
            <w:hideMark/>
          </w:tcPr>
          <w:p w14:paraId="574E34C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nil"/>
              <w:left w:val="nil"/>
              <w:bottom w:val="single" w:sz="4" w:space="0" w:color="auto"/>
              <w:right w:val="single" w:sz="4" w:space="0" w:color="auto"/>
            </w:tcBorders>
            <w:shd w:val="clear" w:color="auto" w:fill="auto"/>
            <w:noWrap/>
            <w:vAlign w:val="center"/>
            <w:hideMark/>
          </w:tcPr>
          <w:p w14:paraId="574E34C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4C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8" w:space="0" w:color="auto"/>
              <w:left w:val="nil"/>
              <w:bottom w:val="single" w:sz="4" w:space="0" w:color="auto"/>
              <w:right w:val="single" w:sz="8" w:space="0" w:color="auto"/>
            </w:tcBorders>
            <w:shd w:val="clear" w:color="auto" w:fill="auto"/>
            <w:noWrap/>
            <w:vAlign w:val="center"/>
            <w:hideMark/>
          </w:tcPr>
          <w:p w14:paraId="574E34C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-7,200,000</w:t>
            </w:r>
          </w:p>
        </w:tc>
      </w:tr>
      <w:tr w:rsidR="00444B63" w:rsidRPr="00E83C5E" w14:paraId="574E34DD" w14:textId="77777777" w:rsidTr="00BE7B59">
        <w:trPr>
          <w:trHeight w:val="47"/>
          <w:jc w:val="center"/>
        </w:trPr>
        <w:tc>
          <w:tcPr>
            <w:tcW w:w="141" w:type="pct"/>
            <w:tcBorders>
              <w:top w:val="nil"/>
              <w:left w:val="single" w:sz="8" w:space="0" w:color="auto"/>
              <w:bottom w:val="nil"/>
              <w:right w:val="single" w:sz="4" w:space="0" w:color="auto"/>
            </w:tcBorders>
            <w:shd w:val="clear" w:color="000000" w:fill="D9D9D9"/>
            <w:vAlign w:val="center"/>
            <w:hideMark/>
          </w:tcPr>
          <w:p w14:paraId="574E34CD"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646" w:type="pct"/>
            <w:tcBorders>
              <w:top w:val="single" w:sz="4" w:space="0" w:color="auto"/>
              <w:left w:val="nil"/>
              <w:bottom w:val="single" w:sz="4" w:space="0" w:color="auto"/>
              <w:right w:val="single" w:sz="4" w:space="0" w:color="auto"/>
            </w:tcBorders>
            <w:shd w:val="clear" w:color="000000" w:fill="D9D9D9"/>
            <w:vAlign w:val="center"/>
            <w:hideMark/>
          </w:tcPr>
          <w:p w14:paraId="574E34CE" w14:textId="77777777" w:rsidR="00444B63" w:rsidRPr="00E83C5E" w:rsidRDefault="00444B63" w:rsidP="00444B63">
            <w:pPr>
              <w:spacing w:after="0" w:line="240" w:lineRule="auto"/>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Kosto Objektivi specifik 3.2</w:t>
            </w:r>
          </w:p>
        </w:tc>
        <w:tc>
          <w:tcPr>
            <w:tcW w:w="365" w:type="pct"/>
            <w:tcBorders>
              <w:top w:val="nil"/>
              <w:left w:val="nil"/>
              <w:bottom w:val="nil"/>
              <w:right w:val="single" w:sz="4" w:space="0" w:color="auto"/>
            </w:tcBorders>
            <w:shd w:val="clear" w:color="000000" w:fill="D9D9D9"/>
            <w:vAlign w:val="center"/>
            <w:hideMark/>
          </w:tcPr>
          <w:p w14:paraId="574E34CF"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25" w:type="pct"/>
            <w:tcBorders>
              <w:top w:val="nil"/>
              <w:left w:val="nil"/>
              <w:bottom w:val="nil"/>
              <w:right w:val="single" w:sz="4" w:space="0" w:color="auto"/>
            </w:tcBorders>
            <w:shd w:val="clear" w:color="000000" w:fill="D9D9D9"/>
            <w:vAlign w:val="center"/>
            <w:hideMark/>
          </w:tcPr>
          <w:p w14:paraId="574E34D0"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15" w:type="pct"/>
            <w:tcBorders>
              <w:top w:val="nil"/>
              <w:left w:val="nil"/>
              <w:bottom w:val="nil"/>
              <w:right w:val="single" w:sz="4" w:space="0" w:color="auto"/>
            </w:tcBorders>
            <w:shd w:val="clear" w:color="000000" w:fill="D9D9D9"/>
            <w:vAlign w:val="center"/>
            <w:hideMark/>
          </w:tcPr>
          <w:p w14:paraId="574E34D1"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19" w:type="pct"/>
            <w:tcBorders>
              <w:top w:val="nil"/>
              <w:left w:val="nil"/>
              <w:bottom w:val="nil"/>
              <w:right w:val="single" w:sz="4" w:space="0" w:color="auto"/>
            </w:tcBorders>
            <w:shd w:val="clear" w:color="000000" w:fill="D9D9D9"/>
            <w:vAlign w:val="center"/>
            <w:hideMark/>
          </w:tcPr>
          <w:p w14:paraId="574E34D2"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29" w:type="pct"/>
            <w:tcBorders>
              <w:top w:val="nil"/>
              <w:left w:val="nil"/>
              <w:bottom w:val="nil"/>
              <w:right w:val="single" w:sz="4" w:space="0" w:color="auto"/>
            </w:tcBorders>
            <w:shd w:val="clear" w:color="000000" w:fill="D9D9D9"/>
            <w:vAlign w:val="center"/>
            <w:hideMark/>
          </w:tcPr>
          <w:p w14:paraId="574E34D3"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161,297,116</w:t>
            </w:r>
          </w:p>
        </w:tc>
        <w:tc>
          <w:tcPr>
            <w:tcW w:w="330" w:type="pct"/>
            <w:tcBorders>
              <w:top w:val="nil"/>
              <w:left w:val="nil"/>
              <w:bottom w:val="nil"/>
              <w:right w:val="single" w:sz="4" w:space="0" w:color="auto"/>
            </w:tcBorders>
            <w:shd w:val="clear" w:color="000000" w:fill="D9D9D9"/>
            <w:vAlign w:val="center"/>
            <w:hideMark/>
          </w:tcPr>
          <w:p w14:paraId="574E34D4"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346" w:type="pct"/>
            <w:tcBorders>
              <w:top w:val="nil"/>
              <w:left w:val="nil"/>
              <w:bottom w:val="nil"/>
              <w:right w:val="single" w:sz="4" w:space="0" w:color="auto"/>
            </w:tcBorders>
            <w:shd w:val="clear" w:color="000000" w:fill="D9D9D9"/>
            <w:vAlign w:val="center"/>
            <w:hideMark/>
          </w:tcPr>
          <w:p w14:paraId="574E34D5"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161,297,116</w:t>
            </w:r>
          </w:p>
        </w:tc>
        <w:tc>
          <w:tcPr>
            <w:tcW w:w="259" w:type="pct"/>
            <w:gridSpan w:val="2"/>
            <w:tcBorders>
              <w:top w:val="nil"/>
              <w:left w:val="nil"/>
              <w:bottom w:val="nil"/>
              <w:right w:val="single" w:sz="4" w:space="0" w:color="auto"/>
            </w:tcBorders>
            <w:shd w:val="clear" w:color="000000" w:fill="D9D9D9"/>
            <w:vAlign w:val="center"/>
            <w:hideMark/>
          </w:tcPr>
          <w:p w14:paraId="574E34D6"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58" w:type="pct"/>
            <w:gridSpan w:val="2"/>
            <w:tcBorders>
              <w:top w:val="nil"/>
              <w:left w:val="nil"/>
              <w:bottom w:val="nil"/>
              <w:right w:val="single" w:sz="4" w:space="0" w:color="auto"/>
            </w:tcBorders>
            <w:shd w:val="clear" w:color="000000" w:fill="D9D9D9"/>
            <w:vAlign w:val="center"/>
            <w:hideMark/>
          </w:tcPr>
          <w:p w14:paraId="574E34D7"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332" w:type="pct"/>
            <w:tcBorders>
              <w:top w:val="nil"/>
              <w:left w:val="nil"/>
              <w:bottom w:val="nil"/>
              <w:right w:val="single" w:sz="4" w:space="0" w:color="auto"/>
            </w:tcBorders>
            <w:shd w:val="clear" w:color="000000" w:fill="D9D9D9"/>
            <w:vAlign w:val="center"/>
            <w:hideMark/>
          </w:tcPr>
          <w:p w14:paraId="574E34D8"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85,214,170</w:t>
            </w:r>
          </w:p>
        </w:tc>
        <w:tc>
          <w:tcPr>
            <w:tcW w:w="229" w:type="pct"/>
            <w:tcBorders>
              <w:top w:val="nil"/>
              <w:left w:val="nil"/>
              <w:bottom w:val="nil"/>
              <w:right w:val="single" w:sz="4" w:space="0" w:color="auto"/>
            </w:tcBorders>
            <w:shd w:val="clear" w:color="000000" w:fill="D9D9D9"/>
            <w:vAlign w:val="center"/>
            <w:hideMark/>
          </w:tcPr>
          <w:p w14:paraId="574E34D9"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41" w:type="pct"/>
            <w:tcBorders>
              <w:top w:val="nil"/>
              <w:left w:val="nil"/>
              <w:bottom w:val="nil"/>
              <w:right w:val="single" w:sz="4" w:space="0" w:color="auto"/>
            </w:tcBorders>
            <w:shd w:val="clear" w:color="000000" w:fill="D9D9D9"/>
            <w:vAlign w:val="center"/>
            <w:hideMark/>
          </w:tcPr>
          <w:p w14:paraId="574E34DA"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84" w:type="pct"/>
            <w:gridSpan w:val="2"/>
            <w:tcBorders>
              <w:top w:val="nil"/>
              <w:left w:val="nil"/>
              <w:bottom w:val="nil"/>
              <w:right w:val="single" w:sz="4" w:space="0" w:color="auto"/>
            </w:tcBorders>
            <w:shd w:val="clear" w:color="000000" w:fill="D9D9D9"/>
            <w:vAlign w:val="center"/>
            <w:hideMark/>
          </w:tcPr>
          <w:p w14:paraId="574E34DB"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4,800,000</w:t>
            </w:r>
          </w:p>
        </w:tc>
        <w:tc>
          <w:tcPr>
            <w:tcW w:w="379" w:type="pct"/>
            <w:tcBorders>
              <w:top w:val="nil"/>
              <w:left w:val="nil"/>
              <w:bottom w:val="nil"/>
              <w:right w:val="single" w:sz="4" w:space="0" w:color="auto"/>
            </w:tcBorders>
            <w:shd w:val="clear" w:color="000000" w:fill="D9D9D9"/>
            <w:vAlign w:val="center"/>
            <w:hideMark/>
          </w:tcPr>
          <w:p w14:paraId="574E34DC"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-71,282,946</w:t>
            </w:r>
          </w:p>
        </w:tc>
      </w:tr>
      <w:tr w:rsidR="00444B63" w:rsidRPr="00E83C5E" w14:paraId="574E34EE" w14:textId="77777777" w:rsidTr="008C3E7E">
        <w:trPr>
          <w:trHeight w:val="675"/>
          <w:jc w:val="center"/>
        </w:trPr>
        <w:tc>
          <w:tcPr>
            <w:tcW w:w="141" w:type="pct"/>
            <w:tcBorders>
              <w:top w:val="single" w:sz="8" w:space="0" w:color="auto"/>
              <w:left w:val="single" w:sz="8" w:space="0" w:color="auto"/>
              <w:bottom w:val="single" w:sz="4" w:space="0" w:color="auto"/>
              <w:right w:val="single" w:sz="4" w:space="0" w:color="auto"/>
            </w:tcBorders>
            <w:shd w:val="clear" w:color="auto" w:fill="auto"/>
            <w:vAlign w:val="center"/>
            <w:hideMark/>
          </w:tcPr>
          <w:p w14:paraId="574E34DE"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3.3</w:t>
            </w:r>
          </w:p>
        </w:tc>
        <w:tc>
          <w:tcPr>
            <w:tcW w:w="646" w:type="pct"/>
            <w:tcBorders>
              <w:top w:val="single" w:sz="4" w:space="0" w:color="auto"/>
              <w:left w:val="nil"/>
              <w:bottom w:val="single" w:sz="4" w:space="0" w:color="auto"/>
              <w:right w:val="nil"/>
            </w:tcBorders>
            <w:shd w:val="clear" w:color="000000" w:fill="FCE4D6"/>
            <w:hideMark/>
          </w:tcPr>
          <w:p w14:paraId="574E34DF" w14:textId="5D9C3E52"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xml:space="preserve">3.3 Objektivi </w:t>
            </w:r>
            <w:r w:rsidR="00BE7B59" w:rsidRPr="00E83C5E">
              <w:rPr>
                <w:rFonts w:ascii="Garamond" w:eastAsia="Times New Roman" w:hAnsi="Garamond" w:cs="Times New Roman"/>
                <w:color w:val="000000"/>
                <w:sz w:val="14"/>
                <w:szCs w:val="14"/>
                <w:lang w:eastAsia="en-GB"/>
              </w:rPr>
              <w:t xml:space="preserve">specifik </w:t>
            </w:r>
            <w:r w:rsidRPr="00E83C5E">
              <w:rPr>
                <w:rFonts w:ascii="Garamond" w:eastAsia="Times New Roman" w:hAnsi="Garamond" w:cs="Times New Roman"/>
                <w:color w:val="000000"/>
                <w:sz w:val="14"/>
                <w:szCs w:val="14"/>
                <w:lang w:eastAsia="en-GB"/>
              </w:rPr>
              <w:t>3: Të rejat dhe të rinjtë mbështeten në përfshirjen dhe integrimi në tyre në shoqëri dhe kanë mundësi</w:t>
            </w:r>
            <w:r w:rsidR="00233C37" w:rsidRPr="00E83C5E">
              <w:rPr>
                <w:rFonts w:ascii="Garamond" w:eastAsia="Times New Roman" w:hAnsi="Garamond" w:cs="Times New Roman"/>
                <w:color w:val="000000"/>
                <w:sz w:val="14"/>
                <w:szCs w:val="14"/>
                <w:lang w:eastAsia="en-GB"/>
              </w:rPr>
              <w:t xml:space="preserve"> </w:t>
            </w:r>
            <w:r w:rsidRPr="00E83C5E">
              <w:rPr>
                <w:rFonts w:ascii="Garamond" w:eastAsia="Times New Roman" w:hAnsi="Garamond" w:cs="Times New Roman"/>
                <w:color w:val="000000"/>
                <w:sz w:val="14"/>
                <w:szCs w:val="14"/>
                <w:lang w:eastAsia="en-GB"/>
              </w:rPr>
              <w:t>rekreative dhe kulturore, duke përfshirë artet dhe sportet.</w:t>
            </w:r>
          </w:p>
        </w:tc>
        <w:tc>
          <w:tcPr>
            <w:tcW w:w="365" w:type="pct"/>
            <w:tcBorders>
              <w:top w:val="single" w:sz="4" w:space="0" w:color="auto"/>
              <w:left w:val="single" w:sz="4" w:space="0" w:color="auto"/>
              <w:bottom w:val="single" w:sz="4" w:space="0" w:color="auto"/>
              <w:right w:val="single" w:sz="4" w:space="0" w:color="auto"/>
            </w:tcBorders>
            <w:shd w:val="clear" w:color="000000" w:fill="FCE4D6"/>
            <w:hideMark/>
          </w:tcPr>
          <w:p w14:paraId="574E34E0" w14:textId="77777777" w:rsidR="00444B63" w:rsidRPr="00E83C5E" w:rsidRDefault="00444B63" w:rsidP="00444B63">
            <w:pPr>
              <w:spacing w:after="24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single" w:sz="4" w:space="0" w:color="auto"/>
              <w:left w:val="nil"/>
              <w:bottom w:val="single" w:sz="4" w:space="0" w:color="auto"/>
              <w:right w:val="single" w:sz="4" w:space="0" w:color="auto"/>
            </w:tcBorders>
            <w:shd w:val="clear" w:color="000000" w:fill="FCE4D6"/>
            <w:hideMark/>
          </w:tcPr>
          <w:p w14:paraId="574E34E1"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 AMMV, Bashkitë, MAS, MSHMS, MB, MD, ASCAP</w:t>
            </w:r>
          </w:p>
        </w:tc>
        <w:tc>
          <w:tcPr>
            <w:tcW w:w="215" w:type="pct"/>
            <w:tcBorders>
              <w:top w:val="single" w:sz="4" w:space="0" w:color="auto"/>
              <w:left w:val="nil"/>
              <w:bottom w:val="single" w:sz="4" w:space="0" w:color="auto"/>
              <w:right w:val="single" w:sz="4" w:space="0" w:color="auto"/>
            </w:tcBorders>
            <w:shd w:val="clear" w:color="000000" w:fill="FCE4D6"/>
            <w:hideMark/>
          </w:tcPr>
          <w:p w14:paraId="574E34E2" w14:textId="77777777" w:rsidR="00444B63" w:rsidRPr="00E83C5E" w:rsidRDefault="00444B63" w:rsidP="00444B63">
            <w:pPr>
              <w:spacing w:after="0" w:line="240" w:lineRule="auto"/>
              <w:jc w:val="right"/>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2022</w:t>
            </w:r>
          </w:p>
        </w:tc>
        <w:tc>
          <w:tcPr>
            <w:tcW w:w="319" w:type="pct"/>
            <w:tcBorders>
              <w:top w:val="single" w:sz="4" w:space="0" w:color="auto"/>
              <w:left w:val="nil"/>
              <w:bottom w:val="single" w:sz="4" w:space="0" w:color="auto"/>
              <w:right w:val="single" w:sz="4" w:space="0" w:color="auto"/>
            </w:tcBorders>
            <w:shd w:val="clear" w:color="000000" w:fill="FCE4D6"/>
            <w:hideMark/>
          </w:tcPr>
          <w:p w14:paraId="574E34E3" w14:textId="77777777" w:rsidR="00444B63" w:rsidRPr="00E83C5E" w:rsidRDefault="00444B63" w:rsidP="00444B63">
            <w:pPr>
              <w:spacing w:after="0" w:line="240" w:lineRule="auto"/>
              <w:jc w:val="right"/>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single" w:sz="4" w:space="0" w:color="auto"/>
              <w:left w:val="nil"/>
              <w:bottom w:val="single" w:sz="4" w:space="0" w:color="auto"/>
              <w:right w:val="single" w:sz="4" w:space="0" w:color="auto"/>
            </w:tcBorders>
            <w:shd w:val="clear" w:color="000000" w:fill="FCE4D6"/>
            <w:hideMark/>
          </w:tcPr>
          <w:p w14:paraId="574E34E4"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0" w:type="pct"/>
            <w:tcBorders>
              <w:top w:val="single" w:sz="4" w:space="0" w:color="auto"/>
              <w:left w:val="nil"/>
              <w:bottom w:val="single" w:sz="4" w:space="0" w:color="auto"/>
              <w:right w:val="single" w:sz="4" w:space="0" w:color="auto"/>
            </w:tcBorders>
            <w:shd w:val="clear" w:color="000000" w:fill="FCE4D6"/>
            <w:hideMark/>
          </w:tcPr>
          <w:p w14:paraId="574E34E5"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46" w:type="pct"/>
            <w:tcBorders>
              <w:top w:val="single" w:sz="4" w:space="0" w:color="auto"/>
              <w:left w:val="nil"/>
              <w:bottom w:val="single" w:sz="4" w:space="0" w:color="auto"/>
              <w:right w:val="single" w:sz="4" w:space="0" w:color="auto"/>
            </w:tcBorders>
            <w:shd w:val="clear" w:color="000000" w:fill="FCE4D6"/>
            <w:hideMark/>
          </w:tcPr>
          <w:p w14:paraId="574E34E6"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9" w:type="pct"/>
            <w:gridSpan w:val="2"/>
            <w:tcBorders>
              <w:top w:val="single" w:sz="4" w:space="0" w:color="auto"/>
              <w:left w:val="nil"/>
              <w:bottom w:val="single" w:sz="4" w:space="0" w:color="auto"/>
              <w:right w:val="single" w:sz="4" w:space="0" w:color="auto"/>
            </w:tcBorders>
            <w:shd w:val="clear" w:color="000000" w:fill="FCE4D6"/>
            <w:hideMark/>
          </w:tcPr>
          <w:p w14:paraId="574E34E7"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single" w:sz="4" w:space="0" w:color="auto"/>
              <w:left w:val="nil"/>
              <w:bottom w:val="single" w:sz="4" w:space="0" w:color="auto"/>
              <w:right w:val="single" w:sz="4" w:space="0" w:color="auto"/>
            </w:tcBorders>
            <w:shd w:val="clear" w:color="000000" w:fill="FCE4D6"/>
            <w:hideMark/>
          </w:tcPr>
          <w:p w14:paraId="574E34E8"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4" w:space="0" w:color="auto"/>
              <w:left w:val="nil"/>
              <w:bottom w:val="single" w:sz="4" w:space="0" w:color="auto"/>
              <w:right w:val="single" w:sz="4" w:space="0" w:color="auto"/>
            </w:tcBorders>
            <w:shd w:val="clear" w:color="000000" w:fill="FCE4D6"/>
            <w:hideMark/>
          </w:tcPr>
          <w:p w14:paraId="574E34E9"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29" w:type="pct"/>
            <w:tcBorders>
              <w:top w:val="single" w:sz="4" w:space="0" w:color="auto"/>
              <w:left w:val="nil"/>
              <w:bottom w:val="single" w:sz="4" w:space="0" w:color="auto"/>
              <w:right w:val="single" w:sz="4" w:space="0" w:color="auto"/>
            </w:tcBorders>
            <w:shd w:val="clear" w:color="000000" w:fill="FCE4D6"/>
            <w:hideMark/>
          </w:tcPr>
          <w:p w14:paraId="574E34EA"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single" w:sz="4" w:space="0" w:color="auto"/>
              <w:left w:val="nil"/>
              <w:bottom w:val="single" w:sz="4" w:space="0" w:color="auto"/>
              <w:right w:val="single" w:sz="4" w:space="0" w:color="auto"/>
            </w:tcBorders>
            <w:shd w:val="clear" w:color="000000" w:fill="FCE4D6"/>
            <w:hideMark/>
          </w:tcPr>
          <w:p w14:paraId="574E34EB"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single" w:sz="4" w:space="0" w:color="auto"/>
              <w:left w:val="nil"/>
              <w:bottom w:val="single" w:sz="4" w:space="0" w:color="auto"/>
              <w:right w:val="single" w:sz="4" w:space="0" w:color="auto"/>
            </w:tcBorders>
            <w:shd w:val="clear" w:color="000000" w:fill="FCE4D6"/>
            <w:hideMark/>
          </w:tcPr>
          <w:p w14:paraId="574E34EC"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79" w:type="pct"/>
            <w:tcBorders>
              <w:top w:val="single" w:sz="4" w:space="0" w:color="auto"/>
              <w:left w:val="nil"/>
              <w:bottom w:val="single" w:sz="4" w:space="0" w:color="auto"/>
              <w:right w:val="single" w:sz="4" w:space="0" w:color="auto"/>
            </w:tcBorders>
            <w:shd w:val="clear" w:color="000000" w:fill="FCE4D6"/>
            <w:hideMark/>
          </w:tcPr>
          <w:p w14:paraId="574E34ED"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r>
      <w:tr w:rsidR="00444B63" w:rsidRPr="00E83C5E" w14:paraId="574E34FF" w14:textId="77777777" w:rsidTr="008C3E7E">
        <w:trPr>
          <w:trHeight w:val="792"/>
          <w:jc w:val="center"/>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574E34EF"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3.3.1</w:t>
            </w:r>
          </w:p>
        </w:tc>
        <w:tc>
          <w:tcPr>
            <w:tcW w:w="646" w:type="pct"/>
            <w:tcBorders>
              <w:top w:val="single" w:sz="4" w:space="0" w:color="auto"/>
              <w:left w:val="nil"/>
              <w:bottom w:val="single" w:sz="4" w:space="0" w:color="auto"/>
              <w:right w:val="single" w:sz="4" w:space="0" w:color="auto"/>
            </w:tcBorders>
            <w:shd w:val="clear" w:color="000000" w:fill="DDEBF7"/>
            <w:hideMark/>
          </w:tcPr>
          <w:p w14:paraId="574E34F0"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3.3.1 Masa 1. Mbështetet ndërtimi, riparimi dhe rinovimi i hapësirave publike të projektuara për të rinjtë me qëllim përmirësimin e qasjes së të rinjve në hapësira të sigurta takimi edhe në kohën e lirë</w:t>
            </w:r>
          </w:p>
        </w:tc>
        <w:tc>
          <w:tcPr>
            <w:tcW w:w="365" w:type="pct"/>
            <w:tcBorders>
              <w:top w:val="nil"/>
              <w:left w:val="single" w:sz="4" w:space="0" w:color="auto"/>
              <w:bottom w:val="single" w:sz="4" w:space="0" w:color="auto"/>
              <w:right w:val="single" w:sz="4" w:space="0" w:color="auto"/>
            </w:tcBorders>
            <w:shd w:val="clear" w:color="auto" w:fill="auto"/>
            <w:noWrap/>
            <w:vAlign w:val="bottom"/>
            <w:hideMark/>
          </w:tcPr>
          <w:p w14:paraId="574E34F1"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nil"/>
              <w:left w:val="nil"/>
              <w:bottom w:val="single" w:sz="4" w:space="0" w:color="auto"/>
              <w:right w:val="single" w:sz="4" w:space="0" w:color="auto"/>
            </w:tcBorders>
            <w:shd w:val="clear" w:color="auto" w:fill="auto"/>
            <w:vAlign w:val="bottom"/>
            <w:hideMark/>
          </w:tcPr>
          <w:p w14:paraId="574E34F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 MIE, AMVV, NJVV</w:t>
            </w:r>
          </w:p>
        </w:tc>
        <w:tc>
          <w:tcPr>
            <w:tcW w:w="215" w:type="pct"/>
            <w:tcBorders>
              <w:top w:val="nil"/>
              <w:left w:val="nil"/>
              <w:bottom w:val="single" w:sz="4" w:space="0" w:color="auto"/>
              <w:right w:val="single" w:sz="4" w:space="0" w:color="auto"/>
            </w:tcBorders>
            <w:shd w:val="clear" w:color="auto" w:fill="auto"/>
            <w:noWrap/>
            <w:vAlign w:val="bottom"/>
            <w:hideMark/>
          </w:tcPr>
          <w:p w14:paraId="574E34F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2022</w:t>
            </w:r>
          </w:p>
        </w:tc>
        <w:tc>
          <w:tcPr>
            <w:tcW w:w="319" w:type="pct"/>
            <w:tcBorders>
              <w:top w:val="nil"/>
              <w:left w:val="nil"/>
              <w:bottom w:val="single" w:sz="4" w:space="0" w:color="auto"/>
              <w:right w:val="single" w:sz="8" w:space="0" w:color="auto"/>
            </w:tcBorders>
            <w:shd w:val="clear" w:color="auto" w:fill="auto"/>
            <w:noWrap/>
            <w:vAlign w:val="bottom"/>
            <w:hideMark/>
          </w:tcPr>
          <w:p w14:paraId="574E34F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nil"/>
              <w:left w:val="nil"/>
              <w:bottom w:val="single" w:sz="4" w:space="0" w:color="auto"/>
              <w:right w:val="single" w:sz="4" w:space="0" w:color="auto"/>
            </w:tcBorders>
            <w:shd w:val="clear" w:color="auto" w:fill="auto"/>
            <w:noWrap/>
            <w:vAlign w:val="center"/>
            <w:hideMark/>
          </w:tcPr>
          <w:p w14:paraId="574E34F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1,124,199</w:t>
            </w:r>
          </w:p>
        </w:tc>
        <w:tc>
          <w:tcPr>
            <w:tcW w:w="330" w:type="pct"/>
            <w:tcBorders>
              <w:top w:val="nil"/>
              <w:left w:val="nil"/>
              <w:bottom w:val="single" w:sz="4" w:space="0" w:color="auto"/>
              <w:right w:val="single" w:sz="4" w:space="0" w:color="auto"/>
            </w:tcBorders>
            <w:shd w:val="clear" w:color="auto" w:fill="auto"/>
            <w:noWrap/>
            <w:vAlign w:val="center"/>
            <w:hideMark/>
          </w:tcPr>
          <w:p w14:paraId="574E34F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nil"/>
              <w:left w:val="nil"/>
              <w:bottom w:val="single" w:sz="4" w:space="0" w:color="auto"/>
              <w:right w:val="single" w:sz="8" w:space="0" w:color="auto"/>
            </w:tcBorders>
            <w:shd w:val="clear" w:color="auto" w:fill="auto"/>
            <w:noWrap/>
            <w:vAlign w:val="center"/>
            <w:hideMark/>
          </w:tcPr>
          <w:p w14:paraId="574E34F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1,124,199</w:t>
            </w:r>
          </w:p>
        </w:tc>
        <w:tc>
          <w:tcPr>
            <w:tcW w:w="259" w:type="pct"/>
            <w:gridSpan w:val="2"/>
            <w:tcBorders>
              <w:top w:val="nil"/>
              <w:left w:val="nil"/>
              <w:bottom w:val="single" w:sz="4" w:space="0" w:color="auto"/>
              <w:right w:val="single" w:sz="4" w:space="0" w:color="auto"/>
            </w:tcBorders>
            <w:shd w:val="clear" w:color="auto" w:fill="auto"/>
            <w:noWrap/>
            <w:vAlign w:val="center"/>
            <w:hideMark/>
          </w:tcPr>
          <w:p w14:paraId="574E34F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noWrap/>
            <w:vAlign w:val="center"/>
            <w:hideMark/>
          </w:tcPr>
          <w:p w14:paraId="574E34F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32" w:type="pct"/>
            <w:tcBorders>
              <w:top w:val="single" w:sz="8" w:space="0" w:color="auto"/>
              <w:left w:val="nil"/>
              <w:bottom w:val="single" w:sz="4" w:space="0" w:color="auto"/>
              <w:right w:val="nil"/>
            </w:tcBorders>
            <w:shd w:val="clear" w:color="auto" w:fill="auto"/>
            <w:vAlign w:val="center"/>
            <w:hideMark/>
          </w:tcPr>
          <w:p w14:paraId="574E34F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3,399</w:t>
            </w:r>
          </w:p>
        </w:tc>
        <w:tc>
          <w:tcPr>
            <w:tcW w:w="229" w:type="pct"/>
            <w:tcBorders>
              <w:top w:val="nil"/>
              <w:left w:val="single" w:sz="8" w:space="0" w:color="auto"/>
              <w:bottom w:val="single" w:sz="4" w:space="0" w:color="auto"/>
              <w:right w:val="single" w:sz="4" w:space="0" w:color="auto"/>
            </w:tcBorders>
            <w:shd w:val="clear" w:color="auto" w:fill="auto"/>
            <w:noWrap/>
            <w:vAlign w:val="center"/>
            <w:hideMark/>
          </w:tcPr>
          <w:p w14:paraId="574E34F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41" w:type="pct"/>
            <w:tcBorders>
              <w:top w:val="nil"/>
              <w:left w:val="nil"/>
              <w:bottom w:val="single" w:sz="4" w:space="0" w:color="auto"/>
              <w:right w:val="single" w:sz="4" w:space="0" w:color="auto"/>
            </w:tcBorders>
            <w:shd w:val="clear" w:color="auto" w:fill="auto"/>
            <w:noWrap/>
            <w:vAlign w:val="center"/>
            <w:hideMark/>
          </w:tcPr>
          <w:p w14:paraId="574E34F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4FD"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8" w:space="0" w:color="auto"/>
              <w:left w:val="nil"/>
              <w:bottom w:val="single" w:sz="4" w:space="0" w:color="auto"/>
              <w:right w:val="single" w:sz="8" w:space="0" w:color="auto"/>
            </w:tcBorders>
            <w:shd w:val="clear" w:color="auto" w:fill="auto"/>
            <w:noWrap/>
            <w:vAlign w:val="center"/>
            <w:hideMark/>
          </w:tcPr>
          <w:p w14:paraId="574E34F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-1,120,800</w:t>
            </w:r>
          </w:p>
        </w:tc>
      </w:tr>
      <w:tr w:rsidR="00444B63" w:rsidRPr="00E83C5E" w14:paraId="574E3510" w14:textId="77777777" w:rsidTr="008C3E7E">
        <w:trPr>
          <w:trHeight w:val="825"/>
          <w:jc w:val="center"/>
        </w:trPr>
        <w:tc>
          <w:tcPr>
            <w:tcW w:w="1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4E3500"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lastRenderedPageBreak/>
              <w:t>3.3.2</w:t>
            </w:r>
          </w:p>
        </w:tc>
        <w:tc>
          <w:tcPr>
            <w:tcW w:w="646" w:type="pct"/>
            <w:tcBorders>
              <w:top w:val="single" w:sz="4" w:space="0" w:color="auto"/>
              <w:left w:val="nil"/>
              <w:bottom w:val="single" w:sz="4" w:space="0" w:color="auto"/>
              <w:right w:val="single" w:sz="4" w:space="0" w:color="auto"/>
            </w:tcBorders>
            <w:shd w:val="clear" w:color="000000" w:fill="DDEBF7"/>
            <w:hideMark/>
          </w:tcPr>
          <w:p w14:paraId="574E3501" w14:textId="77777777"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xml:space="preserve">3.3.2 Masa 2 Mbështetja e programeve të gjithëpërfshirjes dhe politikave të përfshirjes, sigurisë dhe mbrojtjes me fokus të veçantë tek të rejat dhe të rinjtë </w:t>
            </w:r>
          </w:p>
        </w:tc>
        <w:tc>
          <w:tcPr>
            <w:tcW w:w="36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4E3502"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single" w:sz="4" w:space="0" w:color="auto"/>
              <w:left w:val="nil"/>
              <w:bottom w:val="single" w:sz="4" w:space="0" w:color="auto"/>
              <w:right w:val="single" w:sz="4" w:space="0" w:color="auto"/>
            </w:tcBorders>
            <w:shd w:val="clear" w:color="auto" w:fill="auto"/>
            <w:vAlign w:val="bottom"/>
            <w:hideMark/>
          </w:tcPr>
          <w:p w14:paraId="574E350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AKR, MAS, MSHMS, MB, MD, AMVV, ASCAP, NJVV</w:t>
            </w:r>
          </w:p>
        </w:tc>
        <w:tc>
          <w:tcPr>
            <w:tcW w:w="215" w:type="pct"/>
            <w:tcBorders>
              <w:top w:val="single" w:sz="4" w:space="0" w:color="auto"/>
              <w:left w:val="nil"/>
              <w:bottom w:val="single" w:sz="4" w:space="0" w:color="auto"/>
              <w:right w:val="single" w:sz="4" w:space="0" w:color="auto"/>
            </w:tcBorders>
            <w:shd w:val="clear" w:color="auto" w:fill="auto"/>
            <w:noWrap/>
            <w:vAlign w:val="bottom"/>
            <w:hideMark/>
          </w:tcPr>
          <w:p w14:paraId="574E350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2022</w:t>
            </w:r>
          </w:p>
        </w:tc>
        <w:tc>
          <w:tcPr>
            <w:tcW w:w="319" w:type="pct"/>
            <w:tcBorders>
              <w:top w:val="single" w:sz="4" w:space="0" w:color="auto"/>
              <w:left w:val="nil"/>
              <w:bottom w:val="single" w:sz="4" w:space="0" w:color="auto"/>
              <w:right w:val="single" w:sz="8" w:space="0" w:color="auto"/>
            </w:tcBorders>
            <w:shd w:val="clear" w:color="auto" w:fill="auto"/>
            <w:noWrap/>
            <w:vAlign w:val="bottom"/>
            <w:hideMark/>
          </w:tcPr>
          <w:p w14:paraId="574E350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574E350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42,638,976</w:t>
            </w:r>
          </w:p>
        </w:tc>
        <w:tc>
          <w:tcPr>
            <w:tcW w:w="330" w:type="pct"/>
            <w:tcBorders>
              <w:top w:val="single" w:sz="4" w:space="0" w:color="auto"/>
              <w:left w:val="nil"/>
              <w:bottom w:val="single" w:sz="4" w:space="0" w:color="auto"/>
              <w:right w:val="single" w:sz="4" w:space="0" w:color="auto"/>
            </w:tcBorders>
            <w:shd w:val="clear" w:color="auto" w:fill="auto"/>
            <w:noWrap/>
            <w:vAlign w:val="center"/>
            <w:hideMark/>
          </w:tcPr>
          <w:p w14:paraId="574E350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1,322,500</w:t>
            </w:r>
          </w:p>
        </w:tc>
        <w:tc>
          <w:tcPr>
            <w:tcW w:w="346" w:type="pct"/>
            <w:tcBorders>
              <w:top w:val="single" w:sz="4" w:space="0" w:color="auto"/>
              <w:left w:val="nil"/>
              <w:bottom w:val="single" w:sz="4" w:space="0" w:color="auto"/>
              <w:right w:val="single" w:sz="8" w:space="0" w:color="auto"/>
            </w:tcBorders>
            <w:shd w:val="clear" w:color="auto" w:fill="auto"/>
            <w:noWrap/>
            <w:vAlign w:val="center"/>
            <w:hideMark/>
          </w:tcPr>
          <w:p w14:paraId="574E350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43,961,476</w:t>
            </w:r>
          </w:p>
        </w:tc>
        <w:tc>
          <w:tcPr>
            <w:tcW w:w="259" w:type="pct"/>
            <w:gridSpan w:val="2"/>
            <w:tcBorders>
              <w:top w:val="single" w:sz="4" w:space="0" w:color="auto"/>
              <w:left w:val="nil"/>
              <w:bottom w:val="single" w:sz="4" w:space="0" w:color="auto"/>
              <w:right w:val="single" w:sz="4" w:space="0" w:color="auto"/>
            </w:tcBorders>
            <w:shd w:val="clear" w:color="auto" w:fill="auto"/>
            <w:noWrap/>
            <w:vAlign w:val="center"/>
            <w:hideMark/>
          </w:tcPr>
          <w:p w14:paraId="574E350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single" w:sz="4" w:space="0" w:color="auto"/>
              <w:left w:val="nil"/>
              <w:bottom w:val="single" w:sz="4" w:space="0" w:color="auto"/>
              <w:right w:val="single" w:sz="4" w:space="0" w:color="auto"/>
            </w:tcBorders>
            <w:shd w:val="clear" w:color="auto" w:fill="auto"/>
            <w:noWrap/>
            <w:vAlign w:val="center"/>
            <w:hideMark/>
          </w:tcPr>
          <w:p w14:paraId="574E350A" w14:textId="77777777" w:rsidR="00444B63" w:rsidRPr="00E83C5E" w:rsidRDefault="00444B63" w:rsidP="00444B63">
            <w:pPr>
              <w:spacing w:after="0" w:line="240" w:lineRule="auto"/>
              <w:jc w:val="center"/>
              <w:rPr>
                <w:rFonts w:ascii="Garamond" w:eastAsia="Times New Roman" w:hAnsi="Garamond" w:cs="Times New Roman"/>
                <w:b/>
                <w:bCs/>
                <w:sz w:val="14"/>
                <w:szCs w:val="14"/>
                <w:lang w:eastAsia="en-GB"/>
              </w:rPr>
            </w:pPr>
            <w:r w:rsidRPr="00E83C5E">
              <w:rPr>
                <w:rFonts w:ascii="Garamond" w:eastAsia="Times New Roman" w:hAnsi="Garamond" w:cs="Times New Roman"/>
                <w:b/>
                <w:bCs/>
                <w:sz w:val="14"/>
                <w:szCs w:val="14"/>
                <w:lang w:eastAsia="en-GB"/>
              </w:rPr>
              <w:t> </w:t>
            </w:r>
          </w:p>
        </w:tc>
        <w:tc>
          <w:tcPr>
            <w:tcW w:w="332" w:type="pct"/>
            <w:tcBorders>
              <w:top w:val="single" w:sz="4" w:space="0" w:color="auto"/>
              <w:left w:val="nil"/>
              <w:bottom w:val="single" w:sz="4" w:space="0" w:color="auto"/>
              <w:right w:val="nil"/>
            </w:tcBorders>
            <w:shd w:val="clear" w:color="auto" w:fill="auto"/>
            <w:vAlign w:val="center"/>
            <w:hideMark/>
          </w:tcPr>
          <w:p w14:paraId="574E350B"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5,600,000</w:t>
            </w:r>
          </w:p>
        </w:tc>
        <w:tc>
          <w:tcPr>
            <w:tcW w:w="22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74E350C" w14:textId="77777777" w:rsidR="00444B63" w:rsidRPr="00E83C5E" w:rsidRDefault="00444B63" w:rsidP="00444B63">
            <w:pPr>
              <w:spacing w:after="0" w:line="240" w:lineRule="auto"/>
              <w:jc w:val="center"/>
              <w:rPr>
                <w:rFonts w:ascii="Garamond" w:eastAsia="Times New Roman" w:hAnsi="Garamond" w:cs="Times New Roman"/>
                <w:b/>
                <w:bCs/>
                <w:sz w:val="14"/>
                <w:szCs w:val="14"/>
                <w:lang w:eastAsia="en-GB"/>
              </w:rPr>
            </w:pPr>
            <w:r w:rsidRPr="00E83C5E">
              <w:rPr>
                <w:rFonts w:ascii="Garamond" w:eastAsia="Times New Roman" w:hAnsi="Garamond" w:cs="Times New Roman"/>
                <w:b/>
                <w:bCs/>
                <w:sz w:val="14"/>
                <w:szCs w:val="14"/>
                <w:lang w:eastAsia="en-GB"/>
              </w:rPr>
              <w:t> </w:t>
            </w:r>
          </w:p>
        </w:tc>
        <w:tc>
          <w:tcPr>
            <w:tcW w:w="241" w:type="pct"/>
            <w:tcBorders>
              <w:top w:val="single" w:sz="4" w:space="0" w:color="auto"/>
              <w:left w:val="nil"/>
              <w:bottom w:val="single" w:sz="4" w:space="0" w:color="auto"/>
              <w:right w:val="single" w:sz="4" w:space="0" w:color="auto"/>
            </w:tcBorders>
            <w:shd w:val="clear" w:color="auto" w:fill="auto"/>
            <w:noWrap/>
            <w:vAlign w:val="center"/>
            <w:hideMark/>
          </w:tcPr>
          <w:p w14:paraId="574E350D" w14:textId="77777777" w:rsidR="00444B63" w:rsidRPr="00E83C5E" w:rsidRDefault="00444B63" w:rsidP="00444B63">
            <w:pPr>
              <w:spacing w:after="0" w:line="240" w:lineRule="auto"/>
              <w:jc w:val="center"/>
              <w:rPr>
                <w:rFonts w:ascii="Garamond" w:eastAsia="Times New Roman" w:hAnsi="Garamond" w:cs="Times New Roman"/>
                <w:b/>
                <w:bCs/>
                <w:sz w:val="14"/>
                <w:szCs w:val="14"/>
                <w:lang w:eastAsia="en-GB"/>
              </w:rPr>
            </w:pPr>
            <w:r w:rsidRPr="00E83C5E">
              <w:rPr>
                <w:rFonts w:ascii="Garamond" w:eastAsia="Times New Roman" w:hAnsi="Garamond" w:cs="Times New Roman"/>
                <w:b/>
                <w:bCs/>
                <w:sz w:val="14"/>
                <w:szCs w:val="14"/>
                <w:lang w:eastAsia="en-GB"/>
              </w:rPr>
              <w:t> </w:t>
            </w:r>
          </w:p>
        </w:tc>
        <w:tc>
          <w:tcPr>
            <w:tcW w:w="284" w:type="pct"/>
            <w:gridSpan w:val="2"/>
            <w:tcBorders>
              <w:top w:val="single" w:sz="4" w:space="0" w:color="auto"/>
              <w:left w:val="nil"/>
              <w:bottom w:val="single" w:sz="4" w:space="0" w:color="auto"/>
              <w:right w:val="single" w:sz="8" w:space="0" w:color="auto"/>
            </w:tcBorders>
            <w:shd w:val="clear" w:color="auto" w:fill="auto"/>
            <w:vAlign w:val="center"/>
            <w:hideMark/>
          </w:tcPr>
          <w:p w14:paraId="574E350E"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4" w:space="0" w:color="auto"/>
              <w:left w:val="nil"/>
              <w:bottom w:val="single" w:sz="4" w:space="0" w:color="auto"/>
              <w:right w:val="single" w:sz="4" w:space="0" w:color="auto"/>
            </w:tcBorders>
            <w:shd w:val="clear" w:color="auto" w:fill="auto"/>
            <w:noWrap/>
            <w:vAlign w:val="center"/>
            <w:hideMark/>
          </w:tcPr>
          <w:p w14:paraId="574E350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-38,361,476</w:t>
            </w:r>
          </w:p>
        </w:tc>
      </w:tr>
      <w:tr w:rsidR="00444B63" w:rsidRPr="00E83C5E" w14:paraId="574E3521" w14:textId="77777777" w:rsidTr="008C3E7E">
        <w:trPr>
          <w:trHeight w:val="825"/>
          <w:jc w:val="center"/>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574E3511"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3.3.3</w:t>
            </w:r>
          </w:p>
        </w:tc>
        <w:tc>
          <w:tcPr>
            <w:tcW w:w="646" w:type="pct"/>
            <w:tcBorders>
              <w:top w:val="single" w:sz="4" w:space="0" w:color="auto"/>
              <w:left w:val="nil"/>
              <w:bottom w:val="single" w:sz="4" w:space="0" w:color="auto"/>
              <w:right w:val="single" w:sz="4" w:space="0" w:color="auto"/>
            </w:tcBorders>
            <w:shd w:val="clear" w:color="000000" w:fill="DDEBF7"/>
            <w:hideMark/>
          </w:tcPr>
          <w:p w14:paraId="574E3512" w14:textId="120A1D50" w:rsidR="00444B63" w:rsidRPr="00E83C5E" w:rsidRDefault="00444B63" w:rsidP="00444B63">
            <w:pPr>
              <w:spacing w:after="0" w:line="240" w:lineRule="auto"/>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3.3.3</w:t>
            </w:r>
            <w:r w:rsidR="00233C37" w:rsidRPr="00E83C5E">
              <w:rPr>
                <w:rFonts w:ascii="Garamond" w:eastAsia="Times New Roman" w:hAnsi="Garamond" w:cs="Times New Roman"/>
                <w:color w:val="000000"/>
                <w:sz w:val="14"/>
                <w:szCs w:val="14"/>
                <w:lang w:eastAsia="en-GB"/>
              </w:rPr>
              <w:t xml:space="preserve"> </w:t>
            </w:r>
            <w:r w:rsidRPr="00E83C5E">
              <w:rPr>
                <w:rFonts w:ascii="Garamond" w:eastAsia="Times New Roman" w:hAnsi="Garamond" w:cs="Times New Roman"/>
                <w:color w:val="000000"/>
                <w:sz w:val="14"/>
                <w:szCs w:val="14"/>
                <w:lang w:eastAsia="en-GB"/>
              </w:rPr>
              <w:t>Mbështetet dhe promovohet programi i qeverisë në lidhje me mbështetjen financiare të strehimit për familjet e reja dhe në bashkëpunim me aktorë qeveritarë qendrorë e vendorë si edhe organizatat donatore nxitet zhvillimi i programeve të tjera në mbështetje të familjeve dhe çifteve të reja.</w:t>
            </w:r>
            <w:r w:rsidR="00233C37" w:rsidRPr="00E83C5E">
              <w:rPr>
                <w:rFonts w:ascii="Garamond" w:eastAsia="Times New Roman" w:hAnsi="Garamond" w:cs="Times New Roman"/>
                <w:color w:val="000000"/>
                <w:sz w:val="14"/>
                <w:szCs w:val="14"/>
                <w:lang w:eastAsia="en-GB"/>
              </w:rPr>
              <w:t xml:space="preserve"> </w:t>
            </w:r>
          </w:p>
        </w:tc>
        <w:tc>
          <w:tcPr>
            <w:tcW w:w="365" w:type="pct"/>
            <w:tcBorders>
              <w:top w:val="nil"/>
              <w:left w:val="single" w:sz="4" w:space="0" w:color="auto"/>
              <w:bottom w:val="single" w:sz="4" w:space="0" w:color="auto"/>
              <w:right w:val="single" w:sz="4" w:space="0" w:color="auto"/>
            </w:tcBorders>
            <w:shd w:val="clear" w:color="auto" w:fill="auto"/>
            <w:noWrap/>
            <w:vAlign w:val="bottom"/>
            <w:hideMark/>
          </w:tcPr>
          <w:p w14:paraId="574E3513"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MSHRF</w:t>
            </w:r>
          </w:p>
        </w:tc>
        <w:tc>
          <w:tcPr>
            <w:tcW w:w="325" w:type="pct"/>
            <w:tcBorders>
              <w:top w:val="nil"/>
              <w:left w:val="nil"/>
              <w:bottom w:val="single" w:sz="4" w:space="0" w:color="auto"/>
              <w:right w:val="single" w:sz="4" w:space="0" w:color="auto"/>
            </w:tcBorders>
            <w:shd w:val="clear" w:color="auto" w:fill="auto"/>
            <w:noWrap/>
            <w:vAlign w:val="bottom"/>
            <w:hideMark/>
          </w:tcPr>
          <w:p w14:paraId="574E3514"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MIE</w:t>
            </w:r>
          </w:p>
        </w:tc>
        <w:tc>
          <w:tcPr>
            <w:tcW w:w="215" w:type="pct"/>
            <w:tcBorders>
              <w:top w:val="nil"/>
              <w:left w:val="nil"/>
              <w:bottom w:val="single" w:sz="4" w:space="0" w:color="auto"/>
              <w:right w:val="single" w:sz="4" w:space="0" w:color="auto"/>
            </w:tcBorders>
            <w:shd w:val="clear" w:color="auto" w:fill="auto"/>
            <w:noWrap/>
            <w:vAlign w:val="bottom"/>
            <w:hideMark/>
          </w:tcPr>
          <w:p w14:paraId="574E3515"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2027</w:t>
            </w:r>
          </w:p>
        </w:tc>
        <w:tc>
          <w:tcPr>
            <w:tcW w:w="319" w:type="pct"/>
            <w:tcBorders>
              <w:top w:val="nil"/>
              <w:left w:val="nil"/>
              <w:bottom w:val="single" w:sz="4" w:space="0" w:color="auto"/>
              <w:right w:val="single" w:sz="8" w:space="0" w:color="auto"/>
            </w:tcBorders>
            <w:shd w:val="clear" w:color="auto" w:fill="auto"/>
            <w:noWrap/>
            <w:vAlign w:val="bottom"/>
            <w:hideMark/>
          </w:tcPr>
          <w:p w14:paraId="574E351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2029</w:t>
            </w:r>
          </w:p>
        </w:tc>
        <w:tc>
          <w:tcPr>
            <w:tcW w:w="329" w:type="pct"/>
            <w:tcBorders>
              <w:top w:val="nil"/>
              <w:left w:val="nil"/>
              <w:bottom w:val="single" w:sz="4" w:space="0" w:color="auto"/>
              <w:right w:val="single" w:sz="4" w:space="0" w:color="auto"/>
            </w:tcBorders>
            <w:shd w:val="clear" w:color="auto" w:fill="auto"/>
            <w:noWrap/>
            <w:vAlign w:val="center"/>
            <w:hideMark/>
          </w:tcPr>
          <w:p w14:paraId="574E351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1,184,840</w:t>
            </w:r>
          </w:p>
        </w:tc>
        <w:tc>
          <w:tcPr>
            <w:tcW w:w="330" w:type="pct"/>
            <w:tcBorders>
              <w:top w:val="nil"/>
              <w:left w:val="single" w:sz="8" w:space="0" w:color="auto"/>
              <w:bottom w:val="single" w:sz="4" w:space="0" w:color="auto"/>
              <w:right w:val="single" w:sz="4" w:space="0" w:color="auto"/>
            </w:tcBorders>
            <w:shd w:val="clear" w:color="auto" w:fill="auto"/>
            <w:noWrap/>
            <w:vAlign w:val="center"/>
            <w:hideMark/>
          </w:tcPr>
          <w:p w14:paraId="574E351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46" w:type="pct"/>
            <w:tcBorders>
              <w:top w:val="nil"/>
              <w:left w:val="nil"/>
              <w:bottom w:val="single" w:sz="4" w:space="0" w:color="auto"/>
              <w:right w:val="single" w:sz="8" w:space="0" w:color="auto"/>
            </w:tcBorders>
            <w:shd w:val="clear" w:color="auto" w:fill="auto"/>
            <w:noWrap/>
            <w:vAlign w:val="center"/>
            <w:hideMark/>
          </w:tcPr>
          <w:p w14:paraId="574E351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1,184,840</w:t>
            </w:r>
          </w:p>
        </w:tc>
        <w:tc>
          <w:tcPr>
            <w:tcW w:w="259" w:type="pct"/>
            <w:gridSpan w:val="2"/>
            <w:tcBorders>
              <w:top w:val="nil"/>
              <w:left w:val="nil"/>
              <w:bottom w:val="single" w:sz="4" w:space="0" w:color="auto"/>
              <w:right w:val="single" w:sz="4" w:space="0" w:color="auto"/>
            </w:tcBorders>
            <w:shd w:val="clear" w:color="auto" w:fill="auto"/>
            <w:noWrap/>
            <w:vAlign w:val="center"/>
            <w:hideMark/>
          </w:tcPr>
          <w:p w14:paraId="574E351A"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58" w:type="pct"/>
            <w:gridSpan w:val="2"/>
            <w:tcBorders>
              <w:top w:val="nil"/>
              <w:left w:val="nil"/>
              <w:bottom w:val="single" w:sz="4" w:space="0" w:color="auto"/>
              <w:right w:val="single" w:sz="4" w:space="0" w:color="auto"/>
            </w:tcBorders>
            <w:shd w:val="clear" w:color="auto" w:fill="auto"/>
            <w:noWrap/>
            <w:vAlign w:val="center"/>
            <w:hideMark/>
          </w:tcPr>
          <w:p w14:paraId="574E351B" w14:textId="77777777" w:rsidR="00444B63" w:rsidRPr="00E83C5E" w:rsidRDefault="00444B63" w:rsidP="00444B63">
            <w:pPr>
              <w:spacing w:after="0" w:line="240" w:lineRule="auto"/>
              <w:jc w:val="center"/>
              <w:rPr>
                <w:rFonts w:ascii="Garamond" w:eastAsia="Times New Roman" w:hAnsi="Garamond" w:cs="Times New Roman"/>
                <w:b/>
                <w:bCs/>
                <w:sz w:val="14"/>
                <w:szCs w:val="14"/>
                <w:lang w:eastAsia="en-GB"/>
              </w:rPr>
            </w:pPr>
            <w:r w:rsidRPr="00E83C5E">
              <w:rPr>
                <w:rFonts w:ascii="Garamond" w:eastAsia="Times New Roman" w:hAnsi="Garamond" w:cs="Times New Roman"/>
                <w:b/>
                <w:bCs/>
                <w:sz w:val="14"/>
                <w:szCs w:val="14"/>
                <w:lang w:eastAsia="en-GB"/>
              </w:rPr>
              <w:t> </w:t>
            </w:r>
          </w:p>
        </w:tc>
        <w:tc>
          <w:tcPr>
            <w:tcW w:w="332" w:type="pct"/>
            <w:tcBorders>
              <w:top w:val="nil"/>
              <w:left w:val="single" w:sz="8" w:space="0" w:color="auto"/>
              <w:bottom w:val="single" w:sz="4" w:space="0" w:color="auto"/>
              <w:right w:val="single" w:sz="4" w:space="0" w:color="auto"/>
            </w:tcBorders>
            <w:shd w:val="clear" w:color="auto" w:fill="auto"/>
            <w:noWrap/>
            <w:vAlign w:val="center"/>
            <w:hideMark/>
          </w:tcPr>
          <w:p w14:paraId="574E351C"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84,840</w:t>
            </w:r>
          </w:p>
        </w:tc>
        <w:tc>
          <w:tcPr>
            <w:tcW w:w="229" w:type="pct"/>
            <w:tcBorders>
              <w:top w:val="nil"/>
              <w:left w:val="single" w:sz="8" w:space="0" w:color="auto"/>
              <w:bottom w:val="single" w:sz="4" w:space="0" w:color="auto"/>
              <w:right w:val="single" w:sz="4" w:space="0" w:color="auto"/>
            </w:tcBorders>
            <w:shd w:val="clear" w:color="auto" w:fill="auto"/>
            <w:noWrap/>
            <w:vAlign w:val="center"/>
            <w:hideMark/>
          </w:tcPr>
          <w:p w14:paraId="574E351D" w14:textId="77777777" w:rsidR="00444B63" w:rsidRPr="00E83C5E" w:rsidRDefault="00444B63" w:rsidP="00444B63">
            <w:pPr>
              <w:spacing w:after="0" w:line="240" w:lineRule="auto"/>
              <w:jc w:val="center"/>
              <w:rPr>
                <w:rFonts w:ascii="Garamond" w:eastAsia="Times New Roman" w:hAnsi="Garamond" w:cs="Times New Roman"/>
                <w:b/>
                <w:bCs/>
                <w:sz w:val="14"/>
                <w:szCs w:val="14"/>
                <w:lang w:eastAsia="en-GB"/>
              </w:rPr>
            </w:pPr>
            <w:r w:rsidRPr="00E83C5E">
              <w:rPr>
                <w:rFonts w:ascii="Garamond" w:eastAsia="Times New Roman" w:hAnsi="Garamond" w:cs="Times New Roman"/>
                <w:b/>
                <w:bCs/>
                <w:sz w:val="14"/>
                <w:szCs w:val="14"/>
                <w:lang w:eastAsia="en-GB"/>
              </w:rPr>
              <w:t> </w:t>
            </w:r>
          </w:p>
        </w:tc>
        <w:tc>
          <w:tcPr>
            <w:tcW w:w="241" w:type="pct"/>
            <w:tcBorders>
              <w:top w:val="nil"/>
              <w:left w:val="nil"/>
              <w:bottom w:val="single" w:sz="4" w:space="0" w:color="auto"/>
              <w:right w:val="single" w:sz="4" w:space="0" w:color="auto"/>
            </w:tcBorders>
            <w:shd w:val="clear" w:color="auto" w:fill="auto"/>
            <w:noWrap/>
            <w:vAlign w:val="center"/>
            <w:hideMark/>
          </w:tcPr>
          <w:p w14:paraId="574E351E" w14:textId="77777777" w:rsidR="00444B63" w:rsidRPr="00E83C5E" w:rsidRDefault="00444B63" w:rsidP="00444B63">
            <w:pPr>
              <w:spacing w:after="0" w:line="240" w:lineRule="auto"/>
              <w:jc w:val="center"/>
              <w:rPr>
                <w:rFonts w:ascii="Garamond" w:eastAsia="Times New Roman" w:hAnsi="Garamond" w:cs="Times New Roman"/>
                <w:b/>
                <w:bCs/>
                <w:sz w:val="14"/>
                <w:szCs w:val="14"/>
                <w:lang w:eastAsia="en-GB"/>
              </w:rPr>
            </w:pPr>
            <w:r w:rsidRPr="00E83C5E">
              <w:rPr>
                <w:rFonts w:ascii="Garamond" w:eastAsia="Times New Roman" w:hAnsi="Garamond" w:cs="Times New Roman"/>
                <w:b/>
                <w:bCs/>
                <w:sz w:val="14"/>
                <w:szCs w:val="14"/>
                <w:lang w:eastAsia="en-GB"/>
              </w:rPr>
              <w:t> </w:t>
            </w:r>
          </w:p>
        </w:tc>
        <w:tc>
          <w:tcPr>
            <w:tcW w:w="284" w:type="pct"/>
            <w:gridSpan w:val="2"/>
            <w:tcBorders>
              <w:top w:val="nil"/>
              <w:left w:val="nil"/>
              <w:bottom w:val="single" w:sz="4" w:space="0" w:color="auto"/>
              <w:right w:val="single" w:sz="8" w:space="0" w:color="auto"/>
            </w:tcBorders>
            <w:shd w:val="clear" w:color="auto" w:fill="auto"/>
            <w:vAlign w:val="center"/>
            <w:hideMark/>
          </w:tcPr>
          <w:p w14:paraId="574E351F"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0</w:t>
            </w:r>
          </w:p>
        </w:tc>
        <w:tc>
          <w:tcPr>
            <w:tcW w:w="379" w:type="pct"/>
            <w:tcBorders>
              <w:top w:val="single" w:sz="8" w:space="0" w:color="auto"/>
              <w:left w:val="nil"/>
              <w:bottom w:val="single" w:sz="4" w:space="0" w:color="auto"/>
              <w:right w:val="single" w:sz="8" w:space="0" w:color="auto"/>
            </w:tcBorders>
            <w:shd w:val="clear" w:color="auto" w:fill="auto"/>
            <w:noWrap/>
            <w:vAlign w:val="center"/>
            <w:hideMark/>
          </w:tcPr>
          <w:p w14:paraId="574E3520"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-1,100,000</w:t>
            </w:r>
          </w:p>
        </w:tc>
      </w:tr>
      <w:tr w:rsidR="00444B63" w:rsidRPr="00E83C5E" w14:paraId="574E3532" w14:textId="77777777" w:rsidTr="00BE7B59">
        <w:trPr>
          <w:trHeight w:val="47"/>
          <w:jc w:val="center"/>
        </w:trPr>
        <w:tc>
          <w:tcPr>
            <w:tcW w:w="141" w:type="pct"/>
            <w:tcBorders>
              <w:top w:val="nil"/>
              <w:left w:val="single" w:sz="8" w:space="0" w:color="auto"/>
              <w:bottom w:val="nil"/>
              <w:right w:val="single" w:sz="4" w:space="0" w:color="auto"/>
            </w:tcBorders>
            <w:shd w:val="clear" w:color="000000" w:fill="D9D9D9"/>
            <w:vAlign w:val="center"/>
            <w:hideMark/>
          </w:tcPr>
          <w:p w14:paraId="574E3522"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646" w:type="pct"/>
            <w:tcBorders>
              <w:top w:val="nil"/>
              <w:left w:val="nil"/>
              <w:bottom w:val="nil"/>
              <w:right w:val="single" w:sz="4" w:space="0" w:color="auto"/>
            </w:tcBorders>
            <w:shd w:val="clear" w:color="000000" w:fill="D9D9D9"/>
            <w:vAlign w:val="center"/>
            <w:hideMark/>
          </w:tcPr>
          <w:p w14:paraId="574E3523" w14:textId="77777777" w:rsidR="00444B63" w:rsidRPr="00E83C5E" w:rsidRDefault="00444B63" w:rsidP="00444B63">
            <w:pPr>
              <w:spacing w:after="0" w:line="240" w:lineRule="auto"/>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Kosto Objektivi specifik 3.3</w:t>
            </w:r>
          </w:p>
        </w:tc>
        <w:tc>
          <w:tcPr>
            <w:tcW w:w="365" w:type="pct"/>
            <w:tcBorders>
              <w:top w:val="nil"/>
              <w:left w:val="nil"/>
              <w:bottom w:val="nil"/>
              <w:right w:val="single" w:sz="4" w:space="0" w:color="auto"/>
            </w:tcBorders>
            <w:shd w:val="clear" w:color="000000" w:fill="D9D9D9"/>
            <w:vAlign w:val="center"/>
            <w:hideMark/>
          </w:tcPr>
          <w:p w14:paraId="574E3524"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25" w:type="pct"/>
            <w:tcBorders>
              <w:top w:val="nil"/>
              <w:left w:val="nil"/>
              <w:bottom w:val="nil"/>
              <w:right w:val="single" w:sz="4" w:space="0" w:color="auto"/>
            </w:tcBorders>
            <w:shd w:val="clear" w:color="000000" w:fill="D9D9D9"/>
            <w:vAlign w:val="center"/>
            <w:hideMark/>
          </w:tcPr>
          <w:p w14:paraId="574E3525"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15" w:type="pct"/>
            <w:tcBorders>
              <w:top w:val="nil"/>
              <w:left w:val="nil"/>
              <w:bottom w:val="nil"/>
              <w:right w:val="single" w:sz="4" w:space="0" w:color="auto"/>
            </w:tcBorders>
            <w:shd w:val="clear" w:color="000000" w:fill="D9D9D9"/>
            <w:vAlign w:val="center"/>
            <w:hideMark/>
          </w:tcPr>
          <w:p w14:paraId="574E3526"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19" w:type="pct"/>
            <w:tcBorders>
              <w:top w:val="nil"/>
              <w:left w:val="nil"/>
              <w:bottom w:val="nil"/>
              <w:right w:val="single" w:sz="4" w:space="0" w:color="auto"/>
            </w:tcBorders>
            <w:shd w:val="clear" w:color="000000" w:fill="D9D9D9"/>
            <w:vAlign w:val="center"/>
            <w:hideMark/>
          </w:tcPr>
          <w:p w14:paraId="574E3527"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29" w:type="pct"/>
            <w:tcBorders>
              <w:top w:val="nil"/>
              <w:left w:val="nil"/>
              <w:bottom w:val="nil"/>
              <w:right w:val="single" w:sz="4" w:space="0" w:color="auto"/>
            </w:tcBorders>
            <w:shd w:val="clear" w:color="000000" w:fill="D9D9D9"/>
            <w:vAlign w:val="center"/>
            <w:hideMark/>
          </w:tcPr>
          <w:p w14:paraId="574E3528"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44,948,015</w:t>
            </w:r>
          </w:p>
        </w:tc>
        <w:tc>
          <w:tcPr>
            <w:tcW w:w="330" w:type="pct"/>
            <w:tcBorders>
              <w:top w:val="nil"/>
              <w:left w:val="nil"/>
              <w:bottom w:val="nil"/>
              <w:right w:val="single" w:sz="4" w:space="0" w:color="auto"/>
            </w:tcBorders>
            <w:shd w:val="clear" w:color="000000" w:fill="D9D9D9"/>
            <w:vAlign w:val="center"/>
            <w:hideMark/>
          </w:tcPr>
          <w:p w14:paraId="574E3529"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1,322,500</w:t>
            </w:r>
          </w:p>
        </w:tc>
        <w:tc>
          <w:tcPr>
            <w:tcW w:w="346" w:type="pct"/>
            <w:tcBorders>
              <w:top w:val="nil"/>
              <w:left w:val="nil"/>
              <w:bottom w:val="nil"/>
              <w:right w:val="single" w:sz="4" w:space="0" w:color="auto"/>
            </w:tcBorders>
            <w:shd w:val="clear" w:color="000000" w:fill="D9D9D9"/>
            <w:vAlign w:val="center"/>
            <w:hideMark/>
          </w:tcPr>
          <w:p w14:paraId="574E352A"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46,270,515</w:t>
            </w:r>
          </w:p>
        </w:tc>
        <w:tc>
          <w:tcPr>
            <w:tcW w:w="259" w:type="pct"/>
            <w:gridSpan w:val="2"/>
            <w:tcBorders>
              <w:top w:val="nil"/>
              <w:left w:val="nil"/>
              <w:bottom w:val="nil"/>
              <w:right w:val="single" w:sz="4" w:space="0" w:color="auto"/>
            </w:tcBorders>
            <w:shd w:val="clear" w:color="000000" w:fill="D9D9D9"/>
            <w:vAlign w:val="center"/>
            <w:hideMark/>
          </w:tcPr>
          <w:p w14:paraId="574E352B"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58" w:type="pct"/>
            <w:gridSpan w:val="2"/>
            <w:tcBorders>
              <w:top w:val="nil"/>
              <w:left w:val="nil"/>
              <w:bottom w:val="nil"/>
              <w:right w:val="single" w:sz="4" w:space="0" w:color="auto"/>
            </w:tcBorders>
            <w:shd w:val="clear" w:color="000000" w:fill="D9D9D9"/>
            <w:vAlign w:val="center"/>
            <w:hideMark/>
          </w:tcPr>
          <w:p w14:paraId="574E352C"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332" w:type="pct"/>
            <w:tcBorders>
              <w:top w:val="nil"/>
              <w:left w:val="nil"/>
              <w:bottom w:val="nil"/>
              <w:right w:val="single" w:sz="4" w:space="0" w:color="auto"/>
            </w:tcBorders>
            <w:shd w:val="clear" w:color="000000" w:fill="D9D9D9"/>
            <w:vAlign w:val="center"/>
            <w:hideMark/>
          </w:tcPr>
          <w:p w14:paraId="574E352D"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5,688,239</w:t>
            </w:r>
          </w:p>
        </w:tc>
        <w:tc>
          <w:tcPr>
            <w:tcW w:w="229" w:type="pct"/>
            <w:tcBorders>
              <w:top w:val="nil"/>
              <w:left w:val="nil"/>
              <w:bottom w:val="nil"/>
              <w:right w:val="single" w:sz="4" w:space="0" w:color="auto"/>
            </w:tcBorders>
            <w:shd w:val="clear" w:color="000000" w:fill="D9D9D9"/>
            <w:vAlign w:val="center"/>
            <w:hideMark/>
          </w:tcPr>
          <w:p w14:paraId="574E352E"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41" w:type="pct"/>
            <w:tcBorders>
              <w:top w:val="nil"/>
              <w:left w:val="nil"/>
              <w:bottom w:val="nil"/>
              <w:right w:val="single" w:sz="4" w:space="0" w:color="auto"/>
            </w:tcBorders>
            <w:shd w:val="clear" w:color="000000" w:fill="D9D9D9"/>
            <w:vAlign w:val="center"/>
            <w:hideMark/>
          </w:tcPr>
          <w:p w14:paraId="574E352F"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84" w:type="pct"/>
            <w:gridSpan w:val="2"/>
            <w:tcBorders>
              <w:top w:val="nil"/>
              <w:left w:val="nil"/>
              <w:bottom w:val="nil"/>
              <w:right w:val="single" w:sz="4" w:space="0" w:color="auto"/>
            </w:tcBorders>
            <w:shd w:val="clear" w:color="000000" w:fill="D9D9D9"/>
            <w:vAlign w:val="center"/>
            <w:hideMark/>
          </w:tcPr>
          <w:p w14:paraId="574E3530"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379" w:type="pct"/>
            <w:tcBorders>
              <w:top w:val="nil"/>
              <w:left w:val="nil"/>
              <w:bottom w:val="nil"/>
              <w:right w:val="single" w:sz="4" w:space="0" w:color="auto"/>
            </w:tcBorders>
            <w:shd w:val="clear" w:color="000000" w:fill="D9D9D9"/>
            <w:vAlign w:val="center"/>
            <w:hideMark/>
          </w:tcPr>
          <w:p w14:paraId="574E3531"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-40,582,276</w:t>
            </w:r>
          </w:p>
        </w:tc>
      </w:tr>
      <w:tr w:rsidR="00444B63" w:rsidRPr="00E83C5E" w14:paraId="574E3543" w14:textId="77777777" w:rsidTr="008C3E7E">
        <w:trPr>
          <w:trHeight w:val="555"/>
          <w:jc w:val="center"/>
        </w:trPr>
        <w:tc>
          <w:tcPr>
            <w:tcW w:w="141" w:type="pct"/>
            <w:tcBorders>
              <w:top w:val="single" w:sz="8" w:space="0" w:color="auto"/>
              <w:left w:val="single" w:sz="8" w:space="0" w:color="auto"/>
              <w:bottom w:val="single" w:sz="4" w:space="0" w:color="auto"/>
              <w:right w:val="nil"/>
            </w:tcBorders>
            <w:shd w:val="clear" w:color="000000" w:fill="D9D9D9"/>
            <w:vAlign w:val="center"/>
            <w:hideMark/>
          </w:tcPr>
          <w:p w14:paraId="574E3533"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646" w:type="pct"/>
            <w:tcBorders>
              <w:top w:val="single" w:sz="8" w:space="0" w:color="auto"/>
              <w:left w:val="nil"/>
              <w:bottom w:val="single" w:sz="4" w:space="0" w:color="auto"/>
              <w:right w:val="nil"/>
            </w:tcBorders>
            <w:shd w:val="clear" w:color="000000" w:fill="D9D9D9"/>
            <w:vAlign w:val="center"/>
            <w:hideMark/>
          </w:tcPr>
          <w:p w14:paraId="574E3534" w14:textId="558EA83E" w:rsidR="00444B63" w:rsidRPr="00E83C5E" w:rsidRDefault="00444B63" w:rsidP="00BC1D73">
            <w:pPr>
              <w:spacing w:after="0" w:line="240" w:lineRule="auto"/>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Kosto totale Qëllimi i Politikës III (objektiva specifik</w:t>
            </w:r>
            <w:r w:rsidR="00BC1D73">
              <w:rPr>
                <w:rFonts w:ascii="Garamond" w:eastAsia="Times New Roman" w:hAnsi="Garamond" w:cs="Times New Roman"/>
                <w:b/>
                <w:bCs/>
                <w:color w:val="FF0000"/>
                <w:sz w:val="14"/>
                <w:szCs w:val="14"/>
                <w:lang w:eastAsia="en-GB"/>
              </w:rPr>
              <w:t>ë</w:t>
            </w:r>
            <w:r w:rsidRPr="00E83C5E">
              <w:rPr>
                <w:rFonts w:ascii="Garamond" w:eastAsia="Times New Roman" w:hAnsi="Garamond" w:cs="Times New Roman"/>
                <w:b/>
                <w:bCs/>
                <w:color w:val="FF0000"/>
                <w:sz w:val="14"/>
                <w:szCs w:val="14"/>
                <w:lang w:eastAsia="en-GB"/>
              </w:rPr>
              <w:t xml:space="preserve"> 3.1+3.2+3.3)</w:t>
            </w:r>
          </w:p>
        </w:tc>
        <w:tc>
          <w:tcPr>
            <w:tcW w:w="365" w:type="pct"/>
            <w:tcBorders>
              <w:top w:val="single" w:sz="8" w:space="0" w:color="auto"/>
              <w:left w:val="nil"/>
              <w:bottom w:val="single" w:sz="4" w:space="0" w:color="auto"/>
              <w:right w:val="nil"/>
            </w:tcBorders>
            <w:shd w:val="clear" w:color="000000" w:fill="D9D9D9"/>
            <w:vAlign w:val="center"/>
            <w:hideMark/>
          </w:tcPr>
          <w:p w14:paraId="574E3535"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25" w:type="pct"/>
            <w:tcBorders>
              <w:top w:val="single" w:sz="8" w:space="0" w:color="auto"/>
              <w:left w:val="nil"/>
              <w:bottom w:val="single" w:sz="4" w:space="0" w:color="auto"/>
              <w:right w:val="nil"/>
            </w:tcBorders>
            <w:shd w:val="clear" w:color="000000" w:fill="D9D9D9"/>
            <w:vAlign w:val="center"/>
            <w:hideMark/>
          </w:tcPr>
          <w:p w14:paraId="574E3536"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215" w:type="pct"/>
            <w:tcBorders>
              <w:top w:val="single" w:sz="8" w:space="0" w:color="auto"/>
              <w:left w:val="nil"/>
              <w:bottom w:val="single" w:sz="4" w:space="0" w:color="auto"/>
              <w:right w:val="nil"/>
            </w:tcBorders>
            <w:shd w:val="clear" w:color="000000" w:fill="D9D9D9"/>
            <w:vAlign w:val="center"/>
            <w:hideMark/>
          </w:tcPr>
          <w:p w14:paraId="574E3537"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19" w:type="pct"/>
            <w:tcBorders>
              <w:top w:val="single" w:sz="8" w:space="0" w:color="auto"/>
              <w:left w:val="nil"/>
              <w:bottom w:val="single" w:sz="4" w:space="0" w:color="auto"/>
              <w:right w:val="nil"/>
            </w:tcBorders>
            <w:shd w:val="clear" w:color="000000" w:fill="D9D9D9"/>
            <w:vAlign w:val="center"/>
            <w:hideMark/>
          </w:tcPr>
          <w:p w14:paraId="574E3538"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329" w:type="pct"/>
            <w:tcBorders>
              <w:top w:val="single" w:sz="8" w:space="0" w:color="auto"/>
              <w:left w:val="nil"/>
              <w:bottom w:val="single" w:sz="4" w:space="0" w:color="auto"/>
              <w:right w:val="nil"/>
            </w:tcBorders>
            <w:shd w:val="clear" w:color="000000" w:fill="D9D9D9"/>
            <w:vAlign w:val="center"/>
            <w:hideMark/>
          </w:tcPr>
          <w:p w14:paraId="574E3539"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371,062,904</w:t>
            </w:r>
          </w:p>
        </w:tc>
        <w:tc>
          <w:tcPr>
            <w:tcW w:w="330" w:type="pct"/>
            <w:tcBorders>
              <w:top w:val="single" w:sz="8" w:space="0" w:color="auto"/>
              <w:left w:val="nil"/>
              <w:bottom w:val="single" w:sz="4" w:space="0" w:color="auto"/>
              <w:right w:val="nil"/>
            </w:tcBorders>
            <w:shd w:val="clear" w:color="000000" w:fill="D9D9D9"/>
            <w:vAlign w:val="center"/>
            <w:hideMark/>
          </w:tcPr>
          <w:p w14:paraId="574E353A"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2,472,500</w:t>
            </w:r>
          </w:p>
        </w:tc>
        <w:tc>
          <w:tcPr>
            <w:tcW w:w="346" w:type="pct"/>
            <w:tcBorders>
              <w:top w:val="single" w:sz="8" w:space="0" w:color="auto"/>
              <w:left w:val="nil"/>
              <w:bottom w:val="single" w:sz="4" w:space="0" w:color="auto"/>
              <w:right w:val="nil"/>
            </w:tcBorders>
            <w:shd w:val="clear" w:color="000000" w:fill="D9D9D9"/>
            <w:vAlign w:val="center"/>
            <w:hideMark/>
          </w:tcPr>
          <w:p w14:paraId="574E353B"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373,535,404</w:t>
            </w:r>
          </w:p>
        </w:tc>
        <w:tc>
          <w:tcPr>
            <w:tcW w:w="259" w:type="pct"/>
            <w:gridSpan w:val="2"/>
            <w:tcBorders>
              <w:top w:val="single" w:sz="8" w:space="0" w:color="auto"/>
              <w:left w:val="nil"/>
              <w:bottom w:val="single" w:sz="4" w:space="0" w:color="auto"/>
              <w:right w:val="nil"/>
            </w:tcBorders>
            <w:shd w:val="clear" w:color="000000" w:fill="D9D9D9"/>
            <w:vAlign w:val="center"/>
            <w:hideMark/>
          </w:tcPr>
          <w:p w14:paraId="574E353C"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58" w:type="pct"/>
            <w:gridSpan w:val="2"/>
            <w:tcBorders>
              <w:top w:val="single" w:sz="8" w:space="0" w:color="auto"/>
              <w:left w:val="nil"/>
              <w:bottom w:val="single" w:sz="4" w:space="0" w:color="auto"/>
              <w:right w:val="nil"/>
            </w:tcBorders>
            <w:shd w:val="clear" w:color="000000" w:fill="D9D9D9"/>
            <w:vAlign w:val="center"/>
            <w:hideMark/>
          </w:tcPr>
          <w:p w14:paraId="574E353D"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332" w:type="pct"/>
            <w:tcBorders>
              <w:top w:val="single" w:sz="8" w:space="0" w:color="auto"/>
              <w:left w:val="nil"/>
              <w:bottom w:val="single" w:sz="4" w:space="0" w:color="auto"/>
              <w:right w:val="nil"/>
            </w:tcBorders>
            <w:shd w:val="clear" w:color="000000" w:fill="D9D9D9"/>
            <w:vAlign w:val="center"/>
            <w:hideMark/>
          </w:tcPr>
          <w:p w14:paraId="574E353E"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206,221,345</w:t>
            </w:r>
          </w:p>
        </w:tc>
        <w:tc>
          <w:tcPr>
            <w:tcW w:w="229" w:type="pct"/>
            <w:tcBorders>
              <w:top w:val="single" w:sz="8" w:space="0" w:color="auto"/>
              <w:left w:val="nil"/>
              <w:bottom w:val="single" w:sz="4" w:space="0" w:color="auto"/>
              <w:right w:val="nil"/>
            </w:tcBorders>
            <w:shd w:val="clear" w:color="000000" w:fill="D9D9D9"/>
            <w:vAlign w:val="center"/>
            <w:hideMark/>
          </w:tcPr>
          <w:p w14:paraId="574E353F"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41" w:type="pct"/>
            <w:tcBorders>
              <w:top w:val="single" w:sz="8" w:space="0" w:color="auto"/>
              <w:left w:val="nil"/>
              <w:bottom w:val="single" w:sz="4" w:space="0" w:color="auto"/>
              <w:right w:val="nil"/>
            </w:tcBorders>
            <w:shd w:val="clear" w:color="000000" w:fill="D9D9D9"/>
            <w:vAlign w:val="center"/>
            <w:hideMark/>
          </w:tcPr>
          <w:p w14:paraId="574E3540"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84" w:type="pct"/>
            <w:gridSpan w:val="2"/>
            <w:tcBorders>
              <w:top w:val="single" w:sz="8" w:space="0" w:color="auto"/>
              <w:left w:val="nil"/>
              <w:bottom w:val="single" w:sz="4" w:space="0" w:color="auto"/>
              <w:right w:val="nil"/>
            </w:tcBorders>
            <w:shd w:val="clear" w:color="000000" w:fill="D9D9D9"/>
            <w:vAlign w:val="center"/>
            <w:hideMark/>
          </w:tcPr>
          <w:p w14:paraId="574E3541"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4,800,000</w:t>
            </w:r>
          </w:p>
        </w:tc>
        <w:tc>
          <w:tcPr>
            <w:tcW w:w="379" w:type="pct"/>
            <w:tcBorders>
              <w:top w:val="nil"/>
              <w:left w:val="single" w:sz="4" w:space="0" w:color="auto"/>
              <w:bottom w:val="single" w:sz="4" w:space="0" w:color="auto"/>
              <w:right w:val="single" w:sz="4" w:space="0" w:color="auto"/>
            </w:tcBorders>
            <w:shd w:val="clear" w:color="000000" w:fill="D9D9D9"/>
            <w:vAlign w:val="center"/>
            <w:hideMark/>
          </w:tcPr>
          <w:p w14:paraId="574E3542"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-162,514,059</w:t>
            </w:r>
          </w:p>
        </w:tc>
      </w:tr>
      <w:tr w:rsidR="00444B63" w:rsidRPr="00E83C5E" w14:paraId="574E3554" w14:textId="77777777" w:rsidTr="00BE7B59">
        <w:trPr>
          <w:trHeight w:val="47"/>
          <w:jc w:val="center"/>
        </w:trPr>
        <w:tc>
          <w:tcPr>
            <w:tcW w:w="141" w:type="pct"/>
            <w:tcBorders>
              <w:top w:val="single" w:sz="4" w:space="0" w:color="auto"/>
              <w:left w:val="single" w:sz="4" w:space="0" w:color="auto"/>
              <w:bottom w:val="single" w:sz="4" w:space="0" w:color="auto"/>
              <w:right w:val="nil"/>
            </w:tcBorders>
            <w:shd w:val="clear" w:color="000000" w:fill="A9D08E"/>
            <w:noWrap/>
            <w:vAlign w:val="bottom"/>
            <w:hideMark/>
          </w:tcPr>
          <w:p w14:paraId="574E3544" w14:textId="77777777" w:rsidR="00444B63" w:rsidRPr="00E83C5E" w:rsidRDefault="00444B63" w:rsidP="00444B63">
            <w:pPr>
              <w:spacing w:after="0" w:line="240" w:lineRule="auto"/>
              <w:jc w:val="center"/>
              <w:rPr>
                <w:rFonts w:ascii="Garamond" w:eastAsia="Times New Roman" w:hAnsi="Garamond" w:cs="Times New Roman"/>
                <w:b/>
                <w:bCs/>
                <w:color w:val="000000"/>
                <w:sz w:val="14"/>
                <w:szCs w:val="14"/>
                <w:lang w:eastAsia="en-GB"/>
              </w:rPr>
            </w:pPr>
            <w:r w:rsidRPr="00E83C5E">
              <w:rPr>
                <w:rFonts w:ascii="Garamond" w:eastAsia="Times New Roman" w:hAnsi="Garamond" w:cs="Times New Roman"/>
                <w:b/>
                <w:bCs/>
                <w:color w:val="000000"/>
                <w:sz w:val="14"/>
                <w:szCs w:val="14"/>
                <w:lang w:eastAsia="en-GB"/>
              </w:rPr>
              <w:t> </w:t>
            </w:r>
          </w:p>
        </w:tc>
        <w:tc>
          <w:tcPr>
            <w:tcW w:w="646" w:type="pct"/>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574E3545" w14:textId="77777777" w:rsidR="00444B63" w:rsidRPr="00E83C5E" w:rsidRDefault="00444B63" w:rsidP="00444B63">
            <w:pPr>
              <w:spacing w:after="0" w:line="240" w:lineRule="auto"/>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Kosto totale e Planit të Veprimit = QP I + QP II + QP III</w:t>
            </w:r>
          </w:p>
        </w:tc>
        <w:tc>
          <w:tcPr>
            <w:tcW w:w="365" w:type="pct"/>
            <w:tcBorders>
              <w:top w:val="single" w:sz="4" w:space="0" w:color="auto"/>
              <w:left w:val="nil"/>
              <w:bottom w:val="single" w:sz="4" w:space="0" w:color="auto"/>
              <w:right w:val="nil"/>
            </w:tcBorders>
            <w:shd w:val="clear" w:color="000000" w:fill="A9D08E"/>
            <w:noWrap/>
            <w:vAlign w:val="bottom"/>
            <w:hideMark/>
          </w:tcPr>
          <w:p w14:paraId="574E3546"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25" w:type="pct"/>
            <w:tcBorders>
              <w:top w:val="single" w:sz="4" w:space="0" w:color="auto"/>
              <w:left w:val="nil"/>
              <w:bottom w:val="single" w:sz="4" w:space="0" w:color="auto"/>
              <w:right w:val="nil"/>
            </w:tcBorders>
            <w:shd w:val="clear" w:color="000000" w:fill="A9D08E"/>
            <w:noWrap/>
            <w:vAlign w:val="bottom"/>
            <w:hideMark/>
          </w:tcPr>
          <w:p w14:paraId="574E3547"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215" w:type="pct"/>
            <w:tcBorders>
              <w:top w:val="single" w:sz="4" w:space="0" w:color="auto"/>
              <w:left w:val="nil"/>
              <w:bottom w:val="single" w:sz="4" w:space="0" w:color="auto"/>
              <w:right w:val="nil"/>
            </w:tcBorders>
            <w:shd w:val="clear" w:color="000000" w:fill="A9D08E"/>
            <w:noWrap/>
            <w:vAlign w:val="bottom"/>
            <w:hideMark/>
          </w:tcPr>
          <w:p w14:paraId="574E3548"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19" w:type="pct"/>
            <w:tcBorders>
              <w:top w:val="single" w:sz="4" w:space="0" w:color="auto"/>
              <w:left w:val="nil"/>
              <w:bottom w:val="single" w:sz="4" w:space="0" w:color="auto"/>
              <w:right w:val="nil"/>
            </w:tcBorders>
            <w:shd w:val="clear" w:color="000000" w:fill="A9D08E"/>
            <w:noWrap/>
            <w:vAlign w:val="bottom"/>
            <w:hideMark/>
          </w:tcPr>
          <w:p w14:paraId="574E3549" w14:textId="77777777" w:rsidR="00444B63" w:rsidRPr="00E83C5E" w:rsidRDefault="00444B63" w:rsidP="00444B63">
            <w:pPr>
              <w:spacing w:after="0" w:line="240" w:lineRule="auto"/>
              <w:jc w:val="center"/>
              <w:rPr>
                <w:rFonts w:ascii="Garamond" w:eastAsia="Times New Roman" w:hAnsi="Garamond" w:cs="Times New Roman"/>
                <w:color w:val="000000"/>
                <w:sz w:val="14"/>
                <w:szCs w:val="14"/>
                <w:lang w:eastAsia="en-GB"/>
              </w:rPr>
            </w:pPr>
            <w:r w:rsidRPr="00E83C5E">
              <w:rPr>
                <w:rFonts w:ascii="Garamond" w:eastAsia="Times New Roman" w:hAnsi="Garamond" w:cs="Times New Roman"/>
                <w:color w:val="000000"/>
                <w:sz w:val="14"/>
                <w:szCs w:val="14"/>
                <w:lang w:eastAsia="en-GB"/>
              </w:rPr>
              <w:t> </w:t>
            </w:r>
          </w:p>
        </w:tc>
        <w:tc>
          <w:tcPr>
            <w:tcW w:w="329" w:type="pct"/>
            <w:tcBorders>
              <w:top w:val="single" w:sz="4" w:space="0" w:color="auto"/>
              <w:left w:val="nil"/>
              <w:bottom w:val="single" w:sz="4" w:space="0" w:color="auto"/>
              <w:right w:val="nil"/>
            </w:tcBorders>
            <w:shd w:val="clear" w:color="000000" w:fill="A9D08E"/>
            <w:noWrap/>
            <w:vAlign w:val="center"/>
            <w:hideMark/>
          </w:tcPr>
          <w:p w14:paraId="574E354A"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4,305,693,793</w:t>
            </w:r>
          </w:p>
        </w:tc>
        <w:tc>
          <w:tcPr>
            <w:tcW w:w="330" w:type="pct"/>
            <w:tcBorders>
              <w:top w:val="single" w:sz="4" w:space="0" w:color="auto"/>
              <w:left w:val="nil"/>
              <w:bottom w:val="single" w:sz="4" w:space="0" w:color="auto"/>
              <w:right w:val="nil"/>
            </w:tcBorders>
            <w:shd w:val="clear" w:color="000000" w:fill="A9D08E"/>
            <w:noWrap/>
            <w:vAlign w:val="center"/>
            <w:hideMark/>
          </w:tcPr>
          <w:p w14:paraId="574E354B"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1,264,393,000</w:t>
            </w:r>
          </w:p>
        </w:tc>
        <w:tc>
          <w:tcPr>
            <w:tcW w:w="346" w:type="pct"/>
            <w:tcBorders>
              <w:top w:val="single" w:sz="4" w:space="0" w:color="auto"/>
              <w:left w:val="nil"/>
              <w:bottom w:val="single" w:sz="4" w:space="0" w:color="auto"/>
              <w:right w:val="nil"/>
            </w:tcBorders>
            <w:shd w:val="clear" w:color="000000" w:fill="A9D08E"/>
            <w:noWrap/>
            <w:vAlign w:val="center"/>
            <w:hideMark/>
          </w:tcPr>
          <w:p w14:paraId="574E354C"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5,570,086,793</w:t>
            </w:r>
          </w:p>
        </w:tc>
        <w:tc>
          <w:tcPr>
            <w:tcW w:w="259" w:type="pct"/>
            <w:gridSpan w:val="2"/>
            <w:tcBorders>
              <w:top w:val="single" w:sz="4" w:space="0" w:color="auto"/>
              <w:left w:val="nil"/>
              <w:bottom w:val="single" w:sz="4" w:space="0" w:color="auto"/>
              <w:right w:val="nil"/>
            </w:tcBorders>
            <w:shd w:val="clear" w:color="000000" w:fill="A9D08E"/>
            <w:noWrap/>
            <w:vAlign w:val="center"/>
            <w:hideMark/>
          </w:tcPr>
          <w:p w14:paraId="574E354D"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58" w:type="pct"/>
            <w:gridSpan w:val="2"/>
            <w:tcBorders>
              <w:top w:val="single" w:sz="4" w:space="0" w:color="auto"/>
              <w:left w:val="nil"/>
              <w:bottom w:val="single" w:sz="4" w:space="0" w:color="auto"/>
              <w:right w:val="nil"/>
            </w:tcBorders>
            <w:shd w:val="clear" w:color="000000" w:fill="A9D08E"/>
            <w:noWrap/>
            <w:vAlign w:val="center"/>
            <w:hideMark/>
          </w:tcPr>
          <w:p w14:paraId="574E354E"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332" w:type="pct"/>
            <w:tcBorders>
              <w:top w:val="single" w:sz="4" w:space="0" w:color="auto"/>
              <w:left w:val="nil"/>
              <w:bottom w:val="single" w:sz="4" w:space="0" w:color="auto"/>
              <w:right w:val="nil"/>
            </w:tcBorders>
            <w:shd w:val="clear" w:color="000000" w:fill="A9D08E"/>
            <w:noWrap/>
            <w:vAlign w:val="center"/>
            <w:hideMark/>
          </w:tcPr>
          <w:p w14:paraId="574E354F"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3,956,601,251</w:t>
            </w:r>
          </w:p>
        </w:tc>
        <w:tc>
          <w:tcPr>
            <w:tcW w:w="229" w:type="pct"/>
            <w:tcBorders>
              <w:top w:val="single" w:sz="4" w:space="0" w:color="auto"/>
              <w:left w:val="nil"/>
              <w:bottom w:val="single" w:sz="4" w:space="0" w:color="auto"/>
              <w:right w:val="nil"/>
            </w:tcBorders>
            <w:shd w:val="clear" w:color="000000" w:fill="A9D08E"/>
            <w:noWrap/>
            <w:vAlign w:val="center"/>
            <w:hideMark/>
          </w:tcPr>
          <w:p w14:paraId="574E3550"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41" w:type="pct"/>
            <w:tcBorders>
              <w:top w:val="single" w:sz="4" w:space="0" w:color="auto"/>
              <w:left w:val="nil"/>
              <w:bottom w:val="single" w:sz="4" w:space="0" w:color="auto"/>
              <w:right w:val="nil"/>
            </w:tcBorders>
            <w:shd w:val="clear" w:color="000000" w:fill="A9D08E"/>
            <w:noWrap/>
            <w:vAlign w:val="center"/>
            <w:hideMark/>
          </w:tcPr>
          <w:p w14:paraId="574E3551"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0</w:t>
            </w:r>
          </w:p>
        </w:tc>
        <w:tc>
          <w:tcPr>
            <w:tcW w:w="284" w:type="pct"/>
            <w:gridSpan w:val="2"/>
            <w:tcBorders>
              <w:top w:val="single" w:sz="4" w:space="0" w:color="auto"/>
              <w:left w:val="nil"/>
              <w:bottom w:val="single" w:sz="4" w:space="0" w:color="auto"/>
              <w:right w:val="nil"/>
            </w:tcBorders>
            <w:shd w:val="clear" w:color="000000" w:fill="A9D08E"/>
            <w:noWrap/>
            <w:vAlign w:val="center"/>
            <w:hideMark/>
          </w:tcPr>
          <w:p w14:paraId="574E3552"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573,090,000</w:t>
            </w:r>
          </w:p>
        </w:tc>
        <w:tc>
          <w:tcPr>
            <w:tcW w:w="379" w:type="pct"/>
            <w:tcBorders>
              <w:top w:val="single" w:sz="4" w:space="0" w:color="auto"/>
              <w:left w:val="nil"/>
              <w:bottom w:val="single" w:sz="4" w:space="0" w:color="auto"/>
              <w:right w:val="single" w:sz="4" w:space="0" w:color="auto"/>
            </w:tcBorders>
            <w:shd w:val="clear" w:color="000000" w:fill="A9D08E"/>
            <w:noWrap/>
            <w:vAlign w:val="center"/>
            <w:hideMark/>
          </w:tcPr>
          <w:p w14:paraId="574E3553" w14:textId="77777777" w:rsidR="00444B63" w:rsidRPr="00E83C5E" w:rsidRDefault="00444B63" w:rsidP="00444B63">
            <w:pPr>
              <w:spacing w:after="0" w:line="240" w:lineRule="auto"/>
              <w:jc w:val="center"/>
              <w:rPr>
                <w:rFonts w:ascii="Garamond" w:eastAsia="Times New Roman" w:hAnsi="Garamond" w:cs="Times New Roman"/>
                <w:b/>
                <w:bCs/>
                <w:color w:val="FF0000"/>
                <w:sz w:val="14"/>
                <w:szCs w:val="14"/>
                <w:lang w:eastAsia="en-GB"/>
              </w:rPr>
            </w:pPr>
            <w:r w:rsidRPr="00E83C5E">
              <w:rPr>
                <w:rFonts w:ascii="Garamond" w:eastAsia="Times New Roman" w:hAnsi="Garamond" w:cs="Times New Roman"/>
                <w:b/>
                <w:bCs/>
                <w:color w:val="FF0000"/>
                <w:sz w:val="14"/>
                <w:szCs w:val="14"/>
                <w:lang w:eastAsia="en-GB"/>
              </w:rPr>
              <w:t>-1,040,395,542</w:t>
            </w:r>
          </w:p>
        </w:tc>
      </w:tr>
    </w:tbl>
    <w:p w14:paraId="574E3555" w14:textId="77777777" w:rsidR="00237C9E" w:rsidRPr="00E83C5E" w:rsidRDefault="00237C9E" w:rsidP="002D6157">
      <w:pPr>
        <w:pStyle w:val="TEKSTIII"/>
        <w:rPr>
          <w:b/>
        </w:rPr>
      </w:pPr>
    </w:p>
    <w:sectPr w:rsidR="00237C9E" w:rsidRPr="00E83C5E" w:rsidSect="00237C9E">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F2DDEC" w14:textId="77777777" w:rsidR="002A4717" w:rsidRDefault="002A4717" w:rsidP="004F08CB">
      <w:pPr>
        <w:spacing w:after="0" w:line="240" w:lineRule="auto"/>
      </w:pPr>
      <w:r>
        <w:separator/>
      </w:r>
    </w:p>
  </w:endnote>
  <w:endnote w:type="continuationSeparator" w:id="0">
    <w:p w14:paraId="29AB8AE8" w14:textId="77777777" w:rsidR="002A4717" w:rsidRDefault="002A4717" w:rsidP="004F08CB">
      <w:pPr>
        <w:spacing w:after="0" w:line="240" w:lineRule="auto"/>
      </w:pPr>
      <w:r>
        <w:continuationSeparator/>
      </w:r>
    </w:p>
  </w:endnote>
  <w:endnote w:type="continuationNotice" w:id="1">
    <w:p w14:paraId="5D4F6EDB" w14:textId="77777777" w:rsidR="002A4717" w:rsidRDefault="002A47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Nova">
    <w:charset w:val="00"/>
    <w:family w:val="swiss"/>
    <w:pitch w:val="variable"/>
    <w:sig w:usb0="2000028F" w:usb1="00000002" w:usb2="00000000" w:usb3="00000000" w:csb0="0000019F" w:csb1="00000000"/>
  </w:font>
  <w:font w:name="P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596AF2" w14:textId="77777777" w:rsidR="002A4717" w:rsidRDefault="002A47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45E1DF" w14:textId="77777777" w:rsidR="002A4717" w:rsidRDefault="002A4717" w:rsidP="004F08CB">
      <w:pPr>
        <w:spacing w:after="0" w:line="240" w:lineRule="auto"/>
      </w:pPr>
      <w:r>
        <w:separator/>
      </w:r>
    </w:p>
  </w:footnote>
  <w:footnote w:type="continuationSeparator" w:id="0">
    <w:p w14:paraId="5367F5DB" w14:textId="77777777" w:rsidR="002A4717" w:rsidRDefault="002A4717" w:rsidP="004F08CB">
      <w:pPr>
        <w:spacing w:after="0" w:line="240" w:lineRule="auto"/>
      </w:pPr>
      <w:r>
        <w:continuationSeparator/>
      </w:r>
    </w:p>
  </w:footnote>
  <w:footnote w:type="continuationNotice" w:id="1">
    <w:p w14:paraId="4D5E4B25" w14:textId="77777777" w:rsidR="002A4717" w:rsidRDefault="002A4717">
      <w:pPr>
        <w:spacing w:after="0" w:line="240" w:lineRule="auto"/>
      </w:pPr>
    </w:p>
  </w:footnote>
  <w:footnote w:id="2">
    <w:p w14:paraId="574E3580" w14:textId="28FC8D6E" w:rsidR="002A4717" w:rsidRPr="005230CE" w:rsidRDefault="002A4717" w:rsidP="004F08CB">
      <w:pPr>
        <w:pStyle w:val="FootnoteText"/>
        <w:rPr>
          <w:rFonts w:ascii="Garamond" w:hAnsi="Garamond"/>
          <w:sz w:val="24"/>
          <w:lang w:val="sq-AL"/>
        </w:rPr>
      </w:pPr>
      <w:r w:rsidRPr="005230CE">
        <w:rPr>
          <w:rStyle w:val="FootnoteReference"/>
          <w:rFonts w:ascii="Garamond" w:hAnsi="Garamond"/>
          <w:lang w:val="sq-AL"/>
        </w:rPr>
        <w:footnoteRef/>
      </w:r>
      <w:r w:rsidRPr="005230CE">
        <w:rPr>
          <w:rFonts w:ascii="Garamond" w:hAnsi="Garamond"/>
          <w:lang w:val="sq-AL"/>
        </w:rPr>
        <w:t xml:space="preserve"> Termi “drejtësi” i referohet termit “equity” në gjuhën angleze</w:t>
      </w:r>
      <w:r w:rsidRPr="005230CE">
        <w:rPr>
          <w:rFonts w:ascii="Garamond" w:hAnsi="Garamond" w:cs="Times New Roman"/>
          <w:szCs w:val="16"/>
          <w:lang w:val="sq-AL"/>
        </w:rPr>
        <w:t>.</w:t>
      </w:r>
    </w:p>
  </w:footnote>
  <w:footnote w:id="3">
    <w:p w14:paraId="574E3581" w14:textId="77777777" w:rsidR="002A4717" w:rsidRPr="005230CE" w:rsidRDefault="002A4717" w:rsidP="001C44D9">
      <w:pPr>
        <w:pStyle w:val="FootnoteText"/>
        <w:jc w:val="both"/>
        <w:rPr>
          <w:rFonts w:ascii="Garamond" w:hAnsi="Garamond"/>
          <w:lang w:val="sq-AL"/>
        </w:rPr>
      </w:pPr>
      <w:r w:rsidRPr="005230CE">
        <w:rPr>
          <w:rStyle w:val="FootnoteReference"/>
          <w:rFonts w:ascii="Garamond" w:hAnsi="Garamond"/>
          <w:lang w:val="sq-AL"/>
        </w:rPr>
        <w:footnoteRef/>
      </w:r>
      <w:r w:rsidRPr="005230CE">
        <w:rPr>
          <w:rFonts w:ascii="Garamond" w:hAnsi="Garamond"/>
          <w:lang w:val="sq-AL"/>
        </w:rPr>
        <w:t xml:space="preserve"> Për më shumë informacion shikoni këtë lidhje: </w:t>
      </w:r>
      <w:hyperlink r:id="rId1" w:history="1">
        <w:r w:rsidRPr="005230CE">
          <w:rPr>
            <w:rStyle w:val="Hyperlink"/>
            <w:rFonts w:ascii="Garamond" w:hAnsi="Garamond"/>
            <w:lang w:val="sq-AL"/>
          </w:rPr>
          <w:t>https://www.un.org/sustainabledevelopment/youth/</w:t>
        </w:r>
      </w:hyperlink>
    </w:p>
  </w:footnote>
  <w:footnote w:id="4">
    <w:p w14:paraId="574E3582" w14:textId="418AF0D2" w:rsidR="002A4717" w:rsidRPr="005230CE" w:rsidRDefault="002A4717" w:rsidP="001C44D9">
      <w:pPr>
        <w:pStyle w:val="FootnoteText"/>
        <w:jc w:val="both"/>
        <w:rPr>
          <w:rFonts w:ascii="Garamond" w:hAnsi="Garamond"/>
          <w:lang w:val="sq-AL"/>
        </w:rPr>
      </w:pPr>
      <w:r w:rsidRPr="005230CE">
        <w:rPr>
          <w:rStyle w:val="FootnoteReference"/>
          <w:rFonts w:ascii="Garamond" w:hAnsi="Garamond"/>
          <w:lang w:val="sq-AL"/>
        </w:rPr>
        <w:footnoteRef/>
      </w:r>
      <w:r w:rsidRPr="005230CE">
        <w:rPr>
          <w:rFonts w:ascii="Garamond" w:hAnsi="Garamond"/>
          <w:lang w:val="sq-AL"/>
        </w:rPr>
        <w:t xml:space="preserve"> Për më shumë informacion në lidhje me strategjinë e OKB</w:t>
      </w:r>
      <w:r w:rsidR="00867A15">
        <w:rPr>
          <w:rFonts w:ascii="Garamond" w:hAnsi="Garamond"/>
          <w:lang w:val="sq-AL"/>
        </w:rPr>
        <w:t>-së</w:t>
      </w:r>
      <w:r w:rsidRPr="005230CE">
        <w:rPr>
          <w:rFonts w:ascii="Garamond" w:hAnsi="Garamond"/>
          <w:lang w:val="sq-AL"/>
        </w:rPr>
        <w:t xml:space="preserve"> 2030 shikoni: </w:t>
      </w:r>
      <w:hyperlink r:id="rId2" w:history="1">
        <w:r w:rsidRPr="005230CE">
          <w:rPr>
            <w:rStyle w:val="Hyperlink"/>
            <w:rFonts w:ascii="Garamond" w:hAnsi="Garamond"/>
            <w:lang w:val="sq-AL"/>
          </w:rPr>
          <w:t>18-00080_UN-Youth-Strategy_Web.pdf</w:t>
        </w:r>
      </w:hyperlink>
    </w:p>
  </w:footnote>
  <w:footnote w:id="5">
    <w:p w14:paraId="574E3583" w14:textId="77777777" w:rsidR="002A4717" w:rsidRPr="005230CE" w:rsidRDefault="002A4717" w:rsidP="004F08CB">
      <w:pPr>
        <w:pStyle w:val="FootnoteText"/>
        <w:rPr>
          <w:rFonts w:ascii="Garamond" w:hAnsi="Garamond"/>
          <w:lang w:val="sq-AL"/>
        </w:rPr>
      </w:pPr>
      <w:r w:rsidRPr="005230CE">
        <w:rPr>
          <w:rStyle w:val="FootnoteReference"/>
          <w:rFonts w:ascii="Garamond" w:hAnsi="Garamond"/>
          <w:lang w:val="sq-AL"/>
        </w:rPr>
        <w:footnoteRef/>
      </w:r>
      <w:r w:rsidRPr="005230CE">
        <w:rPr>
          <w:rFonts w:ascii="Garamond" w:hAnsi="Garamond"/>
          <w:lang w:val="sq-AL"/>
        </w:rPr>
        <w:t xml:space="preserve"> Për më shumë informacione shikoni këtë faqe: </w:t>
      </w:r>
      <w:hyperlink r:id="rId3" w:history="1">
        <w:r w:rsidRPr="005230CE">
          <w:rPr>
            <w:rStyle w:val="Hyperlink"/>
            <w:rFonts w:ascii="Garamond" w:hAnsi="Garamond"/>
            <w:lang w:val="sq-AL"/>
          </w:rPr>
          <w:t>Result details (coe.int)</w:t>
        </w:r>
      </w:hyperlink>
    </w:p>
  </w:footnote>
  <w:footnote w:id="6">
    <w:p w14:paraId="574E3584" w14:textId="77777777" w:rsidR="002A4717" w:rsidRPr="005230CE" w:rsidRDefault="002A4717" w:rsidP="00755C27">
      <w:pPr>
        <w:pStyle w:val="FootnoteText"/>
        <w:jc w:val="both"/>
        <w:rPr>
          <w:rFonts w:ascii="Garamond" w:hAnsi="Garamond"/>
          <w:lang w:val="sq-AL"/>
        </w:rPr>
      </w:pPr>
      <w:r w:rsidRPr="005230CE">
        <w:rPr>
          <w:rStyle w:val="FootnoteReference"/>
          <w:rFonts w:ascii="Garamond" w:hAnsi="Garamond"/>
          <w:lang w:val="sq-AL"/>
        </w:rPr>
        <w:footnoteRef/>
      </w:r>
      <w:r w:rsidRPr="005230CE">
        <w:rPr>
          <w:rFonts w:ascii="Garamond" w:hAnsi="Garamond"/>
          <w:lang w:val="sq-AL"/>
        </w:rPr>
        <w:t xml:space="preserve"> Për më shumë informacion dhe për të lexuar agjendën klikoni: </w:t>
      </w:r>
      <w:hyperlink r:id="rId4" w:history="1">
        <w:r w:rsidRPr="005230CE">
          <w:rPr>
            <w:rStyle w:val="Hyperlink"/>
            <w:rFonts w:ascii="Garamond" w:hAnsi="Garamond"/>
            <w:lang w:val="sq-AL"/>
          </w:rPr>
          <w:t>ec_rtd_western-balkans-agenda-overview.pdf (europa.eu)</w:t>
        </w:r>
      </w:hyperlink>
    </w:p>
  </w:footnote>
  <w:footnote w:id="7">
    <w:p w14:paraId="574E3585" w14:textId="3B3E2401" w:rsidR="002A4717" w:rsidRPr="005230CE" w:rsidRDefault="002A4717" w:rsidP="004F08CB">
      <w:pPr>
        <w:pStyle w:val="FootnoteText"/>
        <w:jc w:val="both"/>
        <w:rPr>
          <w:rFonts w:ascii="Garamond" w:hAnsi="Garamond" w:cs="Times New Roman"/>
          <w:lang w:val="sq-AL"/>
        </w:rPr>
      </w:pPr>
      <w:r w:rsidRPr="005230CE">
        <w:rPr>
          <w:rStyle w:val="FootnoteReference"/>
          <w:rFonts w:ascii="Garamond" w:hAnsi="Garamond" w:cs="Times New Roman"/>
          <w:lang w:val="sq-AL"/>
        </w:rPr>
        <w:footnoteRef/>
      </w:r>
      <w:r w:rsidRPr="005230CE">
        <w:rPr>
          <w:rFonts w:ascii="Garamond" w:hAnsi="Garamond" w:cs="Times New Roman"/>
          <w:lang w:val="sq-AL"/>
        </w:rPr>
        <w:t xml:space="preserve"> Kjo do të arrihet përmes: krijimit të Shërbimit Kombëtar Rinor, si një strukturë buxhetore nën </w:t>
      </w:r>
      <w:r w:rsidR="00716784">
        <w:rPr>
          <w:rFonts w:ascii="Garamond" w:hAnsi="Garamond" w:cs="Times New Roman"/>
          <w:lang w:val="sq-AL"/>
        </w:rPr>
        <w:t>m</w:t>
      </w:r>
      <w:r w:rsidRPr="005230CE">
        <w:rPr>
          <w:rFonts w:ascii="Garamond" w:hAnsi="Garamond" w:cs="Times New Roman"/>
          <w:lang w:val="sq-AL"/>
        </w:rPr>
        <w:t>inistrinë përgjegjëse për zbatimin e p</w:t>
      </w:r>
      <w:r>
        <w:rPr>
          <w:rFonts w:ascii="Garamond" w:hAnsi="Garamond" w:cs="Times New Roman"/>
          <w:lang w:val="sq-AL"/>
        </w:rPr>
        <w:t xml:space="preserve">olitikave dhe aspekteve rinore; </w:t>
      </w:r>
      <w:r w:rsidRPr="005230CE">
        <w:rPr>
          <w:rFonts w:ascii="Garamond" w:hAnsi="Garamond" w:cs="Times New Roman"/>
          <w:lang w:val="sq-AL"/>
        </w:rPr>
        <w:t>2 krijimit të qendrave rajonale rinore, si njësi direkte të shërbimeve rinore; 3 ngritjes së “Inkubatorëve të biznesit për rininë” për rritjen e pjesëmarrjes rinore përmes hapësirave administrative që u sigurojnë sipërmarrësve të rinj hapësirat në zyra dhe objekte të tjera administrative; 4 krijimit të Trupave Kombëtare Rinore; dhe 5 mbledhjes dhe sigurimit të informacionit për programet që nxisin punësimin e të rinjve.</w:t>
      </w:r>
    </w:p>
  </w:footnote>
  <w:footnote w:id="8">
    <w:p w14:paraId="574E3586" w14:textId="7D2B4446" w:rsidR="002A4717" w:rsidRPr="005230CE" w:rsidRDefault="002A4717" w:rsidP="004F08CB">
      <w:pPr>
        <w:pStyle w:val="FootnoteText"/>
        <w:jc w:val="both"/>
        <w:rPr>
          <w:rFonts w:ascii="Garamond" w:hAnsi="Garamond" w:cs="Times New Roman"/>
          <w:lang w:val="sq-AL"/>
        </w:rPr>
      </w:pPr>
      <w:r w:rsidRPr="005230CE">
        <w:rPr>
          <w:rStyle w:val="FootnoteReference"/>
          <w:rFonts w:ascii="Garamond" w:hAnsi="Garamond" w:cs="Times New Roman"/>
          <w:lang w:val="sq-AL"/>
        </w:rPr>
        <w:footnoteRef/>
      </w:r>
      <w:r w:rsidRPr="005230CE">
        <w:rPr>
          <w:rFonts w:ascii="Garamond" w:hAnsi="Garamond" w:cs="Times New Roman"/>
          <w:lang w:val="sq-AL"/>
        </w:rPr>
        <w:t xml:space="preserve"> Kjo do të arrihet përmes: 1.</w:t>
      </w:r>
      <w:r>
        <w:rPr>
          <w:rFonts w:ascii="Garamond" w:hAnsi="Garamond" w:cs="Times New Roman"/>
          <w:lang w:val="sq-AL"/>
        </w:rPr>
        <w:t xml:space="preserve"> </w:t>
      </w:r>
      <w:r w:rsidRPr="005230CE">
        <w:rPr>
          <w:rFonts w:ascii="Garamond" w:hAnsi="Garamond" w:cs="Times New Roman"/>
          <w:lang w:val="sq-AL"/>
        </w:rPr>
        <w:t>rritjes së ndërgjegjësimit dhe fuqizimit të kapaciteteve rinore dhe organizatave për programet komunitare; 2 mbështetjes së ofruar për mirëq</w:t>
      </w:r>
      <w:r>
        <w:rPr>
          <w:rFonts w:ascii="Garamond" w:hAnsi="Garamond" w:cs="Times New Roman"/>
          <w:lang w:val="sq-AL"/>
        </w:rPr>
        <w:t>e</w:t>
      </w:r>
      <w:r w:rsidRPr="005230CE">
        <w:rPr>
          <w:rFonts w:ascii="Garamond" w:hAnsi="Garamond" w:cs="Times New Roman"/>
          <w:lang w:val="sq-AL"/>
        </w:rPr>
        <w:t>nien rinore, duke u përq</w:t>
      </w:r>
      <w:r>
        <w:rPr>
          <w:rFonts w:ascii="Garamond" w:hAnsi="Garamond" w:cs="Times New Roman"/>
          <w:lang w:val="sq-AL"/>
        </w:rPr>
        <w:t>e</w:t>
      </w:r>
      <w:r w:rsidRPr="005230CE">
        <w:rPr>
          <w:rFonts w:ascii="Garamond" w:hAnsi="Garamond" w:cs="Times New Roman"/>
          <w:lang w:val="sq-AL"/>
        </w:rPr>
        <w:t>ndruar te nxitja e shëndetit mendor dhe seksual, aktiviteti fizik dhe jeta e shëndetshme; 3 nxitjes së pjesëmarrjes së rinisë në organizatat e shoqërisë civile në të gjitha nivelet; dhe 4. krijimit dhe nxitjes së programeve të praktikave rinore.</w:t>
      </w:r>
    </w:p>
  </w:footnote>
  <w:footnote w:id="9">
    <w:p w14:paraId="574E3587" w14:textId="12768A36" w:rsidR="002A4717" w:rsidRPr="005230CE" w:rsidRDefault="002A4717" w:rsidP="004F08CB">
      <w:pPr>
        <w:pStyle w:val="FootnoteText"/>
        <w:jc w:val="both"/>
        <w:rPr>
          <w:rFonts w:ascii="Garamond" w:hAnsi="Garamond"/>
          <w:lang w:val="sq-AL"/>
        </w:rPr>
      </w:pPr>
      <w:r w:rsidRPr="005230CE">
        <w:rPr>
          <w:rStyle w:val="FootnoteReference"/>
          <w:rFonts w:ascii="Garamond" w:hAnsi="Garamond" w:cs="Times New Roman"/>
          <w:lang w:val="sq-AL"/>
        </w:rPr>
        <w:footnoteRef/>
      </w:r>
      <w:r w:rsidRPr="005230CE">
        <w:rPr>
          <w:rFonts w:ascii="Garamond" w:hAnsi="Garamond" w:cs="Times New Roman"/>
          <w:lang w:val="sq-AL"/>
        </w:rPr>
        <w:t xml:space="preserve"> Kjo do të arrihet përmes: 1.</w:t>
      </w:r>
      <w:r>
        <w:rPr>
          <w:rFonts w:ascii="Garamond" w:hAnsi="Garamond" w:cs="Times New Roman"/>
          <w:lang w:val="sq-AL"/>
        </w:rPr>
        <w:t xml:space="preserve"> </w:t>
      </w:r>
      <w:r w:rsidRPr="005230CE">
        <w:rPr>
          <w:rFonts w:ascii="Garamond" w:hAnsi="Garamond" w:cs="Times New Roman"/>
          <w:lang w:val="sq-AL"/>
        </w:rPr>
        <w:t>certifikimit dhe njohjes së arsimit jo-formal, si pjesë e të mësuarit gjatë gjithë jetës; 2 fushatave të ndërgjegjësimit për arsimin profesional të drejtuar drejt kërkesave të tregjeve të punës; dhe 3 ngritjes së zyrave të zhvillimit të ka</w:t>
      </w:r>
      <w:r>
        <w:rPr>
          <w:rFonts w:ascii="Garamond" w:hAnsi="Garamond" w:cs="Times New Roman"/>
          <w:lang w:val="sq-AL"/>
        </w:rPr>
        <w:t>r</w:t>
      </w:r>
      <w:r w:rsidRPr="005230CE">
        <w:rPr>
          <w:rFonts w:ascii="Garamond" w:hAnsi="Garamond" w:cs="Times New Roman"/>
          <w:lang w:val="sq-AL"/>
        </w:rPr>
        <w:t>rierës, në shkollat e mesme apo në institucionet e arsimit të lartë, me qëllim orientimin e të rinjve drejt kërkesave të tregut të punës.</w:t>
      </w:r>
    </w:p>
  </w:footnote>
  <w:footnote w:id="10">
    <w:p w14:paraId="574E3588" w14:textId="2738E343" w:rsidR="002A4717" w:rsidRPr="005230CE" w:rsidRDefault="002A4717" w:rsidP="005230CE">
      <w:pPr>
        <w:pStyle w:val="FootnoteText"/>
        <w:jc w:val="both"/>
        <w:rPr>
          <w:rFonts w:ascii="Garamond" w:hAnsi="Garamond"/>
          <w:lang w:val="sq-AL"/>
        </w:rPr>
      </w:pPr>
      <w:r w:rsidRPr="005230CE">
        <w:rPr>
          <w:rStyle w:val="FootnoteReference"/>
          <w:rFonts w:ascii="Garamond" w:hAnsi="Garamond"/>
          <w:lang w:val="sq-AL"/>
        </w:rPr>
        <w:footnoteRef/>
      </w:r>
      <w:r w:rsidRPr="005230CE">
        <w:rPr>
          <w:rFonts w:ascii="Garamond" w:hAnsi="Garamond"/>
          <w:sz w:val="16"/>
          <w:lang w:val="sq-AL"/>
        </w:rPr>
        <w:t xml:space="preserve"> Kjo pjesë e strategjisë është bazuar në kapitullin V “Gjetje dhe rekomandime” të “Raportit Final i Vlerësimit të Planit Kombëtar të Veprimit për Rininë 2015–2020” botuar në qershor 2020 me mbështetjen e UNFPA-së dhe Ministrisë së Arsimit dhe Sportit.</w:t>
      </w:r>
    </w:p>
  </w:footnote>
  <w:footnote w:id="11">
    <w:p w14:paraId="574E3589" w14:textId="77777777" w:rsidR="002A4717" w:rsidRPr="005230CE" w:rsidRDefault="002A4717" w:rsidP="004F08CB">
      <w:pPr>
        <w:pStyle w:val="FootnoteText"/>
        <w:rPr>
          <w:rFonts w:ascii="Garamond" w:hAnsi="Garamond"/>
          <w:lang w:val="sq-AL"/>
        </w:rPr>
      </w:pPr>
      <w:r w:rsidRPr="005230CE">
        <w:rPr>
          <w:rStyle w:val="FootnoteReference"/>
          <w:rFonts w:ascii="Garamond" w:hAnsi="Garamond"/>
          <w:lang w:val="sq-AL"/>
        </w:rPr>
        <w:footnoteRef/>
      </w:r>
      <w:r w:rsidRPr="005230CE">
        <w:rPr>
          <w:rFonts w:ascii="Garamond" w:hAnsi="Garamond"/>
          <w:lang w:val="sq-AL"/>
        </w:rPr>
        <w:t xml:space="preserve"> </w:t>
      </w:r>
      <w:r w:rsidRPr="005230CE">
        <w:rPr>
          <w:rFonts w:ascii="Garamond" w:hAnsi="Garamond"/>
          <w:sz w:val="16"/>
          <w:lang w:val="sq-AL"/>
        </w:rPr>
        <w:t>Neni 5 i këtij ligji përcakton në pikat a dhe g përcakton përgjegjësinë e ministrisë përgjegjëse për rininë për të hartuar dhe propozuar bazën ligjore dhe politika e veprimtari për rininë si edhe zhvillimin e konsultimeve me të rinjtë lidhur me politikat.</w:t>
      </w:r>
    </w:p>
  </w:footnote>
  <w:footnote w:id="12">
    <w:p w14:paraId="574E358A" w14:textId="1EC4B74B" w:rsidR="002A4717" w:rsidRPr="005230CE" w:rsidRDefault="002A4717" w:rsidP="004F08CB">
      <w:pPr>
        <w:pStyle w:val="FootnoteText"/>
        <w:rPr>
          <w:rFonts w:ascii="Garamond" w:hAnsi="Garamond"/>
          <w:lang w:val="sq-AL"/>
        </w:rPr>
      </w:pPr>
      <w:r w:rsidRPr="005230CE">
        <w:rPr>
          <w:rStyle w:val="FootnoteReference"/>
          <w:rFonts w:ascii="Garamond" w:hAnsi="Garamond"/>
          <w:lang w:val="sq-AL"/>
        </w:rPr>
        <w:footnoteRef/>
      </w:r>
      <w:r w:rsidRPr="005230CE">
        <w:rPr>
          <w:rFonts w:ascii="Garamond" w:hAnsi="Garamond"/>
          <w:lang w:val="sq-AL"/>
        </w:rPr>
        <w:t xml:space="preserve"> </w:t>
      </w:r>
      <w:r w:rsidRPr="005230CE">
        <w:rPr>
          <w:rFonts w:ascii="Garamond" w:hAnsi="Garamond"/>
          <w:sz w:val="16"/>
          <w:lang w:val="sq-AL"/>
        </w:rPr>
        <w:t>Plani Kombëtar për Integrimin Evropian 2022–2024</w:t>
      </w:r>
      <w:r>
        <w:rPr>
          <w:rFonts w:ascii="Garamond" w:hAnsi="Garamond"/>
          <w:sz w:val="16"/>
          <w:lang w:val="sq-AL"/>
        </w:rPr>
        <w:t>,</w:t>
      </w:r>
      <w:r w:rsidRPr="005230CE">
        <w:rPr>
          <w:rFonts w:ascii="Garamond" w:hAnsi="Garamond"/>
          <w:sz w:val="16"/>
          <w:lang w:val="sq-AL"/>
        </w:rPr>
        <w:t xml:space="preserve"> f. 407</w:t>
      </w:r>
      <w:r>
        <w:rPr>
          <w:rFonts w:ascii="Garamond" w:hAnsi="Garamond"/>
          <w:sz w:val="16"/>
          <w:lang w:val="sq-AL"/>
        </w:rPr>
        <w:t>.</w:t>
      </w:r>
    </w:p>
  </w:footnote>
  <w:footnote w:id="13">
    <w:p w14:paraId="574E358B" w14:textId="76511EB8" w:rsidR="002A4717" w:rsidRPr="005230CE" w:rsidRDefault="002A4717" w:rsidP="00123E0B">
      <w:pPr>
        <w:pStyle w:val="FootnoteText"/>
        <w:jc w:val="both"/>
        <w:rPr>
          <w:rFonts w:ascii="Garamond" w:hAnsi="Garamond"/>
          <w:lang w:val="sq-AL"/>
        </w:rPr>
      </w:pPr>
      <w:r w:rsidRPr="005230CE">
        <w:rPr>
          <w:rStyle w:val="FootnoteReference"/>
          <w:rFonts w:ascii="Garamond" w:hAnsi="Garamond"/>
          <w:lang w:val="sq-AL"/>
        </w:rPr>
        <w:footnoteRef/>
      </w:r>
      <w:r w:rsidRPr="005230CE">
        <w:rPr>
          <w:rFonts w:ascii="Garamond" w:hAnsi="Garamond"/>
          <w:lang w:val="sq-AL"/>
        </w:rPr>
        <w:t>.</w:t>
      </w:r>
      <w:r w:rsidRPr="005230CE">
        <w:rPr>
          <w:rStyle w:val="cf01"/>
          <w:rFonts w:ascii="Garamond" w:hAnsi="Garamond"/>
          <w:sz w:val="20"/>
          <w:lang w:val="sq-AL"/>
        </w:rPr>
        <w:t xml:space="preserve"> </w:t>
      </w:r>
      <w:r w:rsidRPr="005230CE">
        <w:rPr>
          <w:rStyle w:val="cf01"/>
          <w:rFonts w:ascii="Garamond" w:hAnsi="Garamond"/>
          <w:b/>
          <w:sz w:val="20"/>
          <w:u w:val="single"/>
          <w:lang w:val="sq-AL"/>
        </w:rPr>
        <w:t>Shënim shpjegues</w:t>
      </w:r>
      <w:r w:rsidRPr="005230CE">
        <w:rPr>
          <w:rStyle w:val="cf01"/>
          <w:rFonts w:ascii="Garamond" w:hAnsi="Garamond"/>
          <w:sz w:val="20"/>
          <w:lang w:val="sq-AL"/>
        </w:rPr>
        <w:t>: Në përputhje me Kodin e Drejtësisë penale për të mitur, Ministria e Drejtësisë është përgjegjësie për të miturit në konflikt me ligjin penal – pra, jo çdo raporti i të miturve me ligjin është përgjegjësi e MD, por vetëm kur të miturit kryejnë vepra penale. Në këtë kuadër, përgjegjësia e MD</w:t>
      </w:r>
      <w:r>
        <w:rPr>
          <w:rStyle w:val="cf01"/>
          <w:rFonts w:ascii="Garamond" w:hAnsi="Garamond"/>
          <w:sz w:val="20"/>
          <w:lang w:val="sq-AL"/>
        </w:rPr>
        <w:t>-së</w:t>
      </w:r>
      <w:r w:rsidRPr="005230CE">
        <w:rPr>
          <w:rStyle w:val="cf01"/>
          <w:rFonts w:ascii="Garamond" w:hAnsi="Garamond"/>
          <w:sz w:val="20"/>
          <w:lang w:val="sq-AL"/>
        </w:rPr>
        <w:t xml:space="preserve"> shtrihet me marrjen e masave për promovimin e riintegrimit të të miturit në konflikt me ligjin penal dhe që i mituri të luajë në shoqëri një rol sa më të dobishëm apo edhe garantimin e rishoqërizimit dhe rehabilitimit të të miturit që ka kryer vepër penale</w:t>
      </w:r>
    </w:p>
  </w:footnote>
  <w:footnote w:id="14">
    <w:p w14:paraId="574E358C" w14:textId="66868C01" w:rsidR="002A4717" w:rsidRPr="005230CE" w:rsidRDefault="002A4717" w:rsidP="004F08CB">
      <w:pPr>
        <w:pStyle w:val="FootnoteText"/>
        <w:rPr>
          <w:rFonts w:ascii="Garamond" w:hAnsi="Garamond"/>
          <w:lang w:val="sq-AL"/>
        </w:rPr>
      </w:pPr>
      <w:r w:rsidRPr="005230CE">
        <w:rPr>
          <w:rStyle w:val="FootnoteReference"/>
          <w:rFonts w:ascii="Garamond" w:hAnsi="Garamond"/>
          <w:lang w:val="sq-AL"/>
        </w:rPr>
        <w:footnoteRef/>
      </w:r>
      <w:r w:rsidRPr="005230CE">
        <w:rPr>
          <w:rFonts w:ascii="Garamond" w:hAnsi="Garamond"/>
          <w:lang w:val="sq-AL"/>
        </w:rPr>
        <w:t xml:space="preserve"> APAA – </w:t>
      </w:r>
      <w:r w:rsidR="00A14B26">
        <w:rPr>
          <w:rFonts w:ascii="Garamond" w:hAnsi="Garamond"/>
          <w:lang w:val="sq-AL"/>
        </w:rPr>
        <w:t>a</w:t>
      </w:r>
      <w:r w:rsidRPr="005230CE">
        <w:rPr>
          <w:rFonts w:ascii="Garamond" w:hAnsi="Garamond"/>
          <w:lang w:val="sq-AL"/>
        </w:rPr>
        <w:t>s në punësim, arsim apo aftësim (</w:t>
      </w:r>
      <w:r w:rsidRPr="00A14B26">
        <w:rPr>
          <w:rFonts w:ascii="Garamond" w:hAnsi="Garamond"/>
          <w:i/>
          <w:lang w:val="sq-AL"/>
        </w:rPr>
        <w:t>NEET not in employment, education, or training</w:t>
      </w:r>
      <w:r w:rsidRPr="005230CE">
        <w:rPr>
          <w:rFonts w:ascii="Garamond" w:hAnsi="Garamond"/>
          <w:lang w:val="sq-AL"/>
        </w:rPr>
        <w:t>).</w:t>
      </w:r>
    </w:p>
  </w:footnote>
  <w:footnote w:id="15">
    <w:p w14:paraId="574E358D" w14:textId="1CFD7981" w:rsidR="002A4717" w:rsidRPr="005230CE" w:rsidRDefault="002A4717" w:rsidP="00AE2512">
      <w:pPr>
        <w:pStyle w:val="FootnoteText"/>
        <w:rPr>
          <w:rFonts w:ascii="Garamond" w:hAnsi="Garamond"/>
          <w:lang w:val="sq-AL"/>
        </w:rPr>
      </w:pPr>
      <w:r w:rsidRPr="005230CE">
        <w:rPr>
          <w:rStyle w:val="FootnoteReference"/>
          <w:rFonts w:ascii="Garamond" w:hAnsi="Garamond"/>
          <w:lang w:val="sq-AL"/>
        </w:rPr>
        <w:footnoteRef/>
      </w:r>
      <w:r w:rsidRPr="005230CE">
        <w:rPr>
          <w:rFonts w:ascii="Garamond" w:hAnsi="Garamond"/>
          <w:lang w:val="sq-AL"/>
        </w:rPr>
        <w:t xml:space="preserve"> Informacion bazuar në analizat e pjesëmarrjes së të rinjve në buxhetim në nivel vendor realizuar nga Observatori për të Drejtat e </w:t>
      </w:r>
      <w:r w:rsidR="00DA0E84" w:rsidRPr="005230CE">
        <w:rPr>
          <w:rFonts w:ascii="Garamond" w:hAnsi="Garamond"/>
          <w:lang w:val="sq-AL"/>
        </w:rPr>
        <w:t>Fëmijëve</w:t>
      </w:r>
      <w:r w:rsidRPr="005230CE">
        <w:rPr>
          <w:rFonts w:ascii="Garamond" w:hAnsi="Garamond"/>
          <w:lang w:val="sq-AL"/>
        </w:rPr>
        <w:t xml:space="preserve"> dhe të Rinjve mbështetur nga OKB në Shqipëri. </w:t>
      </w:r>
    </w:p>
  </w:footnote>
  <w:footnote w:id="16">
    <w:p w14:paraId="574E358E" w14:textId="77777777" w:rsidR="002A4717" w:rsidRPr="005230CE" w:rsidRDefault="002A4717" w:rsidP="00AE2512">
      <w:pPr>
        <w:pBdr>
          <w:top w:val="nil"/>
          <w:left w:val="nil"/>
          <w:bottom w:val="nil"/>
          <w:right w:val="nil"/>
          <w:between w:val="nil"/>
        </w:pBdr>
        <w:spacing w:after="0" w:line="240" w:lineRule="auto"/>
        <w:rPr>
          <w:rFonts w:ascii="Garamond" w:eastAsia="Arial Nova" w:hAnsi="Garamond" w:cs="Times New Roman"/>
          <w:color w:val="000000"/>
          <w:sz w:val="20"/>
          <w:szCs w:val="20"/>
        </w:rPr>
      </w:pPr>
      <w:r w:rsidRPr="005230CE">
        <w:rPr>
          <w:rFonts w:ascii="Garamond" w:hAnsi="Garamond" w:cs="Times New Roman"/>
          <w:sz w:val="20"/>
          <w:szCs w:val="20"/>
          <w:vertAlign w:val="superscript"/>
        </w:rPr>
        <w:footnoteRef/>
      </w:r>
      <w:r w:rsidRPr="005230CE">
        <w:rPr>
          <w:rFonts w:ascii="Garamond" w:eastAsia="Arial Nova" w:hAnsi="Garamond" w:cs="Times New Roman"/>
          <w:color w:val="000000"/>
          <w:sz w:val="20"/>
          <w:szCs w:val="20"/>
        </w:rPr>
        <w:t xml:space="preserve"> (punën në organizata rinore dhe në organizata të tjera nga të rinjtë)</w:t>
      </w:r>
    </w:p>
  </w:footnote>
  <w:footnote w:id="17">
    <w:p w14:paraId="574E358F" w14:textId="3060BFEA" w:rsidR="002A4717" w:rsidRPr="005230CE" w:rsidRDefault="002A4717" w:rsidP="00101B0A">
      <w:pPr>
        <w:pStyle w:val="FootnoteText"/>
        <w:jc w:val="both"/>
        <w:rPr>
          <w:rFonts w:ascii="Garamond" w:hAnsi="Garamond"/>
          <w:lang w:val="sq-AL"/>
        </w:rPr>
      </w:pPr>
      <w:r w:rsidRPr="005230CE">
        <w:rPr>
          <w:rStyle w:val="FootnoteReference"/>
          <w:rFonts w:ascii="Garamond" w:hAnsi="Garamond"/>
          <w:lang w:val="sq-AL"/>
        </w:rPr>
        <w:footnoteRef/>
      </w:r>
      <w:r w:rsidRPr="005230CE">
        <w:rPr>
          <w:rFonts w:ascii="Garamond" w:hAnsi="Garamond"/>
          <w:lang w:val="sq-AL"/>
        </w:rPr>
        <w:t xml:space="preserve"> </w:t>
      </w:r>
      <w:r w:rsidRPr="005230CE">
        <w:rPr>
          <w:rFonts w:ascii="Garamond" w:hAnsi="Garamond"/>
          <w:i/>
          <w:lang w:val="sq-AL"/>
        </w:rPr>
        <w:t>në përputhje me nenin 36 të ligjit për arsimin parauniversitar</w:t>
      </w:r>
    </w:p>
  </w:footnote>
  <w:footnote w:id="18">
    <w:p w14:paraId="574E3590" w14:textId="5FE314C0" w:rsidR="002A4717" w:rsidRPr="005230CE" w:rsidRDefault="002A4717" w:rsidP="00101B0A">
      <w:pPr>
        <w:pStyle w:val="FootnoteText"/>
        <w:jc w:val="both"/>
        <w:rPr>
          <w:rFonts w:ascii="Garamond" w:hAnsi="Garamond"/>
          <w:lang w:val="sq-AL"/>
        </w:rPr>
      </w:pPr>
      <w:r w:rsidRPr="005230CE">
        <w:rPr>
          <w:rStyle w:val="FootnoteReference"/>
          <w:rFonts w:ascii="Garamond" w:hAnsi="Garamond"/>
          <w:lang w:val="sq-AL"/>
        </w:rPr>
        <w:footnoteRef/>
      </w:r>
      <w:r w:rsidRPr="005230CE">
        <w:rPr>
          <w:rFonts w:ascii="Garamond" w:hAnsi="Garamond"/>
          <w:lang w:val="sq-AL"/>
        </w:rPr>
        <w:t xml:space="preserve"> Për më tepër shiko kapitullin V “Gjetje dhe </w:t>
      </w:r>
      <w:r>
        <w:rPr>
          <w:rFonts w:ascii="Garamond" w:hAnsi="Garamond"/>
          <w:lang w:val="sq-AL"/>
        </w:rPr>
        <w:t>r</w:t>
      </w:r>
      <w:r w:rsidRPr="005230CE">
        <w:rPr>
          <w:rFonts w:ascii="Garamond" w:hAnsi="Garamond"/>
          <w:lang w:val="sq-AL"/>
        </w:rPr>
        <w:t xml:space="preserve">ekomandime” të “Raportit Final i Vlerësimit të Planit Kombëtar të Veprimit për Rininë 2015–2020” botuar në </w:t>
      </w:r>
      <w:r>
        <w:rPr>
          <w:rFonts w:ascii="Garamond" w:hAnsi="Garamond"/>
          <w:lang w:val="sq-AL"/>
        </w:rPr>
        <w:t>q</w:t>
      </w:r>
      <w:r w:rsidRPr="005230CE">
        <w:rPr>
          <w:rFonts w:ascii="Garamond" w:hAnsi="Garamond"/>
          <w:lang w:val="sq-AL"/>
        </w:rPr>
        <w:t xml:space="preserve">ershor 2020 me mbështetjen e UNFPA-së dhe Ministrisë së Arsimit dhe Sportit. </w:t>
      </w:r>
    </w:p>
  </w:footnote>
  <w:footnote w:id="19">
    <w:p w14:paraId="574E3591" w14:textId="77777777" w:rsidR="002A4717" w:rsidRPr="005230CE" w:rsidRDefault="002A4717" w:rsidP="00101B0A">
      <w:pPr>
        <w:pStyle w:val="FootnoteText"/>
        <w:jc w:val="both"/>
        <w:rPr>
          <w:rFonts w:ascii="Garamond" w:hAnsi="Garamond"/>
          <w:lang w:val="sq-AL"/>
        </w:rPr>
      </w:pPr>
      <w:r w:rsidRPr="005230CE">
        <w:rPr>
          <w:rStyle w:val="FootnoteReference"/>
          <w:rFonts w:ascii="Garamond" w:hAnsi="Garamond"/>
          <w:lang w:val="sq-AL"/>
        </w:rPr>
        <w:footnoteRef/>
      </w:r>
      <w:r w:rsidRPr="005230CE">
        <w:rPr>
          <w:rFonts w:ascii="Garamond" w:hAnsi="Garamond"/>
          <w:lang w:val="sq-AL"/>
        </w:rPr>
        <w:t xml:space="preserve"> Mbi 3000 mijë të rinj kanë bërë praktika pune në administrate dhe 1000 prej tyre kanë marrë kontrata punësimi që prej vitit 2015. Për më shumë shiko: </w:t>
      </w:r>
      <w:hyperlink r:id="rId5" w:history="1">
        <w:r w:rsidRPr="005230CE">
          <w:rPr>
            <w:rStyle w:val="Hyperlink"/>
            <w:rFonts w:ascii="Garamond" w:hAnsi="Garamond"/>
            <w:lang w:val="sq-AL"/>
          </w:rPr>
          <w:t>1/3 e vendeve në administratën publike i dedikohet punësimit të të rinjve (dap.gov.al)</w:t>
        </w:r>
      </w:hyperlink>
    </w:p>
  </w:footnote>
  <w:footnote w:id="20">
    <w:p w14:paraId="574E3592" w14:textId="77777777" w:rsidR="002A4717" w:rsidRPr="005230CE" w:rsidRDefault="002A4717" w:rsidP="00D92565">
      <w:pPr>
        <w:pStyle w:val="FootnoteText"/>
        <w:jc w:val="both"/>
        <w:rPr>
          <w:rFonts w:ascii="Garamond" w:hAnsi="Garamond"/>
          <w:lang w:val="sq-AL"/>
        </w:rPr>
      </w:pPr>
      <w:r w:rsidRPr="005230CE">
        <w:rPr>
          <w:rStyle w:val="FootnoteReference"/>
          <w:rFonts w:ascii="Garamond" w:hAnsi="Garamond"/>
          <w:lang w:val="sq-AL"/>
        </w:rPr>
        <w:footnoteRef/>
      </w:r>
      <w:r w:rsidRPr="005230CE">
        <w:rPr>
          <w:rFonts w:ascii="Garamond" w:hAnsi="Garamond"/>
          <w:lang w:val="sq-AL"/>
        </w:rPr>
        <w:t xml:space="preserve"> Program i masterit ekzekutiv i Departamentit të Psikologjisë në Fakultetin e Shkencave Sociale të Universitetit të Tiranës që mbështetet nga Bashkëpunimi Zviceran i Zhvillimit.</w:t>
      </w:r>
    </w:p>
  </w:footnote>
  <w:footnote w:id="21">
    <w:p w14:paraId="574E3593" w14:textId="3DB4E6BF" w:rsidR="002A4717" w:rsidRPr="005230CE" w:rsidRDefault="002A4717" w:rsidP="00D92565">
      <w:pPr>
        <w:pStyle w:val="TEKSTIII"/>
        <w:ind w:firstLine="0"/>
        <w:rPr>
          <w:sz w:val="20"/>
        </w:rPr>
      </w:pPr>
      <w:r w:rsidRPr="005230CE">
        <w:rPr>
          <w:sz w:val="20"/>
        </w:rPr>
        <w:t xml:space="preserve">Miratuar me </w:t>
      </w:r>
      <w:r>
        <w:rPr>
          <w:sz w:val="20"/>
          <w:lang w:eastAsia="sq-AL"/>
        </w:rPr>
        <w:t>v</w:t>
      </w:r>
      <w:r w:rsidRPr="005230CE">
        <w:rPr>
          <w:sz w:val="20"/>
          <w:lang w:eastAsia="sq-AL"/>
        </w:rPr>
        <w:t xml:space="preserve">endimin e Këshillit të Ministrave </w:t>
      </w:r>
      <w:r>
        <w:rPr>
          <w:sz w:val="20"/>
          <w:lang w:eastAsia="sq-AL"/>
        </w:rPr>
        <w:t>n</w:t>
      </w:r>
      <w:r w:rsidRPr="005230CE">
        <w:rPr>
          <w:sz w:val="20"/>
          <w:lang w:eastAsia="sq-AL"/>
        </w:rPr>
        <w:t>r. 91, datë 9.2.2022</w:t>
      </w:r>
      <w:r>
        <w:rPr>
          <w:sz w:val="20"/>
          <w:lang w:eastAsia="sq-AL"/>
        </w:rPr>
        <w:t>,</w:t>
      </w:r>
      <w:r w:rsidRPr="005230CE">
        <w:rPr>
          <w:sz w:val="20"/>
          <w:lang w:eastAsia="sq-AL"/>
        </w:rPr>
        <w:t xml:space="preserve"> “Për miratimin e Planit Kombëtar për Integrimin Evropian 2022–2024”</w:t>
      </w:r>
      <w:r w:rsidRPr="005230CE">
        <w:rPr>
          <w:sz w:val="20"/>
        </w:rPr>
        <w:t>.”</w:t>
      </w:r>
    </w:p>
  </w:footnote>
  <w:footnote w:id="22">
    <w:p w14:paraId="574E3594" w14:textId="72567968" w:rsidR="002A4717" w:rsidRPr="005230CE" w:rsidRDefault="002A4717" w:rsidP="00FB3187">
      <w:pPr>
        <w:pStyle w:val="FootnoteText"/>
        <w:jc w:val="both"/>
        <w:rPr>
          <w:rFonts w:ascii="Garamond" w:hAnsi="Garamond" w:cs="Times New Roman"/>
          <w:lang w:val="sq-AL"/>
        </w:rPr>
      </w:pPr>
      <w:r w:rsidRPr="005230CE">
        <w:rPr>
          <w:rStyle w:val="FootnoteReference"/>
          <w:rFonts w:ascii="Garamond" w:hAnsi="Garamond"/>
          <w:lang w:val="sq-AL"/>
        </w:rPr>
        <w:footnoteRef/>
      </w:r>
      <w:hyperlink r:id="rId6" w:tgtFrame="_blank" w:history="1">
        <w:r w:rsidRPr="005230CE">
          <w:rPr>
            <w:rFonts w:ascii="Garamond" w:hAnsi="Garamond" w:cs="Times New Roman"/>
            <w:lang w:val="sq-AL"/>
          </w:rPr>
          <w:t>http://databaza.instat.gov.al/pxweb/sq/DST/START__MM/EM_01/?rxid=547ec986-8e3d-47d1-b25e-9d9b830dd3e5</w:t>
        </w:r>
      </w:hyperlink>
      <w:r w:rsidRPr="005230CE">
        <w:rPr>
          <w:rFonts w:ascii="Garamond" w:hAnsi="Garamond"/>
          <w:lang w:val="sq-AL"/>
        </w:rPr>
        <w:t xml:space="preserve">. </w:t>
      </w:r>
      <w:r w:rsidRPr="005230CE">
        <w:rPr>
          <w:rFonts w:ascii="Garamond" w:hAnsi="Garamond" w:cs="Times New Roman"/>
          <w:lang w:val="sq-AL"/>
        </w:rPr>
        <w:t>Të dhënat e IINSTAT</w:t>
      </w:r>
      <w:r w:rsidR="006A76BE">
        <w:rPr>
          <w:rFonts w:ascii="Garamond" w:hAnsi="Garamond" w:cs="Times New Roman"/>
          <w:lang w:val="sq-AL"/>
        </w:rPr>
        <w:t>-it</w:t>
      </w:r>
      <w:r w:rsidRPr="005230CE">
        <w:rPr>
          <w:rFonts w:ascii="Garamond" w:hAnsi="Garamond" w:cs="Times New Roman"/>
          <w:lang w:val="sq-AL"/>
        </w:rPr>
        <w:t xml:space="preserve"> janë: </w:t>
      </w:r>
      <w:r w:rsidR="000E6125">
        <w:rPr>
          <w:rFonts w:ascii="Garamond" w:hAnsi="Garamond" w:cs="Times New Roman"/>
          <w:lang w:val="sq-AL"/>
        </w:rPr>
        <w:t>e</w:t>
      </w:r>
      <w:r w:rsidRPr="005230CE">
        <w:rPr>
          <w:rFonts w:ascii="Garamond" w:hAnsi="Garamond" w:cs="Times New Roman"/>
          <w:lang w:val="sq-AL"/>
        </w:rPr>
        <w:t>migrantë 2016-2021 janë 220,878. Mesatare vjetore 2016-2021</w:t>
      </w:r>
      <w:r w:rsidR="006A76BE">
        <w:rPr>
          <w:rFonts w:ascii="Garamond" w:hAnsi="Garamond" w:cs="Times New Roman"/>
          <w:lang w:val="sq-AL"/>
        </w:rPr>
        <w:t>,</w:t>
      </w:r>
      <w:r w:rsidRPr="005230CE">
        <w:rPr>
          <w:rFonts w:ascii="Garamond" w:hAnsi="Garamond" w:cs="Times New Roman"/>
          <w:lang w:val="sq-AL"/>
        </w:rPr>
        <w:t xml:space="preserve"> janë: 36,813. Emigrantë për vitin 2021 janë: 42,048</w:t>
      </w:r>
    </w:p>
  </w:footnote>
  <w:footnote w:id="23">
    <w:p w14:paraId="574E3595" w14:textId="02C075DF" w:rsidR="002A4717" w:rsidRPr="005230CE" w:rsidRDefault="002A4717" w:rsidP="002F7250">
      <w:pPr>
        <w:spacing w:line="258" w:lineRule="auto"/>
        <w:rPr>
          <w:rFonts w:ascii="Garamond" w:hAnsi="Garamond"/>
        </w:rPr>
      </w:pPr>
      <w:r w:rsidRPr="005230CE">
        <w:rPr>
          <w:rFonts w:ascii="Garamond" w:hAnsi="Garamond" w:cs="Times New Roman"/>
          <w:sz w:val="16"/>
          <w:szCs w:val="16"/>
        </w:rPr>
        <w:t xml:space="preserve">Miratuar me </w:t>
      </w:r>
      <w:r w:rsidR="006B014A">
        <w:rPr>
          <w:rFonts w:ascii="Garamond" w:eastAsia="Garamond" w:hAnsi="Garamond" w:cs="Times New Roman"/>
          <w:sz w:val="16"/>
          <w:szCs w:val="16"/>
        </w:rPr>
        <w:t>v</w:t>
      </w:r>
      <w:r w:rsidRPr="005230CE">
        <w:rPr>
          <w:rFonts w:ascii="Garamond" w:eastAsia="Garamond" w:hAnsi="Garamond" w:cs="Times New Roman"/>
          <w:sz w:val="16"/>
          <w:szCs w:val="16"/>
        </w:rPr>
        <w:t xml:space="preserve">endimin e Këshillit të Ministrave </w:t>
      </w:r>
      <w:r w:rsidR="006B014A">
        <w:rPr>
          <w:rFonts w:ascii="Garamond" w:eastAsia="Garamond" w:hAnsi="Garamond" w:cs="Times New Roman"/>
          <w:sz w:val="16"/>
          <w:szCs w:val="16"/>
        </w:rPr>
        <w:t>n</w:t>
      </w:r>
      <w:r w:rsidRPr="005230CE">
        <w:rPr>
          <w:rFonts w:ascii="Garamond" w:eastAsia="Garamond" w:hAnsi="Garamond" w:cs="Times New Roman"/>
          <w:sz w:val="16"/>
          <w:szCs w:val="16"/>
        </w:rPr>
        <w:t>r. 91, datë 9.2.2022 “Për miratimin e Planit Kombëtar për Integrimin Evropian 2022–2024”.</w:t>
      </w:r>
    </w:p>
  </w:footnote>
  <w:footnote w:id="24">
    <w:p w14:paraId="574E3596" w14:textId="232A0D69" w:rsidR="002A4717" w:rsidRPr="005230CE" w:rsidRDefault="002A4717" w:rsidP="002F7250">
      <w:pPr>
        <w:spacing w:line="258" w:lineRule="auto"/>
        <w:rPr>
          <w:rFonts w:ascii="Garamond" w:hAnsi="Garamond"/>
        </w:rPr>
      </w:pPr>
      <w:r w:rsidRPr="005230CE">
        <w:rPr>
          <w:rFonts w:ascii="Garamond" w:hAnsi="Garamond" w:cs="Times New Roman"/>
          <w:sz w:val="16"/>
          <w:szCs w:val="16"/>
        </w:rPr>
        <w:t xml:space="preserve">Miratuar </w:t>
      </w:r>
      <w:r w:rsidRPr="005230CE">
        <w:rPr>
          <w:rFonts w:ascii="Garamond" w:eastAsia="Garamond" w:hAnsi="Garamond" w:cs="Times New Roman"/>
          <w:sz w:val="16"/>
          <w:szCs w:val="16"/>
        </w:rPr>
        <w:t>me vendimin e Këshillit të Ministrave nr. 91, datë 9.2.2022 “Për miratimin e Planit Kombëtar për Integrimin Evropian 2022–2024”</w:t>
      </w:r>
    </w:p>
  </w:footnote>
  <w:footnote w:id="25">
    <w:p w14:paraId="574E3597" w14:textId="0BE72D6D" w:rsidR="002A4717" w:rsidRPr="005230CE" w:rsidRDefault="002A4717" w:rsidP="002F7250">
      <w:pPr>
        <w:spacing w:line="258" w:lineRule="auto"/>
        <w:rPr>
          <w:rFonts w:ascii="Garamond" w:hAnsi="Garamond"/>
        </w:rPr>
      </w:pPr>
      <w:r w:rsidRPr="005230CE">
        <w:rPr>
          <w:rFonts w:ascii="Garamond" w:hAnsi="Garamond" w:cs="Times New Roman"/>
          <w:sz w:val="16"/>
          <w:szCs w:val="16"/>
        </w:rPr>
        <w:t xml:space="preserve">Miratuar me </w:t>
      </w:r>
      <w:r w:rsidRPr="005230CE">
        <w:rPr>
          <w:rFonts w:ascii="Garamond" w:eastAsia="Garamond" w:hAnsi="Garamond" w:cs="Times New Roman"/>
          <w:sz w:val="16"/>
          <w:szCs w:val="16"/>
        </w:rPr>
        <w:t>vendimin e Këshillit të Ministrave nr. 91, datë 9.2.2022 “Për miratimin e Planit Kombëtar për Integrimin Evropian 2022–2024”</w:t>
      </w:r>
    </w:p>
  </w:footnote>
  <w:footnote w:id="26">
    <w:p w14:paraId="574E3598" w14:textId="77777777" w:rsidR="002A4717" w:rsidRPr="005230CE" w:rsidRDefault="002A4717" w:rsidP="00C647C7">
      <w:pPr>
        <w:pStyle w:val="FootnoteText"/>
        <w:jc w:val="both"/>
        <w:rPr>
          <w:rFonts w:ascii="Garamond" w:hAnsi="Garamond"/>
          <w:lang w:val="sq-AL"/>
        </w:rPr>
      </w:pPr>
      <w:r w:rsidRPr="005230CE">
        <w:rPr>
          <w:rStyle w:val="FootnoteReference"/>
          <w:rFonts w:ascii="Garamond" w:hAnsi="Garamond"/>
          <w:lang w:val="sq-AL"/>
        </w:rPr>
        <w:footnoteRef/>
      </w:r>
      <w:r w:rsidRPr="005230CE">
        <w:rPr>
          <w:rFonts w:ascii="Garamond" w:hAnsi="Garamond"/>
          <w:lang w:val="sq-AL"/>
        </w:rPr>
        <w:t xml:space="preserve"> Assessment of sexual, reproductive, maternal, newborn, child and adolescent health in the context of universal health coverage in Albania, p 22. https://apps.who.int/iris/bitstream/handle/10665/330457/9789289054706-eng.pdf</w:t>
      </w:r>
    </w:p>
  </w:footnote>
  <w:footnote w:id="27">
    <w:p w14:paraId="574E3599" w14:textId="4966D6A6" w:rsidR="002A4717" w:rsidRPr="005230CE" w:rsidRDefault="002A4717" w:rsidP="00C647C7">
      <w:pPr>
        <w:pStyle w:val="FootnoteText"/>
        <w:jc w:val="both"/>
        <w:rPr>
          <w:rFonts w:ascii="Garamond" w:hAnsi="Garamond"/>
          <w:lang w:val="sq-AL"/>
        </w:rPr>
      </w:pPr>
      <w:r w:rsidRPr="005230CE">
        <w:rPr>
          <w:rStyle w:val="FootnoteReference"/>
          <w:rFonts w:ascii="Garamond" w:hAnsi="Garamond"/>
          <w:lang w:val="sq-AL"/>
        </w:rPr>
        <w:footnoteRef/>
      </w:r>
      <w:r w:rsidRPr="005230CE">
        <w:rPr>
          <w:rFonts w:ascii="Garamond" w:hAnsi="Garamond"/>
          <w:lang w:val="sq-AL"/>
        </w:rPr>
        <w:t xml:space="preserve"> </w:t>
      </w:r>
      <w:r w:rsidRPr="005230CE">
        <w:rPr>
          <w:rFonts w:ascii="Garamond" w:hAnsi="Garamond" w:cs="Times New Roman"/>
          <w:lang w:val="sq-AL"/>
        </w:rPr>
        <w:t xml:space="preserve">Studimi “Sjelljet </w:t>
      </w:r>
      <w:r>
        <w:rPr>
          <w:rFonts w:ascii="Garamond" w:hAnsi="Garamond" w:cs="Times New Roman"/>
          <w:lang w:val="sq-AL"/>
        </w:rPr>
        <w:t>s</w:t>
      </w:r>
      <w:r w:rsidRPr="005230CE">
        <w:rPr>
          <w:rFonts w:ascii="Garamond" w:hAnsi="Garamond" w:cs="Times New Roman"/>
          <w:lang w:val="sq-AL"/>
        </w:rPr>
        <w:t>hëndetësore të fëmijëve të moshës shkollore 11, 13 dhe 15 vjeç, 2017/18</w:t>
      </w:r>
      <w:r w:rsidR="0022676F">
        <w:rPr>
          <w:rFonts w:ascii="Garamond" w:hAnsi="Garamond" w:cs="Times New Roman"/>
          <w:lang w:val="sq-AL"/>
        </w:rPr>
        <w:t>”</w:t>
      </w:r>
      <w:r w:rsidRPr="005230CE">
        <w:rPr>
          <w:rFonts w:ascii="Garamond" w:hAnsi="Garamond" w:cs="Times New Roman"/>
          <w:lang w:val="sq-AL"/>
        </w:rPr>
        <w:t>.</w:t>
      </w:r>
    </w:p>
  </w:footnote>
  <w:footnote w:id="28">
    <w:p w14:paraId="574E359A" w14:textId="77777777" w:rsidR="002A4717" w:rsidRPr="005230CE" w:rsidRDefault="002A4717" w:rsidP="008B0FC5">
      <w:pPr>
        <w:pStyle w:val="FootnoteText"/>
        <w:rPr>
          <w:rFonts w:ascii="Garamond" w:hAnsi="Garamond"/>
          <w:lang w:val="sq-AL"/>
        </w:rPr>
      </w:pPr>
      <w:r w:rsidRPr="005230CE">
        <w:rPr>
          <w:rStyle w:val="FootnoteReference"/>
          <w:rFonts w:ascii="Garamond" w:hAnsi="Garamond"/>
          <w:lang w:val="sq-AL"/>
        </w:rPr>
        <w:footnoteRef/>
      </w:r>
      <w:r w:rsidRPr="005230CE">
        <w:rPr>
          <w:rFonts w:ascii="Garamond" w:hAnsi="Garamond"/>
          <w:lang w:val="sq-AL"/>
        </w:rPr>
        <w:t xml:space="preserve"> A Toolkit for Quality Standards on Youth Policy: </w:t>
      </w:r>
      <w:hyperlink r:id="rId7" w:history="1">
        <w:r w:rsidRPr="005230CE">
          <w:rPr>
            <w:rStyle w:val="Hyperlink"/>
            <w:rFonts w:ascii="Garamond" w:hAnsi="Garamond"/>
            <w:lang w:val="sq-AL"/>
          </w:rPr>
          <w:t>https://pjp-eu.coe.int/documents/42128013/47262391/Toolkit+on+Quality+Standards+for+Youth+Policy+-+European+Youth+Forum.pdf/c5d10d1b-c704-e45a-50f6-e0ace956ae42</w:t>
        </w:r>
      </w:hyperlink>
      <w:r w:rsidRPr="005230CE">
        <w:rPr>
          <w:rFonts w:ascii="Garamond" w:hAnsi="Garamond"/>
          <w:lang w:val="sq-AL"/>
        </w:rPr>
        <w:t xml:space="preserve"> </w:t>
      </w:r>
    </w:p>
  </w:footnote>
  <w:footnote w:id="29">
    <w:p w14:paraId="574E359B" w14:textId="77777777" w:rsidR="002A4717" w:rsidRPr="005230CE" w:rsidRDefault="002A4717" w:rsidP="008B0FC5">
      <w:pPr>
        <w:pStyle w:val="FootnoteText"/>
        <w:rPr>
          <w:rFonts w:ascii="Garamond" w:hAnsi="Garamond"/>
          <w:lang w:val="sq-AL"/>
        </w:rPr>
      </w:pPr>
      <w:r w:rsidRPr="005230CE">
        <w:rPr>
          <w:rStyle w:val="FootnoteReference"/>
          <w:rFonts w:ascii="Garamond" w:hAnsi="Garamond"/>
          <w:lang w:val="sq-AL"/>
        </w:rPr>
        <w:footnoteRef/>
      </w:r>
      <w:r w:rsidRPr="005230CE">
        <w:rPr>
          <w:rFonts w:ascii="Garamond" w:hAnsi="Garamond"/>
          <w:lang w:val="sq-AL"/>
        </w:rPr>
        <w:t xml:space="preserve"> Dokument Koncepti mbi Sistemin e Monitorimit dhe të Vlerësimit për Strategjinë Ndërsektoriale të Reformës në Administratën Publike të Shqipërisë, 2015: </w:t>
      </w:r>
      <w:hyperlink r:id="rId8" w:history="1">
        <w:r w:rsidRPr="005230CE">
          <w:rPr>
            <w:rStyle w:val="Hyperlink"/>
            <w:rFonts w:ascii="Garamond" w:hAnsi="Garamond"/>
            <w:lang w:val="sq-AL"/>
          </w:rPr>
          <w:t>https://www.dap.gov.al/images/DokumentaStrategjik/Dokument_Koncepti_mbi_Sistemin_e_Monitorimit_dhe_te_Vleresimit.pdf</w:t>
        </w:r>
      </w:hyperlink>
      <w:r w:rsidRPr="005230CE">
        <w:rPr>
          <w:rFonts w:ascii="Garamond" w:hAnsi="Garamond"/>
          <w:sz w:val="16"/>
          <w:lang w:val="sq-AL"/>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1310FB" w14:textId="77777777" w:rsidR="002A4717" w:rsidRDefault="002A47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D45363"/>
    <w:multiLevelType w:val="hybridMultilevel"/>
    <w:tmpl w:val="A666130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4C103AD"/>
    <w:multiLevelType w:val="hybridMultilevel"/>
    <w:tmpl w:val="5F7CA34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476F38BF"/>
    <w:multiLevelType w:val="hybridMultilevel"/>
    <w:tmpl w:val="76F635D8"/>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oNotDisplayPageBoundarie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4849"/>
    <w:rsid w:val="000128FD"/>
    <w:rsid w:val="0002048B"/>
    <w:rsid w:val="00025BB7"/>
    <w:rsid w:val="000534C2"/>
    <w:rsid w:val="00053B5D"/>
    <w:rsid w:val="00061638"/>
    <w:rsid w:val="00061D23"/>
    <w:rsid w:val="00065B36"/>
    <w:rsid w:val="00065EAE"/>
    <w:rsid w:val="00081887"/>
    <w:rsid w:val="0008439F"/>
    <w:rsid w:val="000932C1"/>
    <w:rsid w:val="00095F4D"/>
    <w:rsid w:val="000971B2"/>
    <w:rsid w:val="000B40DF"/>
    <w:rsid w:val="000D1E0F"/>
    <w:rsid w:val="000D6802"/>
    <w:rsid w:val="000E6125"/>
    <w:rsid w:val="00101B0A"/>
    <w:rsid w:val="00123940"/>
    <w:rsid w:val="00123CA5"/>
    <w:rsid w:val="00123E0B"/>
    <w:rsid w:val="00125B03"/>
    <w:rsid w:val="00127CA1"/>
    <w:rsid w:val="0013250B"/>
    <w:rsid w:val="00152A89"/>
    <w:rsid w:val="001C44D9"/>
    <w:rsid w:val="001D5FD0"/>
    <w:rsid w:val="001F0C0C"/>
    <w:rsid w:val="001F4528"/>
    <w:rsid w:val="001F51B5"/>
    <w:rsid w:val="002073BD"/>
    <w:rsid w:val="0022111D"/>
    <w:rsid w:val="0022676F"/>
    <w:rsid w:val="00233C37"/>
    <w:rsid w:val="002346C5"/>
    <w:rsid w:val="00237C9E"/>
    <w:rsid w:val="00246061"/>
    <w:rsid w:val="0026267B"/>
    <w:rsid w:val="00265758"/>
    <w:rsid w:val="00272EC0"/>
    <w:rsid w:val="0027606D"/>
    <w:rsid w:val="002842BC"/>
    <w:rsid w:val="002A22C5"/>
    <w:rsid w:val="002A4717"/>
    <w:rsid w:val="002A649E"/>
    <w:rsid w:val="002B3640"/>
    <w:rsid w:val="002D6157"/>
    <w:rsid w:val="002F3CE6"/>
    <w:rsid w:val="002F7250"/>
    <w:rsid w:val="00301E5B"/>
    <w:rsid w:val="003403C8"/>
    <w:rsid w:val="00343D09"/>
    <w:rsid w:val="00356B53"/>
    <w:rsid w:val="0035754B"/>
    <w:rsid w:val="00360B01"/>
    <w:rsid w:val="00364633"/>
    <w:rsid w:val="00364EE8"/>
    <w:rsid w:val="00372B71"/>
    <w:rsid w:val="0038059A"/>
    <w:rsid w:val="003839EA"/>
    <w:rsid w:val="003A012B"/>
    <w:rsid w:val="003A280A"/>
    <w:rsid w:val="003B0E4C"/>
    <w:rsid w:val="003B428A"/>
    <w:rsid w:val="003B4AFA"/>
    <w:rsid w:val="003D0A5E"/>
    <w:rsid w:val="003D4E43"/>
    <w:rsid w:val="003E3A24"/>
    <w:rsid w:val="003F0C6A"/>
    <w:rsid w:val="003F3A2C"/>
    <w:rsid w:val="004145CF"/>
    <w:rsid w:val="00444B63"/>
    <w:rsid w:val="00467E23"/>
    <w:rsid w:val="004722F7"/>
    <w:rsid w:val="0047619D"/>
    <w:rsid w:val="00480179"/>
    <w:rsid w:val="00490695"/>
    <w:rsid w:val="004A51E8"/>
    <w:rsid w:val="004B2DAF"/>
    <w:rsid w:val="004B2DE4"/>
    <w:rsid w:val="004B553E"/>
    <w:rsid w:val="004C7786"/>
    <w:rsid w:val="004F08CB"/>
    <w:rsid w:val="00500C03"/>
    <w:rsid w:val="00521F97"/>
    <w:rsid w:val="005230CE"/>
    <w:rsid w:val="00527FA6"/>
    <w:rsid w:val="005443BF"/>
    <w:rsid w:val="0054549D"/>
    <w:rsid w:val="005511CC"/>
    <w:rsid w:val="005626EC"/>
    <w:rsid w:val="00573EA2"/>
    <w:rsid w:val="0058775E"/>
    <w:rsid w:val="00590695"/>
    <w:rsid w:val="005A4CB9"/>
    <w:rsid w:val="005B76AE"/>
    <w:rsid w:val="005C113D"/>
    <w:rsid w:val="005C2C08"/>
    <w:rsid w:val="005C6983"/>
    <w:rsid w:val="005E1BE8"/>
    <w:rsid w:val="005E62A6"/>
    <w:rsid w:val="005F5A9E"/>
    <w:rsid w:val="00604BB1"/>
    <w:rsid w:val="00613E75"/>
    <w:rsid w:val="006643CC"/>
    <w:rsid w:val="006A76BE"/>
    <w:rsid w:val="006B014A"/>
    <w:rsid w:val="006B1224"/>
    <w:rsid w:val="006F005D"/>
    <w:rsid w:val="006F21C5"/>
    <w:rsid w:val="006F7F4C"/>
    <w:rsid w:val="00700750"/>
    <w:rsid w:val="007020A1"/>
    <w:rsid w:val="00716784"/>
    <w:rsid w:val="00753791"/>
    <w:rsid w:val="00755C27"/>
    <w:rsid w:val="007667E7"/>
    <w:rsid w:val="00770F13"/>
    <w:rsid w:val="007922B5"/>
    <w:rsid w:val="007B44CB"/>
    <w:rsid w:val="007C20F4"/>
    <w:rsid w:val="007D4822"/>
    <w:rsid w:val="007D677B"/>
    <w:rsid w:val="007E38E4"/>
    <w:rsid w:val="007F11BA"/>
    <w:rsid w:val="007F39C9"/>
    <w:rsid w:val="008041AB"/>
    <w:rsid w:val="008041DB"/>
    <w:rsid w:val="00805EE6"/>
    <w:rsid w:val="00812AD8"/>
    <w:rsid w:val="0081605B"/>
    <w:rsid w:val="00816900"/>
    <w:rsid w:val="00827C8E"/>
    <w:rsid w:val="00834C0B"/>
    <w:rsid w:val="00840F2D"/>
    <w:rsid w:val="0084105F"/>
    <w:rsid w:val="00846A86"/>
    <w:rsid w:val="00867A15"/>
    <w:rsid w:val="00870BD9"/>
    <w:rsid w:val="00875380"/>
    <w:rsid w:val="008802C8"/>
    <w:rsid w:val="008804FA"/>
    <w:rsid w:val="0088732E"/>
    <w:rsid w:val="008B0FC5"/>
    <w:rsid w:val="008B63B6"/>
    <w:rsid w:val="008C0679"/>
    <w:rsid w:val="008C3E7E"/>
    <w:rsid w:val="008C612B"/>
    <w:rsid w:val="008E112F"/>
    <w:rsid w:val="008E7640"/>
    <w:rsid w:val="008F7D51"/>
    <w:rsid w:val="0090599B"/>
    <w:rsid w:val="0093348A"/>
    <w:rsid w:val="009336ED"/>
    <w:rsid w:val="00936BF4"/>
    <w:rsid w:val="00950F24"/>
    <w:rsid w:val="00951336"/>
    <w:rsid w:val="00960B5E"/>
    <w:rsid w:val="00962755"/>
    <w:rsid w:val="009941D7"/>
    <w:rsid w:val="009A5B69"/>
    <w:rsid w:val="009B12DC"/>
    <w:rsid w:val="009E46DF"/>
    <w:rsid w:val="009F59C4"/>
    <w:rsid w:val="00A06116"/>
    <w:rsid w:val="00A0721F"/>
    <w:rsid w:val="00A14B26"/>
    <w:rsid w:val="00A21382"/>
    <w:rsid w:val="00A31960"/>
    <w:rsid w:val="00A347F2"/>
    <w:rsid w:val="00A34849"/>
    <w:rsid w:val="00A46A94"/>
    <w:rsid w:val="00A83D87"/>
    <w:rsid w:val="00A903DC"/>
    <w:rsid w:val="00AA3778"/>
    <w:rsid w:val="00AC10D3"/>
    <w:rsid w:val="00AC46F6"/>
    <w:rsid w:val="00AE2512"/>
    <w:rsid w:val="00AF3D4B"/>
    <w:rsid w:val="00B01885"/>
    <w:rsid w:val="00B10BE3"/>
    <w:rsid w:val="00B229EC"/>
    <w:rsid w:val="00B2418D"/>
    <w:rsid w:val="00B24660"/>
    <w:rsid w:val="00B36971"/>
    <w:rsid w:val="00B50C16"/>
    <w:rsid w:val="00B51C77"/>
    <w:rsid w:val="00B601C9"/>
    <w:rsid w:val="00B62513"/>
    <w:rsid w:val="00B729EF"/>
    <w:rsid w:val="00BB6900"/>
    <w:rsid w:val="00BC1D73"/>
    <w:rsid w:val="00BC2136"/>
    <w:rsid w:val="00BC220E"/>
    <w:rsid w:val="00BC2C86"/>
    <w:rsid w:val="00BC3D2E"/>
    <w:rsid w:val="00BE3442"/>
    <w:rsid w:val="00BE618E"/>
    <w:rsid w:val="00BE7B59"/>
    <w:rsid w:val="00BF003C"/>
    <w:rsid w:val="00BF04DE"/>
    <w:rsid w:val="00C011B4"/>
    <w:rsid w:val="00C36C2F"/>
    <w:rsid w:val="00C42FE4"/>
    <w:rsid w:val="00C4576C"/>
    <w:rsid w:val="00C53C75"/>
    <w:rsid w:val="00C647C7"/>
    <w:rsid w:val="00C72847"/>
    <w:rsid w:val="00C756B0"/>
    <w:rsid w:val="00C90677"/>
    <w:rsid w:val="00C948E7"/>
    <w:rsid w:val="00CB1711"/>
    <w:rsid w:val="00CB1F75"/>
    <w:rsid w:val="00CC519F"/>
    <w:rsid w:val="00CE4EC8"/>
    <w:rsid w:val="00D034D6"/>
    <w:rsid w:val="00D33CF5"/>
    <w:rsid w:val="00D43788"/>
    <w:rsid w:val="00D476D1"/>
    <w:rsid w:val="00D540B0"/>
    <w:rsid w:val="00D62CC3"/>
    <w:rsid w:val="00D67534"/>
    <w:rsid w:val="00D83BA7"/>
    <w:rsid w:val="00D909BE"/>
    <w:rsid w:val="00D910EB"/>
    <w:rsid w:val="00D92565"/>
    <w:rsid w:val="00DA0BCC"/>
    <w:rsid w:val="00DA0E84"/>
    <w:rsid w:val="00DA6C78"/>
    <w:rsid w:val="00DC7157"/>
    <w:rsid w:val="00DD23C1"/>
    <w:rsid w:val="00DD732A"/>
    <w:rsid w:val="00E163BC"/>
    <w:rsid w:val="00E24B3A"/>
    <w:rsid w:val="00E63F88"/>
    <w:rsid w:val="00E83C5E"/>
    <w:rsid w:val="00E8745E"/>
    <w:rsid w:val="00E93511"/>
    <w:rsid w:val="00EB2F5E"/>
    <w:rsid w:val="00EB3E56"/>
    <w:rsid w:val="00EE3511"/>
    <w:rsid w:val="00EE5150"/>
    <w:rsid w:val="00F00CCB"/>
    <w:rsid w:val="00F06470"/>
    <w:rsid w:val="00F228F8"/>
    <w:rsid w:val="00F35B92"/>
    <w:rsid w:val="00F5401F"/>
    <w:rsid w:val="00F75DFB"/>
    <w:rsid w:val="00F83B48"/>
    <w:rsid w:val="00F90BDE"/>
    <w:rsid w:val="00F93EC4"/>
    <w:rsid w:val="00FB3187"/>
    <w:rsid w:val="00FC79F1"/>
    <w:rsid w:val="00FE0408"/>
    <w:rsid w:val="00FF1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294A"/>
  <w15:docId w15:val="{03048E08-B714-4543-B11F-D9DB2DC2E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aliases w:val="1 heading"/>
    <w:basedOn w:val="Normal"/>
    <w:next w:val="Normal"/>
    <w:link w:val="Heading1Char"/>
    <w:uiPriority w:val="9"/>
    <w:qFormat/>
    <w:rsid w:val="004F08CB"/>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GB"/>
    </w:rPr>
  </w:style>
  <w:style w:type="paragraph" w:styleId="Heading2">
    <w:name w:val="heading 2"/>
    <w:basedOn w:val="Normal"/>
    <w:next w:val="Normal"/>
    <w:link w:val="Heading2Char"/>
    <w:uiPriority w:val="9"/>
    <w:unhideWhenUsed/>
    <w:qFormat/>
    <w:rsid w:val="004F08CB"/>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F08CB"/>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4F08CB"/>
    <w:pPr>
      <w:keepNext/>
      <w:keepLines/>
      <w:spacing w:before="40" w:after="0" w:line="259" w:lineRule="auto"/>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heading Char"/>
    <w:basedOn w:val="DefaultParagraphFont"/>
    <w:link w:val="Heading1"/>
    <w:uiPriority w:val="9"/>
    <w:rsid w:val="004F08CB"/>
    <w:rPr>
      <w:rFonts w:asciiTheme="majorHAnsi" w:eastAsiaTheme="majorEastAsia" w:hAnsiTheme="majorHAnsi" w:cstheme="majorBidi"/>
      <w:color w:val="365F91" w:themeColor="accent1" w:themeShade="BF"/>
      <w:sz w:val="32"/>
      <w:szCs w:val="32"/>
      <w:lang w:val="en-GB"/>
    </w:rPr>
  </w:style>
  <w:style w:type="character" w:customStyle="1" w:styleId="Heading2Char">
    <w:name w:val="Heading 2 Char"/>
    <w:basedOn w:val="DefaultParagraphFont"/>
    <w:link w:val="Heading2"/>
    <w:uiPriority w:val="9"/>
    <w:rsid w:val="004F08CB"/>
    <w:rPr>
      <w:rFonts w:asciiTheme="majorHAnsi" w:eastAsiaTheme="majorEastAsia" w:hAnsiTheme="majorHAnsi" w:cstheme="majorBidi"/>
      <w:color w:val="365F91" w:themeColor="accent1" w:themeShade="BF"/>
      <w:sz w:val="26"/>
      <w:szCs w:val="26"/>
      <w:lang w:val="sq-AL"/>
    </w:rPr>
  </w:style>
  <w:style w:type="character" w:customStyle="1" w:styleId="Heading3Char">
    <w:name w:val="Heading 3 Char"/>
    <w:basedOn w:val="DefaultParagraphFont"/>
    <w:link w:val="Heading3"/>
    <w:uiPriority w:val="9"/>
    <w:rsid w:val="004F08CB"/>
    <w:rPr>
      <w:rFonts w:asciiTheme="majorHAnsi" w:eastAsiaTheme="majorEastAsia" w:hAnsiTheme="majorHAnsi" w:cstheme="majorBidi"/>
      <w:color w:val="243F60" w:themeColor="accent1" w:themeShade="7F"/>
      <w:sz w:val="24"/>
      <w:szCs w:val="24"/>
      <w:lang w:val="sq-AL"/>
    </w:rPr>
  </w:style>
  <w:style w:type="character" w:customStyle="1" w:styleId="Heading4Char">
    <w:name w:val="Heading 4 Char"/>
    <w:basedOn w:val="DefaultParagraphFont"/>
    <w:link w:val="Heading4"/>
    <w:uiPriority w:val="9"/>
    <w:rsid w:val="004F08CB"/>
    <w:rPr>
      <w:rFonts w:asciiTheme="majorHAnsi" w:eastAsiaTheme="majorEastAsia" w:hAnsiTheme="majorHAnsi" w:cstheme="majorBidi"/>
      <w:i/>
      <w:iCs/>
      <w:color w:val="365F91" w:themeColor="accent1" w:themeShade="BF"/>
      <w:lang w:val="sq-AL"/>
    </w:rPr>
  </w:style>
  <w:style w:type="paragraph" w:styleId="Title">
    <w:name w:val="Title"/>
    <w:basedOn w:val="Normal"/>
    <w:next w:val="Normal"/>
    <w:link w:val="TitleChar"/>
    <w:uiPriority w:val="10"/>
    <w:qFormat/>
    <w:rsid w:val="00B36971"/>
    <w:pPr>
      <w:spacing w:after="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B36971"/>
    <w:rPr>
      <w:rFonts w:asciiTheme="majorHAnsi" w:eastAsiaTheme="majorEastAsia" w:hAnsiTheme="majorHAnsi" w:cstheme="majorBidi"/>
      <w:spacing w:val="-10"/>
      <w:kern w:val="28"/>
      <w:sz w:val="56"/>
      <w:szCs w:val="56"/>
      <w:lang w:val="en-GB"/>
    </w:rPr>
  </w:style>
  <w:style w:type="paragraph" w:customStyle="1" w:styleId="TEKSTIII">
    <w:name w:val="TEKSTIII"/>
    <w:basedOn w:val="Normal"/>
    <w:qFormat/>
    <w:rsid w:val="00065EAE"/>
    <w:pPr>
      <w:spacing w:after="0" w:line="240" w:lineRule="auto"/>
      <w:ind w:firstLine="284"/>
      <w:jc w:val="both"/>
    </w:pPr>
    <w:rPr>
      <w:rFonts w:ascii="Garamond" w:hAnsi="Garamond"/>
      <w:sz w:val="24"/>
      <w:szCs w:val="24"/>
    </w:rPr>
  </w:style>
  <w:style w:type="paragraph" w:styleId="FootnoteText">
    <w:name w:val="footnote text"/>
    <w:basedOn w:val="Normal"/>
    <w:link w:val="FootnoteTextChar"/>
    <w:uiPriority w:val="99"/>
    <w:unhideWhenUsed/>
    <w:rsid w:val="004F08CB"/>
    <w:pPr>
      <w:spacing w:after="0" w:line="240" w:lineRule="auto"/>
    </w:pPr>
    <w:rPr>
      <w:sz w:val="20"/>
      <w:szCs w:val="20"/>
      <w:lang w:val="en-GB"/>
    </w:rPr>
  </w:style>
  <w:style w:type="character" w:customStyle="1" w:styleId="FootnoteTextChar">
    <w:name w:val="Footnote Text Char"/>
    <w:basedOn w:val="DefaultParagraphFont"/>
    <w:link w:val="FootnoteText"/>
    <w:uiPriority w:val="99"/>
    <w:rsid w:val="004F08CB"/>
    <w:rPr>
      <w:sz w:val="20"/>
      <w:szCs w:val="20"/>
      <w:lang w:val="en-GB"/>
    </w:rPr>
  </w:style>
  <w:style w:type="character" w:customStyle="1" w:styleId="jlqj4b">
    <w:name w:val="jlqj4b"/>
    <w:basedOn w:val="DefaultParagraphFont"/>
    <w:rsid w:val="004F08CB"/>
  </w:style>
  <w:style w:type="paragraph" w:customStyle="1" w:styleId="NoSpacing2">
    <w:name w:val="No Spacing2"/>
    <w:uiPriority w:val="1"/>
    <w:qFormat/>
    <w:rsid w:val="004F08CB"/>
    <w:pPr>
      <w:spacing w:after="0" w:line="240" w:lineRule="auto"/>
    </w:pPr>
    <w:rPr>
      <w:rFonts w:ascii="Arial" w:eastAsia="Times New Roman" w:hAnsi="Arial" w:cs="Times New Roman"/>
      <w:szCs w:val="20"/>
      <w:lang w:val="en-GB"/>
    </w:rPr>
  </w:style>
  <w:style w:type="character" w:styleId="FootnoteReference">
    <w:name w:val="footnote reference"/>
    <w:basedOn w:val="DefaultParagraphFont"/>
    <w:uiPriority w:val="99"/>
    <w:unhideWhenUsed/>
    <w:rsid w:val="004F08CB"/>
    <w:rPr>
      <w:vertAlign w:val="superscript"/>
    </w:rPr>
  </w:style>
  <w:style w:type="paragraph" w:styleId="ListParagraph">
    <w:name w:val="List Paragraph"/>
    <w:aliases w:val="Bullet List,FooterText,List Paragraph1,Colorful List Accent 1,Colorful List - Accent 11,numbered,Paragraphe de liste1,列出段落,列出段落1,Bulletr List Paragraph,List Paragraph2,List Paragraph21,Párrafo de lista1,Parágrafo da Lista1,リスト段落1,Plan,lp1"/>
    <w:basedOn w:val="Normal"/>
    <w:link w:val="ListParagraphChar"/>
    <w:uiPriority w:val="34"/>
    <w:qFormat/>
    <w:rsid w:val="004F08CB"/>
    <w:pPr>
      <w:spacing w:after="0" w:line="288" w:lineRule="auto"/>
      <w:ind w:left="720"/>
      <w:contextualSpacing/>
      <w:jc w:val="both"/>
    </w:pPr>
    <w:rPr>
      <w:rFonts w:ascii="Calibri Light" w:eastAsiaTheme="minorEastAsia" w:hAnsi="Calibri Light"/>
      <w:sz w:val="24"/>
      <w:szCs w:val="20"/>
      <w:lang w:val="en-US"/>
    </w:rPr>
  </w:style>
  <w:style w:type="character" w:customStyle="1" w:styleId="ListParagraphChar">
    <w:name w:val="List Paragraph Char"/>
    <w:aliases w:val="Bullet List Char,FooterText Char,List Paragraph1 Char,Colorful List Accent 1 Char,Colorful List - Accent 11 Char,numbered Char,Paragraphe de liste1 Char,列出段落 Char,列出段落1 Char,Bulletr List Paragraph Char,List Paragraph2 Char,Plan Char"/>
    <w:basedOn w:val="DefaultParagraphFont"/>
    <w:link w:val="ListParagraph"/>
    <w:uiPriority w:val="34"/>
    <w:qFormat/>
    <w:locked/>
    <w:rsid w:val="004F08CB"/>
    <w:rPr>
      <w:rFonts w:ascii="Calibri Light" w:eastAsiaTheme="minorEastAsia" w:hAnsi="Calibri Light"/>
      <w:sz w:val="24"/>
      <w:szCs w:val="20"/>
    </w:rPr>
  </w:style>
  <w:style w:type="paragraph" w:styleId="NoSpacing">
    <w:name w:val="No Spacing"/>
    <w:link w:val="NoSpacingChar"/>
    <w:uiPriority w:val="1"/>
    <w:qFormat/>
    <w:rsid w:val="004F08CB"/>
    <w:pPr>
      <w:spacing w:after="0" w:line="240" w:lineRule="auto"/>
    </w:pPr>
    <w:rPr>
      <w:rFonts w:ascii="Calibri" w:eastAsia="Calibri" w:hAnsi="Calibri" w:cs="Times New Roman"/>
      <w:lang w:val="en-GB"/>
    </w:rPr>
  </w:style>
  <w:style w:type="character" w:customStyle="1" w:styleId="NoSpacingChar">
    <w:name w:val="No Spacing Char"/>
    <w:basedOn w:val="DefaultParagraphFont"/>
    <w:link w:val="NoSpacing"/>
    <w:uiPriority w:val="1"/>
    <w:rsid w:val="004F08CB"/>
    <w:rPr>
      <w:rFonts w:ascii="Calibri" w:eastAsia="Calibri" w:hAnsi="Calibri" w:cs="Times New Roman"/>
      <w:lang w:val="en-GB"/>
    </w:rPr>
  </w:style>
  <w:style w:type="paragraph" w:customStyle="1" w:styleId="Default">
    <w:name w:val="Default"/>
    <w:rsid w:val="004F08CB"/>
    <w:pPr>
      <w:autoSpaceDE w:val="0"/>
      <w:autoSpaceDN w:val="0"/>
      <w:adjustRightInd w:val="0"/>
      <w:spacing w:after="0" w:line="240" w:lineRule="auto"/>
    </w:pPr>
    <w:rPr>
      <w:rFonts w:ascii="Calibri" w:eastAsia="Times New Roman" w:hAnsi="Calibri" w:cs="Calibri"/>
      <w:color w:val="000000"/>
      <w:sz w:val="24"/>
      <w:szCs w:val="24"/>
    </w:rPr>
  </w:style>
  <w:style w:type="character" w:styleId="Hyperlink">
    <w:name w:val="Hyperlink"/>
    <w:basedOn w:val="DefaultParagraphFont"/>
    <w:uiPriority w:val="99"/>
    <w:unhideWhenUsed/>
    <w:rsid w:val="004F08CB"/>
    <w:rPr>
      <w:color w:val="0000FF" w:themeColor="hyperlink"/>
      <w:u w:val="single"/>
    </w:rPr>
  </w:style>
  <w:style w:type="character" w:customStyle="1" w:styleId="cf01">
    <w:name w:val="cf01"/>
    <w:rsid w:val="004F08CB"/>
    <w:rPr>
      <w:rFonts w:ascii="Segoe UI" w:hAnsi="Segoe UI" w:cs="Segoe UI" w:hint="default"/>
      <w:sz w:val="18"/>
      <w:szCs w:val="18"/>
    </w:rPr>
  </w:style>
  <w:style w:type="character" w:customStyle="1" w:styleId="BodyTextChar">
    <w:name w:val="Body Text Char"/>
    <w:link w:val="BodyText"/>
    <w:rsid w:val="004F08CB"/>
    <w:rPr>
      <w:rFonts w:ascii="Garamond" w:eastAsia="Garamond" w:hAnsi="Garamond" w:cs="Garamond"/>
      <w:szCs w:val="24"/>
      <w:shd w:val="clear" w:color="auto" w:fill="FFFFFF"/>
    </w:rPr>
  </w:style>
  <w:style w:type="paragraph" w:styleId="BodyText">
    <w:name w:val="Body Text"/>
    <w:basedOn w:val="Normal"/>
    <w:link w:val="BodyTextChar"/>
    <w:qFormat/>
    <w:rsid w:val="004F08CB"/>
    <w:pPr>
      <w:widowControl w:val="0"/>
      <w:shd w:val="clear" w:color="auto" w:fill="FFFFFF"/>
      <w:spacing w:after="0" w:line="240" w:lineRule="auto"/>
      <w:ind w:firstLine="300"/>
    </w:pPr>
    <w:rPr>
      <w:rFonts w:ascii="Garamond" w:eastAsia="Garamond" w:hAnsi="Garamond" w:cs="Garamond"/>
      <w:szCs w:val="24"/>
      <w:lang w:val="en-US"/>
    </w:rPr>
  </w:style>
  <w:style w:type="character" w:customStyle="1" w:styleId="BodyTextChar1">
    <w:name w:val="Body Text Char1"/>
    <w:basedOn w:val="DefaultParagraphFont"/>
    <w:uiPriority w:val="99"/>
    <w:semiHidden/>
    <w:rsid w:val="004F08CB"/>
    <w:rPr>
      <w:lang w:val="sq-AL"/>
    </w:rPr>
  </w:style>
  <w:style w:type="character" w:customStyle="1" w:styleId="markedcontent">
    <w:name w:val="markedcontent"/>
    <w:basedOn w:val="DefaultParagraphFont"/>
    <w:rsid w:val="004F08CB"/>
  </w:style>
  <w:style w:type="paragraph" w:styleId="BalloonText">
    <w:name w:val="Balloon Text"/>
    <w:basedOn w:val="Normal"/>
    <w:link w:val="BalloonTextChar"/>
    <w:uiPriority w:val="99"/>
    <w:semiHidden/>
    <w:unhideWhenUsed/>
    <w:rsid w:val="00B50C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0C16"/>
    <w:rPr>
      <w:rFonts w:ascii="Tahoma" w:hAnsi="Tahoma" w:cs="Tahoma"/>
      <w:sz w:val="16"/>
      <w:szCs w:val="16"/>
      <w:lang w:val="sq-AL"/>
    </w:rPr>
  </w:style>
  <w:style w:type="table" w:customStyle="1" w:styleId="GridTable1Light-Accent11">
    <w:name w:val="Grid Table 1 Light - Accent 11"/>
    <w:basedOn w:val="TableNormal"/>
    <w:uiPriority w:val="46"/>
    <w:rsid w:val="00604BB1"/>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604BB1"/>
    <w:pPr>
      <w:spacing w:line="240" w:lineRule="auto"/>
    </w:pPr>
    <w:rPr>
      <w:i/>
      <w:iCs/>
      <w:color w:val="1F497D" w:themeColor="text2"/>
      <w:sz w:val="18"/>
      <w:szCs w:val="18"/>
    </w:rPr>
  </w:style>
  <w:style w:type="table" w:customStyle="1" w:styleId="GridTable1Light-Accent51">
    <w:name w:val="Grid Table 1 Light - Accent 51"/>
    <w:basedOn w:val="TableNormal"/>
    <w:uiPriority w:val="46"/>
    <w:rsid w:val="00AE2512"/>
    <w:pPr>
      <w:spacing w:after="0" w:line="240" w:lineRule="auto"/>
    </w:p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2F7250"/>
    <w:rPr>
      <w:sz w:val="16"/>
      <w:szCs w:val="16"/>
    </w:rPr>
  </w:style>
  <w:style w:type="paragraph" w:styleId="CommentText">
    <w:name w:val="annotation text"/>
    <w:basedOn w:val="Normal"/>
    <w:link w:val="CommentTextChar"/>
    <w:uiPriority w:val="99"/>
    <w:unhideWhenUsed/>
    <w:rsid w:val="002F7250"/>
    <w:pPr>
      <w:spacing w:after="160" w:line="240" w:lineRule="auto"/>
    </w:pPr>
    <w:rPr>
      <w:sz w:val="20"/>
      <w:szCs w:val="20"/>
      <w:lang w:val="en-GB"/>
    </w:rPr>
  </w:style>
  <w:style w:type="character" w:customStyle="1" w:styleId="CommentTextChar">
    <w:name w:val="Comment Text Char"/>
    <w:basedOn w:val="DefaultParagraphFont"/>
    <w:link w:val="CommentText"/>
    <w:uiPriority w:val="99"/>
    <w:rsid w:val="002F7250"/>
    <w:rPr>
      <w:sz w:val="20"/>
      <w:szCs w:val="20"/>
      <w:lang w:val="en-GB"/>
    </w:rPr>
  </w:style>
  <w:style w:type="paragraph" w:styleId="Header">
    <w:name w:val="header"/>
    <w:basedOn w:val="Normal"/>
    <w:link w:val="HeaderChar"/>
    <w:uiPriority w:val="99"/>
    <w:unhideWhenUsed/>
    <w:rsid w:val="002F72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7250"/>
    <w:rPr>
      <w:lang w:val="sq-AL"/>
    </w:rPr>
  </w:style>
  <w:style w:type="paragraph" w:styleId="Footer">
    <w:name w:val="footer"/>
    <w:basedOn w:val="Normal"/>
    <w:link w:val="FooterChar"/>
    <w:uiPriority w:val="99"/>
    <w:unhideWhenUsed/>
    <w:rsid w:val="002F72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7250"/>
    <w:rPr>
      <w:lang w:val="sq-AL"/>
    </w:rPr>
  </w:style>
  <w:style w:type="table" w:styleId="TableGrid">
    <w:name w:val="Table Grid"/>
    <w:basedOn w:val="TableNormal"/>
    <w:uiPriority w:val="39"/>
    <w:rsid w:val="002F72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2F7250"/>
    <w:rPr>
      <w:b/>
      <w:bCs/>
      <w:lang w:val="sq-AL"/>
    </w:rPr>
  </w:style>
  <w:style w:type="character" w:customStyle="1" w:styleId="CommentSubjectChar">
    <w:name w:val="Comment Subject Char"/>
    <w:basedOn w:val="CommentTextChar"/>
    <w:link w:val="CommentSubject"/>
    <w:uiPriority w:val="99"/>
    <w:semiHidden/>
    <w:rsid w:val="002F7250"/>
    <w:rPr>
      <w:b/>
      <w:bCs/>
      <w:sz w:val="20"/>
      <w:szCs w:val="20"/>
      <w:lang w:val="sq-AL"/>
    </w:rPr>
  </w:style>
  <w:style w:type="character" w:customStyle="1" w:styleId="viiyi">
    <w:name w:val="viiyi"/>
    <w:basedOn w:val="DefaultParagraphFont"/>
    <w:rsid w:val="002F7250"/>
  </w:style>
  <w:style w:type="table" w:customStyle="1" w:styleId="GridTable5Dark-Accent11">
    <w:name w:val="Grid Table 5 Dark - Accent 11"/>
    <w:basedOn w:val="TableNormal"/>
    <w:uiPriority w:val="50"/>
    <w:rsid w:val="002F7250"/>
    <w:pPr>
      <w:spacing w:after="0" w:line="240" w:lineRule="auto"/>
    </w:pPr>
    <w:rPr>
      <w:rFonts w:eastAsia="MS Mincho"/>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lWeb">
    <w:name w:val="Normal (Web)"/>
    <w:basedOn w:val="Normal"/>
    <w:uiPriority w:val="99"/>
    <w:semiHidden/>
    <w:unhideWhenUsed/>
    <w:rsid w:val="002F7250"/>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styleId="Strong">
    <w:name w:val="Strong"/>
    <w:basedOn w:val="DefaultParagraphFont"/>
    <w:uiPriority w:val="22"/>
    <w:qFormat/>
    <w:rsid w:val="002F7250"/>
    <w:rPr>
      <w:b/>
      <w:bCs/>
    </w:rPr>
  </w:style>
  <w:style w:type="table" w:styleId="ColorfulGrid-Accent1">
    <w:name w:val="Colorful Grid Accent 1"/>
    <w:basedOn w:val="TableNormal"/>
    <w:uiPriority w:val="73"/>
    <w:rsid w:val="002F7250"/>
    <w:pPr>
      <w:spacing w:after="0" w:line="240" w:lineRule="auto"/>
    </w:pPr>
    <w:rPr>
      <w:rFonts w:eastAsiaTheme="minorEastAsia"/>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Revision">
    <w:name w:val="Revision"/>
    <w:hidden/>
    <w:uiPriority w:val="99"/>
    <w:semiHidden/>
    <w:rsid w:val="002F7250"/>
    <w:pPr>
      <w:spacing w:after="0" w:line="240" w:lineRule="auto"/>
    </w:pPr>
    <w:rPr>
      <w:lang w:val="sq-AL"/>
    </w:rPr>
  </w:style>
  <w:style w:type="table" w:customStyle="1" w:styleId="GridTable5Dark-Accent51">
    <w:name w:val="Grid Table 5 Dark - Accent 51"/>
    <w:basedOn w:val="TableNormal"/>
    <w:uiPriority w:val="50"/>
    <w:rsid w:val="002F7250"/>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12">
    <w:name w:val="Grid Table 5 Dark - Accent 12"/>
    <w:basedOn w:val="TableNormal"/>
    <w:uiPriority w:val="50"/>
    <w:rsid w:val="002F7250"/>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Subtitle">
    <w:name w:val="Subtitle"/>
    <w:basedOn w:val="Normal"/>
    <w:next w:val="Normal"/>
    <w:link w:val="SubtitleChar"/>
    <w:uiPriority w:val="11"/>
    <w:qFormat/>
    <w:rsid w:val="002F7250"/>
    <w:pPr>
      <w:numPr>
        <w:ilvl w:val="1"/>
      </w:numPr>
      <w:spacing w:after="160" w:line="259" w:lineRule="auto"/>
    </w:pPr>
    <w:rPr>
      <w:rFonts w:eastAsiaTheme="minorEastAsia"/>
      <w:color w:val="5A5A5A" w:themeColor="text1" w:themeTint="A5"/>
      <w:spacing w:val="15"/>
      <w:lang w:val="en-GB"/>
    </w:rPr>
  </w:style>
  <w:style w:type="character" w:customStyle="1" w:styleId="SubtitleChar">
    <w:name w:val="Subtitle Char"/>
    <w:basedOn w:val="DefaultParagraphFont"/>
    <w:link w:val="Subtitle"/>
    <w:uiPriority w:val="11"/>
    <w:rsid w:val="002F7250"/>
    <w:rPr>
      <w:rFonts w:eastAsiaTheme="minorEastAsia"/>
      <w:color w:val="5A5A5A" w:themeColor="text1" w:themeTint="A5"/>
      <w:spacing w:val="15"/>
      <w:lang w:val="en-GB"/>
    </w:rPr>
  </w:style>
  <w:style w:type="table" w:customStyle="1" w:styleId="GridTable4-Accent11">
    <w:name w:val="Grid Table 4 - Accent 11"/>
    <w:basedOn w:val="TableNormal"/>
    <w:uiPriority w:val="49"/>
    <w:rsid w:val="002F7250"/>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gmail-msolistparagraph">
    <w:name w:val="gmail-msolistparagraph"/>
    <w:basedOn w:val="Normal"/>
    <w:uiPriority w:val="99"/>
    <w:rsid w:val="002F7250"/>
    <w:pPr>
      <w:spacing w:after="0" w:line="240" w:lineRule="auto"/>
    </w:pPr>
    <w:rPr>
      <w:rFonts w:ascii="Times New Roman" w:hAnsi="Times New Roman" w:cs="Times New Roman"/>
      <w:sz w:val="24"/>
      <w:szCs w:val="24"/>
      <w:lang w:val="en-US"/>
    </w:rPr>
  </w:style>
  <w:style w:type="character" w:customStyle="1" w:styleId="spelle">
    <w:name w:val="spelle"/>
    <w:basedOn w:val="DefaultParagraphFont"/>
    <w:rsid w:val="002F7250"/>
  </w:style>
  <w:style w:type="character" w:customStyle="1" w:styleId="UnresolvedMention1">
    <w:name w:val="Unresolved Mention1"/>
    <w:basedOn w:val="DefaultParagraphFont"/>
    <w:uiPriority w:val="99"/>
    <w:semiHidden/>
    <w:unhideWhenUsed/>
    <w:rsid w:val="002F7250"/>
    <w:rPr>
      <w:color w:val="605E5C"/>
      <w:shd w:val="clear" w:color="auto" w:fill="E1DFDD"/>
    </w:rPr>
  </w:style>
  <w:style w:type="paragraph" w:customStyle="1" w:styleId="Normal2">
    <w:name w:val="Normal2"/>
    <w:rsid w:val="002F7250"/>
    <w:pPr>
      <w:spacing w:after="160" w:line="259" w:lineRule="auto"/>
    </w:pPr>
    <w:rPr>
      <w:rFonts w:ascii="Calibri" w:eastAsia="Calibri" w:hAnsi="Calibri" w:cs="Calibri"/>
      <w:lang w:val="sq-AL"/>
    </w:rPr>
  </w:style>
  <w:style w:type="table" w:customStyle="1" w:styleId="TableGridLight1">
    <w:name w:val="Table Grid Light1"/>
    <w:basedOn w:val="TableNormal"/>
    <w:uiPriority w:val="40"/>
    <w:rsid w:val="002F7250"/>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dTable2-Accent11">
    <w:name w:val="Grid Table 2 - Accent 11"/>
    <w:basedOn w:val="TableNormal"/>
    <w:uiPriority w:val="47"/>
    <w:rsid w:val="002F7250"/>
    <w:pPr>
      <w:spacing w:after="0" w:line="240" w:lineRule="auto"/>
    </w:p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UnresolvedMention2">
    <w:name w:val="Unresolved Mention2"/>
    <w:basedOn w:val="DefaultParagraphFont"/>
    <w:uiPriority w:val="99"/>
    <w:semiHidden/>
    <w:unhideWhenUsed/>
    <w:rsid w:val="002F7250"/>
    <w:rPr>
      <w:color w:val="605E5C"/>
      <w:shd w:val="clear" w:color="auto" w:fill="E1DFDD"/>
    </w:rPr>
  </w:style>
  <w:style w:type="character" w:styleId="PlaceholderText">
    <w:name w:val="Placeholder Text"/>
    <w:basedOn w:val="DefaultParagraphFont"/>
    <w:uiPriority w:val="99"/>
    <w:semiHidden/>
    <w:rsid w:val="002F7250"/>
    <w:rPr>
      <w:color w:val="808080"/>
    </w:rPr>
  </w:style>
  <w:style w:type="character" w:customStyle="1" w:styleId="apple-tab-span">
    <w:name w:val="apple-tab-span"/>
    <w:basedOn w:val="DefaultParagraphFont"/>
    <w:rsid w:val="002F7250"/>
  </w:style>
  <w:style w:type="character" w:customStyle="1" w:styleId="UnresolvedMention3">
    <w:name w:val="Unresolved Mention3"/>
    <w:basedOn w:val="DefaultParagraphFont"/>
    <w:uiPriority w:val="99"/>
    <w:semiHidden/>
    <w:unhideWhenUsed/>
    <w:rsid w:val="002F7250"/>
    <w:rPr>
      <w:color w:val="605E5C"/>
      <w:shd w:val="clear" w:color="auto" w:fill="E1DFDD"/>
    </w:rPr>
  </w:style>
  <w:style w:type="paragraph" w:styleId="EndnoteText">
    <w:name w:val="endnote text"/>
    <w:basedOn w:val="Normal"/>
    <w:link w:val="EndnoteTextChar"/>
    <w:uiPriority w:val="99"/>
    <w:semiHidden/>
    <w:unhideWhenUsed/>
    <w:rsid w:val="002F725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F7250"/>
    <w:rPr>
      <w:sz w:val="20"/>
      <w:szCs w:val="20"/>
      <w:lang w:val="sq-AL"/>
    </w:rPr>
  </w:style>
  <w:style w:type="character" w:styleId="EndnoteReference">
    <w:name w:val="endnote reference"/>
    <w:basedOn w:val="DefaultParagraphFont"/>
    <w:uiPriority w:val="99"/>
    <w:semiHidden/>
    <w:unhideWhenUsed/>
    <w:rsid w:val="002F7250"/>
    <w:rPr>
      <w:vertAlign w:val="superscript"/>
    </w:rPr>
  </w:style>
  <w:style w:type="paragraph" w:customStyle="1" w:styleId="font5">
    <w:name w:val="font5"/>
    <w:basedOn w:val="Normal"/>
    <w:rsid w:val="00444B63"/>
    <w:pPr>
      <w:spacing w:before="100" w:beforeAutospacing="1" w:after="100" w:afterAutospacing="1" w:line="240" w:lineRule="auto"/>
    </w:pPr>
    <w:rPr>
      <w:rFonts w:ascii="Times New Roman" w:eastAsia="Times New Roman" w:hAnsi="Times New Roman" w:cs="Times New Roman"/>
      <w:b/>
      <w:bCs/>
      <w:color w:val="FF0000"/>
      <w:sz w:val="18"/>
      <w:szCs w:val="18"/>
      <w:lang w:val="en-GB" w:eastAsia="en-GB"/>
    </w:rPr>
  </w:style>
  <w:style w:type="paragraph" w:customStyle="1" w:styleId="font6">
    <w:name w:val="font6"/>
    <w:basedOn w:val="Normal"/>
    <w:rsid w:val="00444B63"/>
    <w:pPr>
      <w:spacing w:before="100" w:beforeAutospacing="1" w:after="100" w:afterAutospacing="1" w:line="240" w:lineRule="auto"/>
    </w:pPr>
    <w:rPr>
      <w:rFonts w:ascii="Calibri" w:eastAsia="Times New Roman" w:hAnsi="Calibri" w:cs="Calibri"/>
      <w:b/>
      <w:bCs/>
      <w:color w:val="FF0000"/>
      <w:sz w:val="18"/>
      <w:szCs w:val="18"/>
      <w:lang w:val="en-GB" w:eastAsia="en-GB"/>
    </w:rPr>
  </w:style>
  <w:style w:type="paragraph" w:customStyle="1" w:styleId="xl73">
    <w:name w:val="xl73"/>
    <w:basedOn w:val="Normal"/>
    <w:rsid w:val="00444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74">
    <w:name w:val="xl74"/>
    <w:basedOn w:val="Normal"/>
    <w:rsid w:val="00444B63"/>
    <w:pPr>
      <w:spacing w:before="100" w:beforeAutospacing="1" w:after="100" w:afterAutospacing="1" w:line="240" w:lineRule="auto"/>
    </w:pPr>
    <w:rPr>
      <w:rFonts w:ascii="Times New Roman" w:eastAsia="Times New Roman" w:hAnsi="Times New Roman" w:cs="Times New Roman"/>
      <w:b/>
      <w:bCs/>
      <w:sz w:val="18"/>
      <w:szCs w:val="18"/>
      <w:lang w:val="en-GB" w:eastAsia="en-GB"/>
    </w:rPr>
  </w:style>
  <w:style w:type="paragraph" w:customStyle="1" w:styleId="xl75">
    <w:name w:val="xl75"/>
    <w:basedOn w:val="Normal"/>
    <w:rsid w:val="00444B63"/>
    <w:pPr>
      <w:spacing w:before="100" w:beforeAutospacing="1" w:after="100" w:afterAutospacing="1" w:line="240" w:lineRule="auto"/>
    </w:pPr>
    <w:rPr>
      <w:rFonts w:ascii="Times New Roman" w:eastAsia="Times New Roman" w:hAnsi="Times New Roman" w:cs="Times New Roman"/>
      <w:sz w:val="18"/>
      <w:szCs w:val="18"/>
      <w:lang w:val="en-GB" w:eastAsia="en-GB"/>
    </w:rPr>
  </w:style>
  <w:style w:type="paragraph" w:customStyle="1" w:styleId="xl76">
    <w:name w:val="xl76"/>
    <w:basedOn w:val="Normal"/>
    <w:rsid w:val="00444B63"/>
    <w:pPr>
      <w:spacing w:before="100" w:beforeAutospacing="1" w:after="100" w:afterAutospacing="1" w:line="240" w:lineRule="auto"/>
      <w:jc w:val="center"/>
    </w:pPr>
    <w:rPr>
      <w:rFonts w:ascii="Times New Roman" w:eastAsia="Times New Roman" w:hAnsi="Times New Roman" w:cs="Times New Roman"/>
      <w:sz w:val="18"/>
      <w:szCs w:val="18"/>
      <w:lang w:val="en-GB" w:eastAsia="en-GB"/>
    </w:rPr>
  </w:style>
  <w:style w:type="paragraph" w:customStyle="1" w:styleId="xl77">
    <w:name w:val="xl77"/>
    <w:basedOn w:val="Normal"/>
    <w:rsid w:val="00444B6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78">
    <w:name w:val="xl78"/>
    <w:basedOn w:val="Normal"/>
    <w:rsid w:val="00444B63"/>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79">
    <w:name w:val="xl79"/>
    <w:basedOn w:val="Normal"/>
    <w:rsid w:val="00444B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80">
    <w:name w:val="xl80"/>
    <w:basedOn w:val="Normal"/>
    <w:rsid w:val="00444B6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81">
    <w:name w:val="xl81"/>
    <w:basedOn w:val="Normal"/>
    <w:rsid w:val="00444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val="en-GB" w:eastAsia="en-GB"/>
    </w:rPr>
  </w:style>
  <w:style w:type="paragraph" w:customStyle="1" w:styleId="xl82">
    <w:name w:val="xl82"/>
    <w:basedOn w:val="Normal"/>
    <w:rsid w:val="00444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83">
    <w:name w:val="xl83"/>
    <w:basedOn w:val="Normal"/>
    <w:rsid w:val="00444B63"/>
    <w:pPr>
      <w:pBdr>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84">
    <w:name w:val="xl84"/>
    <w:basedOn w:val="Normal"/>
    <w:rsid w:val="00444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85">
    <w:name w:val="xl85"/>
    <w:basedOn w:val="Normal"/>
    <w:rsid w:val="00444B63"/>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GB" w:eastAsia="en-GB"/>
    </w:rPr>
  </w:style>
  <w:style w:type="paragraph" w:customStyle="1" w:styleId="xl86">
    <w:name w:val="xl86"/>
    <w:basedOn w:val="Normal"/>
    <w:rsid w:val="00444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87">
    <w:name w:val="xl87"/>
    <w:basedOn w:val="Normal"/>
    <w:rsid w:val="00444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val="en-GB" w:eastAsia="en-GB"/>
    </w:rPr>
  </w:style>
  <w:style w:type="paragraph" w:customStyle="1" w:styleId="xl88">
    <w:name w:val="xl88"/>
    <w:basedOn w:val="Normal"/>
    <w:rsid w:val="00444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en-GB" w:eastAsia="en-GB"/>
    </w:rPr>
  </w:style>
  <w:style w:type="paragraph" w:customStyle="1" w:styleId="xl89">
    <w:name w:val="xl89"/>
    <w:basedOn w:val="Normal"/>
    <w:rsid w:val="00444B6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90">
    <w:name w:val="xl90"/>
    <w:basedOn w:val="Normal"/>
    <w:rsid w:val="00444B63"/>
    <w:pP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91">
    <w:name w:val="xl91"/>
    <w:basedOn w:val="Normal"/>
    <w:rsid w:val="00444B63"/>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92">
    <w:name w:val="xl92"/>
    <w:basedOn w:val="Normal"/>
    <w:rsid w:val="00444B63"/>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93">
    <w:name w:val="xl93"/>
    <w:basedOn w:val="Normal"/>
    <w:rsid w:val="00444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94">
    <w:name w:val="xl94"/>
    <w:basedOn w:val="Normal"/>
    <w:rsid w:val="00444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95">
    <w:name w:val="xl95"/>
    <w:basedOn w:val="Normal"/>
    <w:rsid w:val="00444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96">
    <w:name w:val="xl96"/>
    <w:basedOn w:val="Normal"/>
    <w:rsid w:val="00444B6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97">
    <w:name w:val="xl97"/>
    <w:basedOn w:val="Normal"/>
    <w:rsid w:val="00444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98">
    <w:name w:val="xl98"/>
    <w:basedOn w:val="Normal"/>
    <w:rsid w:val="00444B6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99">
    <w:name w:val="xl99"/>
    <w:basedOn w:val="Normal"/>
    <w:rsid w:val="00444B6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100">
    <w:name w:val="xl100"/>
    <w:basedOn w:val="Normal"/>
    <w:rsid w:val="00444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101">
    <w:name w:val="xl101"/>
    <w:basedOn w:val="Normal"/>
    <w:rsid w:val="00444B6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102">
    <w:name w:val="xl102"/>
    <w:basedOn w:val="Normal"/>
    <w:rsid w:val="00444B6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val="en-GB" w:eastAsia="en-GB"/>
    </w:rPr>
  </w:style>
  <w:style w:type="paragraph" w:customStyle="1" w:styleId="xl103">
    <w:name w:val="xl103"/>
    <w:basedOn w:val="Normal"/>
    <w:rsid w:val="00444B63"/>
    <w:pPr>
      <w:spacing w:before="100" w:beforeAutospacing="1" w:after="100" w:afterAutospacing="1" w:line="240" w:lineRule="auto"/>
      <w:jc w:val="center"/>
    </w:pPr>
    <w:rPr>
      <w:rFonts w:ascii="Times New Roman" w:eastAsia="Times New Roman" w:hAnsi="Times New Roman" w:cs="Times New Roman"/>
      <w:b/>
      <w:bCs/>
      <w:sz w:val="18"/>
      <w:szCs w:val="18"/>
      <w:lang w:val="en-GB" w:eastAsia="en-GB"/>
    </w:rPr>
  </w:style>
  <w:style w:type="paragraph" w:customStyle="1" w:styleId="xl104">
    <w:name w:val="xl104"/>
    <w:basedOn w:val="Normal"/>
    <w:rsid w:val="00444B63"/>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105">
    <w:name w:val="xl105"/>
    <w:basedOn w:val="Normal"/>
    <w:rsid w:val="00444B6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val="en-GB" w:eastAsia="en-GB"/>
    </w:rPr>
  </w:style>
  <w:style w:type="paragraph" w:customStyle="1" w:styleId="xl106">
    <w:name w:val="xl106"/>
    <w:basedOn w:val="Normal"/>
    <w:rsid w:val="00444B63"/>
    <w:pPr>
      <w:pBdr>
        <w:top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107">
    <w:name w:val="xl107"/>
    <w:basedOn w:val="Normal"/>
    <w:rsid w:val="00444B63"/>
    <w:pPr>
      <w:pBdr>
        <w:top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108">
    <w:name w:val="xl108"/>
    <w:basedOn w:val="Normal"/>
    <w:rsid w:val="00444B63"/>
    <w:pPr>
      <w:pBdr>
        <w:top w:val="single" w:sz="8" w:space="0" w:color="auto"/>
        <w:left w:val="single" w:sz="8" w:space="0" w:color="auto"/>
        <w:bottom w:val="single" w:sz="8" w:space="0" w:color="auto"/>
      </w:pBdr>
      <w:shd w:val="clear" w:color="000000" w:fill="A9D08E"/>
      <w:spacing w:before="100" w:beforeAutospacing="1" w:after="100" w:afterAutospacing="1" w:line="240" w:lineRule="auto"/>
      <w:jc w:val="center"/>
    </w:pPr>
    <w:rPr>
      <w:rFonts w:ascii="Times New Roman" w:eastAsia="Times New Roman" w:hAnsi="Times New Roman" w:cs="Times New Roman"/>
      <w:b/>
      <w:bCs/>
      <w:sz w:val="18"/>
      <w:szCs w:val="18"/>
      <w:lang w:val="en-GB" w:eastAsia="en-GB"/>
    </w:rPr>
  </w:style>
  <w:style w:type="paragraph" w:customStyle="1" w:styleId="xl109">
    <w:name w:val="xl109"/>
    <w:basedOn w:val="Normal"/>
    <w:rsid w:val="00444B63"/>
    <w:pPr>
      <w:pBdr>
        <w:top w:val="single" w:sz="8" w:space="0" w:color="auto"/>
        <w:bottom w:val="single" w:sz="8" w:space="0" w:color="auto"/>
      </w:pBdr>
      <w:shd w:val="clear" w:color="000000" w:fill="A9D08E"/>
      <w:spacing w:before="100" w:beforeAutospacing="1" w:after="100" w:afterAutospacing="1" w:line="240" w:lineRule="auto"/>
    </w:pPr>
    <w:rPr>
      <w:rFonts w:ascii="Times New Roman" w:eastAsia="Times New Roman" w:hAnsi="Times New Roman" w:cs="Times New Roman"/>
      <w:sz w:val="18"/>
      <w:szCs w:val="18"/>
      <w:lang w:val="en-GB" w:eastAsia="en-GB"/>
    </w:rPr>
  </w:style>
  <w:style w:type="paragraph" w:customStyle="1" w:styleId="xl110">
    <w:name w:val="xl110"/>
    <w:basedOn w:val="Normal"/>
    <w:rsid w:val="00444B63"/>
    <w:pPr>
      <w:pBdr>
        <w:top w:val="single" w:sz="8" w:space="0" w:color="auto"/>
        <w:bottom w:val="single" w:sz="8" w:space="0" w:color="auto"/>
      </w:pBdr>
      <w:shd w:val="clear" w:color="000000" w:fill="A9D08E"/>
      <w:spacing w:before="100" w:beforeAutospacing="1" w:after="100" w:afterAutospacing="1" w:line="240" w:lineRule="auto"/>
      <w:jc w:val="center"/>
    </w:pPr>
    <w:rPr>
      <w:rFonts w:ascii="Times New Roman" w:eastAsia="Times New Roman" w:hAnsi="Times New Roman" w:cs="Times New Roman"/>
      <w:sz w:val="18"/>
      <w:szCs w:val="18"/>
      <w:lang w:val="en-GB" w:eastAsia="en-GB"/>
    </w:rPr>
  </w:style>
  <w:style w:type="paragraph" w:customStyle="1" w:styleId="xl111">
    <w:name w:val="xl111"/>
    <w:basedOn w:val="Normal"/>
    <w:rsid w:val="00444B63"/>
    <w:pPr>
      <w:pBdr>
        <w:top w:val="single" w:sz="8" w:space="0" w:color="auto"/>
        <w:bottom w:val="single" w:sz="8"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color w:val="FF0000"/>
      <w:sz w:val="32"/>
      <w:szCs w:val="32"/>
      <w:lang w:val="en-GB" w:eastAsia="en-GB"/>
    </w:rPr>
  </w:style>
  <w:style w:type="paragraph" w:customStyle="1" w:styleId="xl112">
    <w:name w:val="xl112"/>
    <w:basedOn w:val="Normal"/>
    <w:rsid w:val="00444B6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113">
    <w:name w:val="xl113"/>
    <w:basedOn w:val="Normal"/>
    <w:rsid w:val="00444B6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114">
    <w:name w:val="xl114"/>
    <w:basedOn w:val="Normal"/>
    <w:rsid w:val="00444B6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115">
    <w:name w:val="xl115"/>
    <w:basedOn w:val="Normal"/>
    <w:rsid w:val="00444B6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116">
    <w:name w:val="xl116"/>
    <w:basedOn w:val="Normal"/>
    <w:rsid w:val="00444B6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117">
    <w:name w:val="xl117"/>
    <w:basedOn w:val="Normal"/>
    <w:rsid w:val="00444B6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118">
    <w:name w:val="xl118"/>
    <w:basedOn w:val="Normal"/>
    <w:rsid w:val="00444B6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119">
    <w:name w:val="xl119"/>
    <w:basedOn w:val="Normal"/>
    <w:rsid w:val="00444B63"/>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120">
    <w:name w:val="xl120"/>
    <w:basedOn w:val="Normal"/>
    <w:rsid w:val="00444B63"/>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121">
    <w:name w:val="xl121"/>
    <w:basedOn w:val="Normal"/>
    <w:rsid w:val="00444B63"/>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122">
    <w:name w:val="xl122"/>
    <w:basedOn w:val="Normal"/>
    <w:rsid w:val="00444B63"/>
    <w:pPr>
      <w:pBdr>
        <w:left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123">
    <w:name w:val="xl123"/>
    <w:basedOn w:val="Normal"/>
    <w:rsid w:val="00444B63"/>
    <w:pPr>
      <w:pBdr>
        <w:left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FF0000"/>
      <w:sz w:val="18"/>
      <w:szCs w:val="18"/>
      <w:lang w:val="en-GB" w:eastAsia="en-GB"/>
    </w:rPr>
  </w:style>
  <w:style w:type="paragraph" w:customStyle="1" w:styleId="xl124">
    <w:name w:val="xl124"/>
    <w:basedOn w:val="Normal"/>
    <w:rsid w:val="00444B63"/>
    <w:pPr>
      <w:pBdr>
        <w:left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GB" w:eastAsia="en-GB"/>
    </w:rPr>
  </w:style>
  <w:style w:type="paragraph" w:customStyle="1" w:styleId="xl125">
    <w:name w:val="xl125"/>
    <w:basedOn w:val="Normal"/>
    <w:rsid w:val="00444B63"/>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126">
    <w:name w:val="xl126"/>
    <w:basedOn w:val="Normal"/>
    <w:rsid w:val="00444B63"/>
    <w:pPr>
      <w:pBdr>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127">
    <w:name w:val="xl127"/>
    <w:basedOn w:val="Normal"/>
    <w:rsid w:val="00444B63"/>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128">
    <w:name w:val="xl128"/>
    <w:basedOn w:val="Normal"/>
    <w:rsid w:val="00444B6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129">
    <w:name w:val="xl129"/>
    <w:basedOn w:val="Normal"/>
    <w:rsid w:val="00444B6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130">
    <w:name w:val="xl130"/>
    <w:basedOn w:val="Normal"/>
    <w:rsid w:val="00444B6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131">
    <w:name w:val="xl131"/>
    <w:basedOn w:val="Normal"/>
    <w:rsid w:val="00444B6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132">
    <w:name w:val="xl132"/>
    <w:basedOn w:val="Normal"/>
    <w:rsid w:val="00444B6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133">
    <w:name w:val="xl133"/>
    <w:basedOn w:val="Normal"/>
    <w:rsid w:val="00444B63"/>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134">
    <w:name w:val="xl134"/>
    <w:basedOn w:val="Normal"/>
    <w:rsid w:val="00444B63"/>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135">
    <w:name w:val="xl135"/>
    <w:basedOn w:val="Normal"/>
    <w:rsid w:val="00444B63"/>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136">
    <w:name w:val="xl136"/>
    <w:basedOn w:val="Normal"/>
    <w:rsid w:val="00444B63"/>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137">
    <w:name w:val="xl137"/>
    <w:basedOn w:val="Normal"/>
    <w:rsid w:val="00444B6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138">
    <w:name w:val="xl138"/>
    <w:basedOn w:val="Normal"/>
    <w:rsid w:val="00444B63"/>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139">
    <w:name w:val="xl139"/>
    <w:basedOn w:val="Normal"/>
    <w:rsid w:val="00444B63"/>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140">
    <w:name w:val="xl140"/>
    <w:basedOn w:val="Normal"/>
    <w:rsid w:val="00444B6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141">
    <w:name w:val="xl141"/>
    <w:basedOn w:val="Normal"/>
    <w:rsid w:val="00444B6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142">
    <w:name w:val="xl142"/>
    <w:basedOn w:val="Normal"/>
    <w:rsid w:val="00444B6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143">
    <w:name w:val="xl143"/>
    <w:basedOn w:val="Normal"/>
    <w:rsid w:val="00444B6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144">
    <w:name w:val="xl144"/>
    <w:basedOn w:val="Normal"/>
    <w:rsid w:val="00444B6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8"/>
      <w:szCs w:val="18"/>
      <w:lang w:val="en-GB" w:eastAsia="en-GB"/>
    </w:rPr>
  </w:style>
  <w:style w:type="paragraph" w:customStyle="1" w:styleId="xl145">
    <w:name w:val="xl145"/>
    <w:basedOn w:val="Normal"/>
    <w:rsid w:val="00444B6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146">
    <w:name w:val="xl146"/>
    <w:basedOn w:val="Normal"/>
    <w:rsid w:val="00444B63"/>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147">
    <w:name w:val="xl147"/>
    <w:basedOn w:val="Normal"/>
    <w:rsid w:val="00444B6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148">
    <w:name w:val="xl148"/>
    <w:basedOn w:val="Normal"/>
    <w:rsid w:val="00444B63"/>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149">
    <w:name w:val="xl149"/>
    <w:basedOn w:val="Normal"/>
    <w:rsid w:val="00444B63"/>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150">
    <w:name w:val="xl150"/>
    <w:basedOn w:val="Normal"/>
    <w:rsid w:val="00444B63"/>
    <w:pPr>
      <w:shd w:val="clear" w:color="000000" w:fill="FFFF00"/>
      <w:spacing w:before="100" w:beforeAutospacing="1" w:after="100" w:afterAutospacing="1" w:line="240" w:lineRule="auto"/>
    </w:pPr>
    <w:rPr>
      <w:rFonts w:ascii="Times New Roman" w:eastAsia="Times New Roman" w:hAnsi="Times New Roman" w:cs="Times New Roman"/>
      <w:b/>
      <w:bCs/>
      <w:sz w:val="18"/>
      <w:szCs w:val="18"/>
      <w:lang w:val="en-GB" w:eastAsia="en-GB"/>
    </w:rPr>
  </w:style>
  <w:style w:type="paragraph" w:customStyle="1" w:styleId="xl151">
    <w:name w:val="xl151"/>
    <w:basedOn w:val="Normal"/>
    <w:rsid w:val="00444B63"/>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152">
    <w:name w:val="xl152"/>
    <w:basedOn w:val="Normal"/>
    <w:rsid w:val="00444B6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153">
    <w:name w:val="xl153"/>
    <w:basedOn w:val="Normal"/>
    <w:rsid w:val="00444B63"/>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154">
    <w:name w:val="xl154"/>
    <w:basedOn w:val="Normal"/>
    <w:rsid w:val="00444B63"/>
    <w:pPr>
      <w:pBdr>
        <w:top w:val="single" w:sz="8"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b/>
      <w:bCs/>
      <w:color w:val="FF0000"/>
      <w:sz w:val="32"/>
      <w:szCs w:val="32"/>
      <w:lang w:val="en-GB" w:eastAsia="en-GB"/>
    </w:rPr>
  </w:style>
  <w:style w:type="paragraph" w:customStyle="1" w:styleId="xl155">
    <w:name w:val="xl155"/>
    <w:basedOn w:val="Normal"/>
    <w:rsid w:val="00444B63"/>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val="en-GB" w:eastAsia="en-GB"/>
    </w:rPr>
  </w:style>
  <w:style w:type="paragraph" w:customStyle="1" w:styleId="xl156">
    <w:name w:val="xl156"/>
    <w:basedOn w:val="Normal"/>
    <w:rsid w:val="00444B63"/>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157">
    <w:name w:val="xl157"/>
    <w:basedOn w:val="Normal"/>
    <w:rsid w:val="00444B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158">
    <w:name w:val="xl158"/>
    <w:basedOn w:val="Normal"/>
    <w:rsid w:val="00444B6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159">
    <w:name w:val="xl159"/>
    <w:basedOn w:val="Normal"/>
    <w:rsid w:val="00444B63"/>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160">
    <w:name w:val="xl160"/>
    <w:basedOn w:val="Normal"/>
    <w:rsid w:val="00444B6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161">
    <w:name w:val="xl161"/>
    <w:basedOn w:val="Normal"/>
    <w:rsid w:val="00444B63"/>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162">
    <w:name w:val="xl162"/>
    <w:basedOn w:val="Normal"/>
    <w:rsid w:val="00444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163">
    <w:name w:val="xl163"/>
    <w:basedOn w:val="Normal"/>
    <w:rsid w:val="00444B63"/>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164">
    <w:name w:val="xl164"/>
    <w:basedOn w:val="Normal"/>
    <w:rsid w:val="00444B6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165">
    <w:name w:val="xl165"/>
    <w:basedOn w:val="Normal"/>
    <w:rsid w:val="00444B6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166">
    <w:name w:val="xl166"/>
    <w:basedOn w:val="Normal"/>
    <w:rsid w:val="00444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167">
    <w:name w:val="xl167"/>
    <w:basedOn w:val="Normal"/>
    <w:rsid w:val="00444B6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val="en-GB" w:eastAsia="en-GB"/>
    </w:rPr>
  </w:style>
  <w:style w:type="paragraph" w:customStyle="1" w:styleId="xl168">
    <w:name w:val="xl168"/>
    <w:basedOn w:val="Normal"/>
    <w:rsid w:val="00444B63"/>
    <w:pPr>
      <w:pBdr>
        <w:top w:val="single" w:sz="4" w:space="0" w:color="auto"/>
      </w:pBdr>
      <w:shd w:val="clear" w:color="000000" w:fill="FCE4D6"/>
      <w:spacing w:before="100" w:beforeAutospacing="1" w:after="100" w:afterAutospacing="1" w:line="240" w:lineRule="auto"/>
      <w:textAlignment w:val="top"/>
    </w:pPr>
    <w:rPr>
      <w:rFonts w:ascii="Times New Roman" w:eastAsia="Times New Roman" w:hAnsi="Times New Roman" w:cs="Times New Roman"/>
      <w:sz w:val="20"/>
      <w:szCs w:val="20"/>
      <w:lang w:val="en-GB" w:eastAsia="en-GB"/>
    </w:rPr>
  </w:style>
  <w:style w:type="paragraph" w:customStyle="1" w:styleId="xl169">
    <w:name w:val="xl169"/>
    <w:basedOn w:val="Normal"/>
    <w:rsid w:val="00444B63"/>
    <w:pPr>
      <w:pBdr>
        <w:left w:val="single" w:sz="8"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170">
    <w:name w:val="xl170"/>
    <w:basedOn w:val="Normal"/>
    <w:rsid w:val="00444B63"/>
    <w:pPr>
      <w:pBdr>
        <w:top w:val="single" w:sz="8" w:space="0" w:color="auto"/>
        <w:left w:val="single" w:sz="4" w:space="0" w:color="auto"/>
        <w:bottom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GB" w:eastAsia="en-GB"/>
    </w:rPr>
  </w:style>
  <w:style w:type="paragraph" w:customStyle="1" w:styleId="xl171">
    <w:name w:val="xl171"/>
    <w:basedOn w:val="Normal"/>
    <w:rsid w:val="00444B63"/>
    <w:pPr>
      <w:pBdr>
        <w:top w:val="single" w:sz="8"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GB" w:eastAsia="en-GB"/>
    </w:rPr>
  </w:style>
  <w:style w:type="paragraph" w:customStyle="1" w:styleId="xl172">
    <w:name w:val="xl172"/>
    <w:basedOn w:val="Normal"/>
    <w:rsid w:val="00444B63"/>
    <w:pPr>
      <w:pBdr>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173">
    <w:name w:val="xl173"/>
    <w:basedOn w:val="Normal"/>
    <w:rsid w:val="00444B63"/>
    <w:pPr>
      <w:pBdr>
        <w:left w:val="single" w:sz="4" w:space="0" w:color="auto"/>
        <w:bottom w:val="single" w:sz="4" w:space="0" w:color="auto"/>
        <w:right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174">
    <w:name w:val="xl174"/>
    <w:basedOn w:val="Normal"/>
    <w:rsid w:val="00444B63"/>
    <w:pPr>
      <w:pBdr>
        <w:top w:val="single" w:sz="8"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175">
    <w:name w:val="xl175"/>
    <w:basedOn w:val="Normal"/>
    <w:rsid w:val="00444B63"/>
    <w:pPr>
      <w:pBdr>
        <w:top w:val="single" w:sz="8" w:space="0" w:color="auto"/>
        <w:left w:val="single" w:sz="4" w:space="0" w:color="auto"/>
        <w:bottom w:val="single" w:sz="4" w:space="0" w:color="auto"/>
        <w:right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176">
    <w:name w:val="xl176"/>
    <w:basedOn w:val="Normal"/>
    <w:rsid w:val="00444B63"/>
    <w:pPr>
      <w:pBdr>
        <w:top w:val="single" w:sz="8" w:space="0" w:color="auto"/>
        <w:left w:val="single" w:sz="8"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177">
    <w:name w:val="xl177"/>
    <w:basedOn w:val="Normal"/>
    <w:rsid w:val="00444B63"/>
    <w:pPr>
      <w:pBdr>
        <w:top w:val="single" w:sz="8"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178">
    <w:name w:val="xl178"/>
    <w:basedOn w:val="Normal"/>
    <w:rsid w:val="00444B63"/>
    <w:pPr>
      <w:pBdr>
        <w:top w:val="single" w:sz="8" w:space="0" w:color="auto"/>
        <w:left w:val="single" w:sz="4" w:space="0" w:color="auto"/>
        <w:bottom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179">
    <w:name w:val="xl179"/>
    <w:basedOn w:val="Normal"/>
    <w:rsid w:val="00444B63"/>
    <w:pPr>
      <w:pBdr>
        <w:top w:val="single" w:sz="4" w:space="0" w:color="auto"/>
        <w:left w:val="single" w:sz="8" w:space="0" w:color="auto"/>
        <w:bottom w:val="single" w:sz="4" w:space="0" w:color="auto"/>
        <w:right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180">
    <w:name w:val="xl180"/>
    <w:basedOn w:val="Normal"/>
    <w:rsid w:val="00444B63"/>
    <w:pPr>
      <w:shd w:val="clear" w:color="000000" w:fill="F8CBAD"/>
      <w:spacing w:before="100" w:beforeAutospacing="1" w:after="100" w:afterAutospacing="1" w:line="240" w:lineRule="auto"/>
    </w:pPr>
    <w:rPr>
      <w:rFonts w:ascii="Times New Roman" w:eastAsia="Times New Roman" w:hAnsi="Times New Roman" w:cs="Times New Roman"/>
      <w:sz w:val="18"/>
      <w:szCs w:val="18"/>
      <w:lang w:val="en-GB" w:eastAsia="en-GB"/>
    </w:rPr>
  </w:style>
  <w:style w:type="paragraph" w:customStyle="1" w:styleId="xl181">
    <w:name w:val="xl181"/>
    <w:basedOn w:val="Normal"/>
    <w:rsid w:val="00444B63"/>
    <w:pPr>
      <w:pBdr>
        <w:top w:val="single" w:sz="4" w:space="0" w:color="auto"/>
        <w:left w:val="single" w:sz="8"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182">
    <w:name w:val="xl182"/>
    <w:basedOn w:val="Normal"/>
    <w:rsid w:val="00444B63"/>
    <w:pPr>
      <w:pBdr>
        <w:top w:val="single" w:sz="8" w:space="0" w:color="auto"/>
        <w:left w:val="single" w:sz="8"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183">
    <w:name w:val="xl183"/>
    <w:basedOn w:val="Normal"/>
    <w:rsid w:val="00444B63"/>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184">
    <w:name w:val="xl184"/>
    <w:basedOn w:val="Normal"/>
    <w:rsid w:val="00444B63"/>
    <w:pPr>
      <w:shd w:val="clear" w:color="000000" w:fill="F8CBAD"/>
      <w:spacing w:before="100" w:beforeAutospacing="1" w:after="100" w:afterAutospacing="1" w:line="240" w:lineRule="auto"/>
    </w:pPr>
    <w:rPr>
      <w:rFonts w:ascii="Times New Roman" w:eastAsia="Times New Roman" w:hAnsi="Times New Roman" w:cs="Times New Roman"/>
      <w:b/>
      <w:bCs/>
      <w:sz w:val="18"/>
      <w:szCs w:val="18"/>
      <w:lang w:val="en-GB" w:eastAsia="en-GB"/>
    </w:rPr>
  </w:style>
  <w:style w:type="paragraph" w:customStyle="1" w:styleId="xl185">
    <w:name w:val="xl185"/>
    <w:basedOn w:val="Normal"/>
    <w:rsid w:val="00444B6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186">
    <w:name w:val="xl186"/>
    <w:basedOn w:val="Normal"/>
    <w:rsid w:val="00444B63"/>
    <w:pPr>
      <w:pBdr>
        <w:top w:val="single" w:sz="4" w:space="0" w:color="auto"/>
        <w:left w:val="single" w:sz="4" w:space="0" w:color="auto"/>
        <w:bottom w:val="single" w:sz="4" w:space="0" w:color="auto"/>
        <w:right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187">
    <w:name w:val="xl187"/>
    <w:basedOn w:val="Normal"/>
    <w:rsid w:val="00444B63"/>
    <w:pPr>
      <w:pBdr>
        <w:top w:val="single" w:sz="8" w:space="0" w:color="auto"/>
        <w:left w:val="single" w:sz="8"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188">
    <w:name w:val="xl188"/>
    <w:basedOn w:val="Normal"/>
    <w:rsid w:val="00444B63"/>
    <w:pPr>
      <w:pBdr>
        <w:top w:val="single" w:sz="8" w:space="0" w:color="auto"/>
        <w:left w:val="single" w:sz="8" w:space="0" w:color="auto"/>
        <w:bottom w:val="single" w:sz="4" w:space="0" w:color="auto"/>
        <w:right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189">
    <w:name w:val="xl189"/>
    <w:basedOn w:val="Normal"/>
    <w:rsid w:val="00444B63"/>
    <w:pPr>
      <w:pBdr>
        <w:top w:val="single" w:sz="4" w:space="0" w:color="auto"/>
        <w:left w:val="single" w:sz="8"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190">
    <w:name w:val="xl190"/>
    <w:basedOn w:val="Normal"/>
    <w:rsid w:val="00444B63"/>
    <w:pPr>
      <w:pBdr>
        <w:left w:val="single" w:sz="4" w:space="0" w:color="auto"/>
        <w:bottom w:val="single" w:sz="4" w:space="0" w:color="auto"/>
      </w:pBdr>
      <w:shd w:val="clear" w:color="000000" w:fill="DDEBF7"/>
      <w:spacing w:before="100" w:beforeAutospacing="1" w:after="100" w:afterAutospacing="1" w:line="240" w:lineRule="auto"/>
      <w:textAlignment w:val="top"/>
    </w:pPr>
    <w:rPr>
      <w:rFonts w:ascii="Times New Roman" w:eastAsia="Times New Roman" w:hAnsi="Times New Roman" w:cs="Times New Roman"/>
      <w:sz w:val="20"/>
      <w:szCs w:val="20"/>
      <w:lang w:val="en-GB" w:eastAsia="en-GB"/>
    </w:rPr>
  </w:style>
  <w:style w:type="paragraph" w:customStyle="1" w:styleId="xl191">
    <w:name w:val="xl191"/>
    <w:basedOn w:val="Normal"/>
    <w:rsid w:val="00444B63"/>
    <w:pPr>
      <w:pBdr>
        <w:top w:val="single" w:sz="4" w:space="0" w:color="auto"/>
      </w:pBdr>
      <w:shd w:val="clear" w:color="000000" w:fill="F8CBAD"/>
      <w:spacing w:before="100" w:beforeAutospacing="1" w:after="100" w:afterAutospacing="1" w:line="240" w:lineRule="auto"/>
      <w:textAlignment w:val="top"/>
    </w:pPr>
    <w:rPr>
      <w:rFonts w:ascii="Times New Roman" w:eastAsia="Times New Roman" w:hAnsi="Times New Roman" w:cs="Times New Roman"/>
      <w:b/>
      <w:bCs/>
      <w:sz w:val="20"/>
      <w:szCs w:val="20"/>
      <w:lang w:val="en-GB" w:eastAsia="en-GB"/>
    </w:rPr>
  </w:style>
  <w:style w:type="paragraph" w:customStyle="1" w:styleId="xl192">
    <w:name w:val="xl192"/>
    <w:basedOn w:val="Normal"/>
    <w:rsid w:val="00444B63"/>
    <w:pPr>
      <w:pBdr>
        <w:top w:val="single" w:sz="4" w:space="0" w:color="auto"/>
        <w:bottom w:val="single" w:sz="4" w:space="0" w:color="auto"/>
      </w:pBdr>
      <w:shd w:val="clear" w:color="000000" w:fill="F8CBAD"/>
      <w:spacing w:before="100" w:beforeAutospacing="1" w:after="100" w:afterAutospacing="1" w:line="240" w:lineRule="auto"/>
      <w:textAlignment w:val="top"/>
    </w:pPr>
    <w:rPr>
      <w:rFonts w:ascii="Times New Roman" w:eastAsia="Times New Roman" w:hAnsi="Times New Roman" w:cs="Times New Roman"/>
      <w:b/>
      <w:bCs/>
      <w:sz w:val="20"/>
      <w:szCs w:val="20"/>
      <w:lang w:val="en-GB" w:eastAsia="en-GB"/>
    </w:rPr>
  </w:style>
  <w:style w:type="paragraph" w:customStyle="1" w:styleId="xl193">
    <w:name w:val="xl193"/>
    <w:basedOn w:val="Normal"/>
    <w:rsid w:val="00444B63"/>
    <w:pPr>
      <w:pBdr>
        <w:top w:val="single" w:sz="4" w:space="0" w:color="auto"/>
        <w:bottom w:val="single" w:sz="4" w:space="0" w:color="auto"/>
        <w:right w:val="single" w:sz="4" w:space="0" w:color="auto"/>
      </w:pBdr>
      <w:shd w:val="clear" w:color="000000" w:fill="F8CBAD"/>
      <w:spacing w:before="100" w:beforeAutospacing="1" w:after="100" w:afterAutospacing="1" w:line="240" w:lineRule="auto"/>
      <w:textAlignment w:val="top"/>
    </w:pPr>
    <w:rPr>
      <w:rFonts w:ascii="Times New Roman" w:eastAsia="Times New Roman" w:hAnsi="Times New Roman" w:cs="Times New Roman"/>
      <w:b/>
      <w:bCs/>
      <w:sz w:val="20"/>
      <w:szCs w:val="20"/>
      <w:lang w:val="en-GB" w:eastAsia="en-GB"/>
    </w:rPr>
  </w:style>
  <w:style w:type="paragraph" w:customStyle="1" w:styleId="xl194">
    <w:name w:val="xl194"/>
    <w:basedOn w:val="Normal"/>
    <w:rsid w:val="00444B63"/>
    <w:pPr>
      <w:pBdr>
        <w:top w:val="single" w:sz="4" w:space="0" w:color="auto"/>
      </w:pBdr>
      <w:shd w:val="clear" w:color="000000" w:fill="FCE4D6"/>
      <w:spacing w:before="100" w:beforeAutospacing="1" w:after="100" w:afterAutospacing="1" w:line="240" w:lineRule="auto"/>
      <w:textAlignment w:val="top"/>
    </w:pPr>
    <w:rPr>
      <w:rFonts w:ascii="Times New Roman" w:eastAsia="Times New Roman" w:hAnsi="Times New Roman" w:cs="Times New Roman"/>
      <w:sz w:val="20"/>
      <w:szCs w:val="20"/>
      <w:lang w:val="en-GB" w:eastAsia="en-GB"/>
    </w:rPr>
  </w:style>
  <w:style w:type="paragraph" w:customStyle="1" w:styleId="xl195">
    <w:name w:val="xl195"/>
    <w:basedOn w:val="Normal"/>
    <w:rsid w:val="00444B63"/>
    <w:pPr>
      <w:pBdr>
        <w:top w:val="single" w:sz="4" w:space="0" w:color="auto"/>
        <w:bottom w:val="single" w:sz="4" w:space="0" w:color="auto"/>
      </w:pBdr>
      <w:shd w:val="clear" w:color="000000" w:fill="FCE4D6"/>
      <w:spacing w:before="100" w:beforeAutospacing="1" w:after="100" w:afterAutospacing="1" w:line="240" w:lineRule="auto"/>
      <w:textAlignment w:val="top"/>
    </w:pPr>
    <w:rPr>
      <w:rFonts w:ascii="Times New Roman" w:eastAsia="Times New Roman" w:hAnsi="Times New Roman" w:cs="Times New Roman"/>
      <w:sz w:val="20"/>
      <w:szCs w:val="20"/>
      <w:lang w:val="en-GB" w:eastAsia="en-GB"/>
    </w:rPr>
  </w:style>
  <w:style w:type="paragraph" w:customStyle="1" w:styleId="xl196">
    <w:name w:val="xl196"/>
    <w:basedOn w:val="Normal"/>
    <w:rsid w:val="00444B63"/>
    <w:pPr>
      <w:pBdr>
        <w:top w:val="single" w:sz="4" w:space="0" w:color="auto"/>
        <w:bottom w:val="single" w:sz="4" w:space="0" w:color="auto"/>
        <w:right w:val="single" w:sz="4" w:space="0" w:color="auto"/>
      </w:pBdr>
      <w:shd w:val="clear" w:color="000000" w:fill="FCE4D6"/>
      <w:spacing w:before="100" w:beforeAutospacing="1" w:after="100" w:afterAutospacing="1" w:line="240" w:lineRule="auto"/>
      <w:textAlignment w:val="top"/>
    </w:pPr>
    <w:rPr>
      <w:rFonts w:ascii="Times New Roman" w:eastAsia="Times New Roman" w:hAnsi="Times New Roman" w:cs="Times New Roman"/>
      <w:sz w:val="20"/>
      <w:szCs w:val="20"/>
      <w:lang w:val="en-GB" w:eastAsia="en-GB"/>
    </w:rPr>
  </w:style>
  <w:style w:type="paragraph" w:customStyle="1" w:styleId="xl197">
    <w:name w:val="xl197"/>
    <w:basedOn w:val="Normal"/>
    <w:rsid w:val="00444B6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198">
    <w:name w:val="xl198"/>
    <w:basedOn w:val="Normal"/>
    <w:rsid w:val="00444B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rebuchet MS" w:eastAsia="Times New Roman" w:hAnsi="Trebuchet MS" w:cs="Times New Roman"/>
      <w:color w:val="000000"/>
      <w:sz w:val="18"/>
      <w:szCs w:val="18"/>
      <w:lang w:val="en-GB" w:eastAsia="en-GB"/>
    </w:rPr>
  </w:style>
  <w:style w:type="paragraph" w:customStyle="1" w:styleId="xl199">
    <w:name w:val="xl199"/>
    <w:basedOn w:val="Normal"/>
    <w:rsid w:val="00444B63"/>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top"/>
    </w:pPr>
    <w:rPr>
      <w:rFonts w:ascii="Times New Roman" w:eastAsia="Times New Roman" w:hAnsi="Times New Roman" w:cs="Times New Roman"/>
      <w:sz w:val="20"/>
      <w:szCs w:val="20"/>
      <w:lang w:val="en-GB" w:eastAsia="en-GB"/>
    </w:rPr>
  </w:style>
  <w:style w:type="paragraph" w:customStyle="1" w:styleId="xl200">
    <w:name w:val="xl200"/>
    <w:basedOn w:val="Normal"/>
    <w:rsid w:val="00444B63"/>
    <w:pPr>
      <w:pBdr>
        <w:top w:val="single" w:sz="4" w:space="0" w:color="auto"/>
        <w:bottom w:val="single" w:sz="4" w:space="0" w:color="auto"/>
      </w:pBdr>
      <w:shd w:val="clear" w:color="000000" w:fill="FCE4D6"/>
      <w:spacing w:before="100" w:beforeAutospacing="1" w:after="100" w:afterAutospacing="1" w:line="240" w:lineRule="auto"/>
      <w:textAlignment w:val="top"/>
    </w:pPr>
    <w:rPr>
      <w:rFonts w:ascii="Times New Roman" w:eastAsia="Times New Roman" w:hAnsi="Times New Roman" w:cs="Times New Roman"/>
      <w:sz w:val="20"/>
      <w:szCs w:val="20"/>
      <w:lang w:val="en-GB" w:eastAsia="en-GB"/>
    </w:rPr>
  </w:style>
  <w:style w:type="paragraph" w:customStyle="1" w:styleId="xl201">
    <w:name w:val="xl201"/>
    <w:basedOn w:val="Normal"/>
    <w:rsid w:val="00444B63"/>
    <w:pP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202">
    <w:name w:val="xl202"/>
    <w:basedOn w:val="Normal"/>
    <w:rsid w:val="00444B63"/>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203">
    <w:name w:val="xl203"/>
    <w:basedOn w:val="Normal"/>
    <w:rsid w:val="00444B63"/>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204">
    <w:name w:val="xl204"/>
    <w:basedOn w:val="Normal"/>
    <w:rsid w:val="00444B63"/>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205">
    <w:name w:val="xl205"/>
    <w:basedOn w:val="Normal"/>
    <w:rsid w:val="00444B6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en-GB" w:eastAsia="en-GB"/>
    </w:rPr>
  </w:style>
  <w:style w:type="paragraph" w:customStyle="1" w:styleId="xl206">
    <w:name w:val="xl206"/>
    <w:basedOn w:val="Normal"/>
    <w:rsid w:val="00444B63"/>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8"/>
      <w:szCs w:val="18"/>
      <w:lang w:val="en-GB" w:eastAsia="en-GB"/>
    </w:rPr>
  </w:style>
  <w:style w:type="paragraph" w:customStyle="1" w:styleId="xl207">
    <w:name w:val="xl207"/>
    <w:basedOn w:val="Normal"/>
    <w:rsid w:val="00444B63"/>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208">
    <w:name w:val="xl208"/>
    <w:basedOn w:val="Normal"/>
    <w:rsid w:val="00444B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209">
    <w:name w:val="xl209"/>
    <w:basedOn w:val="Normal"/>
    <w:rsid w:val="00444B63"/>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210">
    <w:name w:val="xl210"/>
    <w:basedOn w:val="Normal"/>
    <w:rsid w:val="00444B63"/>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211">
    <w:name w:val="xl211"/>
    <w:basedOn w:val="Normal"/>
    <w:rsid w:val="00444B63"/>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212">
    <w:name w:val="xl212"/>
    <w:basedOn w:val="Normal"/>
    <w:rsid w:val="00444B63"/>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213">
    <w:name w:val="xl213"/>
    <w:basedOn w:val="Normal"/>
    <w:rsid w:val="00444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en-GB" w:eastAsia="en-GB"/>
    </w:rPr>
  </w:style>
  <w:style w:type="paragraph" w:customStyle="1" w:styleId="xl214">
    <w:name w:val="xl214"/>
    <w:basedOn w:val="Normal"/>
    <w:rsid w:val="00444B6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215">
    <w:name w:val="xl215"/>
    <w:basedOn w:val="Normal"/>
    <w:rsid w:val="00444B63"/>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FF0000"/>
      <w:sz w:val="18"/>
      <w:szCs w:val="18"/>
      <w:lang w:val="en-GB" w:eastAsia="en-GB"/>
    </w:rPr>
  </w:style>
  <w:style w:type="paragraph" w:customStyle="1" w:styleId="xl216">
    <w:name w:val="xl216"/>
    <w:basedOn w:val="Normal"/>
    <w:rsid w:val="00444B63"/>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GB" w:eastAsia="en-GB"/>
    </w:rPr>
  </w:style>
  <w:style w:type="paragraph" w:customStyle="1" w:styleId="xl217">
    <w:name w:val="xl217"/>
    <w:basedOn w:val="Normal"/>
    <w:rsid w:val="00444B6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218">
    <w:name w:val="xl218"/>
    <w:basedOn w:val="Normal"/>
    <w:rsid w:val="00444B63"/>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FF0000"/>
      <w:sz w:val="18"/>
      <w:szCs w:val="18"/>
      <w:lang w:val="en-GB" w:eastAsia="en-GB"/>
    </w:rPr>
  </w:style>
  <w:style w:type="paragraph" w:customStyle="1" w:styleId="xl219">
    <w:name w:val="xl219"/>
    <w:basedOn w:val="Normal"/>
    <w:rsid w:val="00444B63"/>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GB" w:eastAsia="en-GB"/>
    </w:rPr>
  </w:style>
  <w:style w:type="paragraph" w:customStyle="1" w:styleId="xl220">
    <w:name w:val="xl220"/>
    <w:basedOn w:val="Normal"/>
    <w:rsid w:val="00444B63"/>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221">
    <w:name w:val="xl221"/>
    <w:basedOn w:val="Normal"/>
    <w:rsid w:val="00444B63"/>
    <w:pPr>
      <w:pBdr>
        <w:top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222">
    <w:name w:val="xl222"/>
    <w:basedOn w:val="Normal"/>
    <w:rsid w:val="00444B63"/>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223">
    <w:name w:val="xl223"/>
    <w:basedOn w:val="Normal"/>
    <w:rsid w:val="00444B63"/>
    <w:pPr>
      <w:pBdr>
        <w:top w:val="single" w:sz="8" w:space="0" w:color="auto"/>
        <w:lef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224">
    <w:name w:val="xl224"/>
    <w:basedOn w:val="Normal"/>
    <w:rsid w:val="00444B63"/>
    <w:pPr>
      <w:pBdr>
        <w:top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225">
    <w:name w:val="xl225"/>
    <w:basedOn w:val="Normal"/>
    <w:rsid w:val="00444B63"/>
    <w:pPr>
      <w:pBdr>
        <w:top w:val="single" w:sz="8" w:space="0" w:color="auto"/>
        <w:righ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226">
    <w:name w:val="xl226"/>
    <w:basedOn w:val="Normal"/>
    <w:rsid w:val="00444B6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227">
    <w:name w:val="xl227"/>
    <w:basedOn w:val="Normal"/>
    <w:rsid w:val="00444B63"/>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228">
    <w:name w:val="xl228"/>
    <w:basedOn w:val="Normal"/>
    <w:rsid w:val="00444B63"/>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229">
    <w:name w:val="xl229"/>
    <w:basedOn w:val="Normal"/>
    <w:rsid w:val="00444B63"/>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230">
    <w:name w:val="xl230"/>
    <w:basedOn w:val="Normal"/>
    <w:rsid w:val="00444B63"/>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231">
    <w:name w:val="xl231"/>
    <w:basedOn w:val="Normal"/>
    <w:rsid w:val="00444B63"/>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232">
    <w:name w:val="xl232"/>
    <w:basedOn w:val="Normal"/>
    <w:rsid w:val="00444B63"/>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233">
    <w:name w:val="xl233"/>
    <w:basedOn w:val="Normal"/>
    <w:rsid w:val="00444B63"/>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234">
    <w:name w:val="xl234"/>
    <w:basedOn w:val="Normal"/>
    <w:rsid w:val="00444B63"/>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235">
    <w:name w:val="xl235"/>
    <w:basedOn w:val="Normal"/>
    <w:rsid w:val="00444B63"/>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236">
    <w:name w:val="xl236"/>
    <w:basedOn w:val="Normal"/>
    <w:rsid w:val="00444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237">
    <w:name w:val="xl237"/>
    <w:basedOn w:val="Normal"/>
    <w:rsid w:val="00444B6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238">
    <w:name w:val="xl238"/>
    <w:basedOn w:val="Normal"/>
    <w:rsid w:val="00444B63"/>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239">
    <w:name w:val="xl239"/>
    <w:basedOn w:val="Normal"/>
    <w:rsid w:val="00444B6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240">
    <w:name w:val="xl240"/>
    <w:basedOn w:val="Normal"/>
    <w:rsid w:val="00444B63"/>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241">
    <w:name w:val="xl241"/>
    <w:basedOn w:val="Normal"/>
    <w:rsid w:val="00444B63"/>
    <w:pPr>
      <w:pBdr>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242">
    <w:name w:val="xl242"/>
    <w:basedOn w:val="Normal"/>
    <w:rsid w:val="00444B63"/>
    <w:pPr>
      <w:pBdr>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243">
    <w:name w:val="xl243"/>
    <w:basedOn w:val="Normal"/>
    <w:rsid w:val="00444B63"/>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244">
    <w:name w:val="xl244"/>
    <w:basedOn w:val="Normal"/>
    <w:rsid w:val="00444B63"/>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245">
    <w:name w:val="xl245"/>
    <w:basedOn w:val="Normal"/>
    <w:rsid w:val="00444B6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246">
    <w:name w:val="xl246"/>
    <w:basedOn w:val="Normal"/>
    <w:rsid w:val="00444B63"/>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247">
    <w:name w:val="xl247"/>
    <w:basedOn w:val="Normal"/>
    <w:rsid w:val="00444B63"/>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4672330">
      <w:bodyDiv w:val="1"/>
      <w:marLeft w:val="0"/>
      <w:marRight w:val="0"/>
      <w:marTop w:val="0"/>
      <w:marBottom w:val="0"/>
      <w:divBdr>
        <w:top w:val="none" w:sz="0" w:space="0" w:color="auto"/>
        <w:left w:val="none" w:sz="0" w:space="0" w:color="auto"/>
        <w:bottom w:val="none" w:sz="0" w:space="0" w:color="auto"/>
        <w:right w:val="none" w:sz="0" w:space="0" w:color="auto"/>
      </w:divBdr>
      <w:divsChild>
        <w:div w:id="830098991">
          <w:marLeft w:val="547"/>
          <w:marRight w:val="0"/>
          <w:marTop w:val="0"/>
          <w:marBottom w:val="0"/>
          <w:divBdr>
            <w:top w:val="none" w:sz="0" w:space="0" w:color="auto"/>
            <w:left w:val="none" w:sz="0" w:space="0" w:color="auto"/>
            <w:bottom w:val="none" w:sz="0" w:space="0" w:color="auto"/>
            <w:right w:val="none" w:sz="0" w:space="0" w:color="auto"/>
          </w:divBdr>
        </w:div>
        <w:div w:id="1457991923">
          <w:marLeft w:val="547"/>
          <w:marRight w:val="0"/>
          <w:marTop w:val="0"/>
          <w:marBottom w:val="0"/>
          <w:divBdr>
            <w:top w:val="none" w:sz="0" w:space="0" w:color="auto"/>
            <w:left w:val="none" w:sz="0" w:space="0" w:color="auto"/>
            <w:bottom w:val="none" w:sz="0" w:space="0" w:color="auto"/>
            <w:right w:val="none" w:sz="0" w:space="0" w:color="auto"/>
          </w:divBdr>
        </w:div>
        <w:div w:id="1515993956">
          <w:marLeft w:val="547"/>
          <w:marRight w:val="0"/>
          <w:marTop w:val="0"/>
          <w:marBottom w:val="0"/>
          <w:divBdr>
            <w:top w:val="none" w:sz="0" w:space="0" w:color="auto"/>
            <w:left w:val="none" w:sz="0" w:space="0" w:color="auto"/>
            <w:bottom w:val="none" w:sz="0" w:space="0" w:color="auto"/>
            <w:right w:val="none" w:sz="0" w:space="0" w:color="auto"/>
          </w:divBdr>
        </w:div>
        <w:div w:id="724180984">
          <w:marLeft w:val="547"/>
          <w:marRight w:val="0"/>
          <w:marTop w:val="0"/>
          <w:marBottom w:val="0"/>
          <w:divBdr>
            <w:top w:val="none" w:sz="0" w:space="0" w:color="auto"/>
            <w:left w:val="none" w:sz="0" w:space="0" w:color="auto"/>
            <w:bottom w:val="none" w:sz="0" w:space="0" w:color="auto"/>
            <w:right w:val="none" w:sz="0" w:space="0" w:color="auto"/>
          </w:divBdr>
        </w:div>
        <w:div w:id="736367508">
          <w:marLeft w:val="547"/>
          <w:marRight w:val="0"/>
          <w:marTop w:val="0"/>
          <w:marBottom w:val="0"/>
          <w:divBdr>
            <w:top w:val="none" w:sz="0" w:space="0" w:color="auto"/>
            <w:left w:val="none" w:sz="0" w:space="0" w:color="auto"/>
            <w:bottom w:val="none" w:sz="0" w:space="0" w:color="auto"/>
            <w:right w:val="none" w:sz="0" w:space="0" w:color="auto"/>
          </w:divBdr>
        </w:div>
        <w:div w:id="812327623">
          <w:marLeft w:val="547"/>
          <w:marRight w:val="0"/>
          <w:marTop w:val="0"/>
          <w:marBottom w:val="0"/>
          <w:divBdr>
            <w:top w:val="none" w:sz="0" w:space="0" w:color="auto"/>
            <w:left w:val="none" w:sz="0" w:space="0" w:color="auto"/>
            <w:bottom w:val="none" w:sz="0" w:space="0" w:color="auto"/>
            <w:right w:val="none" w:sz="0" w:space="0" w:color="auto"/>
          </w:divBdr>
        </w:div>
      </w:divsChild>
    </w:div>
    <w:div w:id="1069309083">
      <w:bodyDiv w:val="1"/>
      <w:marLeft w:val="0"/>
      <w:marRight w:val="0"/>
      <w:marTop w:val="0"/>
      <w:marBottom w:val="0"/>
      <w:divBdr>
        <w:top w:val="none" w:sz="0" w:space="0" w:color="auto"/>
        <w:left w:val="none" w:sz="0" w:space="0" w:color="auto"/>
        <w:bottom w:val="none" w:sz="0" w:space="0" w:color="auto"/>
        <w:right w:val="none" w:sz="0" w:space="0" w:color="auto"/>
      </w:divBdr>
    </w:div>
    <w:div w:id="1216426431">
      <w:bodyDiv w:val="1"/>
      <w:marLeft w:val="0"/>
      <w:marRight w:val="0"/>
      <w:marTop w:val="0"/>
      <w:marBottom w:val="0"/>
      <w:divBdr>
        <w:top w:val="none" w:sz="0" w:space="0" w:color="auto"/>
        <w:left w:val="none" w:sz="0" w:space="0" w:color="auto"/>
        <w:bottom w:val="none" w:sz="0" w:space="0" w:color="auto"/>
        <w:right w:val="none" w:sz="0" w:space="0" w:color="auto"/>
      </w:divBdr>
      <w:divsChild>
        <w:div w:id="157159352">
          <w:marLeft w:val="547"/>
          <w:marRight w:val="0"/>
          <w:marTop w:val="0"/>
          <w:marBottom w:val="0"/>
          <w:divBdr>
            <w:top w:val="none" w:sz="0" w:space="0" w:color="auto"/>
            <w:left w:val="none" w:sz="0" w:space="0" w:color="auto"/>
            <w:bottom w:val="none" w:sz="0" w:space="0" w:color="auto"/>
            <w:right w:val="none" w:sz="0" w:space="0" w:color="auto"/>
          </w:divBdr>
        </w:div>
        <w:div w:id="77606113">
          <w:marLeft w:val="547"/>
          <w:marRight w:val="0"/>
          <w:marTop w:val="0"/>
          <w:marBottom w:val="0"/>
          <w:divBdr>
            <w:top w:val="none" w:sz="0" w:space="0" w:color="auto"/>
            <w:left w:val="none" w:sz="0" w:space="0" w:color="auto"/>
            <w:bottom w:val="none" w:sz="0" w:space="0" w:color="auto"/>
            <w:right w:val="none" w:sz="0" w:space="0" w:color="auto"/>
          </w:divBdr>
        </w:div>
      </w:divsChild>
    </w:div>
    <w:div w:id="1282612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9.emf"/><Relationship Id="rId29" Type="http://schemas.openxmlformats.org/officeDocument/2006/relationships/image" Target="media/image18.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emf"/><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emf"/><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dap.gov.al/images/DokumentaStrategjik/Dokument_Koncepti_mbi_Sistemin_e_Monitorimit_dhe_te_Vleresimit.pdf" TargetMode="External"/><Relationship Id="rId3" Type="http://schemas.openxmlformats.org/officeDocument/2006/relationships/hyperlink" Target="https://search.coe.int/cm/Pages/result_details.aspx?ObjectId=0900001680998935" TargetMode="External"/><Relationship Id="rId7" Type="http://schemas.openxmlformats.org/officeDocument/2006/relationships/hyperlink" Target="https://pjp-eu.coe.int/documents/42128013/47262391/Toolkit+on+Quality+Standards+for+Youth+Policy+-+European+Youth+Forum.pdf/c5d10d1b-c704-e45a-50f6-e0ace956ae42" TargetMode="External"/><Relationship Id="rId2" Type="http://schemas.openxmlformats.org/officeDocument/2006/relationships/hyperlink" Target="https://www.un.org/youthenvoy/wp-content/uploads/2018/09/18-00080_UN-Youth-Strategy_Web.pdf" TargetMode="External"/><Relationship Id="rId1" Type="http://schemas.openxmlformats.org/officeDocument/2006/relationships/hyperlink" Target="https://www.un.org/sustainabledevelopment/youth/" TargetMode="External"/><Relationship Id="rId6" Type="http://schemas.openxmlformats.org/officeDocument/2006/relationships/hyperlink" Target="http://databaza.instat.gov.al/pxweb/sq/DST/START__MM/EM_01/?rxid=547ec986-8e3d-47d1-b25e-9d9b830dd3e5" TargetMode="External"/><Relationship Id="rId5" Type="http://schemas.openxmlformats.org/officeDocument/2006/relationships/hyperlink" Target="https://www.dap.gov.al/dap/evente/419-1-3-e-vendeve-ne-administraten-publike-i-dedikohet-punesimit-te-te-rinjve" TargetMode="External"/><Relationship Id="rId4" Type="http://schemas.openxmlformats.org/officeDocument/2006/relationships/hyperlink" Target="https://ec.europa.eu/info/sites/default/files/research_and_innovation/strategy_on_research_and_innovation/documents/ec_rtd_western-balkans-agenda-overview.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692</Nr_x002e__x0020_akti>
    <Data_x0020_e_x0020_Krijimit xmlns="0e656187-b300-4fb0-8bf4-3a50f872073c">2022-10-27T12:56:16Z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2022-10-26T22:00:00Z</Date_x0020_protokolli>
    <Titulli xmlns="0e656187-b300-4fb0-8bf4-3a50f872073c">Për miratimin e Strategjisë Kombëtare të Rinisë dhe planit të veprimit 2022-2029</Titulli>
    <Modifikuesi xmlns="0e656187-b300-4fb0-8bf4-3a50f872073c">jorina.kryeziu</Modifikuesi>
    <Nr_x002e__x0020_prot_x0020_QBZ xmlns="0e656187-b300-4fb0-8bf4-3a50f872073c">1594</Nr_x002e__x0020_prot_x0020_QBZ>
    <Data_x0020_e_x0020_Modifikimit xmlns="0e656187-b300-4fb0-8bf4-3a50f872073c">2022-10-31T15:36:02Z</Data_x0020_e_x0020_Modifikimit>
    <Dekretuar xmlns="0e656187-b300-4fb0-8bf4-3a50f872073c">false</Dekretuar>
    <Data xmlns="0e656187-b300-4fb0-8bf4-3a50f872073c">2022-10-25T22:00:00Z</Data>
    <Nr_x002e__x0020_protokolli_x0020_i_x0020_aktit xmlns="0e656187-b300-4fb0-8bf4-3a50f872073c">4950/22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A9F027F466F4B0FAD15AD0E571D8A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CD2FC-37EC-4C2F-9A3A-009E2BB05AF0}">
  <ds:schemaRefs>
    <ds:schemaRef ds:uri="http://purl.org/dc/terms/"/>
    <ds:schemaRef ds:uri="http://purl.org/dc/elements/1.1/"/>
    <ds:schemaRef ds:uri="http://purl.org/dc/dcmitype/"/>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22956AAC-0DD8-4C44-AA23-08429D15A5E4}">
  <ds:schemaRefs>
    <ds:schemaRef ds:uri="http://schemas.microsoft.com/sharepoint/v3/contenttype/forms"/>
  </ds:schemaRefs>
</ds:datastoreItem>
</file>

<file path=customXml/itemProps3.xml><?xml version="1.0" encoding="utf-8"?>
<ds:datastoreItem xmlns:ds="http://schemas.openxmlformats.org/officeDocument/2006/customXml" ds:itemID="{BA33BE87-5948-4C12-9853-1A6B5780C1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A6CCB32-BBBA-4219-A05D-C997AF1F94C0}">
  <ds:schemaRefs>
    <ds:schemaRef ds:uri="http://schemas.openxmlformats.org/officeDocument/2006/bibliography"/>
  </ds:schemaRefs>
</ds:datastoreItem>
</file>

<file path=customXml/itemProps5.xml><?xml version="1.0" encoding="utf-8"?>
<ds:datastoreItem xmlns:ds="http://schemas.openxmlformats.org/officeDocument/2006/customXml" ds:itemID="{FC3694F5-51D9-493D-A325-9CCD9DEC3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70</Pages>
  <Words>30407</Words>
  <Characters>173323</Characters>
  <Application>Microsoft Office Word</Application>
  <DocSecurity>0</DocSecurity>
  <Lines>1444</Lines>
  <Paragraphs>406</Paragraphs>
  <ScaleCrop>false</ScaleCrop>
  <HeadingPairs>
    <vt:vector size="2" baseType="variant">
      <vt:variant>
        <vt:lpstr>Title</vt:lpstr>
      </vt:variant>
      <vt:variant>
        <vt:i4>1</vt:i4>
      </vt:variant>
    </vt:vector>
  </HeadingPairs>
  <TitlesOfParts>
    <vt:vector size="1" baseType="lpstr">
      <vt:lpstr>Për miratimin e Strategjisë Kombëtare të Rinisë dhe planit të veprimit 2022-2029</vt:lpstr>
    </vt:vector>
  </TitlesOfParts>
  <Company/>
  <LinksUpToDate>false</LinksUpToDate>
  <CharactersWithSpaces>203324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Kombëtare të Rinisë dhe planit të veprimit 2022-2029</dc:title>
  <dc:creator>Ermira Bukaci</dc:creator>
  <cp:lastModifiedBy>Jorina Kryeziu</cp:lastModifiedBy>
  <cp:revision>198</cp:revision>
  <dcterms:created xsi:type="dcterms:W3CDTF">2022-10-28T08:56:00Z</dcterms:created>
  <dcterms:modified xsi:type="dcterms:W3CDTF">2022-11-01T10:30:00Z</dcterms:modified>
</cp:coreProperties>
</file>