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2770F6" w14:textId="77777777" w:rsidR="00F60CCF" w:rsidRPr="00AD40E7" w:rsidRDefault="00F60CCF" w:rsidP="00292960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D40E7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252770F7" w14:textId="77777777" w:rsidR="00F60CCF" w:rsidRPr="00AD40E7" w:rsidRDefault="00F60CCF" w:rsidP="00292960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D40E7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292960" w:rsidRPr="00AD40E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732</w:t>
      </w:r>
      <w:r w:rsidRPr="00AD40E7">
        <w:rPr>
          <w:rFonts w:ascii="Garamond" w:hAnsi="Garamond" w:cs="Times New Roman"/>
          <w:b/>
          <w:bCs/>
          <w:color w:val="000000"/>
          <w:sz w:val="24"/>
          <w:szCs w:val="24"/>
        </w:rPr>
        <w:t>, datë</w:t>
      </w:r>
      <w:r w:rsidR="00292960" w:rsidRPr="00AD40E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16.11.2022</w:t>
      </w:r>
    </w:p>
    <w:p w14:paraId="252770F8" w14:textId="77777777" w:rsidR="00F60CCF" w:rsidRPr="00AD40E7" w:rsidRDefault="00F60CCF" w:rsidP="00292960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52770F9" w14:textId="77777777" w:rsidR="00F60CCF" w:rsidRPr="00AD40E7" w:rsidRDefault="00F60CCF" w:rsidP="00292960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D40E7">
        <w:rPr>
          <w:rFonts w:ascii="Garamond" w:hAnsi="Garamond" w:cs="Times New Roman"/>
          <w:b/>
          <w:bCs/>
          <w:color w:val="000000"/>
          <w:sz w:val="24"/>
          <w:szCs w:val="24"/>
        </w:rPr>
        <w:t>PËR ORGANIZIMIN DHE FUNKSIONIMIN E INSTITUTIT</w:t>
      </w:r>
      <w:r w:rsidR="00292960" w:rsidRPr="00AD40E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AD40E7">
        <w:rPr>
          <w:rFonts w:ascii="Garamond" w:hAnsi="Garamond" w:cs="Times New Roman"/>
          <w:b/>
          <w:bCs/>
          <w:color w:val="000000"/>
          <w:sz w:val="24"/>
          <w:szCs w:val="24"/>
        </w:rPr>
        <w:t>TË SIGURISË USHQIMORE DHE VETERINARISË</w:t>
      </w:r>
    </w:p>
    <w:p w14:paraId="252770FA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52770FB" w14:textId="51E2312D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Në mbështetje të nenit 100 të Kushtetutës, të nenit 6, të ligjit nr.</w:t>
      </w:r>
      <w:r w:rsidR="00AD40E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40E7">
        <w:rPr>
          <w:rFonts w:ascii="Garamond" w:hAnsi="Garamond" w:cs="Times New Roman"/>
          <w:color w:val="000000"/>
          <w:sz w:val="24"/>
          <w:szCs w:val="24"/>
        </w:rPr>
        <w:t>90/2012,</w:t>
      </w:r>
      <w:r w:rsidR="00292960" w:rsidRPr="00AD40E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40E7">
        <w:rPr>
          <w:rFonts w:ascii="Garamond" w:hAnsi="Garamond" w:cs="Times New Roman"/>
          <w:color w:val="000000"/>
          <w:sz w:val="24"/>
          <w:szCs w:val="24"/>
        </w:rPr>
        <w:t>“Për organizimin dhe funksionimin e administratës shtetërore”, dhe të pikës 1, të nenit 123, të ligjit nr.</w:t>
      </w:r>
      <w:r w:rsidR="00AD40E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40E7">
        <w:rPr>
          <w:rFonts w:ascii="Garamond" w:hAnsi="Garamond" w:cs="Times New Roman"/>
          <w:color w:val="000000"/>
          <w:sz w:val="24"/>
          <w:szCs w:val="24"/>
        </w:rPr>
        <w:t>10465, datë 29.9.2011, “Për shërbimin veterinar në Republikën e Shqipërisë”, të ndryshuar, me propozimin e ministrit të Bujqësisë dhe Zhvillimit Rural, Këshilli i Ministrave</w:t>
      </w:r>
      <w:r w:rsidR="00A41646">
        <w:rPr>
          <w:rFonts w:ascii="Garamond" w:hAnsi="Garamond" w:cs="Times New Roman"/>
          <w:color w:val="000000"/>
          <w:sz w:val="24"/>
          <w:szCs w:val="24"/>
        </w:rPr>
        <w:t>,</w:t>
      </w:r>
    </w:p>
    <w:p w14:paraId="252770FC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52770FD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D40E7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252770FE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252770FF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AD40E7">
        <w:rPr>
          <w:rFonts w:ascii="Garamond" w:hAnsi="Garamond" w:cs="Times New Roman"/>
          <w:bCs/>
          <w:color w:val="000000"/>
          <w:sz w:val="24"/>
          <w:szCs w:val="24"/>
        </w:rPr>
        <w:t>I. DISPOZITA TË PËRGJITHSHME</w:t>
      </w:r>
    </w:p>
    <w:p w14:paraId="25277100" w14:textId="242F0994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 xml:space="preserve">1. Organizimin dhe funksionimin e Institutit të Sigurisë Ushqimore dhe Veterinarisë (në vijim </w:t>
      </w:r>
      <w:r w:rsidR="00AD40E7" w:rsidRPr="00AD40E7">
        <w:rPr>
          <w:rFonts w:ascii="Garamond" w:hAnsi="Garamond" w:cs="Times New Roman"/>
          <w:color w:val="000000"/>
          <w:sz w:val="24"/>
          <w:szCs w:val="24"/>
        </w:rPr>
        <w:t>“</w:t>
      </w:r>
      <w:r w:rsidRPr="00AD40E7">
        <w:rPr>
          <w:rFonts w:ascii="Garamond" w:hAnsi="Garamond" w:cs="Times New Roman"/>
          <w:color w:val="000000"/>
          <w:sz w:val="24"/>
          <w:szCs w:val="24"/>
        </w:rPr>
        <w:t>ISUV</w:t>
      </w:r>
      <w:r w:rsidR="00AD40E7" w:rsidRPr="00AD40E7">
        <w:rPr>
          <w:rFonts w:ascii="Garamond" w:hAnsi="Garamond" w:cs="Times New Roman"/>
          <w:color w:val="000000"/>
          <w:sz w:val="24"/>
          <w:szCs w:val="24"/>
        </w:rPr>
        <w:t>”</w:t>
      </w:r>
      <w:r w:rsidRPr="00AD40E7">
        <w:rPr>
          <w:rFonts w:ascii="Garamond" w:hAnsi="Garamond" w:cs="Times New Roman"/>
          <w:color w:val="000000"/>
          <w:sz w:val="24"/>
          <w:szCs w:val="24"/>
        </w:rPr>
        <w:t xml:space="preserve">), si institucion qendror, juridik, publik, me seli në Tiranë, në varësi të ministrit përgjegjës për ushqimin dhe veterinarinë. </w:t>
      </w:r>
    </w:p>
    <w:p w14:paraId="25277101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2. ISUV-i financohet nga buxheti i shtetit, nga të ardhurat dytësore që krijon dhe burime të tjera të ligjshme.</w:t>
      </w:r>
    </w:p>
    <w:p w14:paraId="25277102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3. ISUV-i është Qendër Kombëtare e Referencës Laboratorike për të gjithë fushën e përgjegjësisë. ISUV-i bashkëpunon me institute, qendra kërkimore-shkencore, ente</w:t>
      </w:r>
      <w:r w:rsidR="00292960" w:rsidRPr="00AD40E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40E7">
        <w:rPr>
          <w:rFonts w:ascii="Garamond" w:hAnsi="Garamond" w:cs="Times New Roman"/>
          <w:color w:val="000000"/>
          <w:sz w:val="24"/>
          <w:szCs w:val="24"/>
        </w:rPr>
        <w:t>ndërkombëtare dhe qendra reference.</w:t>
      </w:r>
    </w:p>
    <w:p w14:paraId="25277103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4. ISUV-i ka si mision të garantojë sigurinë dhe cilësinë e ushqimeve, e ushqimeve për kafshë, mbrojtjen e shëndetit dhe të mirëqenies së kafshëve, mbrojtjen e bimëve dhe produkteve bimore dhe mbrojtjen e shëndetit publik në Republikën e Shqipërisë nëpërmjet kryerjes së veprimtarive laboratorike dhe vlerësimeve shkencore në këto fusha.</w:t>
      </w:r>
    </w:p>
    <w:p w14:paraId="25277104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5. ISUV-i e ushtron veprimtarinë në këto fusha përgjegjësie:</w:t>
      </w:r>
    </w:p>
    <w:p w14:paraId="25277105" w14:textId="37FE56CE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AA2CA1">
        <w:rPr>
          <w:rFonts w:ascii="Garamond" w:hAnsi="Garamond" w:cs="Times New Roman"/>
          <w:color w:val="000000"/>
          <w:sz w:val="24"/>
          <w:szCs w:val="24"/>
        </w:rPr>
        <w:t>k</w:t>
      </w:r>
      <w:r w:rsidRPr="00AD40E7">
        <w:rPr>
          <w:rFonts w:ascii="Garamond" w:hAnsi="Garamond" w:cs="Times New Roman"/>
          <w:color w:val="000000"/>
          <w:sz w:val="24"/>
          <w:szCs w:val="24"/>
        </w:rPr>
        <w:t>ryerjen e analizave të sigurisë ushqimore, veterinarisë dhe mbrojtjes së bimëve;</w:t>
      </w:r>
    </w:p>
    <w:p w14:paraId="25277106" w14:textId="5B3AD708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AA2CA1">
        <w:rPr>
          <w:rFonts w:ascii="Garamond" w:hAnsi="Garamond" w:cs="Times New Roman"/>
          <w:color w:val="000000"/>
          <w:sz w:val="24"/>
          <w:szCs w:val="24"/>
        </w:rPr>
        <w:t>k</w:t>
      </w:r>
      <w:r w:rsidRPr="00AD40E7">
        <w:rPr>
          <w:rFonts w:ascii="Garamond" w:hAnsi="Garamond" w:cs="Times New Roman"/>
          <w:color w:val="000000"/>
          <w:sz w:val="24"/>
          <w:szCs w:val="24"/>
        </w:rPr>
        <w:t>ryerjen e aktiviteteve të mjekësisë veterinare;</w:t>
      </w:r>
    </w:p>
    <w:p w14:paraId="25277107" w14:textId="0007FB6B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="00AA2CA1">
        <w:rPr>
          <w:rFonts w:ascii="Garamond" w:hAnsi="Garamond" w:cs="Times New Roman"/>
          <w:color w:val="000000"/>
          <w:sz w:val="24"/>
          <w:szCs w:val="24"/>
        </w:rPr>
        <w:t>k</w:t>
      </w:r>
      <w:r w:rsidRPr="00AD40E7">
        <w:rPr>
          <w:rFonts w:ascii="Garamond" w:hAnsi="Garamond" w:cs="Times New Roman"/>
          <w:color w:val="000000"/>
          <w:sz w:val="24"/>
          <w:szCs w:val="24"/>
        </w:rPr>
        <w:t xml:space="preserve">ryerjen e vlerësimeve shkencore dhe kërkimeve teknologjike. </w:t>
      </w:r>
    </w:p>
    <w:p w14:paraId="25277108" w14:textId="77777777" w:rsidR="00F60CCF" w:rsidRPr="00AD40E7" w:rsidRDefault="00292960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AD40E7">
        <w:rPr>
          <w:rFonts w:ascii="Garamond" w:hAnsi="Garamond" w:cs="Times New Roman"/>
          <w:bCs/>
          <w:color w:val="000000"/>
          <w:sz w:val="24"/>
          <w:szCs w:val="24"/>
        </w:rPr>
        <w:t xml:space="preserve">II. </w:t>
      </w:r>
      <w:r w:rsidR="00F60CCF" w:rsidRPr="00AD40E7">
        <w:rPr>
          <w:rFonts w:ascii="Garamond" w:hAnsi="Garamond" w:cs="Times New Roman"/>
          <w:bCs/>
          <w:color w:val="000000"/>
          <w:sz w:val="24"/>
          <w:szCs w:val="24"/>
        </w:rPr>
        <w:t xml:space="preserve">PËRGJEGJËSITË FUNKSIONALE </w:t>
      </w:r>
    </w:p>
    <w:p w14:paraId="25277109" w14:textId="71956083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Në përputhje me legjislacionin, ISUV-i ka përgjegjësi funksionale të organizojë punën</w:t>
      </w:r>
      <w:r w:rsidR="005951E1">
        <w:rPr>
          <w:rFonts w:ascii="Garamond" w:hAnsi="Garamond" w:cs="Times New Roman"/>
          <w:color w:val="000000"/>
          <w:sz w:val="24"/>
          <w:szCs w:val="24"/>
        </w:rPr>
        <w:t>,</w:t>
      </w:r>
      <w:r w:rsidRPr="00AD40E7">
        <w:rPr>
          <w:rFonts w:ascii="Garamond" w:hAnsi="Garamond" w:cs="Times New Roman"/>
          <w:color w:val="000000"/>
          <w:sz w:val="24"/>
          <w:szCs w:val="24"/>
        </w:rPr>
        <w:t xml:space="preserve"> për:</w:t>
      </w:r>
    </w:p>
    <w:p w14:paraId="2527710A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a) kryerjen e analizave laboratorike, të kërkuara nga institucionet përgjegjëse të kontrollit të ushqimit, ushqimit për kafshë, mbrojtjes së bimëve, institucionet e tjera dhe subjektet private;</w:t>
      </w:r>
    </w:p>
    <w:p w14:paraId="2527710B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b) kryerjen e veprimtarisë kërkimore-teknologjike, vlerësimeve shkencore dhe publikimeve;</w:t>
      </w:r>
    </w:p>
    <w:p w14:paraId="2527710C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 xml:space="preserve">c) akreditimin e testeve laboratorike që kryen; </w:t>
      </w:r>
    </w:p>
    <w:p w14:paraId="2527710D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ç) vlerësimin e laboratorëve për pajisjen me autorizim nga ministri përgjegjës për ushqimin. </w:t>
      </w:r>
    </w:p>
    <w:p w14:paraId="2527710E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AD40E7">
        <w:rPr>
          <w:rFonts w:ascii="Garamond" w:hAnsi="Garamond" w:cs="Times New Roman"/>
          <w:bCs/>
          <w:color w:val="000000"/>
          <w:sz w:val="24"/>
          <w:szCs w:val="24"/>
        </w:rPr>
        <w:t>III. ORGANIZIMI DHE FUNKSIONIMI I INSTITUTIT TË SIGURISË USHQIMORE DHE VETERINARISË</w:t>
      </w:r>
      <w:r w:rsidR="00292960" w:rsidRPr="00AD40E7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</w:p>
    <w:p w14:paraId="2527710F" w14:textId="5A3F851B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 xml:space="preserve">1. ISUV-i organizohet si drejtori e </w:t>
      </w:r>
      <w:r w:rsidR="00A41646">
        <w:rPr>
          <w:rFonts w:ascii="Garamond" w:hAnsi="Garamond" w:cs="Times New Roman"/>
          <w:color w:val="000000"/>
          <w:sz w:val="24"/>
          <w:szCs w:val="24"/>
        </w:rPr>
        <w:t>p</w:t>
      </w:r>
      <w:r w:rsidRPr="00AD40E7">
        <w:rPr>
          <w:rFonts w:ascii="Garamond" w:hAnsi="Garamond" w:cs="Times New Roman"/>
          <w:color w:val="000000"/>
          <w:sz w:val="24"/>
          <w:szCs w:val="24"/>
        </w:rPr>
        <w:t>ërgjithshme, me juridiksion në të gjithë territorin e vendit.</w:t>
      </w:r>
    </w:p>
    <w:p w14:paraId="25277110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2. ISUV-i kryen këto detyra:</w:t>
      </w:r>
    </w:p>
    <w:p w14:paraId="25277111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a) Në fushën e ushqimit dhe ushqimit për kafshë:</w:t>
      </w:r>
    </w:p>
    <w:p w14:paraId="25277112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i. kontrollin mikrobiologjik, të biotoksinave algale, të nivelit të histaminës dhe fiziko-kimik të ushqimeve dhe ushqimeve për kafshë;</w:t>
      </w:r>
    </w:p>
    <w:p w14:paraId="25277113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ii. vlerësimin e laboratorëve të autorizuar përpara pajisjes së tyre me autorizim nga ministri përgjegjës për ushqimin; </w:t>
      </w:r>
    </w:p>
    <w:p w14:paraId="25277114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iii. analizën e mbetjeve të produkteve mjekësore veterinare (PMV), metaleve të rënda dhe</w:t>
      </w:r>
      <w:r w:rsidR="00292960" w:rsidRPr="00AD40E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40E7">
        <w:rPr>
          <w:rFonts w:ascii="Garamond" w:hAnsi="Garamond" w:cs="Times New Roman"/>
          <w:color w:val="000000"/>
          <w:sz w:val="24"/>
          <w:szCs w:val="24"/>
        </w:rPr>
        <w:t>produkteve të mbrojtjes së bimëve (PMB) në produktet me origjinë shtazore (përfshirë kafshët e gjalla dhe produktet e tyre)</w:t>
      </w:r>
      <w:r w:rsidR="00292960" w:rsidRPr="00AD40E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40E7">
        <w:rPr>
          <w:rFonts w:ascii="Garamond" w:hAnsi="Garamond" w:cs="Times New Roman"/>
          <w:color w:val="000000"/>
          <w:sz w:val="24"/>
          <w:szCs w:val="24"/>
        </w:rPr>
        <w:t>dhe bimore, të prodhuara në vend dhe/ose të importuara, në zbatim të legjislacionit për sigurinë ushqimore;</w:t>
      </w:r>
    </w:p>
    <w:p w14:paraId="25277115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lastRenderedPageBreak/>
        <w:t>iv. bashkërendimin e punës dhe ofrimin e mbështetjes, përfshirë metodologjitë bashkëkohore, trajnime dhe shërbime të tjera për veprimtaritë laboratorike, për standardet teknike dhe metodat e analizave që kryejnë laboratorët rajonalë;</w:t>
      </w:r>
    </w:p>
    <w:p w14:paraId="25277116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v. marrjen pjesë rregullisht në testet e aftësive ndërlaboratorike në nivel ndërkombëtar, për të verifikuar performancën e tij për të prodhuar rezultate të qëndrueshme dhe të besueshme; </w:t>
      </w:r>
    </w:p>
    <w:p w14:paraId="25277117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vi. organizimin e testeve paralele të mostrave të standardizuara për monitorimin e kualifikimit të laboratorëve të autorizuar të kontrollit.</w:t>
      </w:r>
    </w:p>
    <w:p w14:paraId="25277118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b) Në fushën e shëndetit të kafshëve:</w:t>
      </w:r>
    </w:p>
    <w:p w14:paraId="25277119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i. kryerjen e analizave laboratorike, në zbatim të programeve kombëtare të monitorimit dhe survejancës së situatës epidemiologjike të sëmundjeve të kafshëve, shpendëve dhe zookulturave;</w:t>
      </w:r>
    </w:p>
    <w:p w14:paraId="2527711A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ii. kryerjen e analizave laboratorike, në zbatim të programeve kombëtare të monitorimit të diagnostikimit, prognozë-sinjalizimit dhe monitorimin e parazitozave, bakteriozave dhe virozave në kafshë;</w:t>
      </w:r>
    </w:p>
    <w:p w14:paraId="2527711B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iii. kryerjen e analizave laboratorike për vendosjen e diagnozës për sëmundjet infektive të kafshëve;</w:t>
      </w:r>
    </w:p>
    <w:p w14:paraId="2527711C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iv. kualifikimin e specialistëve dhe të teknikëve të laboratorëve veterinarë;</w:t>
      </w:r>
    </w:p>
    <w:p w14:paraId="2527711D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v. bashkërendimin e studimeve kërkimore dhe shkencore, për të zbatuar metoda të reja diagnostike për sëmundjet e kafshëve dhe sigurinë ushqimore;</w:t>
      </w:r>
    </w:p>
    <w:p w14:paraId="2527711E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vi. drejtimin metodologjik të laboratorëve veterinarë;</w:t>
      </w:r>
    </w:p>
    <w:p w14:paraId="2527711F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vii. kryerjen e analizave laboratorike konfermatore për kampionet, rezultatet e të cilave janë kontestuar, pasi janë nxjerrë nga laboratorët e tjerë veterinarë në vend;</w:t>
      </w:r>
    </w:p>
    <w:p w14:paraId="25277120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viii. pjesëmarrjen në teste zotësie të organizuara nga laboratorët e referencës së Bashkimit Evropian dhe OIE-së;</w:t>
      </w:r>
    </w:p>
    <w:p w14:paraId="25277121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ix. vlerësimin e laboratorëve veterinarë, nëse janë të aftë për kryerjen e analizave të miratuara;</w:t>
      </w:r>
    </w:p>
    <w:p w14:paraId="25277122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x. vlerësimin e dokumentacionit të PMV-ve gjatë procedurës së regjistrimit të tyre.</w:t>
      </w:r>
    </w:p>
    <w:p w14:paraId="25277123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c) Në fushën e mbrojtjes dhe shëndetit të bimëve:</w:t>
      </w:r>
    </w:p>
    <w:p w14:paraId="25277124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i. vlerësimin e dokumentacionit të PMB-ve gjatë procedurës së regjistrimit të tyre;</w:t>
      </w:r>
    </w:p>
    <w:p w14:paraId="25277125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ii. kontrollin cilësor të PMB-ve të regjistruara dhe të hedhura në treg;</w:t>
      </w:r>
    </w:p>
    <w:p w14:paraId="25277126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iii. vlerësimin e laboratorëve, me qëllim miratimin e tyre si laboratorë të miratuar për kryerjen e analizave të kontrolleve zyrtare;</w:t>
      </w:r>
    </w:p>
    <w:p w14:paraId="25277127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iv. bashkërendimin e punës dhe dhënien e mbështetjes, përfshirë trajnimet dhe shërbime të tjera për veprimtaritë laboratorike, për standardet teknike dhe mënyrat e analizave që kryejnë laboratorët e miratuar;</w:t>
      </w:r>
    </w:p>
    <w:p w14:paraId="25277128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v. organizimin e testeve paralele të mostrave të standardizuara dhe marrjen</w:t>
      </w:r>
      <w:r w:rsidR="00292960" w:rsidRPr="00AD40E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40E7">
        <w:rPr>
          <w:rFonts w:ascii="Garamond" w:hAnsi="Garamond" w:cs="Times New Roman"/>
          <w:color w:val="000000"/>
          <w:sz w:val="24"/>
          <w:szCs w:val="24"/>
        </w:rPr>
        <w:t>pjesë në to, në nivel kombëtar dhe ndërkombëtar, për monitorimin e kualifikimit të laboratorëve të miratuar të kontrollit;</w:t>
      </w:r>
    </w:p>
    <w:p w14:paraId="25277129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 xml:space="preserve">vi. marrjen pjesë rregullisht në testet e aftësive ndërlaboratorike, në nivel ndërkombëtar, për të verifikuar performancën e tij për të prodhuar rezultate të qëndrueshme dhe të besueshme; </w:t>
      </w:r>
    </w:p>
    <w:p w14:paraId="2527712A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vii. organizimin e testeve paralele të mostrave të standardizuara për monitorimin e kualifikimit të laboratorëve të miratuar të kontrollit;</w:t>
      </w:r>
    </w:p>
    <w:p w14:paraId="2527712B" w14:textId="4B79A101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viii. garantimin e përdorimit të një sistemi të brendshëm në përputhje me standardet e kërkuara nga laboratorët e miratuar të kontrollit</w:t>
      </w:r>
      <w:r w:rsidR="000B4134">
        <w:rPr>
          <w:rFonts w:ascii="Garamond" w:hAnsi="Garamond" w:cs="Times New Roman"/>
          <w:color w:val="000000"/>
          <w:sz w:val="24"/>
          <w:szCs w:val="24"/>
        </w:rPr>
        <w:t>;</w:t>
      </w:r>
      <w:r w:rsidRPr="00AD40E7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2527712C" w14:textId="77777777" w:rsidR="00F60CCF" w:rsidRPr="00AD40E7" w:rsidRDefault="00292960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ç)</w:t>
      </w:r>
      <w:r w:rsidR="00F60CCF" w:rsidRPr="00AD40E7">
        <w:rPr>
          <w:rFonts w:ascii="Garamond" w:hAnsi="Garamond" w:cs="Times New Roman"/>
          <w:color w:val="000000"/>
          <w:sz w:val="24"/>
          <w:szCs w:val="24"/>
        </w:rPr>
        <w:t xml:space="preserve"> kryen analiza në kuadër të planeve kombëtare të monitorimit;</w:t>
      </w:r>
    </w:p>
    <w:p w14:paraId="2527712D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d) kryen analiza laboratorike, në zbatim të programeve kombëtare të monitorimit dhe survejancës së situatës epidemiologjike të sëmundjeve infektive, zoonozave dhe mbetjeve toksike në bimë;</w:t>
      </w:r>
    </w:p>
    <w:p w14:paraId="2527712E" w14:textId="77777777" w:rsidR="00F60CCF" w:rsidRPr="00AD40E7" w:rsidRDefault="00292960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dh)</w:t>
      </w:r>
      <w:r w:rsidR="00F60CCF" w:rsidRPr="00AD40E7">
        <w:rPr>
          <w:rFonts w:ascii="Garamond" w:hAnsi="Garamond" w:cs="Times New Roman"/>
          <w:color w:val="000000"/>
          <w:sz w:val="24"/>
          <w:szCs w:val="24"/>
        </w:rPr>
        <w:t xml:space="preserve"> vlerëson dosjet e produkteve mjekësore veterinare, produkteve të mbrojtjes së bimëve dhe ambalazhit në procesin e regjistrimit, si dhe jep mendimin teknik për procesin e</w:t>
      </w:r>
      <w:r w:rsidRPr="00AD40E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F60CCF" w:rsidRPr="00AD40E7">
        <w:rPr>
          <w:rFonts w:ascii="Garamond" w:hAnsi="Garamond" w:cs="Times New Roman"/>
          <w:color w:val="000000"/>
          <w:sz w:val="24"/>
          <w:szCs w:val="24"/>
        </w:rPr>
        <w:t>regjistrimi të tyre.</w:t>
      </w:r>
    </w:p>
    <w:p w14:paraId="2527712F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lastRenderedPageBreak/>
        <w:t>3. Struktura dhe organika e ISUV-it miratohen me urdhër të Kryeministrit, sipas përcaktimeve në fuqi të legjislacionit për organizimin dhe funksionimin e institucioneve të administratës shtetërore.</w:t>
      </w:r>
    </w:p>
    <w:p w14:paraId="25277130" w14:textId="786F827B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 xml:space="preserve">4. ISUV-i drejtohet nga drejtori i </w:t>
      </w:r>
      <w:r w:rsidR="00337FAF">
        <w:rPr>
          <w:rFonts w:ascii="Garamond" w:hAnsi="Garamond" w:cs="Times New Roman"/>
          <w:color w:val="000000"/>
          <w:sz w:val="24"/>
          <w:szCs w:val="24"/>
        </w:rPr>
        <w:t>p</w:t>
      </w:r>
      <w:r w:rsidRPr="00AD40E7">
        <w:rPr>
          <w:rFonts w:ascii="Garamond" w:hAnsi="Garamond" w:cs="Times New Roman"/>
          <w:color w:val="000000"/>
          <w:sz w:val="24"/>
          <w:szCs w:val="24"/>
        </w:rPr>
        <w:t xml:space="preserve">ërgjithshëm, i cili organizon dhe drejton të gjithë veprimtarinë e tij, përfaqëson ISUV-in në marrëdhënie me të tretët dhe përgjigjet përpara ministrit. Drejtori i </w:t>
      </w:r>
      <w:r w:rsidR="00337FAF">
        <w:rPr>
          <w:rFonts w:ascii="Garamond" w:hAnsi="Garamond" w:cs="Times New Roman"/>
          <w:color w:val="000000"/>
          <w:sz w:val="24"/>
          <w:szCs w:val="24"/>
        </w:rPr>
        <w:t>p</w:t>
      </w:r>
      <w:r w:rsidRPr="00AD40E7">
        <w:rPr>
          <w:rFonts w:ascii="Garamond" w:hAnsi="Garamond" w:cs="Times New Roman"/>
          <w:color w:val="000000"/>
          <w:sz w:val="24"/>
          <w:szCs w:val="24"/>
        </w:rPr>
        <w:t>ërgjithshëm, në përputhje me legjislacionin në fuqi, por pa u kufizuar, me qëllim sigurimin e drejtimit dhe administrimit efektiv të ISUV-it, kryen detyrat, si më poshtë vijon:</w:t>
      </w:r>
    </w:p>
    <w:p w14:paraId="25277131" w14:textId="3208EE2C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a)</w:t>
      </w:r>
      <w:r w:rsidR="00292960" w:rsidRPr="00AD40E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A2CA1" w:rsidRPr="00AD40E7">
        <w:rPr>
          <w:rFonts w:ascii="Garamond" w:hAnsi="Garamond" w:cs="Times New Roman"/>
          <w:color w:val="000000"/>
          <w:sz w:val="24"/>
          <w:szCs w:val="24"/>
        </w:rPr>
        <w:t xml:space="preserve">përcakton </w:t>
      </w:r>
      <w:r w:rsidRPr="00AD40E7">
        <w:rPr>
          <w:rFonts w:ascii="Garamond" w:hAnsi="Garamond" w:cs="Times New Roman"/>
          <w:color w:val="000000"/>
          <w:sz w:val="24"/>
          <w:szCs w:val="24"/>
        </w:rPr>
        <w:t>objektivat vjetorë të ISUV-it në përputhje me objektivat strategjike të ministrisë;</w:t>
      </w:r>
    </w:p>
    <w:p w14:paraId="25277132" w14:textId="113A3BEE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b)</w:t>
      </w:r>
      <w:r w:rsidR="00292960" w:rsidRPr="00AD40E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A2CA1" w:rsidRPr="00AD40E7">
        <w:rPr>
          <w:rFonts w:ascii="Garamond" w:hAnsi="Garamond" w:cs="Times New Roman"/>
          <w:color w:val="000000"/>
          <w:sz w:val="24"/>
          <w:szCs w:val="24"/>
        </w:rPr>
        <w:t xml:space="preserve">miraton </w:t>
      </w:r>
      <w:r w:rsidRPr="00AD40E7">
        <w:rPr>
          <w:rFonts w:ascii="Garamond" w:hAnsi="Garamond" w:cs="Times New Roman"/>
          <w:color w:val="000000"/>
          <w:sz w:val="24"/>
          <w:szCs w:val="24"/>
        </w:rPr>
        <w:t>planet e punës afatmesme dhe afatgjata të departamenteve;</w:t>
      </w:r>
    </w:p>
    <w:p w14:paraId="25277133" w14:textId="6A417B8D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c)</w:t>
      </w:r>
      <w:r w:rsidR="00292960" w:rsidRPr="00AD40E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A2CA1" w:rsidRPr="00AD40E7">
        <w:rPr>
          <w:rFonts w:ascii="Garamond" w:hAnsi="Garamond" w:cs="Times New Roman"/>
          <w:color w:val="000000"/>
          <w:sz w:val="24"/>
          <w:szCs w:val="24"/>
        </w:rPr>
        <w:t xml:space="preserve">lidh </w:t>
      </w:r>
      <w:r w:rsidRPr="00AD40E7">
        <w:rPr>
          <w:rFonts w:ascii="Garamond" w:hAnsi="Garamond" w:cs="Times New Roman"/>
          <w:color w:val="000000"/>
          <w:sz w:val="24"/>
          <w:szCs w:val="24"/>
        </w:rPr>
        <w:t>kontratat e punës në përputhje me Kodin e Punës në Republikën e Shqipërisë, për nëpunësit/punonjësit, marrëdhëniet e punës të të cilëve rregullohen mbi bazën e këtij legjislacioni;</w:t>
      </w:r>
    </w:p>
    <w:p w14:paraId="25277134" w14:textId="6977FA33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ç)</w:t>
      </w:r>
      <w:r w:rsidR="00292960" w:rsidRPr="00AD40E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A2CA1" w:rsidRPr="00AD40E7">
        <w:rPr>
          <w:rFonts w:ascii="Garamond" w:hAnsi="Garamond" w:cs="Times New Roman"/>
          <w:color w:val="000000"/>
          <w:sz w:val="24"/>
          <w:szCs w:val="24"/>
        </w:rPr>
        <w:t xml:space="preserve">nxjerr </w:t>
      </w:r>
      <w:r w:rsidRPr="00AD40E7">
        <w:rPr>
          <w:rFonts w:ascii="Garamond" w:hAnsi="Garamond" w:cs="Times New Roman"/>
          <w:color w:val="000000"/>
          <w:sz w:val="24"/>
          <w:szCs w:val="24"/>
        </w:rPr>
        <w:t>akte administrative për realizimin e funksioneve të ISUV-it si dhe akte të brendshme për menaxhimin administrativ, financiar, të burimeve njerëzore dhe akte të tjera të</w:t>
      </w:r>
      <w:bookmarkStart w:id="0" w:name="_GoBack"/>
      <w:bookmarkEnd w:id="0"/>
      <w:r w:rsidRPr="00AD40E7">
        <w:rPr>
          <w:rFonts w:ascii="Garamond" w:hAnsi="Garamond" w:cs="Times New Roman"/>
          <w:color w:val="000000"/>
          <w:sz w:val="24"/>
          <w:szCs w:val="24"/>
        </w:rPr>
        <w:t xml:space="preserve"> brendshme, të detyrueshme për nëpunësit e ISUV-it;</w:t>
      </w:r>
    </w:p>
    <w:p w14:paraId="25277135" w14:textId="39F3580C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d)</w:t>
      </w:r>
      <w:r w:rsidR="00292960" w:rsidRPr="00AD40E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A2CA1" w:rsidRPr="00AD40E7">
        <w:rPr>
          <w:rFonts w:ascii="Garamond" w:hAnsi="Garamond" w:cs="Times New Roman"/>
          <w:color w:val="000000"/>
          <w:sz w:val="24"/>
          <w:szCs w:val="24"/>
        </w:rPr>
        <w:t xml:space="preserve">delegon </w:t>
      </w:r>
      <w:r w:rsidRPr="00AD40E7">
        <w:rPr>
          <w:rFonts w:ascii="Garamond" w:hAnsi="Garamond" w:cs="Times New Roman"/>
          <w:color w:val="000000"/>
          <w:sz w:val="24"/>
          <w:szCs w:val="24"/>
        </w:rPr>
        <w:t xml:space="preserve">kryerjen e detyrave të përcaktuara për periudhën dhe veprimtarinë që delegohet; </w:t>
      </w:r>
    </w:p>
    <w:p w14:paraId="25277136" w14:textId="0599F050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 xml:space="preserve">dh) </w:t>
      </w:r>
      <w:r w:rsidR="00AA2CA1" w:rsidRPr="00AD40E7">
        <w:rPr>
          <w:rFonts w:ascii="Garamond" w:hAnsi="Garamond" w:cs="Times New Roman"/>
          <w:color w:val="000000"/>
          <w:sz w:val="24"/>
          <w:szCs w:val="24"/>
        </w:rPr>
        <w:t xml:space="preserve">autorizon </w:t>
      </w:r>
      <w:r w:rsidRPr="00AD40E7">
        <w:rPr>
          <w:rFonts w:ascii="Garamond" w:hAnsi="Garamond" w:cs="Times New Roman"/>
          <w:color w:val="000000"/>
          <w:sz w:val="24"/>
          <w:szCs w:val="24"/>
        </w:rPr>
        <w:t>publikimin e informacioneve për median, publikun dhe subjekte të tjera;</w:t>
      </w:r>
    </w:p>
    <w:p w14:paraId="25277137" w14:textId="69D821C3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e)</w:t>
      </w:r>
      <w:r w:rsidR="00292960" w:rsidRPr="00AD40E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A2CA1" w:rsidRPr="00AD40E7">
        <w:rPr>
          <w:rFonts w:ascii="Garamond" w:hAnsi="Garamond" w:cs="Times New Roman"/>
          <w:color w:val="000000"/>
          <w:sz w:val="24"/>
          <w:szCs w:val="24"/>
        </w:rPr>
        <w:t xml:space="preserve">nxjerr </w:t>
      </w:r>
      <w:r w:rsidRPr="00AD40E7">
        <w:rPr>
          <w:rFonts w:ascii="Garamond" w:hAnsi="Garamond" w:cs="Times New Roman"/>
          <w:color w:val="000000"/>
          <w:sz w:val="24"/>
          <w:szCs w:val="24"/>
        </w:rPr>
        <w:t>urdhra dhe akte të brendshme në përputhje me kuadrin rregullator dhe për zbatimin e politikave, strategjive, programeve të miratuara;</w:t>
      </w:r>
    </w:p>
    <w:p w14:paraId="25277138" w14:textId="42466136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ë)</w:t>
      </w:r>
      <w:r w:rsidR="00292960" w:rsidRPr="00AD40E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A2CA1" w:rsidRPr="00AD40E7">
        <w:rPr>
          <w:rFonts w:ascii="Garamond" w:hAnsi="Garamond" w:cs="Times New Roman"/>
          <w:color w:val="000000"/>
          <w:sz w:val="24"/>
          <w:szCs w:val="24"/>
        </w:rPr>
        <w:t xml:space="preserve">çdo </w:t>
      </w:r>
      <w:r w:rsidRPr="00AD40E7">
        <w:rPr>
          <w:rFonts w:ascii="Garamond" w:hAnsi="Garamond" w:cs="Times New Roman"/>
          <w:color w:val="000000"/>
          <w:sz w:val="24"/>
          <w:szCs w:val="24"/>
        </w:rPr>
        <w:t>detyrë tjetër të ngarkuar nga legjislacioni në fuqi dhe ministri.</w:t>
      </w:r>
    </w:p>
    <w:p w14:paraId="25277139" w14:textId="7E75353A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 xml:space="preserve">5. Drejtori i </w:t>
      </w:r>
      <w:r w:rsidR="00AA2CA1" w:rsidRPr="00AD40E7">
        <w:rPr>
          <w:rFonts w:ascii="Garamond" w:hAnsi="Garamond" w:cs="Times New Roman"/>
          <w:color w:val="000000"/>
          <w:sz w:val="24"/>
          <w:szCs w:val="24"/>
        </w:rPr>
        <w:t xml:space="preserve">përgjithshëm </w:t>
      </w:r>
      <w:r w:rsidRPr="00AD40E7">
        <w:rPr>
          <w:rFonts w:ascii="Garamond" w:hAnsi="Garamond" w:cs="Times New Roman"/>
          <w:color w:val="000000"/>
          <w:sz w:val="24"/>
          <w:szCs w:val="24"/>
        </w:rPr>
        <w:t xml:space="preserve">në kryerjen e aktivitetit të tij mbështetet nga një zëvendësdrejtor i </w:t>
      </w:r>
      <w:r w:rsidR="00337FAF">
        <w:rPr>
          <w:rFonts w:ascii="Garamond" w:hAnsi="Garamond" w:cs="Times New Roman"/>
          <w:color w:val="000000"/>
          <w:sz w:val="24"/>
          <w:szCs w:val="24"/>
        </w:rPr>
        <w:t>p</w:t>
      </w:r>
      <w:r w:rsidRPr="00AD40E7">
        <w:rPr>
          <w:rFonts w:ascii="Garamond" w:hAnsi="Garamond" w:cs="Times New Roman"/>
          <w:color w:val="000000"/>
          <w:sz w:val="24"/>
          <w:szCs w:val="24"/>
        </w:rPr>
        <w:t xml:space="preserve">ërgjithshëm. Në mungesë të drejtorit të </w:t>
      </w:r>
      <w:r w:rsidR="00AA2CA1" w:rsidRPr="00AD40E7">
        <w:rPr>
          <w:rFonts w:ascii="Garamond" w:hAnsi="Garamond" w:cs="Times New Roman"/>
          <w:color w:val="000000"/>
          <w:sz w:val="24"/>
          <w:szCs w:val="24"/>
        </w:rPr>
        <w:t>përgjithshëm</w:t>
      </w:r>
      <w:r w:rsidRPr="00AD40E7">
        <w:rPr>
          <w:rFonts w:ascii="Garamond" w:hAnsi="Garamond" w:cs="Times New Roman"/>
          <w:color w:val="000000"/>
          <w:sz w:val="24"/>
          <w:szCs w:val="24"/>
        </w:rPr>
        <w:t xml:space="preserve">, në pamundësi të kryerjes së detyrave prej tij ose me autorizim, zëvendësdrejtori drejton aktivitetin e ISUV-it. </w:t>
      </w:r>
    </w:p>
    <w:p w14:paraId="2527713A" w14:textId="3C581042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strike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 xml:space="preserve">6. Ministri, me propozim të drejtorit të </w:t>
      </w:r>
      <w:r w:rsidR="00AA2CA1" w:rsidRPr="00AD40E7">
        <w:rPr>
          <w:rFonts w:ascii="Garamond" w:hAnsi="Garamond" w:cs="Times New Roman"/>
          <w:color w:val="000000"/>
          <w:sz w:val="24"/>
          <w:szCs w:val="24"/>
        </w:rPr>
        <w:t>përgjithshëm</w:t>
      </w:r>
      <w:r w:rsidRPr="00AD40E7">
        <w:rPr>
          <w:rFonts w:ascii="Garamond" w:hAnsi="Garamond" w:cs="Times New Roman"/>
          <w:color w:val="000000"/>
          <w:sz w:val="24"/>
          <w:szCs w:val="24"/>
        </w:rPr>
        <w:t>, miraton rregulloren që përcakton organizimin e brendshëm të punës dhe sjelljen e personelit të</w:t>
      </w:r>
      <w:r w:rsidR="00292960" w:rsidRPr="00AD40E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40E7">
        <w:rPr>
          <w:rFonts w:ascii="Garamond" w:hAnsi="Garamond" w:cs="Times New Roman"/>
          <w:color w:val="000000"/>
          <w:sz w:val="24"/>
          <w:szCs w:val="24"/>
        </w:rPr>
        <w:t>ISUV-it.</w:t>
      </w:r>
    </w:p>
    <w:p w14:paraId="2527713B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 xml:space="preserve">7. ISUV-i ka stemën dhe logon e vet zyrtare. Stema përbëhet nga stema e Republikës së Shqipërisë, me shënimet “Republika e Shqipërisë, Ministria... (emri i ministrisë përgjegjëse për ushqimin, veterinarinë dhe mbrojtjen e bimëve), Instituti i Sigurisë Ushqimore dhe Veterinarisë.”. </w:t>
      </w:r>
    </w:p>
    <w:p w14:paraId="2527713C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8. Vula ka formën dhe elementet e përcaktuara në vendimin e Këshillit të Ministrave, për rregullat e prodhimit, të administrimit, të kontrollit dhe të ruajtjes së vulave zyrtare. Vulat prodhohen, administrohen dhe ruhen në përputhje me legjislacionin në fuqi.</w:t>
      </w:r>
    </w:p>
    <w:p w14:paraId="2527713D" w14:textId="091285D6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9.</w:t>
      </w:r>
      <w:r w:rsidR="00292960" w:rsidRPr="00AD40E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40E7">
        <w:rPr>
          <w:rFonts w:ascii="Garamond" w:hAnsi="Garamond" w:cs="Times New Roman"/>
          <w:color w:val="000000"/>
          <w:sz w:val="24"/>
          <w:szCs w:val="24"/>
        </w:rPr>
        <w:t xml:space="preserve">Marrëdhëniet e punës së drejtorit të </w:t>
      </w:r>
      <w:r w:rsidR="00337FAF">
        <w:rPr>
          <w:rFonts w:ascii="Garamond" w:hAnsi="Garamond" w:cs="Times New Roman"/>
          <w:color w:val="000000"/>
          <w:sz w:val="24"/>
          <w:szCs w:val="24"/>
        </w:rPr>
        <w:t>p</w:t>
      </w:r>
      <w:r w:rsidRPr="00AD40E7">
        <w:rPr>
          <w:rFonts w:ascii="Garamond" w:hAnsi="Garamond" w:cs="Times New Roman"/>
          <w:color w:val="000000"/>
          <w:sz w:val="24"/>
          <w:szCs w:val="24"/>
        </w:rPr>
        <w:t>ërgjithshëm të ISUV-it dhe nëpunësve të tjerë të tij rregullohen në bazë të dispozitave të legjislacionit për nëpunësin civil. Marrëdhëniet e punës së punonjësve administrativë rregullohen sipas dispozitave të Kodit të Punës.</w:t>
      </w:r>
    </w:p>
    <w:p w14:paraId="2527713E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AD40E7">
        <w:rPr>
          <w:rFonts w:ascii="Garamond" w:hAnsi="Garamond" w:cs="Times New Roman"/>
          <w:bCs/>
          <w:color w:val="000000"/>
          <w:sz w:val="24"/>
          <w:szCs w:val="24"/>
        </w:rPr>
        <w:t>IV. DISPOZITA TË FUNDIT</w:t>
      </w:r>
    </w:p>
    <w:p w14:paraId="2527713F" w14:textId="568C32AF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1. Pika 8, e vendimit nr.</w:t>
      </w:r>
      <w:r w:rsidR="00901BB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D40E7">
        <w:rPr>
          <w:rFonts w:ascii="Garamond" w:hAnsi="Garamond" w:cs="Times New Roman"/>
          <w:color w:val="000000"/>
          <w:sz w:val="24"/>
          <w:szCs w:val="24"/>
        </w:rPr>
        <w:t>515, datë 19.7.2006, të Këshillit të Ministrave, “Për ristrukturimin e instituteve kërkimore-shkencore, në varësi të Ministrisë së Bujqësisë, Ushqimit dhe Mbrojtjes së Konsumatorit”, shfuqizohet.</w:t>
      </w:r>
    </w:p>
    <w:p w14:paraId="25277140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2. Ngarkohen Ministria e Bujqësisë dhe Zhvillimit Rural dhe Instituti i Sigurisë Ushqimore dhe Veterinarisë për zbatimin e këtij vendimi.</w:t>
      </w:r>
    </w:p>
    <w:p w14:paraId="25277141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D40E7">
        <w:rPr>
          <w:rFonts w:ascii="Garamond" w:hAnsi="Garamond" w:cs="Times New Roman"/>
          <w:color w:val="000000"/>
          <w:sz w:val="24"/>
          <w:szCs w:val="24"/>
        </w:rPr>
        <w:t>Ky ven</w:t>
      </w:r>
      <w:r w:rsidR="00292960" w:rsidRPr="00AD40E7">
        <w:rPr>
          <w:rFonts w:ascii="Garamond" w:hAnsi="Garamond" w:cs="Times New Roman"/>
          <w:color w:val="000000"/>
          <w:sz w:val="24"/>
          <w:szCs w:val="24"/>
        </w:rPr>
        <w:t xml:space="preserve">dim hyn në fuqi pas botimit në </w:t>
      </w:r>
      <w:r w:rsidRPr="00AD40E7">
        <w:rPr>
          <w:rFonts w:ascii="Garamond" w:hAnsi="Garamond" w:cs="Times New Roman"/>
          <w:color w:val="000000"/>
          <w:sz w:val="24"/>
          <w:szCs w:val="24"/>
        </w:rPr>
        <w:t>Fletoren Z</w:t>
      </w:r>
      <w:r w:rsidR="00292960" w:rsidRPr="00AD40E7">
        <w:rPr>
          <w:rFonts w:ascii="Garamond" w:hAnsi="Garamond" w:cs="Times New Roman"/>
          <w:color w:val="000000"/>
          <w:sz w:val="24"/>
          <w:szCs w:val="24"/>
        </w:rPr>
        <w:t>yrtare</w:t>
      </w:r>
      <w:r w:rsidRPr="00AD40E7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5277142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5277143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AD40E7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25277144" w14:textId="77777777" w:rsidR="00F60CCF" w:rsidRPr="00AD40E7" w:rsidRDefault="00F60CCF" w:rsidP="00F60CCF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D40E7">
        <w:rPr>
          <w:rFonts w:ascii="Garamond" w:hAnsi="Garamond" w:cs="Times New Roman"/>
          <w:b/>
          <w:bCs/>
          <w:color w:val="000000"/>
          <w:sz w:val="24"/>
          <w:szCs w:val="24"/>
        </w:rPr>
        <w:t>Belinda Balluku</w:t>
      </w:r>
    </w:p>
    <w:sectPr w:rsidR="00F60CCF" w:rsidRPr="00AD40E7" w:rsidSect="00292960">
      <w:footerReference w:type="default" r:id="rId11"/>
      <w:pgSz w:w="11906" w:h="16838" w:code="9"/>
      <w:pgMar w:top="1418" w:right="1418" w:bottom="1418" w:left="1418" w:header="130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9EB929" w14:textId="77777777" w:rsidR="006E6687" w:rsidRDefault="006E6687" w:rsidP="00A048EE">
      <w:pPr>
        <w:spacing w:line="240" w:lineRule="auto"/>
      </w:pPr>
      <w:r>
        <w:separator/>
      </w:r>
    </w:p>
  </w:endnote>
  <w:endnote w:type="continuationSeparator" w:id="0">
    <w:p w14:paraId="6D879585" w14:textId="77777777" w:rsidR="006E6687" w:rsidRDefault="006E6687" w:rsidP="00A048EE">
      <w:pPr>
        <w:spacing w:line="240" w:lineRule="auto"/>
      </w:pPr>
      <w:r>
        <w:continuationSeparator/>
      </w:r>
    </w:p>
  </w:endnote>
  <w:endnote w:type="continuationNotice" w:id="1">
    <w:p w14:paraId="76A830A6" w14:textId="77777777" w:rsidR="00CE2992" w:rsidRDefault="00CE299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277149" w14:textId="77777777" w:rsidR="006E6687" w:rsidRPr="002F1359" w:rsidRDefault="006E6687">
    <w:pPr>
      <w:pStyle w:val="Footer"/>
      <w:jc w:val="right"/>
      <w:rPr>
        <w:rFonts w:ascii="Times New Roman" w:hAnsi="Times New Roman" w:cs="Times New Roman"/>
        <w:sz w:val="24"/>
        <w:szCs w:val="24"/>
      </w:rPr>
    </w:pPr>
  </w:p>
  <w:p w14:paraId="2527714A" w14:textId="77777777" w:rsidR="006E6687" w:rsidRDefault="006E668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EC951F" w14:textId="77777777" w:rsidR="006E6687" w:rsidRDefault="006E6687" w:rsidP="00A048EE">
      <w:pPr>
        <w:spacing w:line="240" w:lineRule="auto"/>
      </w:pPr>
      <w:r>
        <w:separator/>
      </w:r>
    </w:p>
  </w:footnote>
  <w:footnote w:type="continuationSeparator" w:id="0">
    <w:p w14:paraId="454C25F9" w14:textId="77777777" w:rsidR="006E6687" w:rsidRDefault="006E6687" w:rsidP="00A048EE">
      <w:pPr>
        <w:spacing w:line="240" w:lineRule="auto"/>
      </w:pPr>
      <w:r>
        <w:continuationSeparator/>
      </w:r>
    </w:p>
  </w:footnote>
  <w:footnote w:type="continuationNotice" w:id="1">
    <w:p w14:paraId="74BA2DDC" w14:textId="77777777" w:rsidR="00CE2992" w:rsidRDefault="00CE2992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767F9"/>
    <w:multiLevelType w:val="hybridMultilevel"/>
    <w:tmpl w:val="2E3AC7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F687D"/>
    <w:multiLevelType w:val="hybridMultilevel"/>
    <w:tmpl w:val="1BD079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21108"/>
    <w:multiLevelType w:val="hybridMultilevel"/>
    <w:tmpl w:val="F1306B4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4275DE4"/>
    <w:multiLevelType w:val="hybridMultilevel"/>
    <w:tmpl w:val="DF3E05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5D12C5"/>
    <w:multiLevelType w:val="hybridMultilevel"/>
    <w:tmpl w:val="6CB49B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4044E5"/>
    <w:multiLevelType w:val="hybridMultilevel"/>
    <w:tmpl w:val="C65C6E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2F6B5C"/>
    <w:multiLevelType w:val="hybridMultilevel"/>
    <w:tmpl w:val="18608C2E"/>
    <w:lvl w:ilvl="0" w:tplc="972AD5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0B4995"/>
    <w:multiLevelType w:val="hybridMultilevel"/>
    <w:tmpl w:val="D2463F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DB2A5B"/>
    <w:multiLevelType w:val="hybridMultilevel"/>
    <w:tmpl w:val="A57021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187625"/>
    <w:multiLevelType w:val="hybridMultilevel"/>
    <w:tmpl w:val="69DED0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D26823"/>
    <w:multiLevelType w:val="hybridMultilevel"/>
    <w:tmpl w:val="9F0AC35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1D7D4E"/>
    <w:multiLevelType w:val="hybridMultilevel"/>
    <w:tmpl w:val="F5DEE6A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912C1"/>
    <w:multiLevelType w:val="hybridMultilevel"/>
    <w:tmpl w:val="C2469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81537A"/>
    <w:multiLevelType w:val="hybridMultilevel"/>
    <w:tmpl w:val="EB640B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EB5D4F"/>
    <w:multiLevelType w:val="hybridMultilevel"/>
    <w:tmpl w:val="3CFE2D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B57FFB"/>
    <w:multiLevelType w:val="hybridMultilevel"/>
    <w:tmpl w:val="4F8879F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7556AD"/>
    <w:multiLevelType w:val="hybridMultilevel"/>
    <w:tmpl w:val="05004584"/>
    <w:lvl w:ilvl="0" w:tplc="42148E5E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853FE3"/>
    <w:multiLevelType w:val="hybridMultilevel"/>
    <w:tmpl w:val="E348DF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984355"/>
    <w:multiLevelType w:val="hybridMultilevel"/>
    <w:tmpl w:val="BB3ED8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E55A9E"/>
    <w:multiLevelType w:val="hybridMultilevel"/>
    <w:tmpl w:val="C7605F4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3"/>
  </w:num>
  <w:num w:numId="3">
    <w:abstractNumId w:val="4"/>
  </w:num>
  <w:num w:numId="4">
    <w:abstractNumId w:val="8"/>
  </w:num>
  <w:num w:numId="5">
    <w:abstractNumId w:val="5"/>
  </w:num>
  <w:num w:numId="6">
    <w:abstractNumId w:val="0"/>
  </w:num>
  <w:num w:numId="7">
    <w:abstractNumId w:val="17"/>
  </w:num>
  <w:num w:numId="8">
    <w:abstractNumId w:val="12"/>
  </w:num>
  <w:num w:numId="9">
    <w:abstractNumId w:val="16"/>
  </w:num>
  <w:num w:numId="10">
    <w:abstractNumId w:val="2"/>
  </w:num>
  <w:num w:numId="11">
    <w:abstractNumId w:val="11"/>
  </w:num>
  <w:num w:numId="12">
    <w:abstractNumId w:val="14"/>
  </w:num>
  <w:num w:numId="13">
    <w:abstractNumId w:val="10"/>
  </w:num>
  <w:num w:numId="14">
    <w:abstractNumId w:val="3"/>
  </w:num>
  <w:num w:numId="15">
    <w:abstractNumId w:val="15"/>
  </w:num>
  <w:num w:numId="16">
    <w:abstractNumId w:val="7"/>
  </w:num>
  <w:num w:numId="17">
    <w:abstractNumId w:val="13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</w:num>
  <w:num w:numId="26">
    <w:abstractNumId w:val="1"/>
  </w:num>
  <w:num w:numId="27">
    <w:abstractNumId w:val="9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oNotDisplayPageBoundaries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B55"/>
    <w:rsid w:val="0001317C"/>
    <w:rsid w:val="00016E04"/>
    <w:rsid w:val="00032239"/>
    <w:rsid w:val="00032703"/>
    <w:rsid w:val="00047305"/>
    <w:rsid w:val="00047745"/>
    <w:rsid w:val="0005388C"/>
    <w:rsid w:val="00055C5C"/>
    <w:rsid w:val="000606BD"/>
    <w:rsid w:val="00064E46"/>
    <w:rsid w:val="000732C8"/>
    <w:rsid w:val="00073A96"/>
    <w:rsid w:val="00076F79"/>
    <w:rsid w:val="00086F57"/>
    <w:rsid w:val="000B4134"/>
    <w:rsid w:val="000C422F"/>
    <w:rsid w:val="000C46A9"/>
    <w:rsid w:val="000C5394"/>
    <w:rsid w:val="000D6473"/>
    <w:rsid w:val="001005AD"/>
    <w:rsid w:val="00100F8C"/>
    <w:rsid w:val="00104ABE"/>
    <w:rsid w:val="00115CED"/>
    <w:rsid w:val="00121A5D"/>
    <w:rsid w:val="00136615"/>
    <w:rsid w:val="001366C0"/>
    <w:rsid w:val="0015789A"/>
    <w:rsid w:val="00160164"/>
    <w:rsid w:val="00164356"/>
    <w:rsid w:val="00165B1C"/>
    <w:rsid w:val="00166CD3"/>
    <w:rsid w:val="00172DB0"/>
    <w:rsid w:val="00187092"/>
    <w:rsid w:val="001A124B"/>
    <w:rsid w:val="001B3D37"/>
    <w:rsid w:val="001C4A0C"/>
    <w:rsid w:val="001D4CE1"/>
    <w:rsid w:val="001D55DB"/>
    <w:rsid w:val="001D6095"/>
    <w:rsid w:val="001D615F"/>
    <w:rsid w:val="001F74E2"/>
    <w:rsid w:val="001F74EB"/>
    <w:rsid w:val="00200622"/>
    <w:rsid w:val="002050D3"/>
    <w:rsid w:val="0021484C"/>
    <w:rsid w:val="0022023A"/>
    <w:rsid w:val="002204DA"/>
    <w:rsid w:val="00224032"/>
    <w:rsid w:val="002333ED"/>
    <w:rsid w:val="00245C87"/>
    <w:rsid w:val="002543DB"/>
    <w:rsid w:val="00260A21"/>
    <w:rsid w:val="00263BCC"/>
    <w:rsid w:val="00265500"/>
    <w:rsid w:val="00266FF3"/>
    <w:rsid w:val="00272E48"/>
    <w:rsid w:val="002732DC"/>
    <w:rsid w:val="00282D00"/>
    <w:rsid w:val="00292960"/>
    <w:rsid w:val="0029762F"/>
    <w:rsid w:val="00297C57"/>
    <w:rsid w:val="002C4CDC"/>
    <w:rsid w:val="002C4FCB"/>
    <w:rsid w:val="002C5638"/>
    <w:rsid w:val="002D4B5E"/>
    <w:rsid w:val="002D5803"/>
    <w:rsid w:val="002D6236"/>
    <w:rsid w:val="002D62EB"/>
    <w:rsid w:val="002F0306"/>
    <w:rsid w:val="002F1359"/>
    <w:rsid w:val="00330BFF"/>
    <w:rsid w:val="00337FAF"/>
    <w:rsid w:val="003427C6"/>
    <w:rsid w:val="00352761"/>
    <w:rsid w:val="0035341F"/>
    <w:rsid w:val="00356468"/>
    <w:rsid w:val="00362410"/>
    <w:rsid w:val="003716B1"/>
    <w:rsid w:val="00374F8F"/>
    <w:rsid w:val="00377886"/>
    <w:rsid w:val="003849AC"/>
    <w:rsid w:val="00390EF1"/>
    <w:rsid w:val="003A02BB"/>
    <w:rsid w:val="003B0625"/>
    <w:rsid w:val="003C3550"/>
    <w:rsid w:val="003C7AA6"/>
    <w:rsid w:val="003F3672"/>
    <w:rsid w:val="00401FF0"/>
    <w:rsid w:val="00402F98"/>
    <w:rsid w:val="00403622"/>
    <w:rsid w:val="00414026"/>
    <w:rsid w:val="0043571A"/>
    <w:rsid w:val="0045438A"/>
    <w:rsid w:val="00454A50"/>
    <w:rsid w:val="00461481"/>
    <w:rsid w:val="00483C9F"/>
    <w:rsid w:val="004876DF"/>
    <w:rsid w:val="004A3C0C"/>
    <w:rsid w:val="004C555E"/>
    <w:rsid w:val="004D6252"/>
    <w:rsid w:val="004D75FB"/>
    <w:rsid w:val="004F21B5"/>
    <w:rsid w:val="00510E1B"/>
    <w:rsid w:val="00524D18"/>
    <w:rsid w:val="00540237"/>
    <w:rsid w:val="005430FF"/>
    <w:rsid w:val="00551188"/>
    <w:rsid w:val="0057015C"/>
    <w:rsid w:val="005775B0"/>
    <w:rsid w:val="005951E1"/>
    <w:rsid w:val="005A757D"/>
    <w:rsid w:val="005B3448"/>
    <w:rsid w:val="005C05C9"/>
    <w:rsid w:val="005C2AE8"/>
    <w:rsid w:val="005C7289"/>
    <w:rsid w:val="005D1383"/>
    <w:rsid w:val="005D4AE3"/>
    <w:rsid w:val="005E198B"/>
    <w:rsid w:val="005F5977"/>
    <w:rsid w:val="00610C8A"/>
    <w:rsid w:val="00633075"/>
    <w:rsid w:val="00636E6A"/>
    <w:rsid w:val="00655570"/>
    <w:rsid w:val="00655A19"/>
    <w:rsid w:val="00683A5B"/>
    <w:rsid w:val="00685EA2"/>
    <w:rsid w:val="00692B0F"/>
    <w:rsid w:val="00694581"/>
    <w:rsid w:val="0069470D"/>
    <w:rsid w:val="006A5F4E"/>
    <w:rsid w:val="006B23E0"/>
    <w:rsid w:val="006C6B55"/>
    <w:rsid w:val="006D4AE9"/>
    <w:rsid w:val="006E0934"/>
    <w:rsid w:val="006E49C6"/>
    <w:rsid w:val="006E6687"/>
    <w:rsid w:val="007003D2"/>
    <w:rsid w:val="00703708"/>
    <w:rsid w:val="00704486"/>
    <w:rsid w:val="00704E15"/>
    <w:rsid w:val="00723FFA"/>
    <w:rsid w:val="00725450"/>
    <w:rsid w:val="007667B7"/>
    <w:rsid w:val="00772350"/>
    <w:rsid w:val="0078164B"/>
    <w:rsid w:val="0079099C"/>
    <w:rsid w:val="007A42FD"/>
    <w:rsid w:val="007B2E98"/>
    <w:rsid w:val="007C2AAF"/>
    <w:rsid w:val="007C4A3C"/>
    <w:rsid w:val="007C66CB"/>
    <w:rsid w:val="007E28D8"/>
    <w:rsid w:val="007E6F4A"/>
    <w:rsid w:val="007F139D"/>
    <w:rsid w:val="007F3397"/>
    <w:rsid w:val="007F3D6E"/>
    <w:rsid w:val="00826E89"/>
    <w:rsid w:val="008349CB"/>
    <w:rsid w:val="00835D75"/>
    <w:rsid w:val="00841BEA"/>
    <w:rsid w:val="00845100"/>
    <w:rsid w:val="00881779"/>
    <w:rsid w:val="00892FAF"/>
    <w:rsid w:val="008A1CED"/>
    <w:rsid w:val="008A2BDA"/>
    <w:rsid w:val="008A49F7"/>
    <w:rsid w:val="008B4533"/>
    <w:rsid w:val="008C27B5"/>
    <w:rsid w:val="008D11F8"/>
    <w:rsid w:val="008E0127"/>
    <w:rsid w:val="008E5A40"/>
    <w:rsid w:val="008E5CFA"/>
    <w:rsid w:val="008E6035"/>
    <w:rsid w:val="00901BB3"/>
    <w:rsid w:val="009038A0"/>
    <w:rsid w:val="00906B09"/>
    <w:rsid w:val="00914B68"/>
    <w:rsid w:val="00925367"/>
    <w:rsid w:val="00925E41"/>
    <w:rsid w:val="00931674"/>
    <w:rsid w:val="0094095E"/>
    <w:rsid w:val="009467C4"/>
    <w:rsid w:val="00962380"/>
    <w:rsid w:val="00991B14"/>
    <w:rsid w:val="00997CBB"/>
    <w:rsid w:val="009A4C0B"/>
    <w:rsid w:val="009D1E27"/>
    <w:rsid w:val="009E00C7"/>
    <w:rsid w:val="009E2CE1"/>
    <w:rsid w:val="009E6F90"/>
    <w:rsid w:val="009F13E3"/>
    <w:rsid w:val="00A048EE"/>
    <w:rsid w:val="00A05BAE"/>
    <w:rsid w:val="00A20BFA"/>
    <w:rsid w:val="00A2742F"/>
    <w:rsid w:val="00A30600"/>
    <w:rsid w:val="00A33C28"/>
    <w:rsid w:val="00A36624"/>
    <w:rsid w:val="00A41646"/>
    <w:rsid w:val="00A60CB4"/>
    <w:rsid w:val="00A63B8D"/>
    <w:rsid w:val="00A87341"/>
    <w:rsid w:val="00A97013"/>
    <w:rsid w:val="00AA2CA1"/>
    <w:rsid w:val="00AA7B3D"/>
    <w:rsid w:val="00AB0A84"/>
    <w:rsid w:val="00AD0DAB"/>
    <w:rsid w:val="00AD2B16"/>
    <w:rsid w:val="00AD40E7"/>
    <w:rsid w:val="00AF6052"/>
    <w:rsid w:val="00B123DD"/>
    <w:rsid w:val="00B20A42"/>
    <w:rsid w:val="00B25660"/>
    <w:rsid w:val="00B40858"/>
    <w:rsid w:val="00B47CAF"/>
    <w:rsid w:val="00B542CC"/>
    <w:rsid w:val="00B873B1"/>
    <w:rsid w:val="00BA655B"/>
    <w:rsid w:val="00BC1A6B"/>
    <w:rsid w:val="00BD33D3"/>
    <w:rsid w:val="00BD5AE1"/>
    <w:rsid w:val="00BF1DEF"/>
    <w:rsid w:val="00BF7F51"/>
    <w:rsid w:val="00C03B03"/>
    <w:rsid w:val="00C0513C"/>
    <w:rsid w:val="00C27802"/>
    <w:rsid w:val="00C35713"/>
    <w:rsid w:val="00C50873"/>
    <w:rsid w:val="00C50D88"/>
    <w:rsid w:val="00C541DC"/>
    <w:rsid w:val="00C57FEC"/>
    <w:rsid w:val="00C619D8"/>
    <w:rsid w:val="00C621F2"/>
    <w:rsid w:val="00C90248"/>
    <w:rsid w:val="00C913B9"/>
    <w:rsid w:val="00CA0B6C"/>
    <w:rsid w:val="00CC0222"/>
    <w:rsid w:val="00CE2992"/>
    <w:rsid w:val="00CF2636"/>
    <w:rsid w:val="00CF2676"/>
    <w:rsid w:val="00CF5F3C"/>
    <w:rsid w:val="00D1109C"/>
    <w:rsid w:val="00D22325"/>
    <w:rsid w:val="00D23F4C"/>
    <w:rsid w:val="00D40B30"/>
    <w:rsid w:val="00D54886"/>
    <w:rsid w:val="00D751E3"/>
    <w:rsid w:val="00D8018B"/>
    <w:rsid w:val="00D920B4"/>
    <w:rsid w:val="00D967FD"/>
    <w:rsid w:val="00DB7157"/>
    <w:rsid w:val="00DE05BA"/>
    <w:rsid w:val="00DE7166"/>
    <w:rsid w:val="00DF09F0"/>
    <w:rsid w:val="00E15B94"/>
    <w:rsid w:val="00E1719F"/>
    <w:rsid w:val="00E31A4F"/>
    <w:rsid w:val="00EA38F7"/>
    <w:rsid w:val="00EC1470"/>
    <w:rsid w:val="00EC18A0"/>
    <w:rsid w:val="00ED1873"/>
    <w:rsid w:val="00EE0362"/>
    <w:rsid w:val="00EE0657"/>
    <w:rsid w:val="00EE7DAC"/>
    <w:rsid w:val="00EF2257"/>
    <w:rsid w:val="00F11F9F"/>
    <w:rsid w:val="00F16037"/>
    <w:rsid w:val="00F246A5"/>
    <w:rsid w:val="00F45AA9"/>
    <w:rsid w:val="00F60CCF"/>
    <w:rsid w:val="00F84DEC"/>
    <w:rsid w:val="00F9129D"/>
    <w:rsid w:val="00FC4588"/>
    <w:rsid w:val="00FD0F9C"/>
    <w:rsid w:val="00FD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770F6"/>
  <w15:docId w15:val="{D7B888F5-0161-4EB7-9CC9-A67618B79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2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00F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0F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0F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0F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0F8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F8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F8C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A60CB4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A60CB4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826E89"/>
  </w:style>
  <w:style w:type="paragraph" w:styleId="NormalWeb">
    <w:name w:val="Normal (Web)"/>
    <w:basedOn w:val="Normal"/>
    <w:uiPriority w:val="99"/>
    <w:semiHidden/>
    <w:unhideWhenUsed/>
    <w:rsid w:val="00826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048E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8EE"/>
  </w:style>
  <w:style w:type="paragraph" w:styleId="Footer">
    <w:name w:val="footer"/>
    <w:basedOn w:val="Normal"/>
    <w:link w:val="FooterChar"/>
    <w:uiPriority w:val="99"/>
    <w:unhideWhenUsed/>
    <w:rsid w:val="00A048E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8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6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D5155E6AB042F198A55EC7F85676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732</Nr_x002e__x0020_akti>
    <Data_x0020_e_x0020_Krijimit xmlns="0e656187-b300-4fb0-8bf4-3a50f872073c">2022-11-17T08:51:09Z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2022-11-15T23:00:00Z</Date_x0020_protokolli>
    <Titulli xmlns="0e656187-b300-4fb0-8bf4-3a50f872073c">Për organizimin dhe funksionimin e Institutit të Sigurisë Ushqimore dhe Veterinarisë</Titulli>
    <Modifikuesi xmlns="0e656187-b300-4fb0-8bf4-3a50f872073c">jorina.kryeziu</Modifikuesi>
    <Nr_x002e__x0020_prot_x0020_QBZ xmlns="0e656187-b300-4fb0-8bf4-3a50f872073c">1686</Nr_x002e__x0020_prot_x0020_QBZ>
    <Data_x0020_e_x0020_Modifikimit xmlns="0e656187-b300-4fb0-8bf4-3a50f872073c">2022-11-17T09:53:41Z</Data_x0020_e_x0020_Modifikimit>
    <Dekretuar xmlns="0e656187-b300-4fb0-8bf4-3a50f872073c">false</Dekretuar>
    <Data xmlns="0e656187-b300-4fb0-8bf4-3a50f872073c">2022-11-15T23:00:00Z</Data>
    <Nr_x002e__x0020_protokolli_x0020_i_x0020_aktit xmlns="0e656187-b300-4fb0-8bf4-3a50f872073c">6166/3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4A68E-34CA-4C20-80E1-39D862B36E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040EF3-90AC-4C7C-879F-ED65C6B25D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2D3D9ED-54BD-4C72-9BDF-3F461A87EBE7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84492CD-7490-4259-A579-396296EB7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1464</Words>
  <Characters>8348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per miratim KM</vt:lpstr>
    </vt:vector>
  </TitlesOfParts>
  <Company>Microsoft</Company>
  <LinksUpToDate>false</LinksUpToDate>
  <CharactersWithSpaces>9793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 dhe funksionimin e Institutit të Sigurisë Ushqimore dhe Veterinarisë</dc:title>
  <dc:creator>luljeta.cuko</dc:creator>
  <cp:lastModifiedBy>Jorina Kryeziu</cp:lastModifiedBy>
  <cp:revision>25</cp:revision>
  <cp:lastPrinted>2022-11-15T14:21:00Z</cp:lastPrinted>
  <dcterms:created xsi:type="dcterms:W3CDTF">2022-11-15T09:28:00Z</dcterms:created>
  <dcterms:modified xsi:type="dcterms:W3CDTF">2022-11-17T10:01:00Z</dcterms:modified>
</cp:coreProperties>
</file>