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A81D3" w14:textId="77777777" w:rsidR="005A3682" w:rsidRPr="00D85A7F" w:rsidRDefault="005A3682" w:rsidP="005A368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85A7F">
        <w:rPr>
          <w:rFonts w:ascii="Garamond" w:hAnsi="Garamond" w:cs="Times New Roman"/>
          <w:b/>
          <w:bCs/>
          <w:color w:val="000000"/>
          <w:sz w:val="24"/>
          <w:szCs w:val="24"/>
          <w:lang w:val="sq-AL"/>
        </w:rPr>
        <w:t>VENDIM</w:t>
      </w:r>
    </w:p>
    <w:p w14:paraId="19AA81D4" w14:textId="5C657153" w:rsidR="005A3682" w:rsidRPr="00D85A7F" w:rsidRDefault="005A3682" w:rsidP="005A3682">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D85A7F">
        <w:rPr>
          <w:rFonts w:ascii="Garamond" w:hAnsi="Garamond" w:cs="Times New Roman"/>
          <w:b/>
          <w:bCs/>
          <w:color w:val="000000"/>
          <w:sz w:val="24"/>
          <w:szCs w:val="24"/>
          <w:lang w:val="sq-AL"/>
        </w:rPr>
        <w:t>Nr.</w:t>
      </w:r>
      <w:r w:rsidR="00C54B6E" w:rsidRPr="00D85A7F">
        <w:rPr>
          <w:rFonts w:ascii="Garamond" w:hAnsi="Garamond" w:cs="Times New Roman"/>
          <w:b/>
          <w:bCs/>
          <w:color w:val="000000"/>
          <w:sz w:val="24"/>
          <w:szCs w:val="24"/>
          <w:lang w:val="sq-AL"/>
        </w:rPr>
        <w:t xml:space="preserve"> </w:t>
      </w:r>
      <w:r w:rsidRPr="00D85A7F">
        <w:rPr>
          <w:rFonts w:ascii="Garamond" w:hAnsi="Garamond" w:cs="Times New Roman"/>
          <w:b/>
          <w:bCs/>
          <w:color w:val="000000"/>
          <w:sz w:val="24"/>
          <w:szCs w:val="24"/>
          <w:lang w:val="sq-AL"/>
        </w:rPr>
        <w:t>13, datë 18.1.2023</w:t>
      </w:r>
    </w:p>
    <w:p w14:paraId="19AA81D5" w14:textId="77777777" w:rsidR="005A3682" w:rsidRPr="00D85A7F" w:rsidRDefault="005A3682" w:rsidP="005A3682">
      <w:pPr>
        <w:autoSpaceDE w:val="0"/>
        <w:autoSpaceDN w:val="0"/>
        <w:adjustRightInd w:val="0"/>
        <w:spacing w:after="0" w:line="240" w:lineRule="auto"/>
        <w:ind w:firstLine="284"/>
        <w:jc w:val="center"/>
        <w:rPr>
          <w:rFonts w:ascii="Garamond" w:hAnsi="Garamond" w:cs="Calibri"/>
          <w:color w:val="000000"/>
          <w:sz w:val="24"/>
          <w:szCs w:val="24"/>
          <w:lang w:val="sq-AL"/>
        </w:rPr>
      </w:pPr>
    </w:p>
    <w:p w14:paraId="19AA81D6" w14:textId="4D683433" w:rsidR="005A3682" w:rsidRPr="00D85A7F" w:rsidRDefault="005A3682" w:rsidP="0025031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85A7F">
        <w:rPr>
          <w:rFonts w:ascii="Garamond" w:hAnsi="Garamond" w:cs="Times New Roman"/>
          <w:b/>
          <w:bCs/>
          <w:color w:val="000000"/>
          <w:sz w:val="24"/>
          <w:szCs w:val="24"/>
          <w:lang w:val="sq-AL"/>
        </w:rPr>
        <w:t xml:space="preserve">PËR DISA NDRYSHIME DHE SHTESA NË </w:t>
      </w:r>
      <w:r w:rsidRPr="00D85A7F">
        <w:rPr>
          <w:rFonts w:ascii="Garamond" w:hAnsi="Garamond" w:cs="Times New Roman"/>
          <w:b/>
          <w:bCs/>
          <w:color w:val="000000"/>
          <w:spacing w:val="-15"/>
          <w:sz w:val="24"/>
          <w:szCs w:val="24"/>
          <w:lang w:val="sq-AL"/>
        </w:rPr>
        <w:t>VENDIMIN</w:t>
      </w:r>
      <w:r w:rsidRPr="00D85A7F">
        <w:rPr>
          <w:rFonts w:ascii="Garamond" w:hAnsi="Garamond" w:cs="Times New Roman"/>
          <w:b/>
          <w:bCs/>
          <w:color w:val="000000"/>
          <w:sz w:val="24"/>
          <w:szCs w:val="24"/>
          <w:lang w:val="sq-AL"/>
        </w:rPr>
        <w:t xml:space="preserve"> NR.</w:t>
      </w:r>
      <w:r w:rsidR="00C54B6E" w:rsidRPr="00D85A7F">
        <w:rPr>
          <w:rFonts w:ascii="Garamond" w:hAnsi="Garamond" w:cs="Times New Roman"/>
          <w:b/>
          <w:bCs/>
          <w:color w:val="000000"/>
          <w:sz w:val="24"/>
          <w:szCs w:val="24"/>
          <w:lang w:val="sq-AL"/>
        </w:rPr>
        <w:t xml:space="preserve"> </w:t>
      </w:r>
      <w:r w:rsidRPr="00D85A7F">
        <w:rPr>
          <w:rFonts w:ascii="Garamond" w:hAnsi="Garamond" w:cs="Times New Roman"/>
          <w:b/>
          <w:bCs/>
          <w:color w:val="000000"/>
          <w:sz w:val="24"/>
          <w:szCs w:val="24"/>
          <w:lang w:val="sq-AL"/>
        </w:rPr>
        <w:t xml:space="preserve">122, DATË 5.3.2014, TË KËSHILLIT TË MINISTRAVE, “PËR SHPRONËSIMIN, PËR INTERES PUBLIK, TË PRONARËVE TË PASURIVE TË PALUAJTSHME, PRONË PRIVATE, QË </w:t>
      </w:r>
      <w:r w:rsidRPr="00D85A7F">
        <w:rPr>
          <w:rFonts w:ascii="Garamond" w:hAnsi="Garamond" w:cs="Times New Roman"/>
          <w:b/>
          <w:bCs/>
          <w:color w:val="000000"/>
          <w:spacing w:val="-15"/>
          <w:sz w:val="24"/>
          <w:szCs w:val="24"/>
          <w:lang w:val="sq-AL"/>
        </w:rPr>
        <w:t>PREKEN</w:t>
      </w:r>
      <w:r w:rsidRPr="00D85A7F">
        <w:rPr>
          <w:rFonts w:ascii="Garamond" w:hAnsi="Garamond" w:cs="Times New Roman"/>
          <w:b/>
          <w:bCs/>
          <w:color w:val="000000"/>
          <w:sz w:val="24"/>
          <w:szCs w:val="24"/>
          <w:lang w:val="sq-AL"/>
        </w:rPr>
        <w:t xml:space="preserve"> NGA NDËRTIMI I SEGMENTIT RRUGOR </w:t>
      </w:r>
      <w:r w:rsidR="00250317" w:rsidRPr="00D85A7F">
        <w:rPr>
          <w:rFonts w:ascii="Garamond" w:hAnsi="Garamond" w:cs="Times New Roman"/>
          <w:b/>
          <w:bCs/>
          <w:color w:val="000000"/>
          <w:sz w:val="24"/>
          <w:szCs w:val="24"/>
          <w:lang w:val="sq-AL"/>
        </w:rPr>
        <w:t>‘</w:t>
      </w:r>
      <w:r w:rsidRPr="00D85A7F">
        <w:rPr>
          <w:rFonts w:ascii="Garamond" w:hAnsi="Garamond" w:cs="Times New Roman"/>
          <w:b/>
          <w:bCs/>
          <w:color w:val="000000"/>
          <w:sz w:val="24"/>
          <w:szCs w:val="24"/>
          <w:lang w:val="sq-AL"/>
        </w:rPr>
        <w:t>UNAZA E MADHE E TIRANËS (KOMUNA E PARISIT</w:t>
      </w:r>
      <w:r w:rsidR="00704F67" w:rsidRPr="00D85A7F">
        <w:rPr>
          <w:rFonts w:ascii="Garamond" w:hAnsi="Garamond" w:cs="Times New Roman"/>
          <w:b/>
          <w:bCs/>
          <w:color w:val="000000"/>
          <w:sz w:val="24"/>
          <w:szCs w:val="24"/>
          <w:lang w:val="sq-AL"/>
        </w:rPr>
        <w:t>–</w:t>
      </w:r>
      <w:r w:rsidR="00270619">
        <w:rPr>
          <w:rFonts w:ascii="Garamond" w:hAnsi="Garamond" w:cs="Times New Roman"/>
          <w:b/>
          <w:bCs/>
          <w:color w:val="000000"/>
          <w:sz w:val="24"/>
          <w:szCs w:val="24"/>
          <w:lang w:val="sq-AL"/>
        </w:rPr>
        <w:t>RRUGA E KAVAJËS)</w:t>
      </w:r>
      <w:r w:rsidR="00250317" w:rsidRPr="00D85A7F">
        <w:rPr>
          <w:rFonts w:ascii="Garamond" w:hAnsi="Garamond" w:cs="Times New Roman"/>
          <w:b/>
          <w:bCs/>
          <w:color w:val="000000"/>
          <w:sz w:val="24"/>
          <w:szCs w:val="24"/>
          <w:lang w:val="sq-AL"/>
        </w:rPr>
        <w:t>’</w:t>
      </w:r>
      <w:r w:rsidRPr="00D85A7F">
        <w:rPr>
          <w:rFonts w:ascii="Garamond" w:hAnsi="Garamond" w:cs="Times New Roman"/>
          <w:b/>
          <w:bCs/>
          <w:color w:val="000000"/>
          <w:sz w:val="24"/>
          <w:szCs w:val="24"/>
          <w:lang w:val="sq-AL"/>
        </w:rPr>
        <w:t>, TË NDRYSHUAR”</w:t>
      </w:r>
    </w:p>
    <w:p w14:paraId="19AA81D7" w14:textId="77777777" w:rsidR="005A3682" w:rsidRPr="00D85A7F" w:rsidRDefault="005A3682" w:rsidP="005A368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9AA81D8" w14:textId="6E0BE7A2"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Në mbështetje të nenit 100 të Kushtetutës dhe të neneve 5, 20 e 21, të ligjit nr.</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D85A7F" w:rsidRPr="00D85A7F">
        <w:rPr>
          <w:rFonts w:ascii="Garamond" w:hAnsi="Garamond" w:cs="Times New Roman"/>
          <w:color w:val="000000"/>
          <w:sz w:val="24"/>
          <w:szCs w:val="24"/>
          <w:lang w:val="sq-AL"/>
        </w:rPr>
        <w:t xml:space="preserve">zëvendëskryeministrit </w:t>
      </w:r>
      <w:r w:rsidRPr="00D85A7F">
        <w:rPr>
          <w:rFonts w:ascii="Garamond" w:hAnsi="Garamond" w:cs="Times New Roman"/>
          <w:color w:val="000000"/>
          <w:sz w:val="24"/>
          <w:szCs w:val="24"/>
          <w:lang w:val="sq-AL"/>
        </w:rPr>
        <w:t>dhe ministër i Infrastrukturës dhe Energjisë, Këshilli i Ministrave</w:t>
      </w:r>
    </w:p>
    <w:p w14:paraId="19AA81D9" w14:textId="77777777"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9AA81DA" w14:textId="77777777" w:rsidR="005A3682" w:rsidRPr="00D85A7F" w:rsidRDefault="005A3682" w:rsidP="005A368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85A7F">
        <w:rPr>
          <w:rFonts w:ascii="Garamond" w:hAnsi="Garamond" w:cs="Times New Roman"/>
          <w:bCs/>
          <w:color w:val="000000"/>
          <w:sz w:val="24"/>
          <w:szCs w:val="24"/>
          <w:lang w:val="sq-AL"/>
        </w:rPr>
        <w:t>VENDOSI:</w:t>
      </w:r>
    </w:p>
    <w:p w14:paraId="19AA81DB" w14:textId="77777777" w:rsidR="005A3682" w:rsidRPr="00D85A7F" w:rsidRDefault="005A3682" w:rsidP="005A3682">
      <w:pPr>
        <w:autoSpaceDE w:val="0"/>
        <w:autoSpaceDN w:val="0"/>
        <w:adjustRightInd w:val="0"/>
        <w:spacing w:after="0" w:line="240" w:lineRule="auto"/>
        <w:ind w:firstLine="284"/>
        <w:rPr>
          <w:rFonts w:ascii="Garamond" w:hAnsi="Garamond" w:cs="Times New Roman"/>
          <w:color w:val="000000"/>
          <w:sz w:val="24"/>
          <w:szCs w:val="24"/>
          <w:lang w:val="sq-AL"/>
        </w:rPr>
      </w:pPr>
    </w:p>
    <w:p w14:paraId="19AA81DC" w14:textId="021BB140"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I. Në vendimin nr.</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122, datë 5.3.2014, të Këshillit të Ministrave, të ndryshuar, bëhen këto ndryshime dhe shtesa:</w:t>
      </w:r>
    </w:p>
    <w:p w14:paraId="19AA81DD" w14:textId="59C22790"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1. Pika</w:t>
      </w:r>
      <w:r w:rsidR="00D85A7F">
        <w:rPr>
          <w:rFonts w:ascii="Garamond" w:hAnsi="Garamond" w:cs="Times New Roman"/>
          <w:color w:val="000000"/>
          <w:sz w:val="24"/>
          <w:szCs w:val="24"/>
          <w:lang w:val="sq-AL"/>
        </w:rPr>
        <w:t>t</w:t>
      </w:r>
      <w:r w:rsidRPr="00D85A7F">
        <w:rPr>
          <w:rFonts w:ascii="Garamond" w:hAnsi="Garamond" w:cs="Times New Roman"/>
          <w:color w:val="000000"/>
          <w:sz w:val="24"/>
          <w:szCs w:val="24"/>
          <w:lang w:val="sq-AL"/>
        </w:rPr>
        <w:t xml:space="preserve"> 3 dhe 4 ndryshohen, si më poshtë vijon:</w:t>
      </w:r>
    </w:p>
    <w:p w14:paraId="19AA81DE" w14:textId="6AE4BE04"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“3. Pronarët e pasurive të paluajtshme, që shpronësohen, kompensohen në vlerë të</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plotë, sipas</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masës përkatëse që paraqitet në tabelën bashkëlidhur këtij vendimi, për</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sipërfaqet “tokë”, me vlerë 464 014 103.6</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(katërqind e gjashtëdhjetë e katër milionë e katërmbëdhjetë mijë e njëqind e tre pikë gjashtë) lekë, “objekte”, me vlerë 552 299 823 (pesëqind e pesëdhjetë e dy milionë e dyqind e nëntëdhjetë e nëntë mijë e tetëqind e njëzet e tre) lekë, “kultura bujqësore”, me vlerë 1 561 500 (një milion e pesëqind e</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gjashtëdhjetë e një mijë e pesëqind) lekë, dhe “truall”, me vlerë</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737 208 (shtatëqind e tridhjetë e shtatë mijë e dyqind e tetë) lekë”.</w:t>
      </w:r>
    </w:p>
    <w:p w14:paraId="19AA81DF" w14:textId="77777777"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“4. Vlera e përgjithshme e shpronësimit për “tokë”, “objekte”, “truall” dhe “kultura bujqësore” është 1 018 612 634.6 (një miliard e tetëmbëdhjetë milionë e gjashtëqind e dymbëdhjetë mijë e gjashtëqind e tridhjetë e katër pikë gjashtë) lekë.”.</w:t>
      </w:r>
    </w:p>
    <w:p w14:paraId="19AA81E0" w14:textId="77777777"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pacing w:val="-15"/>
          <w:sz w:val="24"/>
          <w:szCs w:val="24"/>
          <w:lang w:val="sq-AL"/>
        </w:rPr>
        <w:t>2.</w:t>
      </w:r>
      <w:r w:rsidR="00F0334B">
        <w:rPr>
          <w:rFonts w:ascii="Garamond" w:hAnsi="Garamond" w:cs="Times New Roman"/>
          <w:color w:val="000000"/>
          <w:spacing w:val="-15"/>
          <w:sz w:val="24"/>
          <w:szCs w:val="24"/>
          <w:lang w:val="sq-AL"/>
        </w:rPr>
        <w:t xml:space="preserve"> </w:t>
      </w:r>
      <w:bookmarkStart w:id="0" w:name="_GoBack"/>
      <w:bookmarkEnd w:id="0"/>
      <w:r w:rsidRPr="00D85A7F">
        <w:rPr>
          <w:rFonts w:ascii="Garamond" w:hAnsi="Garamond" w:cs="Times New Roman"/>
          <w:color w:val="000000"/>
          <w:spacing w:val="-15"/>
          <w:sz w:val="24"/>
          <w:szCs w:val="24"/>
          <w:lang w:val="sq-AL"/>
        </w:rPr>
        <w:t>Pas pikës 6 shtohet pika 6.1, me këtë përmbajtje</w:t>
      </w:r>
      <w:r w:rsidRPr="00D85A7F">
        <w:rPr>
          <w:rFonts w:ascii="Garamond" w:hAnsi="Garamond" w:cs="Times New Roman"/>
          <w:color w:val="000000"/>
          <w:sz w:val="24"/>
          <w:szCs w:val="24"/>
          <w:lang w:val="sq-AL"/>
        </w:rPr>
        <w:t>:</w:t>
      </w:r>
    </w:p>
    <w:p w14:paraId="19AA81E1" w14:textId="1521B44E" w:rsidR="005A3682" w:rsidRPr="00D85A7F" w:rsidRDefault="005A3682" w:rsidP="0027061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“6.1 Vlera shtesë e shpronësimit, prej 1 063 927 (një milion e gjashtëdhjetë e tre mijë e nëntëqind e njëzet e shtatë) lekësh, përballohet nga buxheti i Autoritetit Rrugor Shqiptar.”.</w:t>
      </w:r>
    </w:p>
    <w:p w14:paraId="19AA81E2" w14:textId="77777777"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II. Afati i fillimit dhe i përfundimit të punimeve është në përputhje me afatet e parashikuara nga Autoriteti Rrugor Shqiptar.</w:t>
      </w:r>
    </w:p>
    <w:p w14:paraId="19AA81E3" w14:textId="77777777"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III. Shpenzimet procedurale, në vlerën 50 000 (pesëdhjetë mijë) lekë, përballohen nga buxheti i Autoritetit Rrugor Shqiptar.</w:t>
      </w:r>
    </w:p>
    <w:p w14:paraId="19AA81E4" w14:textId="3A6E2221"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IV. Tabelës bashkëlidhur vendimit nr.</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122 datë 5.3.2014, të Këshillit të Ministrave, të ndryshuar,</w:t>
      </w:r>
      <w:r w:rsidR="00C54B6E" w:rsidRPr="00D85A7F">
        <w:rPr>
          <w:rFonts w:ascii="Garamond" w:hAnsi="Garamond" w:cs="Times New Roman"/>
          <w:color w:val="000000"/>
          <w:sz w:val="24"/>
          <w:szCs w:val="24"/>
          <w:lang w:val="sq-AL"/>
        </w:rPr>
        <w:t xml:space="preserve"> </w:t>
      </w:r>
      <w:r w:rsidRPr="00D85A7F">
        <w:rPr>
          <w:rFonts w:ascii="Garamond" w:hAnsi="Garamond" w:cs="Times New Roman"/>
          <w:color w:val="000000"/>
          <w:sz w:val="24"/>
          <w:szCs w:val="24"/>
          <w:lang w:val="sq-AL"/>
        </w:rPr>
        <w:t>i shtohet edhe tabela bashkëlidhur këtij vendimi.</w:t>
      </w:r>
    </w:p>
    <w:p w14:paraId="19AA81E5" w14:textId="77777777" w:rsidR="005A3682" w:rsidRPr="00D85A7F" w:rsidRDefault="005A3682" w:rsidP="005A368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5A7F">
        <w:rPr>
          <w:rFonts w:ascii="Garamond" w:hAnsi="Garamond" w:cs="Times New Roman"/>
          <w:color w:val="000000"/>
          <w:sz w:val="24"/>
          <w:szCs w:val="24"/>
          <w:lang w:val="sq-AL"/>
        </w:rPr>
        <w:t>V. Ngarkohen Ministria e Infrastrukturës dhe Energjisë, Autoriteti Rrugor Shqiptar, Agjencia Shtetërore për Shpronësimin, Agjencia Shtetërore e Kadastrës, Drejtoria Vendore Tiranë Rurale 1, për zbatimin e këtij vendimi.</w:t>
      </w:r>
    </w:p>
    <w:p w14:paraId="19AA81E6" w14:textId="77777777" w:rsidR="005A3682" w:rsidRPr="00D85A7F" w:rsidRDefault="005A3682" w:rsidP="005A3682">
      <w:pPr>
        <w:autoSpaceDE w:val="0"/>
        <w:autoSpaceDN w:val="0"/>
        <w:adjustRightInd w:val="0"/>
        <w:spacing w:after="0" w:line="240" w:lineRule="auto"/>
        <w:ind w:firstLine="284"/>
        <w:rPr>
          <w:rFonts w:ascii="Garamond" w:hAnsi="Garamond" w:cs="Times New Roman"/>
          <w:color w:val="000000"/>
          <w:sz w:val="24"/>
          <w:szCs w:val="24"/>
          <w:lang w:val="sq-AL"/>
        </w:rPr>
      </w:pPr>
      <w:r w:rsidRPr="00D85A7F">
        <w:rPr>
          <w:rFonts w:ascii="Garamond" w:hAnsi="Garamond" w:cs="Times New Roman"/>
          <w:color w:val="000000"/>
          <w:sz w:val="24"/>
          <w:szCs w:val="24"/>
          <w:lang w:val="sq-AL"/>
        </w:rPr>
        <w:t>Ky vendim hyn në fuqi menjëherë dhe botohet në Fletoren Zyrtare.</w:t>
      </w:r>
    </w:p>
    <w:p w14:paraId="19AA81E7" w14:textId="77777777" w:rsidR="005A3682" w:rsidRPr="00D85A7F" w:rsidRDefault="005A3682" w:rsidP="005A3682">
      <w:pPr>
        <w:autoSpaceDE w:val="0"/>
        <w:autoSpaceDN w:val="0"/>
        <w:adjustRightInd w:val="0"/>
        <w:spacing w:after="0" w:line="240" w:lineRule="auto"/>
        <w:ind w:firstLine="284"/>
        <w:jc w:val="center"/>
        <w:rPr>
          <w:rFonts w:ascii="Garamond" w:hAnsi="Garamond" w:cs="Times New Roman"/>
          <w:b/>
          <w:bCs/>
          <w:smallCaps/>
          <w:color w:val="000000"/>
          <w:spacing w:val="200"/>
          <w:sz w:val="24"/>
          <w:szCs w:val="24"/>
          <w:lang w:val="sq-AL"/>
        </w:rPr>
      </w:pPr>
    </w:p>
    <w:p w14:paraId="19AA81E8" w14:textId="43D8B898" w:rsidR="005A3682" w:rsidRPr="00D85A7F" w:rsidRDefault="005A3682" w:rsidP="005A3682">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D85A7F">
        <w:rPr>
          <w:rFonts w:ascii="Garamond" w:hAnsi="Garamond" w:cs="Times New Roman"/>
          <w:bCs/>
          <w:color w:val="000000"/>
          <w:sz w:val="24"/>
          <w:szCs w:val="24"/>
          <w:lang w:val="sq-AL"/>
        </w:rPr>
        <w:t>ZËVENDËSKRYEMINIST</w:t>
      </w:r>
      <w:r w:rsidR="00F0334B">
        <w:rPr>
          <w:rFonts w:ascii="Garamond" w:hAnsi="Garamond" w:cs="Times New Roman"/>
          <w:bCs/>
          <w:color w:val="000000"/>
          <w:sz w:val="24"/>
          <w:szCs w:val="24"/>
          <w:lang w:val="sq-AL"/>
        </w:rPr>
        <w:t>Ë</w:t>
      </w:r>
      <w:r w:rsidRPr="00D85A7F">
        <w:rPr>
          <w:rFonts w:ascii="Garamond" w:hAnsi="Garamond" w:cs="Times New Roman"/>
          <w:bCs/>
          <w:color w:val="000000"/>
          <w:sz w:val="24"/>
          <w:szCs w:val="24"/>
          <w:lang w:val="sq-AL"/>
        </w:rPr>
        <w:t>R</w:t>
      </w:r>
    </w:p>
    <w:p w14:paraId="19AA81E9" w14:textId="77777777" w:rsidR="0074508A" w:rsidRPr="00D85A7F" w:rsidRDefault="005A3682" w:rsidP="005A3682">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D85A7F">
        <w:rPr>
          <w:rFonts w:ascii="Garamond" w:hAnsi="Garamond" w:cs="Times New Roman"/>
          <w:b/>
          <w:bCs/>
          <w:color w:val="000000"/>
          <w:sz w:val="24"/>
          <w:szCs w:val="24"/>
          <w:lang w:val="sq-AL"/>
        </w:rPr>
        <w:t>Belinda Balluku</w:t>
      </w:r>
    </w:p>
    <w:p w14:paraId="19AA81EA" w14:textId="77777777" w:rsidR="005A3682" w:rsidRPr="00D85A7F" w:rsidRDefault="005A3682" w:rsidP="005A3682">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19AA81EB" w14:textId="77777777" w:rsidR="007367E4" w:rsidRPr="00D85A7F" w:rsidRDefault="007367E4" w:rsidP="005A3682">
      <w:pPr>
        <w:autoSpaceDE w:val="0"/>
        <w:autoSpaceDN w:val="0"/>
        <w:adjustRightInd w:val="0"/>
        <w:spacing w:after="0" w:line="240" w:lineRule="auto"/>
        <w:ind w:firstLine="284"/>
        <w:jc w:val="right"/>
        <w:rPr>
          <w:rFonts w:ascii="Garamond" w:hAnsi="Garamond"/>
          <w:sz w:val="24"/>
          <w:szCs w:val="24"/>
          <w:lang w:val="sq-AL"/>
        </w:rPr>
        <w:sectPr w:rsidR="007367E4" w:rsidRPr="00D85A7F" w:rsidSect="007367E4">
          <w:pgSz w:w="11906" w:h="16838" w:code="9"/>
          <w:pgMar w:top="1418" w:right="1418" w:bottom="1418" w:left="1418" w:header="1304" w:footer="1134" w:gutter="0"/>
          <w:cols w:space="720"/>
          <w:docGrid w:linePitch="360"/>
        </w:sectPr>
      </w:pPr>
    </w:p>
    <w:p w14:paraId="19AA81EC" w14:textId="7B9BEE46" w:rsidR="005A3682" w:rsidRPr="00D85A7F" w:rsidRDefault="007367E4" w:rsidP="00270619">
      <w:pPr>
        <w:autoSpaceDE w:val="0"/>
        <w:autoSpaceDN w:val="0"/>
        <w:adjustRightInd w:val="0"/>
        <w:spacing w:after="0" w:line="240" w:lineRule="auto"/>
        <w:ind w:firstLine="284"/>
        <w:jc w:val="center"/>
        <w:rPr>
          <w:rFonts w:ascii="Garamond" w:hAnsi="Garamond"/>
          <w:sz w:val="20"/>
          <w:szCs w:val="20"/>
          <w:lang w:val="sq-AL"/>
        </w:rPr>
      </w:pPr>
      <w:r w:rsidRPr="00D85A7F">
        <w:rPr>
          <w:rFonts w:ascii="Garamond" w:hAnsi="Garamond"/>
          <w:sz w:val="20"/>
          <w:szCs w:val="20"/>
          <w:lang w:val="sq-AL"/>
        </w:rPr>
        <w:lastRenderedPageBreak/>
        <w:t>LISTA EMËRORE E PRONARËVE TË PASURIVE TË PALUAJTSHME</w:t>
      </w:r>
      <w:r w:rsidR="00270619">
        <w:rPr>
          <w:rFonts w:ascii="Garamond" w:hAnsi="Garamond"/>
          <w:sz w:val="20"/>
          <w:szCs w:val="20"/>
          <w:lang w:val="sq-AL"/>
        </w:rPr>
        <w:t>,</w:t>
      </w:r>
      <w:r w:rsidRPr="00D85A7F">
        <w:rPr>
          <w:rFonts w:ascii="Garamond" w:hAnsi="Garamond"/>
          <w:sz w:val="20"/>
          <w:szCs w:val="20"/>
          <w:lang w:val="sq-AL"/>
        </w:rPr>
        <w:t xml:space="preserve"> PRONË PRIVATE, QË PREKEN NGA DISA SHTESA DHE NDRYSHIME NË VKM</w:t>
      </w:r>
      <w:r w:rsidR="00270619">
        <w:rPr>
          <w:rFonts w:ascii="Garamond" w:hAnsi="Garamond"/>
          <w:sz w:val="20"/>
          <w:szCs w:val="20"/>
          <w:lang w:val="sq-AL"/>
        </w:rPr>
        <w:t>-në</w:t>
      </w:r>
      <w:r w:rsidRPr="00D85A7F">
        <w:rPr>
          <w:rFonts w:ascii="Garamond" w:hAnsi="Garamond"/>
          <w:sz w:val="20"/>
          <w:szCs w:val="20"/>
          <w:lang w:val="sq-AL"/>
        </w:rPr>
        <w:t xml:space="preserve"> 122</w:t>
      </w:r>
      <w:r w:rsidR="00270619">
        <w:rPr>
          <w:rFonts w:ascii="Garamond" w:hAnsi="Garamond"/>
          <w:sz w:val="20"/>
          <w:szCs w:val="20"/>
          <w:lang w:val="sq-AL"/>
        </w:rPr>
        <w:t>, DATË 5.</w:t>
      </w:r>
      <w:r w:rsidRPr="00D85A7F">
        <w:rPr>
          <w:rFonts w:ascii="Garamond" w:hAnsi="Garamond"/>
          <w:sz w:val="20"/>
          <w:szCs w:val="20"/>
          <w:lang w:val="sq-AL"/>
        </w:rPr>
        <w:t>3.2014</w:t>
      </w:r>
      <w:r w:rsidR="00270619">
        <w:rPr>
          <w:rFonts w:ascii="Garamond" w:hAnsi="Garamond"/>
          <w:sz w:val="20"/>
          <w:szCs w:val="20"/>
          <w:lang w:val="sq-AL"/>
        </w:rPr>
        <w:t>,</w:t>
      </w:r>
      <w:r w:rsidR="00C54B6E" w:rsidRPr="00D85A7F">
        <w:rPr>
          <w:rFonts w:ascii="Garamond" w:hAnsi="Garamond"/>
          <w:sz w:val="20"/>
          <w:szCs w:val="20"/>
          <w:lang w:val="sq-AL"/>
        </w:rPr>
        <w:t xml:space="preserve"> </w:t>
      </w:r>
      <w:r w:rsidR="00270619">
        <w:rPr>
          <w:rFonts w:ascii="Garamond" w:hAnsi="Garamond"/>
          <w:sz w:val="20"/>
          <w:szCs w:val="20"/>
          <w:lang w:val="sq-AL"/>
        </w:rPr>
        <w:t>“</w:t>
      </w:r>
      <w:r w:rsidRPr="00D85A7F">
        <w:rPr>
          <w:rFonts w:ascii="Garamond" w:hAnsi="Garamond"/>
          <w:sz w:val="20"/>
          <w:szCs w:val="20"/>
          <w:lang w:val="sq-AL"/>
        </w:rPr>
        <w:t>PËR SHPRONËSIMIN, PËR INTERES PUBLIK, TË PRONARËVE TË PASURIVE TË PALUAJTSHME, PRONË PRIVATE</w:t>
      </w:r>
      <w:r w:rsidR="00270619">
        <w:rPr>
          <w:rFonts w:ascii="Garamond" w:hAnsi="Garamond"/>
          <w:sz w:val="20"/>
          <w:szCs w:val="20"/>
          <w:lang w:val="sq-AL"/>
        </w:rPr>
        <w:t>,</w:t>
      </w:r>
      <w:r w:rsidRPr="00D85A7F">
        <w:rPr>
          <w:rFonts w:ascii="Garamond" w:hAnsi="Garamond"/>
          <w:sz w:val="20"/>
          <w:szCs w:val="20"/>
          <w:lang w:val="sq-AL"/>
        </w:rPr>
        <w:t xml:space="preserve"> QË PREKEN NGA</w:t>
      </w:r>
      <w:r w:rsidR="00C54B6E" w:rsidRPr="00D85A7F">
        <w:rPr>
          <w:rFonts w:ascii="Garamond" w:hAnsi="Garamond"/>
          <w:sz w:val="20"/>
          <w:szCs w:val="20"/>
          <w:lang w:val="sq-AL"/>
        </w:rPr>
        <w:t xml:space="preserve"> </w:t>
      </w:r>
      <w:r w:rsidRPr="00D85A7F">
        <w:rPr>
          <w:rFonts w:ascii="Garamond" w:hAnsi="Garamond"/>
          <w:sz w:val="20"/>
          <w:szCs w:val="20"/>
          <w:lang w:val="sq-AL"/>
        </w:rPr>
        <w:t xml:space="preserve">NDËRTIMI I SEGMENTIT RRUGOR </w:t>
      </w:r>
      <w:r w:rsidR="00270619">
        <w:rPr>
          <w:rFonts w:ascii="Garamond" w:hAnsi="Garamond"/>
          <w:sz w:val="20"/>
          <w:szCs w:val="20"/>
          <w:lang w:val="sq-AL"/>
        </w:rPr>
        <w:t>‘</w:t>
      </w:r>
      <w:r w:rsidRPr="00D85A7F">
        <w:rPr>
          <w:rFonts w:ascii="Garamond" w:hAnsi="Garamond"/>
          <w:sz w:val="20"/>
          <w:szCs w:val="20"/>
          <w:lang w:val="sq-AL"/>
        </w:rPr>
        <w:t>UNAZA E MADHE E TIRANËS (KOMUNA E PARISIT</w:t>
      </w:r>
      <w:r w:rsidR="00270619">
        <w:rPr>
          <w:rFonts w:ascii="Garamond" w:hAnsi="Garamond"/>
          <w:sz w:val="20"/>
          <w:szCs w:val="20"/>
          <w:lang w:val="sq-AL"/>
        </w:rPr>
        <w:t>–</w:t>
      </w:r>
      <w:r w:rsidRPr="00D85A7F">
        <w:rPr>
          <w:rFonts w:ascii="Garamond" w:hAnsi="Garamond"/>
          <w:sz w:val="20"/>
          <w:szCs w:val="20"/>
          <w:lang w:val="sq-AL"/>
        </w:rPr>
        <w:t>RRUGA E KAVAJËS</w:t>
      </w:r>
      <w:r w:rsidR="00270619">
        <w:rPr>
          <w:rFonts w:ascii="Garamond" w:hAnsi="Garamond"/>
          <w:sz w:val="20"/>
          <w:szCs w:val="20"/>
          <w:lang w:val="sq-AL"/>
        </w:rPr>
        <w:t>)’</w:t>
      </w:r>
      <w:r w:rsidRPr="00D85A7F">
        <w:rPr>
          <w:rFonts w:ascii="Garamond" w:hAnsi="Garamond"/>
          <w:sz w:val="20"/>
          <w:szCs w:val="20"/>
          <w:lang w:val="sq-AL"/>
        </w:rPr>
        <w:t xml:space="preserve">, </w:t>
      </w:r>
      <w:r w:rsidR="00270619">
        <w:rPr>
          <w:rFonts w:ascii="Garamond" w:hAnsi="Garamond"/>
          <w:sz w:val="20"/>
          <w:szCs w:val="20"/>
          <w:lang w:val="sq-AL"/>
        </w:rPr>
        <w:t>TË</w:t>
      </w:r>
      <w:r w:rsidRPr="00D85A7F">
        <w:rPr>
          <w:rFonts w:ascii="Garamond" w:hAnsi="Garamond"/>
          <w:sz w:val="20"/>
          <w:szCs w:val="20"/>
          <w:lang w:val="sq-AL"/>
        </w:rPr>
        <w:t xml:space="preserve"> NDRYSHUAR</w:t>
      </w:r>
      <w:r w:rsidR="00270619">
        <w:rPr>
          <w:rFonts w:ascii="Garamond" w:hAnsi="Garamond"/>
          <w:sz w:val="20"/>
          <w:szCs w:val="20"/>
          <w:lang w:val="sq-AL"/>
        </w:rPr>
        <w:t>”</w:t>
      </w:r>
    </w:p>
    <w:p w14:paraId="19AA81ED" w14:textId="77777777" w:rsidR="007367E4" w:rsidRPr="00D85A7F" w:rsidRDefault="007367E4" w:rsidP="007367E4">
      <w:pPr>
        <w:autoSpaceDE w:val="0"/>
        <w:autoSpaceDN w:val="0"/>
        <w:adjustRightInd w:val="0"/>
        <w:spacing w:after="0" w:line="240" w:lineRule="auto"/>
        <w:ind w:firstLine="284"/>
        <w:jc w:val="center"/>
        <w:rPr>
          <w:rFonts w:ascii="Garamond" w:hAnsi="Garamond"/>
          <w:sz w:val="24"/>
          <w:szCs w:val="24"/>
          <w:lang w:val="sq-AL"/>
        </w:rPr>
      </w:pPr>
    </w:p>
    <w:tbl>
      <w:tblPr>
        <w:tblW w:w="5000" w:type="pct"/>
        <w:tblLook w:val="04A0" w:firstRow="1" w:lastRow="0" w:firstColumn="1" w:lastColumn="0" w:noHBand="0" w:noVBand="1"/>
      </w:tblPr>
      <w:tblGrid>
        <w:gridCol w:w="390"/>
        <w:gridCol w:w="786"/>
        <w:gridCol w:w="659"/>
        <w:gridCol w:w="812"/>
        <w:gridCol w:w="636"/>
        <w:gridCol w:w="671"/>
        <w:gridCol w:w="539"/>
        <w:gridCol w:w="701"/>
        <w:gridCol w:w="840"/>
        <w:gridCol w:w="730"/>
        <w:gridCol w:w="858"/>
        <w:gridCol w:w="840"/>
        <w:gridCol w:w="778"/>
        <w:gridCol w:w="494"/>
        <w:gridCol w:w="849"/>
        <w:gridCol w:w="755"/>
        <w:gridCol w:w="710"/>
        <w:gridCol w:w="1446"/>
        <w:gridCol w:w="724"/>
      </w:tblGrid>
      <w:tr w:rsidR="003867D9" w:rsidRPr="00D85A7F" w14:paraId="19AA81FC" w14:textId="4BF38E5B" w:rsidTr="00C54B6E">
        <w:trPr>
          <w:trHeight w:val="135"/>
        </w:trPr>
        <w:tc>
          <w:tcPr>
            <w:tcW w:w="126"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9AA81EE" w14:textId="335BB72A"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Nr</w:t>
            </w:r>
            <w:r w:rsidR="003867D9">
              <w:rPr>
                <w:rFonts w:ascii="Garamond" w:eastAsia="Times New Roman" w:hAnsi="Garamond" w:cs="Arial"/>
                <w:b/>
                <w:bCs/>
                <w:sz w:val="12"/>
                <w:szCs w:val="12"/>
                <w:lang w:val="sq-AL" w:eastAsia="sq-AL"/>
              </w:rPr>
              <w:t>.</w:t>
            </w:r>
          </w:p>
        </w:tc>
        <w:tc>
          <w:tcPr>
            <w:tcW w:w="278"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AA81EF"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Emri</w:t>
            </w:r>
          </w:p>
        </w:tc>
        <w:tc>
          <w:tcPr>
            <w:tcW w:w="233"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AA81F0"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Atësia</w:t>
            </w:r>
          </w:p>
        </w:tc>
        <w:tc>
          <w:tcPr>
            <w:tcW w:w="287"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AA81F1"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Mbiemri</w:t>
            </w:r>
          </w:p>
        </w:tc>
        <w:tc>
          <w:tcPr>
            <w:tcW w:w="225"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9AA81F2" w14:textId="7241A49B"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xml:space="preserve">Zona </w:t>
            </w:r>
            <w:r w:rsidR="003867D9" w:rsidRPr="00D85A7F">
              <w:rPr>
                <w:rFonts w:ascii="Garamond" w:eastAsia="Times New Roman" w:hAnsi="Garamond" w:cs="Arial"/>
                <w:b/>
                <w:bCs/>
                <w:sz w:val="12"/>
                <w:szCs w:val="12"/>
                <w:lang w:val="sq-AL" w:eastAsia="sq-AL"/>
              </w:rPr>
              <w:t>kadastr</w:t>
            </w:r>
            <w:r w:rsidRPr="00D85A7F">
              <w:rPr>
                <w:rFonts w:ascii="Garamond" w:eastAsia="Times New Roman" w:hAnsi="Garamond" w:cs="Arial"/>
                <w:b/>
                <w:bCs/>
                <w:sz w:val="12"/>
                <w:szCs w:val="12"/>
                <w:lang w:val="sq-AL" w:eastAsia="sq-AL"/>
              </w:rPr>
              <w:t>.</w:t>
            </w:r>
          </w:p>
        </w:tc>
        <w:tc>
          <w:tcPr>
            <w:tcW w:w="22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9AA81F3" w14:textId="5B54C5AB"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xml:space="preserve">Numri </w:t>
            </w:r>
            <w:r w:rsidR="003867D9">
              <w:rPr>
                <w:rFonts w:ascii="Garamond" w:eastAsia="Times New Roman" w:hAnsi="Garamond" w:cs="Arial"/>
                <w:b/>
                <w:bCs/>
                <w:sz w:val="12"/>
                <w:szCs w:val="12"/>
                <w:lang w:val="sq-AL" w:eastAsia="sq-AL"/>
              </w:rPr>
              <w:t>i</w:t>
            </w:r>
            <w:r w:rsidR="003867D9" w:rsidRPr="00D85A7F">
              <w:rPr>
                <w:rFonts w:ascii="Garamond" w:eastAsia="Times New Roman" w:hAnsi="Garamond" w:cs="Arial"/>
                <w:b/>
                <w:bCs/>
                <w:sz w:val="12"/>
                <w:szCs w:val="12"/>
                <w:lang w:val="sq-AL" w:eastAsia="sq-AL"/>
              </w:rPr>
              <w:t>pasurisë</w:t>
            </w:r>
          </w:p>
        </w:tc>
        <w:tc>
          <w:tcPr>
            <w:tcW w:w="191"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9AA81F4" w14:textId="1EB0A763"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xml:space="preserve">Sip. </w:t>
            </w:r>
            <w:r w:rsidR="003867D9" w:rsidRPr="00D85A7F">
              <w:rPr>
                <w:rFonts w:ascii="Garamond" w:eastAsia="Times New Roman" w:hAnsi="Garamond" w:cs="Arial"/>
                <w:b/>
                <w:bCs/>
                <w:sz w:val="12"/>
                <w:szCs w:val="12"/>
                <w:lang w:val="sq-AL" w:eastAsia="sq-AL"/>
              </w:rPr>
              <w:t xml:space="preserve">totale </w:t>
            </w:r>
            <w:r w:rsidRPr="00D85A7F">
              <w:rPr>
                <w:rFonts w:ascii="Garamond" w:eastAsia="Times New Roman" w:hAnsi="Garamond" w:cs="Arial"/>
                <w:b/>
                <w:bCs/>
                <w:sz w:val="12"/>
                <w:szCs w:val="12"/>
                <w:lang w:val="sq-AL" w:eastAsia="sq-AL"/>
              </w:rPr>
              <w:t>m</w:t>
            </w:r>
            <w:r w:rsidRPr="003867D9">
              <w:rPr>
                <w:rFonts w:ascii="Garamond" w:eastAsia="Times New Roman" w:hAnsi="Garamond" w:cs="Arial"/>
                <w:b/>
                <w:bCs/>
                <w:sz w:val="12"/>
                <w:szCs w:val="12"/>
                <w:vertAlign w:val="superscript"/>
                <w:lang w:val="sq-AL" w:eastAsia="sq-AL"/>
              </w:rPr>
              <w:t>2</w:t>
            </w:r>
          </w:p>
        </w:tc>
        <w:tc>
          <w:tcPr>
            <w:tcW w:w="248"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9AA81F5" w14:textId="2810BD9D"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xml:space="preserve">Lloji </w:t>
            </w:r>
            <w:r w:rsidR="003867D9">
              <w:rPr>
                <w:rFonts w:ascii="Garamond" w:eastAsia="Times New Roman" w:hAnsi="Garamond" w:cs="Arial"/>
                <w:b/>
                <w:bCs/>
                <w:sz w:val="12"/>
                <w:szCs w:val="12"/>
                <w:lang w:val="sq-AL" w:eastAsia="sq-AL"/>
              </w:rPr>
              <w:t xml:space="preserve">i </w:t>
            </w:r>
            <w:r w:rsidRPr="00D85A7F">
              <w:rPr>
                <w:rFonts w:ascii="Garamond" w:eastAsia="Times New Roman" w:hAnsi="Garamond" w:cs="Arial"/>
                <w:b/>
                <w:bCs/>
                <w:sz w:val="12"/>
                <w:szCs w:val="12"/>
                <w:lang w:val="sq-AL" w:eastAsia="sq-AL"/>
              </w:rPr>
              <w:t>pasurisë</w:t>
            </w:r>
          </w:p>
        </w:tc>
        <w:tc>
          <w:tcPr>
            <w:tcW w:w="856"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AA81F6"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TOKË TRUALL</w:t>
            </w:r>
          </w:p>
        </w:tc>
        <w:tc>
          <w:tcPr>
            <w:tcW w:w="745" w:type="pct"/>
            <w:gridSpan w:val="3"/>
            <w:vMerge w:val="restart"/>
            <w:tcBorders>
              <w:top w:val="single" w:sz="8" w:space="0" w:color="auto"/>
              <w:left w:val="single" w:sz="4" w:space="0" w:color="auto"/>
              <w:bottom w:val="single" w:sz="4" w:space="0" w:color="000000"/>
              <w:right w:val="single" w:sz="4" w:space="0" w:color="000000"/>
            </w:tcBorders>
            <w:shd w:val="clear" w:color="auto" w:fill="auto"/>
            <w:noWrap/>
            <w:vAlign w:val="center"/>
            <w:hideMark/>
          </w:tcPr>
          <w:p w14:paraId="19AA81F7"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TOKE ARË</w:t>
            </w:r>
          </w:p>
        </w:tc>
        <w:tc>
          <w:tcPr>
            <w:tcW w:w="565" w:type="pct"/>
            <w:gridSpan w:val="2"/>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AA81F8" w14:textId="64493E20" w:rsidR="00B2642F" w:rsidRPr="00D85A7F" w:rsidRDefault="003867D9"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Ndërtesë</w:t>
            </w:r>
            <w:r w:rsidR="00C54B6E" w:rsidRPr="00D85A7F">
              <w:rPr>
                <w:rFonts w:ascii="Garamond" w:eastAsia="Times New Roman" w:hAnsi="Garamond" w:cs="Arial"/>
                <w:b/>
                <w:bCs/>
                <w:sz w:val="12"/>
                <w:szCs w:val="12"/>
                <w:lang w:val="sq-AL" w:eastAsia="sq-AL"/>
              </w:rPr>
              <w:t xml:space="preserve"> </w:t>
            </w:r>
            <w:r w:rsidRPr="00D85A7F">
              <w:rPr>
                <w:rFonts w:ascii="Garamond" w:eastAsia="Times New Roman" w:hAnsi="Garamond" w:cs="Arial"/>
                <w:b/>
                <w:bCs/>
                <w:sz w:val="12"/>
                <w:szCs w:val="12"/>
                <w:lang w:val="sq-AL" w:eastAsia="sq-AL"/>
              </w:rPr>
              <w:t>soc</w:t>
            </w:r>
            <w:r>
              <w:rPr>
                <w:rFonts w:ascii="Garamond" w:eastAsia="Times New Roman" w:hAnsi="Garamond" w:cs="Arial"/>
                <w:b/>
                <w:bCs/>
                <w:sz w:val="12"/>
                <w:szCs w:val="12"/>
                <w:lang w:val="sq-AL" w:eastAsia="sq-AL"/>
              </w:rPr>
              <w:t>.</w:t>
            </w:r>
            <w:r w:rsidRPr="00D85A7F">
              <w:rPr>
                <w:rFonts w:ascii="Garamond" w:eastAsia="Times New Roman" w:hAnsi="Garamond" w:cs="Arial"/>
                <w:b/>
                <w:bCs/>
                <w:sz w:val="12"/>
                <w:szCs w:val="12"/>
                <w:lang w:val="sq-AL" w:eastAsia="sq-AL"/>
              </w:rPr>
              <w:t>, ek</w:t>
            </w:r>
            <w:r>
              <w:rPr>
                <w:rFonts w:ascii="Garamond" w:eastAsia="Times New Roman" w:hAnsi="Garamond" w:cs="Arial"/>
                <w:b/>
                <w:bCs/>
                <w:sz w:val="12"/>
                <w:szCs w:val="12"/>
                <w:lang w:val="sq-AL" w:eastAsia="sq-AL"/>
              </w:rPr>
              <w:t>.</w:t>
            </w:r>
          </w:p>
        </w:tc>
        <w:tc>
          <w:tcPr>
            <w:tcW w:w="252"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9AA81F9" w14:textId="4C00396A" w:rsidR="00B2642F" w:rsidRPr="00D85A7F" w:rsidRDefault="003867D9"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xml:space="preserve">Vlera </w:t>
            </w:r>
            <w:r>
              <w:rPr>
                <w:rFonts w:ascii="Garamond" w:eastAsia="Times New Roman" w:hAnsi="Garamond" w:cs="Arial"/>
                <w:b/>
                <w:bCs/>
                <w:sz w:val="12"/>
                <w:szCs w:val="12"/>
                <w:lang w:val="sq-AL" w:eastAsia="sq-AL"/>
              </w:rPr>
              <w:t>totale (lek</w:t>
            </w:r>
            <w:r w:rsidRPr="00D85A7F">
              <w:rPr>
                <w:rFonts w:ascii="Garamond" w:eastAsia="Times New Roman" w:hAnsi="Garamond" w:cs="Arial"/>
                <w:b/>
                <w:bCs/>
                <w:sz w:val="12"/>
                <w:szCs w:val="12"/>
                <w:lang w:val="sq-AL" w:eastAsia="sq-AL"/>
              </w:rPr>
              <w:t>)</w:t>
            </w:r>
          </w:p>
        </w:tc>
        <w:tc>
          <w:tcPr>
            <w:tcW w:w="510"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AA81FA"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SHËNIME</w:t>
            </w:r>
          </w:p>
        </w:tc>
        <w:tc>
          <w:tcPr>
            <w:tcW w:w="256"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19AA81FB"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ADRESA</w:t>
            </w:r>
          </w:p>
        </w:tc>
      </w:tr>
      <w:tr w:rsidR="003867D9" w:rsidRPr="00D85A7F" w14:paraId="19AA820B" w14:textId="61F5FC72" w:rsidTr="00C54B6E">
        <w:trPr>
          <w:trHeight w:val="135"/>
        </w:trPr>
        <w:tc>
          <w:tcPr>
            <w:tcW w:w="126" w:type="pct"/>
            <w:vMerge/>
            <w:tcBorders>
              <w:top w:val="single" w:sz="8" w:space="0" w:color="auto"/>
              <w:left w:val="single" w:sz="8" w:space="0" w:color="auto"/>
              <w:bottom w:val="single" w:sz="4" w:space="0" w:color="auto"/>
              <w:right w:val="single" w:sz="4" w:space="0" w:color="auto"/>
            </w:tcBorders>
            <w:vAlign w:val="center"/>
            <w:hideMark/>
          </w:tcPr>
          <w:p w14:paraId="19AA81FD"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78" w:type="pct"/>
            <w:vMerge/>
            <w:tcBorders>
              <w:top w:val="single" w:sz="8" w:space="0" w:color="auto"/>
              <w:left w:val="single" w:sz="4" w:space="0" w:color="auto"/>
              <w:bottom w:val="single" w:sz="4" w:space="0" w:color="auto"/>
              <w:right w:val="single" w:sz="4" w:space="0" w:color="auto"/>
            </w:tcBorders>
            <w:vAlign w:val="center"/>
            <w:hideMark/>
          </w:tcPr>
          <w:p w14:paraId="19AA81FE"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33" w:type="pct"/>
            <w:vMerge/>
            <w:tcBorders>
              <w:top w:val="single" w:sz="8" w:space="0" w:color="auto"/>
              <w:left w:val="single" w:sz="4" w:space="0" w:color="auto"/>
              <w:bottom w:val="single" w:sz="4" w:space="0" w:color="auto"/>
              <w:right w:val="single" w:sz="4" w:space="0" w:color="auto"/>
            </w:tcBorders>
            <w:vAlign w:val="center"/>
            <w:hideMark/>
          </w:tcPr>
          <w:p w14:paraId="19AA81FF"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87" w:type="pct"/>
            <w:vMerge/>
            <w:tcBorders>
              <w:top w:val="single" w:sz="8" w:space="0" w:color="auto"/>
              <w:left w:val="single" w:sz="4" w:space="0" w:color="auto"/>
              <w:bottom w:val="single" w:sz="4" w:space="0" w:color="auto"/>
              <w:right w:val="single" w:sz="4" w:space="0" w:color="auto"/>
            </w:tcBorders>
            <w:vAlign w:val="center"/>
            <w:hideMark/>
          </w:tcPr>
          <w:p w14:paraId="19AA8200"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5" w:type="pct"/>
            <w:vMerge/>
            <w:tcBorders>
              <w:top w:val="single" w:sz="8" w:space="0" w:color="auto"/>
              <w:left w:val="single" w:sz="4" w:space="0" w:color="auto"/>
              <w:bottom w:val="single" w:sz="4" w:space="0" w:color="auto"/>
              <w:right w:val="single" w:sz="4" w:space="0" w:color="auto"/>
            </w:tcBorders>
            <w:vAlign w:val="center"/>
            <w:hideMark/>
          </w:tcPr>
          <w:p w14:paraId="19AA8201"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7" w:type="pct"/>
            <w:vMerge/>
            <w:tcBorders>
              <w:top w:val="single" w:sz="8" w:space="0" w:color="auto"/>
              <w:left w:val="single" w:sz="4" w:space="0" w:color="auto"/>
              <w:bottom w:val="single" w:sz="4" w:space="0" w:color="auto"/>
              <w:right w:val="single" w:sz="4" w:space="0" w:color="auto"/>
            </w:tcBorders>
            <w:vAlign w:val="center"/>
            <w:hideMark/>
          </w:tcPr>
          <w:p w14:paraId="19AA8202"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191" w:type="pct"/>
            <w:vMerge/>
            <w:tcBorders>
              <w:top w:val="single" w:sz="8" w:space="0" w:color="auto"/>
              <w:left w:val="single" w:sz="4" w:space="0" w:color="auto"/>
              <w:bottom w:val="single" w:sz="4" w:space="0" w:color="auto"/>
              <w:right w:val="single" w:sz="4" w:space="0" w:color="auto"/>
            </w:tcBorders>
            <w:vAlign w:val="center"/>
            <w:hideMark/>
          </w:tcPr>
          <w:p w14:paraId="19AA8203"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48" w:type="pct"/>
            <w:vMerge/>
            <w:tcBorders>
              <w:top w:val="single" w:sz="8" w:space="0" w:color="auto"/>
              <w:left w:val="single" w:sz="4" w:space="0" w:color="auto"/>
              <w:bottom w:val="single" w:sz="4" w:space="0" w:color="auto"/>
              <w:right w:val="single" w:sz="4" w:space="0" w:color="auto"/>
            </w:tcBorders>
            <w:vAlign w:val="center"/>
            <w:hideMark/>
          </w:tcPr>
          <w:p w14:paraId="19AA8204"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856" w:type="pct"/>
            <w:gridSpan w:val="3"/>
            <w:vMerge/>
            <w:tcBorders>
              <w:top w:val="single" w:sz="8" w:space="0" w:color="auto"/>
              <w:left w:val="single" w:sz="4" w:space="0" w:color="auto"/>
              <w:bottom w:val="single" w:sz="4" w:space="0" w:color="auto"/>
              <w:right w:val="single" w:sz="4" w:space="0" w:color="auto"/>
            </w:tcBorders>
            <w:vAlign w:val="center"/>
            <w:hideMark/>
          </w:tcPr>
          <w:p w14:paraId="19AA8205"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745" w:type="pct"/>
            <w:gridSpan w:val="3"/>
            <w:vMerge/>
            <w:tcBorders>
              <w:top w:val="single" w:sz="8" w:space="0" w:color="auto"/>
              <w:left w:val="single" w:sz="4" w:space="0" w:color="auto"/>
              <w:bottom w:val="single" w:sz="4" w:space="0" w:color="000000"/>
              <w:right w:val="single" w:sz="4" w:space="0" w:color="000000"/>
            </w:tcBorders>
            <w:vAlign w:val="center"/>
            <w:hideMark/>
          </w:tcPr>
          <w:p w14:paraId="19AA8206"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565" w:type="pct"/>
            <w:gridSpan w:val="2"/>
            <w:vMerge/>
            <w:tcBorders>
              <w:top w:val="single" w:sz="8" w:space="0" w:color="auto"/>
              <w:left w:val="single" w:sz="4" w:space="0" w:color="auto"/>
              <w:bottom w:val="single" w:sz="4" w:space="0" w:color="auto"/>
              <w:right w:val="single" w:sz="4" w:space="0" w:color="auto"/>
            </w:tcBorders>
            <w:vAlign w:val="center"/>
            <w:hideMark/>
          </w:tcPr>
          <w:p w14:paraId="19AA8207"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2" w:type="pct"/>
            <w:vMerge/>
            <w:tcBorders>
              <w:top w:val="single" w:sz="8" w:space="0" w:color="auto"/>
              <w:left w:val="single" w:sz="4" w:space="0" w:color="auto"/>
              <w:bottom w:val="single" w:sz="4" w:space="0" w:color="auto"/>
              <w:right w:val="single" w:sz="4" w:space="0" w:color="auto"/>
            </w:tcBorders>
            <w:vAlign w:val="center"/>
            <w:hideMark/>
          </w:tcPr>
          <w:p w14:paraId="19AA8208"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510" w:type="pct"/>
            <w:vMerge/>
            <w:tcBorders>
              <w:top w:val="single" w:sz="8" w:space="0" w:color="auto"/>
              <w:left w:val="single" w:sz="4" w:space="0" w:color="auto"/>
              <w:bottom w:val="single" w:sz="4" w:space="0" w:color="auto"/>
              <w:right w:val="single" w:sz="4" w:space="0" w:color="auto"/>
            </w:tcBorders>
            <w:vAlign w:val="center"/>
            <w:hideMark/>
          </w:tcPr>
          <w:p w14:paraId="19AA8209"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6" w:type="pct"/>
            <w:vMerge/>
            <w:tcBorders>
              <w:top w:val="single" w:sz="8" w:space="0" w:color="auto"/>
              <w:left w:val="single" w:sz="4" w:space="0" w:color="auto"/>
              <w:bottom w:val="single" w:sz="4" w:space="0" w:color="auto"/>
              <w:right w:val="single" w:sz="8" w:space="0" w:color="auto"/>
            </w:tcBorders>
            <w:vAlign w:val="center"/>
            <w:hideMark/>
          </w:tcPr>
          <w:p w14:paraId="19AA820A"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r>
      <w:tr w:rsidR="003867D9" w:rsidRPr="00D85A7F" w14:paraId="19AA821F" w14:textId="3309BCC4" w:rsidTr="00C54B6E">
        <w:trPr>
          <w:trHeight w:val="20"/>
        </w:trPr>
        <w:tc>
          <w:tcPr>
            <w:tcW w:w="126" w:type="pct"/>
            <w:vMerge/>
            <w:tcBorders>
              <w:top w:val="single" w:sz="8" w:space="0" w:color="auto"/>
              <w:left w:val="single" w:sz="8" w:space="0" w:color="auto"/>
              <w:bottom w:val="single" w:sz="4" w:space="0" w:color="auto"/>
              <w:right w:val="single" w:sz="4" w:space="0" w:color="auto"/>
            </w:tcBorders>
            <w:vAlign w:val="center"/>
            <w:hideMark/>
          </w:tcPr>
          <w:p w14:paraId="19AA820C"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78" w:type="pct"/>
            <w:vMerge/>
            <w:tcBorders>
              <w:top w:val="single" w:sz="8" w:space="0" w:color="auto"/>
              <w:left w:val="single" w:sz="4" w:space="0" w:color="auto"/>
              <w:bottom w:val="single" w:sz="4" w:space="0" w:color="auto"/>
              <w:right w:val="single" w:sz="4" w:space="0" w:color="auto"/>
            </w:tcBorders>
            <w:vAlign w:val="center"/>
            <w:hideMark/>
          </w:tcPr>
          <w:p w14:paraId="19AA820D"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33" w:type="pct"/>
            <w:vMerge/>
            <w:tcBorders>
              <w:top w:val="single" w:sz="8" w:space="0" w:color="auto"/>
              <w:left w:val="single" w:sz="4" w:space="0" w:color="auto"/>
              <w:bottom w:val="single" w:sz="4" w:space="0" w:color="auto"/>
              <w:right w:val="single" w:sz="4" w:space="0" w:color="auto"/>
            </w:tcBorders>
            <w:vAlign w:val="center"/>
            <w:hideMark/>
          </w:tcPr>
          <w:p w14:paraId="19AA820E"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87" w:type="pct"/>
            <w:vMerge/>
            <w:tcBorders>
              <w:top w:val="single" w:sz="8" w:space="0" w:color="auto"/>
              <w:left w:val="single" w:sz="4" w:space="0" w:color="auto"/>
              <w:bottom w:val="single" w:sz="4" w:space="0" w:color="auto"/>
              <w:right w:val="single" w:sz="4" w:space="0" w:color="auto"/>
            </w:tcBorders>
            <w:vAlign w:val="center"/>
            <w:hideMark/>
          </w:tcPr>
          <w:p w14:paraId="19AA820F"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5" w:type="pct"/>
            <w:vMerge/>
            <w:tcBorders>
              <w:top w:val="single" w:sz="8" w:space="0" w:color="auto"/>
              <w:left w:val="single" w:sz="4" w:space="0" w:color="auto"/>
              <w:bottom w:val="single" w:sz="4" w:space="0" w:color="auto"/>
              <w:right w:val="single" w:sz="4" w:space="0" w:color="auto"/>
            </w:tcBorders>
            <w:vAlign w:val="center"/>
            <w:hideMark/>
          </w:tcPr>
          <w:p w14:paraId="19AA8210"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7" w:type="pct"/>
            <w:vMerge/>
            <w:tcBorders>
              <w:top w:val="single" w:sz="8" w:space="0" w:color="auto"/>
              <w:left w:val="single" w:sz="4" w:space="0" w:color="auto"/>
              <w:bottom w:val="single" w:sz="4" w:space="0" w:color="auto"/>
              <w:right w:val="single" w:sz="4" w:space="0" w:color="auto"/>
            </w:tcBorders>
            <w:vAlign w:val="center"/>
            <w:hideMark/>
          </w:tcPr>
          <w:p w14:paraId="19AA8211"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191" w:type="pct"/>
            <w:vMerge/>
            <w:tcBorders>
              <w:top w:val="single" w:sz="8" w:space="0" w:color="auto"/>
              <w:left w:val="single" w:sz="4" w:space="0" w:color="auto"/>
              <w:bottom w:val="single" w:sz="4" w:space="0" w:color="auto"/>
              <w:right w:val="single" w:sz="4" w:space="0" w:color="auto"/>
            </w:tcBorders>
            <w:vAlign w:val="center"/>
            <w:hideMark/>
          </w:tcPr>
          <w:p w14:paraId="19AA8212"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48" w:type="pct"/>
            <w:vMerge/>
            <w:tcBorders>
              <w:top w:val="single" w:sz="8" w:space="0" w:color="auto"/>
              <w:left w:val="single" w:sz="4" w:space="0" w:color="auto"/>
              <w:bottom w:val="single" w:sz="4" w:space="0" w:color="auto"/>
              <w:right w:val="single" w:sz="4" w:space="0" w:color="auto"/>
            </w:tcBorders>
            <w:vAlign w:val="center"/>
            <w:hideMark/>
          </w:tcPr>
          <w:p w14:paraId="19AA8213"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95" w:type="pct"/>
            <w:tcBorders>
              <w:top w:val="nil"/>
              <w:left w:val="nil"/>
              <w:bottom w:val="single" w:sz="4" w:space="0" w:color="auto"/>
              <w:right w:val="single" w:sz="4" w:space="0" w:color="auto"/>
            </w:tcBorders>
            <w:shd w:val="clear" w:color="auto" w:fill="auto"/>
            <w:vAlign w:val="bottom"/>
            <w:hideMark/>
          </w:tcPr>
          <w:p w14:paraId="19AA8214"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Sipërfaqja</w:t>
            </w:r>
          </w:p>
        </w:tc>
        <w:tc>
          <w:tcPr>
            <w:tcW w:w="258" w:type="pct"/>
            <w:tcBorders>
              <w:top w:val="nil"/>
              <w:left w:val="nil"/>
              <w:bottom w:val="single" w:sz="4" w:space="0" w:color="auto"/>
              <w:right w:val="single" w:sz="4" w:space="0" w:color="auto"/>
            </w:tcBorders>
            <w:shd w:val="clear" w:color="auto" w:fill="auto"/>
            <w:noWrap/>
            <w:vAlign w:val="bottom"/>
            <w:hideMark/>
          </w:tcPr>
          <w:p w14:paraId="19AA8215"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Çmimi</w:t>
            </w:r>
          </w:p>
        </w:tc>
        <w:tc>
          <w:tcPr>
            <w:tcW w:w="303" w:type="pct"/>
            <w:tcBorders>
              <w:top w:val="nil"/>
              <w:left w:val="nil"/>
              <w:bottom w:val="single" w:sz="4" w:space="0" w:color="auto"/>
              <w:right w:val="single" w:sz="4" w:space="0" w:color="auto"/>
            </w:tcBorders>
            <w:shd w:val="clear" w:color="auto" w:fill="auto"/>
            <w:noWrap/>
            <w:vAlign w:val="bottom"/>
            <w:hideMark/>
          </w:tcPr>
          <w:p w14:paraId="19AA8216"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Vlera</w:t>
            </w:r>
          </w:p>
        </w:tc>
        <w:tc>
          <w:tcPr>
            <w:tcW w:w="295" w:type="pct"/>
            <w:vMerge w:val="restart"/>
            <w:tcBorders>
              <w:top w:val="nil"/>
              <w:left w:val="single" w:sz="4" w:space="0" w:color="auto"/>
              <w:bottom w:val="single" w:sz="4" w:space="0" w:color="000000"/>
              <w:right w:val="single" w:sz="4" w:space="0" w:color="auto"/>
            </w:tcBorders>
            <w:shd w:val="clear" w:color="auto" w:fill="auto"/>
            <w:vAlign w:val="center"/>
            <w:hideMark/>
          </w:tcPr>
          <w:p w14:paraId="19AA8217"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Sipërfaqe e shpronësuar</w:t>
            </w:r>
          </w:p>
        </w:tc>
        <w:tc>
          <w:tcPr>
            <w:tcW w:w="275" w:type="pct"/>
            <w:vMerge w:val="restart"/>
            <w:tcBorders>
              <w:top w:val="nil"/>
              <w:left w:val="single" w:sz="4" w:space="0" w:color="auto"/>
              <w:bottom w:val="single" w:sz="4" w:space="0" w:color="000000"/>
              <w:right w:val="single" w:sz="4" w:space="0" w:color="auto"/>
            </w:tcBorders>
            <w:shd w:val="clear" w:color="auto" w:fill="auto"/>
            <w:vAlign w:val="center"/>
            <w:hideMark/>
          </w:tcPr>
          <w:p w14:paraId="19AA8218" w14:textId="133BCFFE" w:rsidR="00B2642F" w:rsidRPr="00D85A7F" w:rsidRDefault="003867D9" w:rsidP="00B2642F">
            <w:pPr>
              <w:spacing w:after="0" w:line="240" w:lineRule="auto"/>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Çmimi (lek</w:t>
            </w:r>
            <w:r w:rsidR="00B2642F" w:rsidRPr="00D85A7F">
              <w:rPr>
                <w:rFonts w:ascii="Garamond" w:eastAsia="Times New Roman" w:hAnsi="Garamond" w:cs="Arial"/>
                <w:b/>
                <w:bCs/>
                <w:sz w:val="12"/>
                <w:szCs w:val="12"/>
                <w:lang w:val="sq-AL" w:eastAsia="sq-AL"/>
              </w:rPr>
              <w:t>/m</w:t>
            </w:r>
            <w:r w:rsidR="00B2642F" w:rsidRPr="003867D9">
              <w:rPr>
                <w:rFonts w:ascii="Garamond" w:eastAsia="Times New Roman" w:hAnsi="Garamond" w:cs="Arial"/>
                <w:b/>
                <w:bCs/>
                <w:sz w:val="12"/>
                <w:szCs w:val="12"/>
                <w:vertAlign w:val="superscript"/>
                <w:lang w:val="sq-AL" w:eastAsia="sq-AL"/>
              </w:rPr>
              <w:t>2</w:t>
            </w:r>
            <w:r w:rsidR="00B2642F" w:rsidRPr="00D85A7F">
              <w:rPr>
                <w:rFonts w:ascii="Garamond" w:eastAsia="Times New Roman" w:hAnsi="Garamond" w:cs="Arial"/>
                <w:b/>
                <w:bCs/>
                <w:sz w:val="12"/>
                <w:szCs w:val="12"/>
                <w:lang w:val="sq-AL" w:eastAsia="sq-AL"/>
              </w:rPr>
              <w:t>)</w:t>
            </w:r>
          </w:p>
        </w:tc>
        <w:tc>
          <w:tcPr>
            <w:tcW w:w="174" w:type="pct"/>
            <w:vMerge w:val="restart"/>
            <w:tcBorders>
              <w:top w:val="nil"/>
              <w:left w:val="single" w:sz="4" w:space="0" w:color="auto"/>
              <w:bottom w:val="single" w:sz="4" w:space="0" w:color="000000"/>
              <w:right w:val="single" w:sz="4" w:space="0" w:color="auto"/>
            </w:tcBorders>
            <w:shd w:val="clear" w:color="auto" w:fill="auto"/>
            <w:vAlign w:val="center"/>
            <w:hideMark/>
          </w:tcPr>
          <w:p w14:paraId="19AA8219" w14:textId="74F514F6"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Vlera</w:t>
            </w:r>
            <w:r w:rsidR="00C54B6E" w:rsidRPr="00D85A7F">
              <w:rPr>
                <w:rFonts w:ascii="Garamond" w:eastAsia="Times New Roman" w:hAnsi="Garamond" w:cs="Arial"/>
                <w:b/>
                <w:bCs/>
                <w:sz w:val="12"/>
                <w:szCs w:val="12"/>
                <w:lang w:val="sq-AL" w:eastAsia="sq-AL"/>
              </w:rPr>
              <w:t xml:space="preserve"> </w:t>
            </w:r>
            <w:r w:rsidR="003867D9">
              <w:rPr>
                <w:rFonts w:ascii="Garamond" w:eastAsia="Times New Roman" w:hAnsi="Garamond" w:cs="Arial"/>
                <w:b/>
                <w:bCs/>
                <w:sz w:val="12"/>
                <w:szCs w:val="12"/>
                <w:lang w:val="sq-AL" w:eastAsia="sq-AL"/>
              </w:rPr>
              <w:t>lek</w:t>
            </w:r>
          </w:p>
        </w:tc>
        <w:tc>
          <w:tcPr>
            <w:tcW w:w="300"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1A" w14:textId="6FE4AF10"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xml:space="preserve">Sipërfaqe e </w:t>
            </w:r>
            <w:r w:rsidR="003867D9" w:rsidRPr="00D85A7F">
              <w:rPr>
                <w:rFonts w:ascii="Garamond" w:eastAsia="Times New Roman" w:hAnsi="Garamond" w:cs="Arial"/>
                <w:b/>
                <w:bCs/>
                <w:sz w:val="12"/>
                <w:szCs w:val="12"/>
                <w:lang w:val="sq-AL" w:eastAsia="sq-AL"/>
              </w:rPr>
              <w:t>shpronësuar</w:t>
            </w:r>
          </w:p>
        </w:tc>
        <w:tc>
          <w:tcPr>
            <w:tcW w:w="266"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1B"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Vlera sipas preventivit</w:t>
            </w:r>
          </w:p>
        </w:tc>
        <w:tc>
          <w:tcPr>
            <w:tcW w:w="252" w:type="pct"/>
            <w:vMerge/>
            <w:tcBorders>
              <w:top w:val="single" w:sz="8" w:space="0" w:color="auto"/>
              <w:left w:val="single" w:sz="4" w:space="0" w:color="auto"/>
              <w:bottom w:val="single" w:sz="4" w:space="0" w:color="auto"/>
              <w:right w:val="single" w:sz="4" w:space="0" w:color="auto"/>
            </w:tcBorders>
            <w:vAlign w:val="center"/>
            <w:hideMark/>
          </w:tcPr>
          <w:p w14:paraId="19AA821C"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510" w:type="pct"/>
            <w:vMerge/>
            <w:tcBorders>
              <w:top w:val="single" w:sz="8" w:space="0" w:color="auto"/>
              <w:left w:val="single" w:sz="4" w:space="0" w:color="auto"/>
              <w:bottom w:val="single" w:sz="4" w:space="0" w:color="auto"/>
              <w:right w:val="single" w:sz="4" w:space="0" w:color="auto"/>
            </w:tcBorders>
            <w:vAlign w:val="center"/>
            <w:hideMark/>
          </w:tcPr>
          <w:p w14:paraId="19AA821D"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6" w:type="pct"/>
            <w:vMerge/>
            <w:tcBorders>
              <w:top w:val="single" w:sz="8" w:space="0" w:color="auto"/>
              <w:left w:val="single" w:sz="4" w:space="0" w:color="auto"/>
              <w:bottom w:val="single" w:sz="4" w:space="0" w:color="auto"/>
              <w:right w:val="single" w:sz="8" w:space="0" w:color="auto"/>
            </w:tcBorders>
            <w:vAlign w:val="center"/>
            <w:hideMark/>
          </w:tcPr>
          <w:p w14:paraId="19AA821E"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r>
      <w:tr w:rsidR="003867D9" w:rsidRPr="00D85A7F" w14:paraId="19AA8233" w14:textId="1E01974B" w:rsidTr="00C54B6E">
        <w:trPr>
          <w:trHeight w:val="20"/>
        </w:trPr>
        <w:tc>
          <w:tcPr>
            <w:tcW w:w="126" w:type="pct"/>
            <w:vMerge/>
            <w:tcBorders>
              <w:top w:val="single" w:sz="8" w:space="0" w:color="auto"/>
              <w:left w:val="single" w:sz="8" w:space="0" w:color="auto"/>
              <w:bottom w:val="single" w:sz="4" w:space="0" w:color="auto"/>
              <w:right w:val="single" w:sz="4" w:space="0" w:color="auto"/>
            </w:tcBorders>
            <w:vAlign w:val="center"/>
            <w:hideMark/>
          </w:tcPr>
          <w:p w14:paraId="19AA8220"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78" w:type="pct"/>
            <w:vMerge/>
            <w:tcBorders>
              <w:top w:val="single" w:sz="8" w:space="0" w:color="auto"/>
              <w:left w:val="single" w:sz="4" w:space="0" w:color="auto"/>
              <w:bottom w:val="single" w:sz="4" w:space="0" w:color="auto"/>
              <w:right w:val="single" w:sz="4" w:space="0" w:color="auto"/>
            </w:tcBorders>
            <w:vAlign w:val="center"/>
            <w:hideMark/>
          </w:tcPr>
          <w:p w14:paraId="19AA8221"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33" w:type="pct"/>
            <w:vMerge/>
            <w:tcBorders>
              <w:top w:val="single" w:sz="8" w:space="0" w:color="auto"/>
              <w:left w:val="single" w:sz="4" w:space="0" w:color="auto"/>
              <w:bottom w:val="single" w:sz="4" w:space="0" w:color="auto"/>
              <w:right w:val="single" w:sz="4" w:space="0" w:color="auto"/>
            </w:tcBorders>
            <w:vAlign w:val="center"/>
            <w:hideMark/>
          </w:tcPr>
          <w:p w14:paraId="19AA8222"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87" w:type="pct"/>
            <w:vMerge/>
            <w:tcBorders>
              <w:top w:val="single" w:sz="8" w:space="0" w:color="auto"/>
              <w:left w:val="single" w:sz="4" w:space="0" w:color="auto"/>
              <w:bottom w:val="single" w:sz="4" w:space="0" w:color="auto"/>
              <w:right w:val="single" w:sz="4" w:space="0" w:color="auto"/>
            </w:tcBorders>
            <w:vAlign w:val="center"/>
            <w:hideMark/>
          </w:tcPr>
          <w:p w14:paraId="19AA8223"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5" w:type="pct"/>
            <w:vMerge/>
            <w:tcBorders>
              <w:top w:val="single" w:sz="8" w:space="0" w:color="auto"/>
              <w:left w:val="single" w:sz="4" w:space="0" w:color="auto"/>
              <w:bottom w:val="single" w:sz="4" w:space="0" w:color="auto"/>
              <w:right w:val="single" w:sz="4" w:space="0" w:color="auto"/>
            </w:tcBorders>
            <w:vAlign w:val="center"/>
            <w:hideMark/>
          </w:tcPr>
          <w:p w14:paraId="19AA8224"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7" w:type="pct"/>
            <w:vMerge/>
            <w:tcBorders>
              <w:top w:val="single" w:sz="8" w:space="0" w:color="auto"/>
              <w:left w:val="single" w:sz="4" w:space="0" w:color="auto"/>
              <w:bottom w:val="single" w:sz="4" w:space="0" w:color="auto"/>
              <w:right w:val="single" w:sz="4" w:space="0" w:color="auto"/>
            </w:tcBorders>
            <w:vAlign w:val="center"/>
            <w:hideMark/>
          </w:tcPr>
          <w:p w14:paraId="19AA8225"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191" w:type="pct"/>
            <w:vMerge/>
            <w:tcBorders>
              <w:top w:val="single" w:sz="8" w:space="0" w:color="auto"/>
              <w:left w:val="single" w:sz="4" w:space="0" w:color="auto"/>
              <w:bottom w:val="single" w:sz="4" w:space="0" w:color="auto"/>
              <w:right w:val="single" w:sz="4" w:space="0" w:color="auto"/>
            </w:tcBorders>
            <w:vAlign w:val="center"/>
            <w:hideMark/>
          </w:tcPr>
          <w:p w14:paraId="19AA8226"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48" w:type="pct"/>
            <w:vMerge/>
            <w:tcBorders>
              <w:top w:val="single" w:sz="8" w:space="0" w:color="auto"/>
              <w:left w:val="single" w:sz="4" w:space="0" w:color="auto"/>
              <w:bottom w:val="single" w:sz="4" w:space="0" w:color="auto"/>
              <w:right w:val="single" w:sz="4" w:space="0" w:color="auto"/>
            </w:tcBorders>
            <w:vAlign w:val="center"/>
            <w:hideMark/>
          </w:tcPr>
          <w:p w14:paraId="19AA8227"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95" w:type="pct"/>
            <w:tcBorders>
              <w:top w:val="nil"/>
              <w:left w:val="nil"/>
              <w:bottom w:val="single" w:sz="4" w:space="0" w:color="auto"/>
              <w:right w:val="single" w:sz="4" w:space="0" w:color="auto"/>
            </w:tcBorders>
            <w:shd w:val="clear" w:color="auto" w:fill="auto"/>
            <w:vAlign w:val="bottom"/>
            <w:hideMark/>
          </w:tcPr>
          <w:p w14:paraId="19AA8228"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e shpronësuar (m</w:t>
            </w:r>
            <w:r w:rsidRPr="003867D9">
              <w:rPr>
                <w:rFonts w:ascii="Garamond" w:eastAsia="Times New Roman" w:hAnsi="Garamond" w:cs="Arial"/>
                <w:b/>
                <w:bCs/>
                <w:sz w:val="12"/>
                <w:szCs w:val="12"/>
                <w:vertAlign w:val="superscript"/>
                <w:lang w:val="sq-AL" w:eastAsia="sq-AL"/>
              </w:rPr>
              <w:t>2</w:t>
            </w:r>
            <w:r w:rsidRPr="00D85A7F">
              <w:rPr>
                <w:rFonts w:ascii="Garamond" w:eastAsia="Times New Roman" w:hAnsi="Garamond" w:cs="Arial"/>
                <w:b/>
                <w:bCs/>
                <w:sz w:val="12"/>
                <w:szCs w:val="12"/>
                <w:lang w:val="sq-AL" w:eastAsia="sq-AL"/>
              </w:rPr>
              <w:t>)</w:t>
            </w:r>
          </w:p>
        </w:tc>
        <w:tc>
          <w:tcPr>
            <w:tcW w:w="258" w:type="pct"/>
            <w:tcBorders>
              <w:top w:val="nil"/>
              <w:left w:val="nil"/>
              <w:bottom w:val="single" w:sz="4" w:space="0" w:color="auto"/>
              <w:right w:val="single" w:sz="4" w:space="0" w:color="auto"/>
            </w:tcBorders>
            <w:shd w:val="clear" w:color="auto" w:fill="auto"/>
            <w:noWrap/>
            <w:vAlign w:val="bottom"/>
            <w:hideMark/>
          </w:tcPr>
          <w:p w14:paraId="19AA8229" w14:textId="3AFB56E7" w:rsidR="00B2642F" w:rsidRPr="00D85A7F" w:rsidRDefault="003867D9" w:rsidP="00B2642F">
            <w:pPr>
              <w:spacing w:after="0" w:line="240" w:lineRule="auto"/>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(lek</w:t>
            </w:r>
            <w:r w:rsidR="00B2642F" w:rsidRPr="00D85A7F">
              <w:rPr>
                <w:rFonts w:ascii="Garamond" w:eastAsia="Times New Roman" w:hAnsi="Garamond" w:cs="Arial"/>
                <w:b/>
                <w:bCs/>
                <w:sz w:val="12"/>
                <w:szCs w:val="12"/>
                <w:lang w:val="sq-AL" w:eastAsia="sq-AL"/>
              </w:rPr>
              <w:t>/m</w:t>
            </w:r>
            <w:r w:rsidR="00B2642F" w:rsidRPr="003867D9">
              <w:rPr>
                <w:rFonts w:ascii="Garamond" w:eastAsia="Times New Roman" w:hAnsi="Garamond" w:cs="Arial"/>
                <w:b/>
                <w:bCs/>
                <w:sz w:val="12"/>
                <w:szCs w:val="12"/>
                <w:vertAlign w:val="superscript"/>
                <w:lang w:val="sq-AL" w:eastAsia="sq-AL"/>
              </w:rPr>
              <w:t>2</w:t>
            </w:r>
            <w:r w:rsidR="00B2642F" w:rsidRPr="00D85A7F">
              <w:rPr>
                <w:rFonts w:ascii="Garamond" w:eastAsia="Times New Roman" w:hAnsi="Garamond" w:cs="Arial"/>
                <w:b/>
                <w:bCs/>
                <w:sz w:val="12"/>
                <w:szCs w:val="12"/>
                <w:lang w:val="sq-AL" w:eastAsia="sq-AL"/>
              </w:rPr>
              <w:t>)</w:t>
            </w:r>
          </w:p>
        </w:tc>
        <w:tc>
          <w:tcPr>
            <w:tcW w:w="303" w:type="pct"/>
            <w:tcBorders>
              <w:top w:val="nil"/>
              <w:left w:val="nil"/>
              <w:bottom w:val="single" w:sz="4" w:space="0" w:color="auto"/>
              <w:right w:val="single" w:sz="4" w:space="0" w:color="auto"/>
            </w:tcBorders>
            <w:shd w:val="clear" w:color="auto" w:fill="auto"/>
            <w:noWrap/>
            <w:vAlign w:val="bottom"/>
            <w:hideMark/>
          </w:tcPr>
          <w:p w14:paraId="19AA822A"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lekë</w:t>
            </w:r>
          </w:p>
        </w:tc>
        <w:tc>
          <w:tcPr>
            <w:tcW w:w="295" w:type="pct"/>
            <w:vMerge/>
            <w:tcBorders>
              <w:top w:val="nil"/>
              <w:left w:val="single" w:sz="4" w:space="0" w:color="auto"/>
              <w:bottom w:val="single" w:sz="4" w:space="0" w:color="000000"/>
              <w:right w:val="single" w:sz="4" w:space="0" w:color="auto"/>
            </w:tcBorders>
            <w:vAlign w:val="center"/>
            <w:hideMark/>
          </w:tcPr>
          <w:p w14:paraId="19AA822B"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75" w:type="pct"/>
            <w:vMerge/>
            <w:tcBorders>
              <w:top w:val="nil"/>
              <w:left w:val="single" w:sz="4" w:space="0" w:color="auto"/>
              <w:bottom w:val="single" w:sz="4" w:space="0" w:color="000000"/>
              <w:right w:val="single" w:sz="4" w:space="0" w:color="auto"/>
            </w:tcBorders>
            <w:vAlign w:val="center"/>
            <w:hideMark/>
          </w:tcPr>
          <w:p w14:paraId="19AA822C"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174" w:type="pct"/>
            <w:vMerge/>
            <w:tcBorders>
              <w:top w:val="nil"/>
              <w:left w:val="single" w:sz="4" w:space="0" w:color="auto"/>
              <w:bottom w:val="single" w:sz="4" w:space="0" w:color="000000"/>
              <w:right w:val="single" w:sz="4" w:space="0" w:color="auto"/>
            </w:tcBorders>
            <w:vAlign w:val="center"/>
            <w:hideMark/>
          </w:tcPr>
          <w:p w14:paraId="19AA822D"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9AA822E"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66" w:type="pct"/>
            <w:vMerge/>
            <w:tcBorders>
              <w:top w:val="nil"/>
              <w:left w:val="single" w:sz="4" w:space="0" w:color="auto"/>
              <w:bottom w:val="single" w:sz="4" w:space="0" w:color="auto"/>
              <w:right w:val="single" w:sz="4" w:space="0" w:color="auto"/>
            </w:tcBorders>
            <w:vAlign w:val="center"/>
            <w:hideMark/>
          </w:tcPr>
          <w:p w14:paraId="19AA822F"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2" w:type="pct"/>
            <w:vMerge/>
            <w:tcBorders>
              <w:top w:val="single" w:sz="8" w:space="0" w:color="auto"/>
              <w:left w:val="single" w:sz="4" w:space="0" w:color="auto"/>
              <w:bottom w:val="single" w:sz="4" w:space="0" w:color="auto"/>
              <w:right w:val="single" w:sz="4" w:space="0" w:color="auto"/>
            </w:tcBorders>
            <w:vAlign w:val="center"/>
            <w:hideMark/>
          </w:tcPr>
          <w:p w14:paraId="19AA8230"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510" w:type="pct"/>
            <w:vMerge/>
            <w:tcBorders>
              <w:top w:val="single" w:sz="8" w:space="0" w:color="auto"/>
              <w:left w:val="single" w:sz="4" w:space="0" w:color="auto"/>
              <w:bottom w:val="single" w:sz="4" w:space="0" w:color="auto"/>
              <w:right w:val="single" w:sz="4" w:space="0" w:color="auto"/>
            </w:tcBorders>
            <w:vAlign w:val="center"/>
            <w:hideMark/>
          </w:tcPr>
          <w:p w14:paraId="19AA8231"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6" w:type="pct"/>
            <w:vMerge/>
            <w:tcBorders>
              <w:top w:val="single" w:sz="8" w:space="0" w:color="auto"/>
              <w:left w:val="single" w:sz="4" w:space="0" w:color="auto"/>
              <w:bottom w:val="single" w:sz="4" w:space="0" w:color="auto"/>
              <w:right w:val="single" w:sz="8" w:space="0" w:color="auto"/>
            </w:tcBorders>
            <w:vAlign w:val="center"/>
            <w:hideMark/>
          </w:tcPr>
          <w:p w14:paraId="19AA8232"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r>
      <w:tr w:rsidR="003867D9" w:rsidRPr="00D85A7F" w14:paraId="19AA8247" w14:textId="4EDBF06D" w:rsidTr="00C54B6E">
        <w:trPr>
          <w:trHeight w:val="20"/>
        </w:trPr>
        <w:tc>
          <w:tcPr>
            <w:tcW w:w="126" w:type="pct"/>
            <w:tcBorders>
              <w:top w:val="nil"/>
              <w:left w:val="single" w:sz="8" w:space="0" w:color="auto"/>
              <w:bottom w:val="single" w:sz="4" w:space="0" w:color="auto"/>
              <w:right w:val="single" w:sz="4" w:space="0" w:color="auto"/>
            </w:tcBorders>
            <w:shd w:val="clear" w:color="auto" w:fill="auto"/>
            <w:noWrap/>
            <w:vAlign w:val="center"/>
            <w:hideMark/>
          </w:tcPr>
          <w:p w14:paraId="19AA8234"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1</w:t>
            </w:r>
          </w:p>
        </w:tc>
        <w:tc>
          <w:tcPr>
            <w:tcW w:w="278" w:type="pct"/>
            <w:tcBorders>
              <w:top w:val="nil"/>
              <w:left w:val="nil"/>
              <w:bottom w:val="single" w:sz="4" w:space="0" w:color="auto"/>
              <w:right w:val="single" w:sz="4" w:space="0" w:color="auto"/>
            </w:tcBorders>
            <w:shd w:val="clear" w:color="auto" w:fill="auto"/>
            <w:vAlign w:val="center"/>
            <w:hideMark/>
          </w:tcPr>
          <w:p w14:paraId="19AA8235"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SEID</w:t>
            </w:r>
          </w:p>
        </w:tc>
        <w:tc>
          <w:tcPr>
            <w:tcW w:w="233" w:type="pct"/>
            <w:tcBorders>
              <w:top w:val="nil"/>
              <w:left w:val="nil"/>
              <w:bottom w:val="single" w:sz="4" w:space="0" w:color="auto"/>
              <w:right w:val="single" w:sz="4" w:space="0" w:color="auto"/>
            </w:tcBorders>
            <w:shd w:val="clear" w:color="auto" w:fill="auto"/>
            <w:vAlign w:val="center"/>
            <w:hideMark/>
          </w:tcPr>
          <w:p w14:paraId="19AA8236"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OSMAN</w:t>
            </w:r>
          </w:p>
        </w:tc>
        <w:tc>
          <w:tcPr>
            <w:tcW w:w="287" w:type="pct"/>
            <w:tcBorders>
              <w:top w:val="nil"/>
              <w:left w:val="nil"/>
              <w:bottom w:val="single" w:sz="4" w:space="0" w:color="auto"/>
              <w:right w:val="single" w:sz="4" w:space="0" w:color="auto"/>
            </w:tcBorders>
            <w:shd w:val="clear" w:color="auto" w:fill="auto"/>
            <w:vAlign w:val="center"/>
            <w:hideMark/>
          </w:tcPr>
          <w:p w14:paraId="19AA8237"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MERSINI</w:t>
            </w:r>
          </w:p>
        </w:tc>
        <w:tc>
          <w:tcPr>
            <w:tcW w:w="225" w:type="pct"/>
            <w:tcBorders>
              <w:top w:val="nil"/>
              <w:left w:val="nil"/>
              <w:bottom w:val="single" w:sz="4" w:space="0" w:color="auto"/>
              <w:right w:val="single" w:sz="4" w:space="0" w:color="auto"/>
            </w:tcBorders>
            <w:shd w:val="clear" w:color="auto" w:fill="auto"/>
            <w:vAlign w:val="center"/>
            <w:hideMark/>
          </w:tcPr>
          <w:p w14:paraId="19AA8238"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3292</w:t>
            </w:r>
          </w:p>
        </w:tc>
        <w:tc>
          <w:tcPr>
            <w:tcW w:w="227" w:type="pct"/>
            <w:tcBorders>
              <w:top w:val="nil"/>
              <w:left w:val="nil"/>
              <w:bottom w:val="single" w:sz="4" w:space="0" w:color="auto"/>
              <w:right w:val="single" w:sz="4" w:space="0" w:color="auto"/>
            </w:tcBorders>
            <w:shd w:val="clear" w:color="auto" w:fill="auto"/>
            <w:vAlign w:val="center"/>
            <w:hideMark/>
          </w:tcPr>
          <w:p w14:paraId="19AA8239"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112/55</w:t>
            </w:r>
          </w:p>
        </w:tc>
        <w:tc>
          <w:tcPr>
            <w:tcW w:w="191" w:type="pct"/>
            <w:tcBorders>
              <w:top w:val="nil"/>
              <w:left w:val="nil"/>
              <w:bottom w:val="single" w:sz="4" w:space="0" w:color="auto"/>
              <w:right w:val="single" w:sz="4" w:space="0" w:color="auto"/>
            </w:tcBorders>
            <w:shd w:val="clear" w:color="auto" w:fill="auto"/>
            <w:vAlign w:val="center"/>
            <w:hideMark/>
          </w:tcPr>
          <w:p w14:paraId="19AA823A"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250</w:t>
            </w:r>
          </w:p>
        </w:tc>
        <w:tc>
          <w:tcPr>
            <w:tcW w:w="248" w:type="pct"/>
            <w:tcBorders>
              <w:top w:val="nil"/>
              <w:left w:val="nil"/>
              <w:bottom w:val="single" w:sz="4" w:space="0" w:color="auto"/>
              <w:right w:val="single" w:sz="4" w:space="0" w:color="auto"/>
            </w:tcBorders>
            <w:shd w:val="clear" w:color="auto" w:fill="auto"/>
            <w:vAlign w:val="center"/>
            <w:hideMark/>
          </w:tcPr>
          <w:p w14:paraId="19AA823B"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TRUALL</w:t>
            </w:r>
          </w:p>
        </w:tc>
        <w:tc>
          <w:tcPr>
            <w:tcW w:w="295" w:type="pct"/>
            <w:tcBorders>
              <w:top w:val="nil"/>
              <w:left w:val="nil"/>
              <w:bottom w:val="single" w:sz="4" w:space="0" w:color="auto"/>
              <w:right w:val="single" w:sz="4" w:space="0" w:color="auto"/>
            </w:tcBorders>
            <w:shd w:val="clear" w:color="auto" w:fill="auto"/>
            <w:noWrap/>
            <w:vAlign w:val="center"/>
            <w:hideMark/>
          </w:tcPr>
          <w:p w14:paraId="19AA823C"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6</w:t>
            </w:r>
          </w:p>
        </w:tc>
        <w:tc>
          <w:tcPr>
            <w:tcW w:w="258" w:type="pct"/>
            <w:tcBorders>
              <w:top w:val="nil"/>
              <w:left w:val="nil"/>
              <w:bottom w:val="single" w:sz="4" w:space="0" w:color="auto"/>
              <w:right w:val="single" w:sz="4" w:space="0" w:color="auto"/>
            </w:tcBorders>
            <w:shd w:val="clear" w:color="auto" w:fill="auto"/>
            <w:noWrap/>
            <w:vAlign w:val="center"/>
            <w:hideMark/>
          </w:tcPr>
          <w:p w14:paraId="19AA823D"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3,413</w:t>
            </w:r>
          </w:p>
        </w:tc>
        <w:tc>
          <w:tcPr>
            <w:tcW w:w="303" w:type="pct"/>
            <w:tcBorders>
              <w:top w:val="nil"/>
              <w:left w:val="nil"/>
              <w:bottom w:val="single" w:sz="4" w:space="0" w:color="auto"/>
              <w:right w:val="single" w:sz="4" w:space="0" w:color="auto"/>
            </w:tcBorders>
            <w:shd w:val="clear" w:color="auto" w:fill="auto"/>
            <w:noWrap/>
            <w:vAlign w:val="center"/>
            <w:hideMark/>
          </w:tcPr>
          <w:p w14:paraId="19AA823E"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20,478</w:t>
            </w:r>
          </w:p>
        </w:tc>
        <w:tc>
          <w:tcPr>
            <w:tcW w:w="295" w:type="pct"/>
            <w:tcBorders>
              <w:top w:val="nil"/>
              <w:left w:val="nil"/>
              <w:bottom w:val="single" w:sz="4" w:space="0" w:color="auto"/>
              <w:right w:val="single" w:sz="4" w:space="0" w:color="auto"/>
            </w:tcBorders>
            <w:shd w:val="clear" w:color="auto" w:fill="auto"/>
            <w:vAlign w:val="center"/>
            <w:hideMark/>
          </w:tcPr>
          <w:p w14:paraId="19AA823F"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275" w:type="pct"/>
            <w:tcBorders>
              <w:top w:val="nil"/>
              <w:left w:val="nil"/>
              <w:bottom w:val="single" w:sz="4" w:space="0" w:color="auto"/>
              <w:right w:val="single" w:sz="4" w:space="0" w:color="auto"/>
            </w:tcBorders>
            <w:shd w:val="clear" w:color="auto" w:fill="auto"/>
            <w:vAlign w:val="center"/>
            <w:hideMark/>
          </w:tcPr>
          <w:p w14:paraId="19AA8240"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174" w:type="pct"/>
            <w:tcBorders>
              <w:top w:val="nil"/>
              <w:left w:val="nil"/>
              <w:bottom w:val="single" w:sz="4" w:space="0" w:color="auto"/>
              <w:right w:val="single" w:sz="4" w:space="0" w:color="auto"/>
            </w:tcBorders>
            <w:shd w:val="clear" w:color="auto" w:fill="auto"/>
            <w:noWrap/>
            <w:vAlign w:val="center"/>
            <w:hideMark/>
          </w:tcPr>
          <w:p w14:paraId="19AA8241"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300" w:type="pct"/>
            <w:tcBorders>
              <w:top w:val="nil"/>
              <w:left w:val="nil"/>
              <w:bottom w:val="single" w:sz="4" w:space="0" w:color="auto"/>
              <w:right w:val="single" w:sz="4" w:space="0" w:color="auto"/>
            </w:tcBorders>
            <w:shd w:val="clear" w:color="auto" w:fill="auto"/>
            <w:vAlign w:val="center"/>
            <w:hideMark/>
          </w:tcPr>
          <w:p w14:paraId="19AA8242"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16</w:t>
            </w:r>
          </w:p>
        </w:tc>
        <w:tc>
          <w:tcPr>
            <w:tcW w:w="266" w:type="pct"/>
            <w:tcBorders>
              <w:top w:val="nil"/>
              <w:left w:val="nil"/>
              <w:bottom w:val="single" w:sz="4" w:space="0" w:color="auto"/>
              <w:right w:val="single" w:sz="4" w:space="0" w:color="auto"/>
            </w:tcBorders>
            <w:shd w:val="clear" w:color="auto" w:fill="auto"/>
            <w:vAlign w:val="center"/>
            <w:hideMark/>
          </w:tcPr>
          <w:p w14:paraId="19AA8243"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326,719</w:t>
            </w:r>
          </w:p>
        </w:tc>
        <w:tc>
          <w:tcPr>
            <w:tcW w:w="252" w:type="pct"/>
            <w:tcBorders>
              <w:top w:val="nil"/>
              <w:left w:val="nil"/>
              <w:bottom w:val="single" w:sz="4" w:space="0" w:color="auto"/>
              <w:right w:val="single" w:sz="4" w:space="0" w:color="auto"/>
            </w:tcBorders>
            <w:shd w:val="clear" w:color="auto" w:fill="auto"/>
            <w:vAlign w:val="center"/>
            <w:hideMark/>
          </w:tcPr>
          <w:p w14:paraId="19AA8244"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347,197</w:t>
            </w:r>
          </w:p>
        </w:tc>
        <w:tc>
          <w:tcPr>
            <w:tcW w:w="510" w:type="pct"/>
            <w:tcBorders>
              <w:top w:val="nil"/>
              <w:left w:val="nil"/>
              <w:bottom w:val="single" w:sz="4" w:space="0" w:color="auto"/>
              <w:right w:val="single" w:sz="4" w:space="0" w:color="auto"/>
            </w:tcBorders>
            <w:shd w:val="clear" w:color="auto" w:fill="auto"/>
            <w:vAlign w:val="center"/>
            <w:hideMark/>
          </w:tcPr>
          <w:p w14:paraId="19AA8245" w14:textId="64F13367" w:rsidR="00B2642F" w:rsidRPr="003867D9" w:rsidRDefault="00C54B6E" w:rsidP="00BF059A">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xml:space="preserve">Kufizohen veprimet mbi pasurinë në bazë të </w:t>
            </w:r>
            <w:r w:rsidR="00BF059A" w:rsidRPr="003867D9">
              <w:rPr>
                <w:rFonts w:ascii="Garamond" w:eastAsia="Times New Roman" w:hAnsi="Garamond" w:cs="Arial"/>
                <w:sz w:val="12"/>
                <w:szCs w:val="12"/>
                <w:lang w:val="sq-AL" w:eastAsia="sq-AL"/>
              </w:rPr>
              <w:t xml:space="preserve">SHK </w:t>
            </w:r>
            <w:r w:rsidR="003867D9" w:rsidRPr="003867D9">
              <w:rPr>
                <w:rFonts w:ascii="Garamond" w:eastAsia="Times New Roman" w:hAnsi="Garamond" w:cs="Arial"/>
                <w:sz w:val="12"/>
                <w:szCs w:val="12"/>
                <w:lang w:val="sq-AL" w:eastAsia="sq-AL"/>
              </w:rPr>
              <w:t xml:space="preserve">ZQRPP </w:t>
            </w:r>
            <w:r w:rsidRPr="003867D9">
              <w:rPr>
                <w:rFonts w:ascii="Garamond" w:eastAsia="Times New Roman" w:hAnsi="Garamond" w:cs="Arial"/>
                <w:sz w:val="12"/>
                <w:szCs w:val="12"/>
                <w:lang w:val="sq-AL" w:eastAsia="sq-AL"/>
              </w:rPr>
              <w:t>nr. 6287/3, d</w:t>
            </w:r>
            <w:r w:rsidR="003867D9">
              <w:rPr>
                <w:rFonts w:ascii="Garamond" w:eastAsia="Times New Roman" w:hAnsi="Garamond" w:cs="Arial"/>
                <w:sz w:val="12"/>
                <w:szCs w:val="12"/>
                <w:lang w:val="sq-AL" w:eastAsia="sq-AL"/>
              </w:rPr>
              <w:t>atë</w:t>
            </w:r>
            <w:r w:rsidRPr="003867D9">
              <w:rPr>
                <w:rFonts w:ascii="Garamond" w:eastAsia="Times New Roman" w:hAnsi="Garamond" w:cs="Arial"/>
                <w:sz w:val="12"/>
                <w:szCs w:val="12"/>
                <w:lang w:val="sq-AL" w:eastAsia="sq-AL"/>
              </w:rPr>
              <w:t xml:space="preserve"> 26.10.2006</w:t>
            </w:r>
            <w:r w:rsidR="003867D9">
              <w:rPr>
                <w:rFonts w:ascii="Garamond" w:eastAsia="Times New Roman" w:hAnsi="Garamond" w:cs="Arial"/>
                <w:sz w:val="12"/>
                <w:szCs w:val="12"/>
                <w:lang w:val="sq-AL" w:eastAsia="sq-AL"/>
              </w:rPr>
              <w:t>,</w:t>
            </w:r>
            <w:r w:rsidRPr="003867D9">
              <w:rPr>
                <w:rFonts w:ascii="Garamond" w:eastAsia="Times New Roman" w:hAnsi="Garamond" w:cs="Arial"/>
                <w:sz w:val="12"/>
                <w:szCs w:val="12"/>
                <w:lang w:val="sq-AL" w:eastAsia="sq-AL"/>
              </w:rPr>
              <w:t xml:space="preserve"> deri në një urdhër të dytë. </w:t>
            </w:r>
            <w:r w:rsidR="003867D9">
              <w:rPr>
                <w:rFonts w:ascii="Garamond" w:eastAsia="Times New Roman" w:hAnsi="Garamond" w:cs="Arial"/>
                <w:sz w:val="12"/>
                <w:szCs w:val="12"/>
                <w:lang w:val="sq-AL" w:eastAsia="sq-AL"/>
              </w:rPr>
              <w:t>Urdh</w:t>
            </w:r>
            <w:r w:rsidR="003867D9" w:rsidRPr="003867D9">
              <w:rPr>
                <w:rFonts w:ascii="Garamond" w:eastAsia="Times New Roman" w:hAnsi="Garamond" w:cs="Arial"/>
                <w:sz w:val="12"/>
                <w:szCs w:val="12"/>
                <w:lang w:val="sq-AL" w:eastAsia="sq-AL"/>
              </w:rPr>
              <w:t>r</w:t>
            </w:r>
            <w:r w:rsidR="003867D9">
              <w:rPr>
                <w:rFonts w:ascii="Garamond" w:eastAsia="Times New Roman" w:hAnsi="Garamond" w:cs="Arial"/>
                <w:sz w:val="12"/>
                <w:szCs w:val="12"/>
                <w:lang w:val="sq-AL" w:eastAsia="sq-AL"/>
              </w:rPr>
              <w:t>i</w:t>
            </w:r>
            <w:r w:rsidR="003867D9" w:rsidRPr="003867D9">
              <w:rPr>
                <w:rFonts w:ascii="Garamond" w:eastAsia="Times New Roman" w:hAnsi="Garamond" w:cs="Arial"/>
                <w:sz w:val="12"/>
                <w:szCs w:val="12"/>
                <w:lang w:val="sq-AL" w:eastAsia="sq-AL"/>
              </w:rPr>
              <w:t xml:space="preserve"> </w:t>
            </w:r>
            <w:r w:rsidRPr="003867D9">
              <w:rPr>
                <w:rFonts w:ascii="Garamond" w:eastAsia="Times New Roman" w:hAnsi="Garamond" w:cs="Arial"/>
                <w:sz w:val="12"/>
                <w:szCs w:val="12"/>
                <w:lang w:val="sq-AL" w:eastAsia="sq-AL"/>
              </w:rPr>
              <w:t>nr. 1914, d</w:t>
            </w:r>
            <w:r w:rsidR="003867D9">
              <w:rPr>
                <w:rFonts w:ascii="Garamond" w:eastAsia="Times New Roman" w:hAnsi="Garamond" w:cs="Arial"/>
                <w:sz w:val="12"/>
                <w:szCs w:val="12"/>
                <w:lang w:val="sq-AL" w:eastAsia="sq-AL"/>
              </w:rPr>
              <w:t>atë 26.</w:t>
            </w:r>
            <w:r w:rsidRPr="003867D9">
              <w:rPr>
                <w:rFonts w:ascii="Garamond" w:eastAsia="Times New Roman" w:hAnsi="Garamond" w:cs="Arial"/>
                <w:sz w:val="12"/>
                <w:szCs w:val="12"/>
                <w:lang w:val="sq-AL" w:eastAsia="sq-AL"/>
              </w:rPr>
              <w:t>9.2011.</w:t>
            </w:r>
          </w:p>
        </w:tc>
        <w:tc>
          <w:tcPr>
            <w:tcW w:w="256" w:type="pct"/>
            <w:tcBorders>
              <w:top w:val="nil"/>
              <w:left w:val="nil"/>
              <w:bottom w:val="single" w:sz="4" w:space="0" w:color="auto"/>
              <w:right w:val="single" w:sz="8" w:space="0" w:color="auto"/>
            </w:tcBorders>
            <w:shd w:val="clear" w:color="auto" w:fill="auto"/>
            <w:noWrap/>
            <w:vAlign w:val="center"/>
            <w:hideMark/>
          </w:tcPr>
          <w:p w14:paraId="19AA8246" w14:textId="386CA336" w:rsidR="00B2642F" w:rsidRPr="003867D9" w:rsidRDefault="003867D9"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Tiranë</w:t>
            </w:r>
          </w:p>
        </w:tc>
      </w:tr>
      <w:tr w:rsidR="003867D9" w:rsidRPr="00D85A7F" w14:paraId="19AA825B" w14:textId="648528EE" w:rsidTr="00C54B6E">
        <w:trPr>
          <w:trHeight w:val="20"/>
        </w:trPr>
        <w:tc>
          <w:tcPr>
            <w:tcW w:w="12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9AA8248"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2</w:t>
            </w:r>
          </w:p>
        </w:tc>
        <w:tc>
          <w:tcPr>
            <w:tcW w:w="278" w:type="pct"/>
            <w:tcBorders>
              <w:top w:val="nil"/>
              <w:left w:val="nil"/>
              <w:bottom w:val="single" w:sz="4" w:space="0" w:color="auto"/>
              <w:right w:val="single" w:sz="4" w:space="0" w:color="auto"/>
            </w:tcBorders>
            <w:shd w:val="clear" w:color="auto" w:fill="auto"/>
            <w:vAlign w:val="center"/>
            <w:hideMark/>
          </w:tcPr>
          <w:p w14:paraId="19AA8249"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ADELINA</w:t>
            </w:r>
          </w:p>
        </w:tc>
        <w:tc>
          <w:tcPr>
            <w:tcW w:w="233" w:type="pct"/>
            <w:tcBorders>
              <w:top w:val="nil"/>
              <w:left w:val="nil"/>
              <w:bottom w:val="single" w:sz="4" w:space="0" w:color="auto"/>
              <w:right w:val="single" w:sz="4" w:space="0" w:color="auto"/>
            </w:tcBorders>
            <w:shd w:val="clear" w:color="auto" w:fill="auto"/>
            <w:vAlign w:val="center"/>
            <w:hideMark/>
          </w:tcPr>
          <w:p w14:paraId="19AA824A"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ISA</w:t>
            </w:r>
          </w:p>
        </w:tc>
        <w:tc>
          <w:tcPr>
            <w:tcW w:w="287" w:type="pct"/>
            <w:tcBorders>
              <w:top w:val="nil"/>
              <w:left w:val="nil"/>
              <w:bottom w:val="single" w:sz="4" w:space="0" w:color="auto"/>
              <w:right w:val="single" w:sz="4" w:space="0" w:color="auto"/>
            </w:tcBorders>
            <w:shd w:val="clear" w:color="auto" w:fill="auto"/>
            <w:vAlign w:val="center"/>
            <w:hideMark/>
          </w:tcPr>
          <w:p w14:paraId="19AA824B"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BANA</w:t>
            </w:r>
          </w:p>
        </w:tc>
        <w:tc>
          <w:tcPr>
            <w:tcW w:w="225"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4C"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3292</w:t>
            </w:r>
          </w:p>
        </w:tc>
        <w:tc>
          <w:tcPr>
            <w:tcW w:w="227"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4D"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100/40</w:t>
            </w:r>
          </w:p>
        </w:tc>
        <w:tc>
          <w:tcPr>
            <w:tcW w:w="191"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4E"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210</w:t>
            </w:r>
          </w:p>
        </w:tc>
        <w:tc>
          <w:tcPr>
            <w:tcW w:w="248"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4F"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TRUALL</w:t>
            </w: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0"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210</w:t>
            </w:r>
          </w:p>
        </w:tc>
        <w:tc>
          <w:tcPr>
            <w:tcW w:w="258"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1"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3,413</w:t>
            </w:r>
          </w:p>
        </w:tc>
        <w:tc>
          <w:tcPr>
            <w:tcW w:w="303"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2"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716,730</w:t>
            </w:r>
          </w:p>
        </w:tc>
        <w:tc>
          <w:tcPr>
            <w:tcW w:w="295" w:type="pct"/>
            <w:vMerge w:val="restart"/>
            <w:tcBorders>
              <w:top w:val="nil"/>
              <w:left w:val="single" w:sz="4" w:space="0" w:color="auto"/>
              <w:bottom w:val="single" w:sz="4" w:space="0" w:color="000000"/>
              <w:right w:val="single" w:sz="4" w:space="0" w:color="auto"/>
            </w:tcBorders>
            <w:shd w:val="clear" w:color="auto" w:fill="auto"/>
            <w:vAlign w:val="center"/>
            <w:hideMark/>
          </w:tcPr>
          <w:p w14:paraId="19AA8253"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275" w:type="pct"/>
            <w:vMerge w:val="restart"/>
            <w:tcBorders>
              <w:top w:val="nil"/>
              <w:left w:val="single" w:sz="4" w:space="0" w:color="auto"/>
              <w:bottom w:val="single" w:sz="4" w:space="0" w:color="000000"/>
              <w:right w:val="single" w:sz="4" w:space="0" w:color="auto"/>
            </w:tcBorders>
            <w:shd w:val="clear" w:color="auto" w:fill="auto"/>
            <w:vAlign w:val="center"/>
            <w:hideMark/>
          </w:tcPr>
          <w:p w14:paraId="19AA8254"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174" w:type="pct"/>
            <w:vMerge w:val="restart"/>
            <w:tcBorders>
              <w:top w:val="nil"/>
              <w:left w:val="single" w:sz="4" w:space="0" w:color="auto"/>
              <w:bottom w:val="single" w:sz="4" w:space="0" w:color="000000"/>
              <w:right w:val="single" w:sz="4" w:space="0" w:color="auto"/>
            </w:tcBorders>
            <w:shd w:val="clear" w:color="auto" w:fill="auto"/>
            <w:vAlign w:val="center"/>
            <w:hideMark/>
          </w:tcPr>
          <w:p w14:paraId="19AA8255"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6"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266"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7"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w:t>
            </w:r>
          </w:p>
        </w:tc>
        <w:tc>
          <w:tcPr>
            <w:tcW w:w="252"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8" w14:textId="77777777" w:rsidR="00B2642F" w:rsidRPr="003867D9" w:rsidRDefault="00B2642F"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716,730</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19AA8259" w14:textId="4C07DE95" w:rsidR="00B2642F" w:rsidRPr="003867D9" w:rsidRDefault="003867D9"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 xml:space="preserve">Konfirmuar </w:t>
            </w:r>
            <w:r w:rsidR="00C54B6E" w:rsidRPr="003867D9">
              <w:rPr>
                <w:rFonts w:ascii="Garamond" w:eastAsia="Times New Roman" w:hAnsi="Garamond" w:cs="Arial"/>
                <w:sz w:val="12"/>
                <w:szCs w:val="12"/>
                <w:lang w:val="sq-AL" w:eastAsia="sq-AL"/>
              </w:rPr>
              <w:t xml:space="preserve">nga </w:t>
            </w:r>
            <w:r w:rsidRPr="003867D9">
              <w:rPr>
                <w:rFonts w:ascii="Garamond" w:eastAsia="Times New Roman" w:hAnsi="Garamond" w:cs="Arial"/>
                <w:sz w:val="12"/>
                <w:szCs w:val="12"/>
                <w:lang w:val="sq-AL" w:eastAsia="sq-AL"/>
              </w:rPr>
              <w:t>ASHK</w:t>
            </w:r>
            <w:r>
              <w:rPr>
                <w:rFonts w:ascii="Garamond" w:eastAsia="Times New Roman" w:hAnsi="Garamond" w:cs="Arial"/>
                <w:sz w:val="12"/>
                <w:szCs w:val="12"/>
                <w:lang w:val="sq-AL" w:eastAsia="sq-AL"/>
              </w:rPr>
              <w:t>-ja</w:t>
            </w:r>
            <w:r w:rsidRPr="003867D9">
              <w:rPr>
                <w:rFonts w:ascii="Garamond" w:eastAsia="Times New Roman" w:hAnsi="Garamond" w:cs="Arial"/>
                <w:sz w:val="12"/>
                <w:szCs w:val="12"/>
                <w:lang w:val="sq-AL" w:eastAsia="sq-AL"/>
              </w:rPr>
              <w:t xml:space="preserve"> Tiranë</w:t>
            </w:r>
          </w:p>
        </w:tc>
        <w:tc>
          <w:tcPr>
            <w:tcW w:w="256" w:type="pct"/>
            <w:vMerge w:val="restart"/>
            <w:tcBorders>
              <w:top w:val="nil"/>
              <w:left w:val="single" w:sz="4" w:space="0" w:color="auto"/>
              <w:bottom w:val="single" w:sz="4" w:space="0" w:color="auto"/>
              <w:right w:val="single" w:sz="8" w:space="0" w:color="auto"/>
            </w:tcBorders>
            <w:shd w:val="clear" w:color="auto" w:fill="auto"/>
            <w:noWrap/>
            <w:vAlign w:val="center"/>
            <w:hideMark/>
          </w:tcPr>
          <w:p w14:paraId="19AA825A" w14:textId="1347C8A7" w:rsidR="00B2642F" w:rsidRPr="003867D9" w:rsidRDefault="003867D9" w:rsidP="00B2642F">
            <w:pPr>
              <w:spacing w:after="0" w:line="240" w:lineRule="auto"/>
              <w:jc w:val="center"/>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Tiranë</w:t>
            </w:r>
          </w:p>
        </w:tc>
      </w:tr>
      <w:tr w:rsidR="003867D9" w:rsidRPr="00D85A7F" w14:paraId="19AA826F" w14:textId="020F8B4D" w:rsidTr="00C54B6E">
        <w:trPr>
          <w:trHeight w:val="20"/>
        </w:trPr>
        <w:tc>
          <w:tcPr>
            <w:tcW w:w="126" w:type="pct"/>
            <w:vMerge/>
            <w:tcBorders>
              <w:top w:val="nil"/>
              <w:left w:val="single" w:sz="8" w:space="0" w:color="auto"/>
              <w:bottom w:val="single" w:sz="4" w:space="0" w:color="auto"/>
              <w:right w:val="single" w:sz="4" w:space="0" w:color="auto"/>
            </w:tcBorders>
            <w:vAlign w:val="center"/>
            <w:hideMark/>
          </w:tcPr>
          <w:p w14:paraId="19AA825C"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78" w:type="pct"/>
            <w:tcBorders>
              <w:top w:val="nil"/>
              <w:left w:val="nil"/>
              <w:bottom w:val="single" w:sz="4" w:space="0" w:color="auto"/>
              <w:right w:val="single" w:sz="4" w:space="0" w:color="auto"/>
            </w:tcBorders>
            <w:shd w:val="clear" w:color="auto" w:fill="auto"/>
            <w:vAlign w:val="center"/>
            <w:hideMark/>
          </w:tcPr>
          <w:p w14:paraId="19AA825D"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AVDULLA</w:t>
            </w:r>
          </w:p>
        </w:tc>
        <w:tc>
          <w:tcPr>
            <w:tcW w:w="233" w:type="pct"/>
            <w:tcBorders>
              <w:top w:val="nil"/>
              <w:left w:val="nil"/>
              <w:bottom w:val="single" w:sz="4" w:space="0" w:color="auto"/>
              <w:right w:val="single" w:sz="4" w:space="0" w:color="auto"/>
            </w:tcBorders>
            <w:shd w:val="clear" w:color="auto" w:fill="auto"/>
            <w:vAlign w:val="center"/>
            <w:hideMark/>
          </w:tcPr>
          <w:p w14:paraId="19AA825E"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DURO</w:t>
            </w:r>
          </w:p>
        </w:tc>
        <w:tc>
          <w:tcPr>
            <w:tcW w:w="287" w:type="pct"/>
            <w:tcBorders>
              <w:top w:val="nil"/>
              <w:left w:val="nil"/>
              <w:bottom w:val="single" w:sz="4" w:space="0" w:color="auto"/>
              <w:right w:val="single" w:sz="4" w:space="0" w:color="auto"/>
            </w:tcBorders>
            <w:shd w:val="clear" w:color="auto" w:fill="auto"/>
            <w:vAlign w:val="center"/>
            <w:hideMark/>
          </w:tcPr>
          <w:p w14:paraId="19AA825F" w14:textId="77777777" w:rsidR="00B2642F" w:rsidRPr="003867D9" w:rsidRDefault="00B2642F" w:rsidP="003867D9">
            <w:pPr>
              <w:spacing w:after="0" w:line="240" w:lineRule="auto"/>
              <w:rPr>
                <w:rFonts w:ascii="Garamond" w:eastAsia="Times New Roman" w:hAnsi="Garamond" w:cs="Arial"/>
                <w:sz w:val="12"/>
                <w:szCs w:val="12"/>
                <w:lang w:val="sq-AL" w:eastAsia="sq-AL"/>
              </w:rPr>
            </w:pPr>
            <w:r w:rsidRPr="003867D9">
              <w:rPr>
                <w:rFonts w:ascii="Garamond" w:eastAsia="Times New Roman" w:hAnsi="Garamond" w:cs="Arial"/>
                <w:sz w:val="12"/>
                <w:szCs w:val="12"/>
                <w:lang w:val="sq-AL" w:eastAsia="sq-AL"/>
              </w:rPr>
              <w:t>BANA</w:t>
            </w:r>
          </w:p>
        </w:tc>
        <w:tc>
          <w:tcPr>
            <w:tcW w:w="225" w:type="pct"/>
            <w:vMerge/>
            <w:tcBorders>
              <w:top w:val="nil"/>
              <w:left w:val="single" w:sz="4" w:space="0" w:color="auto"/>
              <w:bottom w:val="single" w:sz="4" w:space="0" w:color="auto"/>
              <w:right w:val="single" w:sz="4" w:space="0" w:color="auto"/>
            </w:tcBorders>
            <w:vAlign w:val="center"/>
            <w:hideMark/>
          </w:tcPr>
          <w:p w14:paraId="19AA8260"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27" w:type="pct"/>
            <w:vMerge/>
            <w:tcBorders>
              <w:top w:val="nil"/>
              <w:left w:val="single" w:sz="4" w:space="0" w:color="auto"/>
              <w:bottom w:val="single" w:sz="4" w:space="0" w:color="auto"/>
              <w:right w:val="single" w:sz="4" w:space="0" w:color="auto"/>
            </w:tcBorders>
            <w:vAlign w:val="center"/>
            <w:hideMark/>
          </w:tcPr>
          <w:p w14:paraId="19AA8261"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191" w:type="pct"/>
            <w:vMerge/>
            <w:tcBorders>
              <w:top w:val="nil"/>
              <w:left w:val="single" w:sz="4" w:space="0" w:color="auto"/>
              <w:bottom w:val="single" w:sz="4" w:space="0" w:color="auto"/>
              <w:right w:val="single" w:sz="4" w:space="0" w:color="auto"/>
            </w:tcBorders>
            <w:vAlign w:val="center"/>
            <w:hideMark/>
          </w:tcPr>
          <w:p w14:paraId="19AA8262"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48" w:type="pct"/>
            <w:vMerge/>
            <w:tcBorders>
              <w:top w:val="nil"/>
              <w:left w:val="single" w:sz="4" w:space="0" w:color="auto"/>
              <w:bottom w:val="single" w:sz="4" w:space="0" w:color="auto"/>
              <w:right w:val="single" w:sz="4" w:space="0" w:color="auto"/>
            </w:tcBorders>
            <w:vAlign w:val="center"/>
            <w:hideMark/>
          </w:tcPr>
          <w:p w14:paraId="19AA8263"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95" w:type="pct"/>
            <w:vMerge/>
            <w:tcBorders>
              <w:top w:val="nil"/>
              <w:left w:val="single" w:sz="4" w:space="0" w:color="auto"/>
              <w:bottom w:val="single" w:sz="4" w:space="0" w:color="auto"/>
              <w:right w:val="single" w:sz="4" w:space="0" w:color="auto"/>
            </w:tcBorders>
            <w:vAlign w:val="center"/>
            <w:hideMark/>
          </w:tcPr>
          <w:p w14:paraId="19AA8264"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8" w:type="pct"/>
            <w:vMerge/>
            <w:tcBorders>
              <w:top w:val="nil"/>
              <w:left w:val="single" w:sz="4" w:space="0" w:color="auto"/>
              <w:bottom w:val="single" w:sz="4" w:space="0" w:color="auto"/>
              <w:right w:val="single" w:sz="4" w:space="0" w:color="auto"/>
            </w:tcBorders>
            <w:vAlign w:val="center"/>
            <w:hideMark/>
          </w:tcPr>
          <w:p w14:paraId="19AA8265"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303" w:type="pct"/>
            <w:vMerge/>
            <w:tcBorders>
              <w:top w:val="nil"/>
              <w:left w:val="single" w:sz="4" w:space="0" w:color="auto"/>
              <w:bottom w:val="single" w:sz="4" w:space="0" w:color="auto"/>
              <w:right w:val="single" w:sz="4" w:space="0" w:color="auto"/>
            </w:tcBorders>
            <w:vAlign w:val="center"/>
            <w:hideMark/>
          </w:tcPr>
          <w:p w14:paraId="19AA8266"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95" w:type="pct"/>
            <w:vMerge/>
            <w:tcBorders>
              <w:top w:val="nil"/>
              <w:left w:val="single" w:sz="4" w:space="0" w:color="auto"/>
              <w:bottom w:val="single" w:sz="4" w:space="0" w:color="000000"/>
              <w:right w:val="single" w:sz="4" w:space="0" w:color="auto"/>
            </w:tcBorders>
            <w:vAlign w:val="center"/>
            <w:hideMark/>
          </w:tcPr>
          <w:p w14:paraId="19AA8267"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75" w:type="pct"/>
            <w:vMerge/>
            <w:tcBorders>
              <w:top w:val="nil"/>
              <w:left w:val="single" w:sz="4" w:space="0" w:color="auto"/>
              <w:bottom w:val="single" w:sz="4" w:space="0" w:color="000000"/>
              <w:right w:val="single" w:sz="4" w:space="0" w:color="auto"/>
            </w:tcBorders>
            <w:vAlign w:val="center"/>
            <w:hideMark/>
          </w:tcPr>
          <w:p w14:paraId="19AA8268"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174" w:type="pct"/>
            <w:vMerge/>
            <w:tcBorders>
              <w:top w:val="nil"/>
              <w:left w:val="single" w:sz="4" w:space="0" w:color="auto"/>
              <w:bottom w:val="single" w:sz="4" w:space="0" w:color="000000"/>
              <w:right w:val="single" w:sz="4" w:space="0" w:color="auto"/>
            </w:tcBorders>
            <w:vAlign w:val="center"/>
            <w:hideMark/>
          </w:tcPr>
          <w:p w14:paraId="19AA8269"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9AA826A"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66" w:type="pct"/>
            <w:vMerge/>
            <w:tcBorders>
              <w:top w:val="nil"/>
              <w:left w:val="single" w:sz="4" w:space="0" w:color="auto"/>
              <w:bottom w:val="single" w:sz="4" w:space="0" w:color="auto"/>
              <w:right w:val="single" w:sz="4" w:space="0" w:color="auto"/>
            </w:tcBorders>
            <w:vAlign w:val="center"/>
            <w:hideMark/>
          </w:tcPr>
          <w:p w14:paraId="19AA826B"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2" w:type="pct"/>
            <w:vMerge/>
            <w:tcBorders>
              <w:top w:val="nil"/>
              <w:left w:val="single" w:sz="4" w:space="0" w:color="auto"/>
              <w:bottom w:val="single" w:sz="4" w:space="0" w:color="auto"/>
              <w:right w:val="single" w:sz="4" w:space="0" w:color="auto"/>
            </w:tcBorders>
            <w:vAlign w:val="center"/>
            <w:hideMark/>
          </w:tcPr>
          <w:p w14:paraId="19AA826C"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510" w:type="pct"/>
            <w:vMerge/>
            <w:tcBorders>
              <w:top w:val="nil"/>
              <w:left w:val="single" w:sz="4" w:space="0" w:color="auto"/>
              <w:bottom w:val="single" w:sz="4" w:space="0" w:color="auto"/>
              <w:right w:val="single" w:sz="4" w:space="0" w:color="auto"/>
            </w:tcBorders>
            <w:vAlign w:val="center"/>
            <w:hideMark/>
          </w:tcPr>
          <w:p w14:paraId="19AA826D"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c>
          <w:tcPr>
            <w:tcW w:w="256" w:type="pct"/>
            <w:vMerge/>
            <w:tcBorders>
              <w:top w:val="nil"/>
              <w:left w:val="single" w:sz="4" w:space="0" w:color="auto"/>
              <w:bottom w:val="single" w:sz="4" w:space="0" w:color="auto"/>
              <w:right w:val="single" w:sz="8" w:space="0" w:color="auto"/>
            </w:tcBorders>
            <w:vAlign w:val="center"/>
            <w:hideMark/>
          </w:tcPr>
          <w:p w14:paraId="19AA826E" w14:textId="77777777" w:rsidR="00B2642F" w:rsidRPr="00D85A7F" w:rsidRDefault="00B2642F" w:rsidP="00B2642F">
            <w:pPr>
              <w:spacing w:after="0" w:line="240" w:lineRule="auto"/>
              <w:rPr>
                <w:rFonts w:ascii="Garamond" w:eastAsia="Times New Roman" w:hAnsi="Garamond" w:cs="Arial"/>
                <w:b/>
                <w:bCs/>
                <w:sz w:val="12"/>
                <w:szCs w:val="12"/>
                <w:lang w:val="sq-AL" w:eastAsia="sq-AL"/>
              </w:rPr>
            </w:pPr>
          </w:p>
        </w:tc>
      </w:tr>
      <w:tr w:rsidR="003867D9" w:rsidRPr="00D85A7F" w14:paraId="19AA8283" w14:textId="3A5C5D0B" w:rsidTr="00C54B6E">
        <w:trPr>
          <w:trHeight w:val="20"/>
        </w:trPr>
        <w:tc>
          <w:tcPr>
            <w:tcW w:w="126" w:type="pct"/>
            <w:tcBorders>
              <w:top w:val="nil"/>
              <w:left w:val="single" w:sz="8" w:space="0" w:color="auto"/>
              <w:bottom w:val="single" w:sz="8" w:space="0" w:color="auto"/>
              <w:right w:val="single" w:sz="4" w:space="0" w:color="auto"/>
            </w:tcBorders>
            <w:shd w:val="clear" w:color="auto" w:fill="auto"/>
            <w:noWrap/>
            <w:vAlign w:val="center"/>
            <w:hideMark/>
          </w:tcPr>
          <w:p w14:paraId="19AA8270"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78" w:type="pct"/>
            <w:tcBorders>
              <w:top w:val="nil"/>
              <w:left w:val="nil"/>
              <w:bottom w:val="single" w:sz="8" w:space="0" w:color="auto"/>
              <w:right w:val="single" w:sz="4" w:space="0" w:color="auto"/>
            </w:tcBorders>
            <w:shd w:val="clear" w:color="auto" w:fill="auto"/>
            <w:noWrap/>
            <w:vAlign w:val="center"/>
            <w:hideMark/>
          </w:tcPr>
          <w:p w14:paraId="19AA8271"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TOTALI</w:t>
            </w:r>
          </w:p>
        </w:tc>
        <w:tc>
          <w:tcPr>
            <w:tcW w:w="233" w:type="pct"/>
            <w:tcBorders>
              <w:top w:val="nil"/>
              <w:left w:val="nil"/>
              <w:bottom w:val="single" w:sz="8" w:space="0" w:color="auto"/>
              <w:right w:val="single" w:sz="4" w:space="0" w:color="auto"/>
            </w:tcBorders>
            <w:shd w:val="clear" w:color="auto" w:fill="auto"/>
            <w:noWrap/>
            <w:vAlign w:val="center"/>
            <w:hideMark/>
          </w:tcPr>
          <w:p w14:paraId="19AA8272"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87" w:type="pct"/>
            <w:tcBorders>
              <w:top w:val="nil"/>
              <w:left w:val="nil"/>
              <w:bottom w:val="single" w:sz="8" w:space="0" w:color="auto"/>
              <w:right w:val="single" w:sz="4" w:space="0" w:color="auto"/>
            </w:tcBorders>
            <w:shd w:val="clear" w:color="auto" w:fill="auto"/>
            <w:noWrap/>
            <w:vAlign w:val="center"/>
            <w:hideMark/>
          </w:tcPr>
          <w:p w14:paraId="19AA8273"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25" w:type="pct"/>
            <w:tcBorders>
              <w:top w:val="nil"/>
              <w:left w:val="nil"/>
              <w:bottom w:val="single" w:sz="8" w:space="0" w:color="auto"/>
              <w:right w:val="single" w:sz="4" w:space="0" w:color="auto"/>
            </w:tcBorders>
            <w:shd w:val="clear" w:color="auto" w:fill="auto"/>
            <w:vAlign w:val="center"/>
            <w:hideMark/>
          </w:tcPr>
          <w:p w14:paraId="19AA8274"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27" w:type="pct"/>
            <w:tcBorders>
              <w:top w:val="nil"/>
              <w:left w:val="nil"/>
              <w:bottom w:val="single" w:sz="8" w:space="0" w:color="auto"/>
              <w:right w:val="single" w:sz="4" w:space="0" w:color="auto"/>
            </w:tcBorders>
            <w:shd w:val="clear" w:color="auto" w:fill="auto"/>
            <w:vAlign w:val="center"/>
            <w:hideMark/>
          </w:tcPr>
          <w:p w14:paraId="19AA8275"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191" w:type="pct"/>
            <w:tcBorders>
              <w:top w:val="nil"/>
              <w:left w:val="nil"/>
              <w:bottom w:val="single" w:sz="8" w:space="0" w:color="auto"/>
              <w:right w:val="single" w:sz="4" w:space="0" w:color="auto"/>
            </w:tcBorders>
            <w:shd w:val="clear" w:color="auto" w:fill="auto"/>
            <w:vAlign w:val="center"/>
            <w:hideMark/>
          </w:tcPr>
          <w:p w14:paraId="19AA8276"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48" w:type="pct"/>
            <w:tcBorders>
              <w:top w:val="nil"/>
              <w:left w:val="nil"/>
              <w:bottom w:val="single" w:sz="8" w:space="0" w:color="auto"/>
              <w:right w:val="single" w:sz="4" w:space="0" w:color="auto"/>
            </w:tcBorders>
            <w:shd w:val="clear" w:color="auto" w:fill="auto"/>
            <w:vAlign w:val="center"/>
            <w:hideMark/>
          </w:tcPr>
          <w:p w14:paraId="19AA8277"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95" w:type="pct"/>
            <w:tcBorders>
              <w:top w:val="nil"/>
              <w:left w:val="nil"/>
              <w:bottom w:val="single" w:sz="8" w:space="0" w:color="auto"/>
              <w:right w:val="single" w:sz="4" w:space="0" w:color="auto"/>
            </w:tcBorders>
            <w:shd w:val="clear" w:color="auto" w:fill="auto"/>
            <w:noWrap/>
            <w:vAlign w:val="bottom"/>
            <w:hideMark/>
          </w:tcPr>
          <w:p w14:paraId="19AA8278"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58" w:type="pct"/>
            <w:tcBorders>
              <w:top w:val="nil"/>
              <w:left w:val="nil"/>
              <w:bottom w:val="single" w:sz="8" w:space="0" w:color="auto"/>
              <w:right w:val="single" w:sz="4" w:space="0" w:color="auto"/>
            </w:tcBorders>
            <w:shd w:val="clear" w:color="auto" w:fill="auto"/>
            <w:noWrap/>
            <w:vAlign w:val="bottom"/>
            <w:hideMark/>
          </w:tcPr>
          <w:p w14:paraId="19AA8279"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303" w:type="pct"/>
            <w:tcBorders>
              <w:top w:val="nil"/>
              <w:left w:val="nil"/>
              <w:bottom w:val="single" w:sz="8" w:space="0" w:color="auto"/>
              <w:right w:val="single" w:sz="4" w:space="0" w:color="auto"/>
            </w:tcBorders>
            <w:shd w:val="clear" w:color="auto" w:fill="auto"/>
            <w:vAlign w:val="center"/>
            <w:hideMark/>
          </w:tcPr>
          <w:p w14:paraId="19AA827A"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737,208</w:t>
            </w:r>
          </w:p>
        </w:tc>
        <w:tc>
          <w:tcPr>
            <w:tcW w:w="295" w:type="pct"/>
            <w:tcBorders>
              <w:top w:val="nil"/>
              <w:left w:val="nil"/>
              <w:bottom w:val="single" w:sz="8" w:space="0" w:color="auto"/>
              <w:right w:val="single" w:sz="4" w:space="0" w:color="auto"/>
            </w:tcBorders>
            <w:shd w:val="clear" w:color="auto" w:fill="auto"/>
            <w:vAlign w:val="center"/>
            <w:hideMark/>
          </w:tcPr>
          <w:p w14:paraId="19AA827B"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75" w:type="pct"/>
            <w:tcBorders>
              <w:top w:val="nil"/>
              <w:left w:val="nil"/>
              <w:bottom w:val="single" w:sz="8" w:space="0" w:color="auto"/>
              <w:right w:val="single" w:sz="4" w:space="0" w:color="auto"/>
            </w:tcBorders>
            <w:shd w:val="clear" w:color="auto" w:fill="auto"/>
            <w:vAlign w:val="center"/>
            <w:hideMark/>
          </w:tcPr>
          <w:p w14:paraId="19AA827C"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174" w:type="pct"/>
            <w:tcBorders>
              <w:top w:val="nil"/>
              <w:left w:val="nil"/>
              <w:bottom w:val="single" w:sz="8" w:space="0" w:color="auto"/>
              <w:right w:val="single" w:sz="4" w:space="0" w:color="auto"/>
            </w:tcBorders>
            <w:shd w:val="clear" w:color="auto" w:fill="auto"/>
            <w:noWrap/>
            <w:vAlign w:val="center"/>
            <w:hideMark/>
          </w:tcPr>
          <w:p w14:paraId="19AA827D"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300" w:type="pct"/>
            <w:tcBorders>
              <w:top w:val="nil"/>
              <w:left w:val="nil"/>
              <w:bottom w:val="single" w:sz="8" w:space="0" w:color="auto"/>
              <w:right w:val="single" w:sz="4" w:space="0" w:color="auto"/>
            </w:tcBorders>
            <w:shd w:val="clear" w:color="auto" w:fill="auto"/>
            <w:vAlign w:val="center"/>
            <w:hideMark/>
          </w:tcPr>
          <w:p w14:paraId="19AA827E"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66" w:type="pct"/>
            <w:tcBorders>
              <w:top w:val="nil"/>
              <w:left w:val="nil"/>
              <w:bottom w:val="single" w:sz="8" w:space="0" w:color="auto"/>
              <w:right w:val="single" w:sz="4" w:space="0" w:color="auto"/>
            </w:tcBorders>
            <w:shd w:val="clear" w:color="auto" w:fill="auto"/>
            <w:vAlign w:val="center"/>
            <w:hideMark/>
          </w:tcPr>
          <w:p w14:paraId="19AA827F"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326,719</w:t>
            </w:r>
          </w:p>
        </w:tc>
        <w:tc>
          <w:tcPr>
            <w:tcW w:w="252" w:type="pct"/>
            <w:tcBorders>
              <w:top w:val="nil"/>
              <w:left w:val="nil"/>
              <w:bottom w:val="single" w:sz="8" w:space="0" w:color="auto"/>
              <w:right w:val="single" w:sz="4" w:space="0" w:color="auto"/>
            </w:tcBorders>
            <w:shd w:val="clear" w:color="auto" w:fill="auto"/>
            <w:vAlign w:val="center"/>
            <w:hideMark/>
          </w:tcPr>
          <w:p w14:paraId="19AA8280"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1,063,927</w:t>
            </w:r>
          </w:p>
        </w:tc>
        <w:tc>
          <w:tcPr>
            <w:tcW w:w="510" w:type="pct"/>
            <w:tcBorders>
              <w:top w:val="nil"/>
              <w:left w:val="nil"/>
              <w:bottom w:val="single" w:sz="8" w:space="0" w:color="auto"/>
              <w:right w:val="single" w:sz="4" w:space="0" w:color="auto"/>
            </w:tcBorders>
            <w:shd w:val="clear" w:color="auto" w:fill="auto"/>
            <w:noWrap/>
            <w:vAlign w:val="center"/>
            <w:hideMark/>
          </w:tcPr>
          <w:p w14:paraId="19AA8281"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c>
          <w:tcPr>
            <w:tcW w:w="256" w:type="pct"/>
            <w:tcBorders>
              <w:top w:val="nil"/>
              <w:left w:val="nil"/>
              <w:bottom w:val="single" w:sz="8" w:space="0" w:color="auto"/>
              <w:right w:val="single" w:sz="8" w:space="0" w:color="auto"/>
            </w:tcBorders>
            <w:shd w:val="clear" w:color="auto" w:fill="auto"/>
            <w:noWrap/>
            <w:vAlign w:val="center"/>
            <w:hideMark/>
          </w:tcPr>
          <w:p w14:paraId="19AA8282" w14:textId="77777777" w:rsidR="00B2642F" w:rsidRPr="00D85A7F" w:rsidRDefault="00B2642F" w:rsidP="00B2642F">
            <w:pPr>
              <w:spacing w:after="0" w:line="240" w:lineRule="auto"/>
              <w:jc w:val="center"/>
              <w:rPr>
                <w:rFonts w:ascii="Garamond" w:eastAsia="Times New Roman" w:hAnsi="Garamond" w:cs="Arial"/>
                <w:b/>
                <w:bCs/>
                <w:sz w:val="12"/>
                <w:szCs w:val="12"/>
                <w:lang w:val="sq-AL" w:eastAsia="sq-AL"/>
              </w:rPr>
            </w:pPr>
            <w:r w:rsidRPr="00D85A7F">
              <w:rPr>
                <w:rFonts w:ascii="Garamond" w:eastAsia="Times New Roman" w:hAnsi="Garamond" w:cs="Arial"/>
                <w:b/>
                <w:bCs/>
                <w:sz w:val="12"/>
                <w:szCs w:val="12"/>
                <w:lang w:val="sq-AL" w:eastAsia="sq-AL"/>
              </w:rPr>
              <w:t> </w:t>
            </w:r>
          </w:p>
        </w:tc>
      </w:tr>
    </w:tbl>
    <w:p w14:paraId="19AA8284" w14:textId="77777777" w:rsidR="007367E4" w:rsidRPr="00D85A7F" w:rsidRDefault="007367E4" w:rsidP="007367E4">
      <w:pPr>
        <w:autoSpaceDE w:val="0"/>
        <w:autoSpaceDN w:val="0"/>
        <w:adjustRightInd w:val="0"/>
        <w:spacing w:after="0" w:line="240" w:lineRule="auto"/>
        <w:ind w:firstLine="284"/>
        <w:jc w:val="center"/>
        <w:rPr>
          <w:rFonts w:ascii="Garamond" w:hAnsi="Garamond"/>
          <w:sz w:val="24"/>
          <w:szCs w:val="24"/>
          <w:lang w:val="sq-AL"/>
        </w:rPr>
      </w:pPr>
    </w:p>
    <w:sectPr w:rsidR="007367E4" w:rsidRPr="00D85A7F" w:rsidSect="007367E4">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2E86E" w14:textId="77777777" w:rsidR="00F0334B" w:rsidRDefault="00F0334B" w:rsidP="00DC20DC">
      <w:pPr>
        <w:spacing w:after="0" w:line="240" w:lineRule="auto"/>
      </w:pPr>
      <w:r>
        <w:separator/>
      </w:r>
    </w:p>
  </w:endnote>
  <w:endnote w:type="continuationSeparator" w:id="0">
    <w:p w14:paraId="5F8D9968" w14:textId="77777777" w:rsidR="00F0334B" w:rsidRDefault="00F0334B" w:rsidP="00DC20DC">
      <w:pPr>
        <w:spacing w:after="0" w:line="240" w:lineRule="auto"/>
      </w:pPr>
      <w:r>
        <w:continuationSeparator/>
      </w:r>
    </w:p>
  </w:endnote>
  <w:endnote w:type="continuationNotice" w:id="1">
    <w:p w14:paraId="6798D0F4" w14:textId="77777777" w:rsidR="00F0334B" w:rsidRDefault="00F033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ABF92" w14:textId="77777777" w:rsidR="00F0334B" w:rsidRDefault="00F0334B" w:rsidP="00DC20DC">
      <w:pPr>
        <w:spacing w:after="0" w:line="240" w:lineRule="auto"/>
      </w:pPr>
      <w:r>
        <w:separator/>
      </w:r>
    </w:p>
  </w:footnote>
  <w:footnote w:type="continuationSeparator" w:id="0">
    <w:p w14:paraId="22D314B0" w14:textId="77777777" w:rsidR="00F0334B" w:rsidRDefault="00F0334B" w:rsidP="00DC20DC">
      <w:pPr>
        <w:spacing w:after="0" w:line="240" w:lineRule="auto"/>
      </w:pPr>
      <w:r>
        <w:continuationSeparator/>
      </w:r>
    </w:p>
  </w:footnote>
  <w:footnote w:type="continuationNotice" w:id="1">
    <w:p w14:paraId="61B5CB9D" w14:textId="77777777" w:rsidR="00F0334B" w:rsidRDefault="00F0334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B7BF3"/>
    <w:multiLevelType w:val="hybridMultilevel"/>
    <w:tmpl w:val="89B0CDC4"/>
    <w:lvl w:ilvl="0" w:tplc="3A5ADE1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A0282"/>
    <w:multiLevelType w:val="hybridMultilevel"/>
    <w:tmpl w:val="CAF4A77E"/>
    <w:lvl w:ilvl="0" w:tplc="9544D550">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196C7A"/>
    <w:multiLevelType w:val="hybridMultilevel"/>
    <w:tmpl w:val="9808E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6E1476"/>
    <w:multiLevelType w:val="multilevel"/>
    <w:tmpl w:val="B1F23152"/>
    <w:lvl w:ilvl="0">
      <w:start w:val="1"/>
      <w:numFmt w:val="decimal"/>
      <w:lvlText w:val="%1."/>
      <w:lvlJc w:val="left"/>
      <w:pPr>
        <w:ind w:left="360" w:hanging="360"/>
      </w:pPr>
      <w:rPr>
        <w:rFonts w:ascii="Times New Roman" w:hAnsi="Times New Roman" w:cs="Times New Roman" w:hint="default"/>
        <w:sz w:val="28"/>
      </w:rPr>
    </w:lvl>
    <w:lvl w:ilvl="1">
      <w:start w:val="1"/>
      <w:numFmt w:val="decimal"/>
      <w:isLgl/>
      <w:lvlText w:val="%1.%2"/>
      <w:lvlJc w:val="left"/>
      <w:pPr>
        <w:ind w:left="90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4">
    <w:nsid w:val="24F8722A"/>
    <w:multiLevelType w:val="hybridMultilevel"/>
    <w:tmpl w:val="EAA8D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1427B5"/>
    <w:multiLevelType w:val="hybridMultilevel"/>
    <w:tmpl w:val="01C89DCE"/>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2C625FE5"/>
    <w:multiLevelType w:val="hybridMultilevel"/>
    <w:tmpl w:val="3A681B0A"/>
    <w:lvl w:ilvl="0" w:tplc="6490475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27C7C28"/>
    <w:multiLevelType w:val="hybridMultilevel"/>
    <w:tmpl w:val="7236DD02"/>
    <w:lvl w:ilvl="0" w:tplc="F7A2B8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9B4F2F"/>
    <w:multiLevelType w:val="hybridMultilevel"/>
    <w:tmpl w:val="F9F4BD5C"/>
    <w:lvl w:ilvl="0" w:tplc="6FCA319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4B53EAE"/>
    <w:multiLevelType w:val="hybridMultilevel"/>
    <w:tmpl w:val="5CB4D43E"/>
    <w:lvl w:ilvl="0" w:tplc="C01A30C4">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B03A25"/>
    <w:multiLevelType w:val="hybridMultilevel"/>
    <w:tmpl w:val="CFE63EF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A0F1EE5"/>
    <w:multiLevelType w:val="hybridMultilevel"/>
    <w:tmpl w:val="30E65296"/>
    <w:lvl w:ilvl="0" w:tplc="3C3E65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8C106B"/>
    <w:multiLevelType w:val="hybridMultilevel"/>
    <w:tmpl w:val="21FAD26A"/>
    <w:lvl w:ilvl="0" w:tplc="7CB0D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2E235F0"/>
    <w:multiLevelType w:val="hybridMultilevel"/>
    <w:tmpl w:val="38C0AC4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2F1FEB"/>
    <w:multiLevelType w:val="hybridMultilevel"/>
    <w:tmpl w:val="5B820B30"/>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559276B"/>
    <w:multiLevelType w:val="hybridMultilevel"/>
    <w:tmpl w:val="FBF6C420"/>
    <w:lvl w:ilvl="0" w:tplc="7F7AD7E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C83CDB"/>
    <w:multiLevelType w:val="hybridMultilevel"/>
    <w:tmpl w:val="B11E4C90"/>
    <w:lvl w:ilvl="0" w:tplc="B8A28D3A">
      <w:start w:val="1"/>
      <w:numFmt w:val="decimal"/>
      <w:lvlText w:val="%1."/>
      <w:lvlJc w:val="left"/>
      <w:pPr>
        <w:ind w:left="360" w:hanging="360"/>
      </w:pPr>
      <w:rPr>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BB77CD4"/>
    <w:multiLevelType w:val="hybridMultilevel"/>
    <w:tmpl w:val="6D664D40"/>
    <w:lvl w:ilvl="0" w:tplc="94DE8B5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D131465"/>
    <w:multiLevelType w:val="hybridMultilevel"/>
    <w:tmpl w:val="2B0A7D68"/>
    <w:lvl w:ilvl="0" w:tplc="68B0B66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14"/>
  </w:num>
  <w:num w:numId="3">
    <w:abstractNumId w:val="17"/>
  </w:num>
  <w:num w:numId="4">
    <w:abstractNumId w:val="0"/>
  </w:num>
  <w:num w:numId="5">
    <w:abstractNumId w:val="15"/>
  </w:num>
  <w:num w:numId="6">
    <w:abstractNumId w:val="12"/>
  </w:num>
  <w:num w:numId="7">
    <w:abstractNumId w:val="7"/>
  </w:num>
  <w:num w:numId="8">
    <w:abstractNumId w:val="6"/>
  </w:num>
  <w:num w:numId="9">
    <w:abstractNumId w:val="9"/>
  </w:num>
  <w:num w:numId="10">
    <w:abstractNumId w:val="8"/>
  </w:num>
  <w:num w:numId="11">
    <w:abstractNumId w:val="3"/>
  </w:num>
  <w:num w:numId="12">
    <w:abstractNumId w:val="10"/>
  </w:num>
  <w:num w:numId="13">
    <w:abstractNumId w:val="13"/>
  </w:num>
  <w:num w:numId="14">
    <w:abstractNumId w:val="2"/>
  </w:num>
  <w:num w:numId="15">
    <w:abstractNumId w:val="4"/>
  </w:num>
  <w:num w:numId="16">
    <w:abstractNumId w:val="1"/>
  </w:num>
  <w:num w:numId="17">
    <w:abstractNumId w:val="11"/>
  </w:num>
  <w:num w:numId="18">
    <w:abstractNumId w:val="1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08A"/>
    <w:rsid w:val="000218C3"/>
    <w:rsid w:val="00047FEF"/>
    <w:rsid w:val="00051F1B"/>
    <w:rsid w:val="00065561"/>
    <w:rsid w:val="000712A7"/>
    <w:rsid w:val="00087AC7"/>
    <w:rsid w:val="00091DD3"/>
    <w:rsid w:val="00096498"/>
    <w:rsid w:val="000A4B0F"/>
    <w:rsid w:val="000A6CAF"/>
    <w:rsid w:val="000B7BE2"/>
    <w:rsid w:val="000D2256"/>
    <w:rsid w:val="00105B0D"/>
    <w:rsid w:val="00114225"/>
    <w:rsid w:val="00175410"/>
    <w:rsid w:val="00175BE2"/>
    <w:rsid w:val="00182616"/>
    <w:rsid w:val="00221851"/>
    <w:rsid w:val="00240230"/>
    <w:rsid w:val="00240807"/>
    <w:rsid w:val="00250317"/>
    <w:rsid w:val="002549F2"/>
    <w:rsid w:val="00270619"/>
    <w:rsid w:val="00274DBE"/>
    <w:rsid w:val="00277520"/>
    <w:rsid w:val="002A1DCB"/>
    <w:rsid w:val="002B5F67"/>
    <w:rsid w:val="002C0F40"/>
    <w:rsid w:val="002C4A6A"/>
    <w:rsid w:val="002E396C"/>
    <w:rsid w:val="002F41C5"/>
    <w:rsid w:val="00307401"/>
    <w:rsid w:val="00313259"/>
    <w:rsid w:val="00346D17"/>
    <w:rsid w:val="00364B25"/>
    <w:rsid w:val="00367B93"/>
    <w:rsid w:val="003723C5"/>
    <w:rsid w:val="00383162"/>
    <w:rsid w:val="003867D9"/>
    <w:rsid w:val="003931B3"/>
    <w:rsid w:val="00394172"/>
    <w:rsid w:val="003A0AC2"/>
    <w:rsid w:val="003A2502"/>
    <w:rsid w:val="003C2E80"/>
    <w:rsid w:val="003F6AF3"/>
    <w:rsid w:val="0043288A"/>
    <w:rsid w:val="0043689E"/>
    <w:rsid w:val="00445956"/>
    <w:rsid w:val="004814FF"/>
    <w:rsid w:val="00495C3A"/>
    <w:rsid w:val="004A39DC"/>
    <w:rsid w:val="004B1ECD"/>
    <w:rsid w:val="004F5075"/>
    <w:rsid w:val="00500C76"/>
    <w:rsid w:val="0056269A"/>
    <w:rsid w:val="005666FF"/>
    <w:rsid w:val="0057792F"/>
    <w:rsid w:val="005A3682"/>
    <w:rsid w:val="005B2DB6"/>
    <w:rsid w:val="005B2F60"/>
    <w:rsid w:val="005C7329"/>
    <w:rsid w:val="005E0F2D"/>
    <w:rsid w:val="005E56A8"/>
    <w:rsid w:val="005F30DE"/>
    <w:rsid w:val="005F4047"/>
    <w:rsid w:val="006310A9"/>
    <w:rsid w:val="006507CF"/>
    <w:rsid w:val="006576F7"/>
    <w:rsid w:val="00676DB2"/>
    <w:rsid w:val="006A001B"/>
    <w:rsid w:val="006B4D3E"/>
    <w:rsid w:val="006C4038"/>
    <w:rsid w:val="006D031C"/>
    <w:rsid w:val="00704F67"/>
    <w:rsid w:val="00711A25"/>
    <w:rsid w:val="00714AA0"/>
    <w:rsid w:val="007367E4"/>
    <w:rsid w:val="0074157B"/>
    <w:rsid w:val="0074508A"/>
    <w:rsid w:val="00764791"/>
    <w:rsid w:val="0076701E"/>
    <w:rsid w:val="007712E1"/>
    <w:rsid w:val="007807E3"/>
    <w:rsid w:val="007931CF"/>
    <w:rsid w:val="007A643F"/>
    <w:rsid w:val="007B036D"/>
    <w:rsid w:val="007B5F22"/>
    <w:rsid w:val="007C5E31"/>
    <w:rsid w:val="007D0F2B"/>
    <w:rsid w:val="007E66E2"/>
    <w:rsid w:val="007E68E6"/>
    <w:rsid w:val="00817F2D"/>
    <w:rsid w:val="008435CE"/>
    <w:rsid w:val="00846238"/>
    <w:rsid w:val="008706A9"/>
    <w:rsid w:val="008813DE"/>
    <w:rsid w:val="008A440A"/>
    <w:rsid w:val="008E038F"/>
    <w:rsid w:val="00904633"/>
    <w:rsid w:val="009268F2"/>
    <w:rsid w:val="0093109C"/>
    <w:rsid w:val="00932D76"/>
    <w:rsid w:val="00935466"/>
    <w:rsid w:val="009364D4"/>
    <w:rsid w:val="00940632"/>
    <w:rsid w:val="00940877"/>
    <w:rsid w:val="0095742B"/>
    <w:rsid w:val="009B053F"/>
    <w:rsid w:val="009B20B1"/>
    <w:rsid w:val="009B3EFC"/>
    <w:rsid w:val="009C1215"/>
    <w:rsid w:val="00A01C61"/>
    <w:rsid w:val="00A04325"/>
    <w:rsid w:val="00A15E6A"/>
    <w:rsid w:val="00A21BBE"/>
    <w:rsid w:val="00A35575"/>
    <w:rsid w:val="00A36D95"/>
    <w:rsid w:val="00A41008"/>
    <w:rsid w:val="00A536C9"/>
    <w:rsid w:val="00A645D6"/>
    <w:rsid w:val="00A87F37"/>
    <w:rsid w:val="00A95C86"/>
    <w:rsid w:val="00AA6BA1"/>
    <w:rsid w:val="00AB741E"/>
    <w:rsid w:val="00AD725A"/>
    <w:rsid w:val="00AE5BE3"/>
    <w:rsid w:val="00AE6FFF"/>
    <w:rsid w:val="00B20FD5"/>
    <w:rsid w:val="00B2642F"/>
    <w:rsid w:val="00B26F82"/>
    <w:rsid w:val="00B43589"/>
    <w:rsid w:val="00B50611"/>
    <w:rsid w:val="00B50DBD"/>
    <w:rsid w:val="00B55C7E"/>
    <w:rsid w:val="00B72C3A"/>
    <w:rsid w:val="00B92607"/>
    <w:rsid w:val="00B96D86"/>
    <w:rsid w:val="00BA466D"/>
    <w:rsid w:val="00BD04AB"/>
    <w:rsid w:val="00BE13C1"/>
    <w:rsid w:val="00BF059A"/>
    <w:rsid w:val="00C0795F"/>
    <w:rsid w:val="00C13574"/>
    <w:rsid w:val="00C33942"/>
    <w:rsid w:val="00C54B6E"/>
    <w:rsid w:val="00C8273F"/>
    <w:rsid w:val="00CB3EA1"/>
    <w:rsid w:val="00CD1915"/>
    <w:rsid w:val="00CE2AB0"/>
    <w:rsid w:val="00D1074B"/>
    <w:rsid w:val="00D12493"/>
    <w:rsid w:val="00D13D9F"/>
    <w:rsid w:val="00D36C9E"/>
    <w:rsid w:val="00D47094"/>
    <w:rsid w:val="00D52491"/>
    <w:rsid w:val="00D85A7F"/>
    <w:rsid w:val="00DA7659"/>
    <w:rsid w:val="00DC20DC"/>
    <w:rsid w:val="00DD4411"/>
    <w:rsid w:val="00DD57CA"/>
    <w:rsid w:val="00DF07E6"/>
    <w:rsid w:val="00DF3966"/>
    <w:rsid w:val="00DF45FF"/>
    <w:rsid w:val="00E621A7"/>
    <w:rsid w:val="00E702D2"/>
    <w:rsid w:val="00E7754C"/>
    <w:rsid w:val="00E8163E"/>
    <w:rsid w:val="00E874C8"/>
    <w:rsid w:val="00EF315A"/>
    <w:rsid w:val="00F0051A"/>
    <w:rsid w:val="00F0334B"/>
    <w:rsid w:val="00F214F1"/>
    <w:rsid w:val="00F35C81"/>
    <w:rsid w:val="00F416E6"/>
    <w:rsid w:val="00F51409"/>
    <w:rsid w:val="00F56504"/>
    <w:rsid w:val="00F67010"/>
    <w:rsid w:val="00F74CE8"/>
    <w:rsid w:val="00FA400F"/>
    <w:rsid w:val="00FB53D9"/>
    <w:rsid w:val="00FB65EE"/>
    <w:rsid w:val="00FC2A6C"/>
    <w:rsid w:val="00FC4F71"/>
    <w:rsid w:val="00FC72D7"/>
    <w:rsid w:val="00FD697C"/>
    <w:rsid w:val="00FE090B"/>
    <w:rsid w:val="00FF55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81D3"/>
  <w15:docId w15:val="{1F65F272-072B-428A-9ED8-132DA1D0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0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08A"/>
    <w:pPr>
      <w:ind w:left="720"/>
      <w:contextualSpacing/>
    </w:pPr>
  </w:style>
  <w:style w:type="paragraph" w:styleId="BalloonText">
    <w:name w:val="Balloon Text"/>
    <w:basedOn w:val="Normal"/>
    <w:link w:val="BalloonTextChar"/>
    <w:uiPriority w:val="99"/>
    <w:semiHidden/>
    <w:unhideWhenUsed/>
    <w:rsid w:val="00182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616"/>
    <w:rPr>
      <w:rFonts w:ascii="Segoe UI" w:hAnsi="Segoe UI" w:cs="Segoe UI"/>
      <w:sz w:val="18"/>
      <w:szCs w:val="18"/>
    </w:rPr>
  </w:style>
  <w:style w:type="paragraph" w:customStyle="1" w:styleId="Paragrafi">
    <w:name w:val="Paragrafi"/>
    <w:rsid w:val="00182616"/>
    <w:pPr>
      <w:widowControl w:val="0"/>
      <w:spacing w:after="0" w:line="240" w:lineRule="auto"/>
      <w:ind w:firstLine="720"/>
      <w:jc w:val="both"/>
    </w:pPr>
    <w:rPr>
      <w:rFonts w:ascii="CG Times" w:eastAsia="Times New Roman" w:hAnsi="CG Times" w:cs="Times New Roman"/>
      <w:szCs w:val="20"/>
    </w:rPr>
  </w:style>
  <w:style w:type="paragraph" w:styleId="NoSpacing">
    <w:name w:val="No Spacing"/>
    <w:uiPriority w:val="1"/>
    <w:qFormat/>
    <w:rsid w:val="009364D4"/>
    <w:pPr>
      <w:spacing w:after="0" w:line="240" w:lineRule="auto"/>
    </w:pPr>
  </w:style>
  <w:style w:type="character" w:customStyle="1" w:styleId="markedcontent">
    <w:name w:val="markedcontent"/>
    <w:basedOn w:val="DefaultParagraphFont"/>
    <w:rsid w:val="00A35575"/>
  </w:style>
  <w:style w:type="paragraph" w:styleId="NormalWeb">
    <w:name w:val="Normal (Web)"/>
    <w:basedOn w:val="Normal"/>
    <w:uiPriority w:val="99"/>
    <w:unhideWhenUsed/>
    <w:rsid w:val="00E874C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2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0DC"/>
  </w:style>
  <w:style w:type="paragraph" w:styleId="Footer">
    <w:name w:val="footer"/>
    <w:basedOn w:val="Normal"/>
    <w:link w:val="FooterChar"/>
    <w:uiPriority w:val="99"/>
    <w:unhideWhenUsed/>
    <w:rsid w:val="00DC2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887702">
      <w:bodyDiv w:val="1"/>
      <w:marLeft w:val="0"/>
      <w:marRight w:val="0"/>
      <w:marTop w:val="0"/>
      <w:marBottom w:val="0"/>
      <w:divBdr>
        <w:top w:val="none" w:sz="0" w:space="0" w:color="auto"/>
        <w:left w:val="none" w:sz="0" w:space="0" w:color="auto"/>
        <w:bottom w:val="none" w:sz="0" w:space="0" w:color="auto"/>
        <w:right w:val="none" w:sz="0" w:space="0" w:color="auto"/>
      </w:divBdr>
      <w:divsChild>
        <w:div w:id="534730077">
          <w:marLeft w:val="0"/>
          <w:marRight w:val="0"/>
          <w:marTop w:val="0"/>
          <w:marBottom w:val="0"/>
          <w:divBdr>
            <w:top w:val="none" w:sz="0" w:space="0" w:color="auto"/>
            <w:left w:val="none" w:sz="0" w:space="0" w:color="auto"/>
            <w:bottom w:val="none" w:sz="0" w:space="0" w:color="auto"/>
            <w:right w:val="none" w:sz="0" w:space="0" w:color="auto"/>
          </w:divBdr>
        </w:div>
        <w:div w:id="1764717639">
          <w:marLeft w:val="0"/>
          <w:marRight w:val="0"/>
          <w:marTop w:val="0"/>
          <w:marBottom w:val="0"/>
          <w:divBdr>
            <w:top w:val="none" w:sz="0" w:space="0" w:color="auto"/>
            <w:left w:val="none" w:sz="0" w:space="0" w:color="auto"/>
            <w:bottom w:val="none" w:sz="0" w:space="0" w:color="auto"/>
            <w:right w:val="none" w:sz="0" w:space="0" w:color="auto"/>
          </w:divBdr>
        </w:div>
        <w:div w:id="49614402">
          <w:marLeft w:val="0"/>
          <w:marRight w:val="0"/>
          <w:marTop w:val="0"/>
          <w:marBottom w:val="0"/>
          <w:divBdr>
            <w:top w:val="none" w:sz="0" w:space="0" w:color="auto"/>
            <w:left w:val="none" w:sz="0" w:space="0" w:color="auto"/>
            <w:bottom w:val="none" w:sz="0" w:space="0" w:color="auto"/>
            <w:right w:val="none" w:sz="0" w:space="0" w:color="auto"/>
          </w:divBdr>
        </w:div>
        <w:div w:id="340737230">
          <w:marLeft w:val="0"/>
          <w:marRight w:val="0"/>
          <w:marTop w:val="0"/>
          <w:marBottom w:val="0"/>
          <w:divBdr>
            <w:top w:val="none" w:sz="0" w:space="0" w:color="auto"/>
            <w:left w:val="none" w:sz="0" w:space="0" w:color="auto"/>
            <w:bottom w:val="none" w:sz="0" w:space="0" w:color="auto"/>
            <w:right w:val="none" w:sz="0" w:space="0" w:color="auto"/>
          </w:divBdr>
        </w:div>
      </w:divsChild>
    </w:div>
    <w:div w:id="1582374758">
      <w:bodyDiv w:val="1"/>
      <w:marLeft w:val="0"/>
      <w:marRight w:val="0"/>
      <w:marTop w:val="0"/>
      <w:marBottom w:val="0"/>
      <w:divBdr>
        <w:top w:val="none" w:sz="0" w:space="0" w:color="auto"/>
        <w:left w:val="none" w:sz="0" w:space="0" w:color="auto"/>
        <w:bottom w:val="none" w:sz="0" w:space="0" w:color="auto"/>
        <w:right w:val="none" w:sz="0" w:space="0" w:color="auto"/>
      </w:divBdr>
      <w:divsChild>
        <w:div w:id="190069600">
          <w:marLeft w:val="0"/>
          <w:marRight w:val="0"/>
          <w:marTop w:val="0"/>
          <w:marBottom w:val="0"/>
          <w:divBdr>
            <w:top w:val="none" w:sz="0" w:space="0" w:color="auto"/>
            <w:left w:val="none" w:sz="0" w:space="0" w:color="auto"/>
            <w:bottom w:val="none" w:sz="0" w:space="0" w:color="auto"/>
            <w:right w:val="none" w:sz="0" w:space="0" w:color="auto"/>
          </w:divBdr>
        </w:div>
        <w:div w:id="2101372189">
          <w:marLeft w:val="0"/>
          <w:marRight w:val="0"/>
          <w:marTop w:val="0"/>
          <w:marBottom w:val="0"/>
          <w:divBdr>
            <w:top w:val="none" w:sz="0" w:space="0" w:color="auto"/>
            <w:left w:val="none" w:sz="0" w:space="0" w:color="auto"/>
            <w:bottom w:val="none" w:sz="0" w:space="0" w:color="auto"/>
            <w:right w:val="none" w:sz="0" w:space="0" w:color="auto"/>
          </w:divBdr>
        </w:div>
        <w:div w:id="843863867">
          <w:marLeft w:val="0"/>
          <w:marRight w:val="0"/>
          <w:marTop w:val="0"/>
          <w:marBottom w:val="0"/>
          <w:divBdr>
            <w:top w:val="none" w:sz="0" w:space="0" w:color="auto"/>
            <w:left w:val="none" w:sz="0" w:space="0" w:color="auto"/>
            <w:bottom w:val="none" w:sz="0" w:space="0" w:color="auto"/>
            <w:right w:val="none" w:sz="0" w:space="0" w:color="auto"/>
          </w:divBdr>
        </w:div>
        <w:div w:id="80805917">
          <w:marLeft w:val="0"/>
          <w:marRight w:val="0"/>
          <w:marTop w:val="0"/>
          <w:marBottom w:val="0"/>
          <w:divBdr>
            <w:top w:val="none" w:sz="0" w:space="0" w:color="auto"/>
            <w:left w:val="none" w:sz="0" w:space="0" w:color="auto"/>
            <w:bottom w:val="none" w:sz="0" w:space="0" w:color="auto"/>
            <w:right w:val="none" w:sz="0" w:space="0" w:color="auto"/>
          </w:divBdr>
        </w:div>
      </w:divsChild>
    </w:div>
    <w:div w:id="1654331385">
      <w:bodyDiv w:val="1"/>
      <w:marLeft w:val="0"/>
      <w:marRight w:val="0"/>
      <w:marTop w:val="0"/>
      <w:marBottom w:val="0"/>
      <w:divBdr>
        <w:top w:val="none" w:sz="0" w:space="0" w:color="auto"/>
        <w:left w:val="none" w:sz="0" w:space="0" w:color="auto"/>
        <w:bottom w:val="none" w:sz="0" w:space="0" w:color="auto"/>
        <w:right w:val="none" w:sz="0" w:space="0" w:color="auto"/>
      </w:divBdr>
    </w:div>
    <w:div w:id="189446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2023-01-19T11:53:24Z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2023-01-18T23:00:00Z</Date_x0020_protokolli>
    <Titulli xmlns="0e656187-b300-4fb0-8bf4-3a50f872073c">Për disa ndryshime dhe shtesa në vendimin nr. 122, datë 5.3.2014, të Këshillit të Ministrave, "Për shpronësimin, për interes publik, të pronarëve të pasurive të paluajtshme, pronë private që preken nga ndërtimi i segmentit rrugor "Unaza e Madhe e Tiranës (Komuna e Parisit-Rruga e Kavajës)", të ndryshuar"</Titulli>
    <Modifikuesi xmlns="0e656187-b300-4fb0-8bf4-3a50f872073c">alma.lisaku</Modifikuesi>
    <Nr_x002e__x0020_prot_x0020_QBZ xmlns="0e656187-b300-4fb0-8bf4-3a50f872073c">99</Nr_x002e__x0020_prot_x0020_QBZ>
    <Data_x0020_e_x0020_Modifikimit xmlns="0e656187-b300-4fb0-8bf4-3a50f872073c">2023-01-19T13:38:29Z</Data_x0020_e_x0020_Modifikimit>
    <Dekretuar xmlns="0e656187-b300-4fb0-8bf4-3a50f872073c">false</Dekretuar>
    <Data xmlns="0e656187-b300-4fb0-8bf4-3a50f872073c">2023-01-17T23:00:00Z</Data>
    <Nr_x002e__x0020_protokolli_x0020_i_x0020_aktit xmlns="0e656187-b300-4fb0-8bf4-3a50f872073c">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0E35DBF4E64E24A1C91AE3B52C16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80E35DBF4E64E24A1C91AE3B52C16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D001A-5957-4467-8E09-0596F527F8EC}">
  <ds:schemaRefs>
    <ds:schemaRef ds:uri="http://purl.org/dc/elements/1.1/"/>
    <ds:schemaRef ds:uri="http://purl.org/dc/terms/"/>
    <ds:schemaRef ds:uri="0e656187-b300-4fb0-8bf4-3a50f872073c"/>
    <ds:schemaRef ds:uri="http://schemas.microsoft.com/office/2006/documentManagement/types"/>
    <ds:schemaRef ds:uri="http://schemas.microsoft.com/office/2006/metadata/properties"/>
    <ds:schemaRef ds:uri="http://purl.org/dc/dcmitype/"/>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A8F6E048-1608-4E0A-BE93-C1AD331FA952}">
  <ds:schemaRefs>
    <ds:schemaRef ds:uri="http://schemas.microsoft.com/sharepoint/v3/contenttype/forms"/>
  </ds:schemaRefs>
</ds:datastoreItem>
</file>

<file path=customXml/itemProps3.xml><?xml version="1.0" encoding="utf-8"?>
<ds:datastoreItem xmlns:ds="http://schemas.openxmlformats.org/officeDocument/2006/customXml" ds:itemID="{06A92D3A-C0A6-4CA6-AC05-166907716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BA6FF1-EB5C-46CF-9C4D-E578C7B69DBF}">
  <ds:schemaRefs>
    <ds:schemaRef ds:uri="http://schemas.microsoft.com/sharepoint/v3/contenttype/forms"/>
  </ds:schemaRefs>
</ds:datastoreItem>
</file>

<file path=customXml/itemProps5.xml><?xml version="1.0" encoding="utf-8"?>
<ds:datastoreItem xmlns:ds="http://schemas.openxmlformats.org/officeDocument/2006/customXml" ds:itemID="{33EF72AA-E4C1-43BC-BFF8-BE9820D4F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BD7C15-F284-4549-93E9-C463951CA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 122, datë 5.3.2014, të Këshillit të Ministrave, "Për shpronësimin, për interes publik, të pronarëve të pasurive të paluajtshme, pronë private që preken nga ndërtimi i segmentit rrugor "Unaza e Madhe e Tiranës </vt:lpstr>
    </vt:vector>
  </TitlesOfParts>
  <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122, datë 5.3.2014, të Këshillit të Ministrave, "Për shpronësimin, për interes publik, të pronarëve të pasurive të paluajtshme, pronë private që preken nga ndërtimi i segmentit rrugor "Unaza e Madhe e Tiranës (Komuna e Parisit-Rruga e Kavajës)", të ndryshuar"</dc:title>
  <dc:creator>Ilirjana Hasanllari</dc:creator>
  <cp:lastModifiedBy>Amarilda Muja</cp:lastModifiedBy>
  <cp:revision>28</cp:revision>
  <cp:lastPrinted>2023-01-17T14:43:00Z</cp:lastPrinted>
  <dcterms:created xsi:type="dcterms:W3CDTF">2023-01-17T10:53:00Z</dcterms:created>
  <dcterms:modified xsi:type="dcterms:W3CDTF">2023-01-20T07:54:00Z</dcterms:modified>
</cp:coreProperties>
</file>