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88092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>VENDIM</w:t>
      </w:r>
    </w:p>
    <w:p w14:paraId="55688093" w14:textId="6AF05592" w:rsid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>Nr.</w:t>
      </w:r>
      <w:r w:rsidR="00D71853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E31384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>53</w:t>
      </w:r>
      <w:r w:rsidRPr="006A75A8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 xml:space="preserve">, datë </w:t>
      </w:r>
      <w:r w:rsidR="00E31384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>1.2.2023</w:t>
      </w:r>
    </w:p>
    <w:p w14:paraId="55688094" w14:textId="77777777" w:rsidR="00E31384" w:rsidRPr="006A75A8" w:rsidRDefault="00E31384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</w:pPr>
    </w:p>
    <w:p w14:paraId="55688095" w14:textId="7076E610" w:rsidR="006A75A8" w:rsidRPr="006A75A8" w:rsidRDefault="006A75A8" w:rsidP="00D71853">
      <w:pPr>
        <w:autoSpaceDE w:val="0"/>
        <w:autoSpaceDN w:val="0"/>
        <w:adjustRightInd w:val="0"/>
        <w:spacing w:before="0" w:beforeAutospacing="0" w:after="0" w:line="240" w:lineRule="auto"/>
        <w:jc w:val="center"/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>PËR</w:t>
      </w:r>
      <w:r w:rsidRPr="00E25324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>PËRCAKTIMIN E KRITEREVE DHE PROCEDURAVE</w:t>
      </w:r>
      <w:r w:rsidRPr="00E25324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>TË AKORDIMIT TË FONDEVE PËR MARRJEN E MASAVE PARANDALUESE DHE REHABILITUESE NDAJ FATKEQËSIVE,</w:t>
      </w:r>
      <w:r w:rsidR="00D71853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b/>
          <w:bCs/>
          <w:color w:val="000000"/>
          <w:sz w:val="24"/>
          <w:szCs w:val="24"/>
          <w:lang w:eastAsia="en-US"/>
        </w:rPr>
        <w:t>NË INFRASTRUKTURËN E DËMTUAR, SI EDHE NË VEPRIMTARI TË TJERA NË FUSHËN E MBROJTJES CIVILE</w:t>
      </w:r>
    </w:p>
    <w:p w14:paraId="55688096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</w:p>
    <w:p w14:paraId="55688097" w14:textId="67E3AFEB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Në mbështetje të nenit 100 të Kushtetutës dhe të shkronjës “d”, të pikës 6, të</w:t>
      </w:r>
      <w:r w:rsidRPr="00E25324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nenit 23, të ligjit nr.</w:t>
      </w:r>
      <w:r w:rsidR="00D71853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45/2019, “Për mbrojtjen civile”, me propozimin e ministrit të Mbrojtjes, Këshilli i Ministrave</w:t>
      </w:r>
    </w:p>
    <w:p w14:paraId="55688098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</w:p>
    <w:p w14:paraId="55688099" w14:textId="77777777" w:rsidR="006A75A8" w:rsidRPr="00D71853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center"/>
        <w:rPr>
          <w:rFonts w:ascii="Garamond" w:eastAsiaTheme="minorHAnsi" w:hAnsi="Garamond" w:cs="Times New Roman"/>
          <w:bCs/>
          <w:sz w:val="24"/>
          <w:szCs w:val="24"/>
          <w:lang w:eastAsia="en-US"/>
        </w:rPr>
      </w:pPr>
      <w:r w:rsidRPr="00D71853">
        <w:rPr>
          <w:rFonts w:ascii="Garamond" w:eastAsiaTheme="minorHAnsi" w:hAnsi="Garamond" w:cs="Times New Roman"/>
          <w:bCs/>
          <w:sz w:val="24"/>
          <w:szCs w:val="24"/>
          <w:lang w:eastAsia="en-US"/>
        </w:rPr>
        <w:t>VENDOSI:</w:t>
      </w:r>
    </w:p>
    <w:p w14:paraId="5568809A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</w:p>
    <w:p w14:paraId="5568809B" w14:textId="4BFF2CEA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1.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Agjencia Kombëtare e Mbrojtjes Civile (në vijim AKMC), në kuadrin e zvogëlimit të riskut nga fatkeqësitë dhe mbrojtjes civile, planifikon në buxhetin vjetor të saj fonde për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marrjen e masave parandaluese dhe rehabilituese ndaj fatkeqësive, në infrastrukturën e dëmtuar, si edhe në veprimtari të tjera në fushën e mbrojtjes civile. </w:t>
      </w:r>
      <w:r w:rsidR="00D71853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  <w:bookmarkStart w:id="0" w:name="_GoBack"/>
      <w:bookmarkEnd w:id="0"/>
    </w:p>
    <w:p w14:paraId="5568809C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2.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Fondet e planifikuara nga AKMC-ja për marrjen e masave parandaluese dhe rehabilituese ndaj fatkeqësive, në infrastrukturën e dëmtuar, si edhe në veprimtari të tjera në fushën e mbrojtjes civile akordohen, bazuar në këto dokumente orientuese:</w:t>
      </w:r>
    </w:p>
    <w:p w14:paraId="5568809D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a)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Strategjinë Kombëtare për Zvogëlimin e Riskut nga Fatkeqësitë në nivel qendror dhe vendor;</w:t>
      </w:r>
    </w:p>
    <w:p w14:paraId="5568809E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b)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Vlerësimin e riskut në nivel qendror dhe vendor;</w:t>
      </w:r>
    </w:p>
    <w:p w14:paraId="5568809F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c)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Planin Kombëtar për Emergjencat Civile në nivel qendror dhe vendor.</w:t>
      </w:r>
    </w:p>
    <w:p w14:paraId="556880A0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3.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AKMC-ja është institucioni përgjegjës për hartimin dhe miratimin e urdhrave për akordimin e fondeve të planifikuara në buxhetin vjetor të saj, sipas</w:t>
      </w:r>
      <w:r w:rsidR="000D6CB6"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pikës 1, të këtij vendimi.</w:t>
      </w:r>
    </w:p>
    <w:p w14:paraId="556880A1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4.</w:t>
      </w:r>
      <w:r w:rsidRPr="00E25324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Fondet e planifikuara, sipas pikës 1, të këtij vendimi, i akordohen njësisë së vetëqeverisjes vendore, në territorin e së cilës ka ndodhur fatkeqësia, kur:</w:t>
      </w:r>
    </w:p>
    <w:p w14:paraId="556880A2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a)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nevojitet kryerja e shpenzimeve shtesë për përballimin e situatave të krijuara nga fatkeqësitë; </w:t>
      </w:r>
    </w:p>
    <w:p w14:paraId="556880A3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b)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kostoja e ndërhyrjes tejkalon buxhetin vjetor të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dedikuar</w:t>
      </w:r>
      <w:r w:rsidRPr="006A75A8">
        <w:rPr>
          <w:rFonts w:ascii="Garamond" w:eastAsiaTheme="minorHAnsi" w:hAnsi="Garamond" w:cs="Times New Roman"/>
          <w:color w:val="FF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për mbrojtjen civile.</w:t>
      </w:r>
    </w:p>
    <w:p w14:paraId="556880A4" w14:textId="52741AEC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5.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Për përballimin e situatave emergjente të shkaktuara nga fatkeqësitë e përcaktuara në pikat 9 dhe 10, të nenit 3, të ligjit nr.</w:t>
      </w:r>
      <w:r w:rsidR="00D71853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45/2019, “Për mbrojtjen civile”, dokumentacioni për akordimin e fondeve në njësitë e vetëqeverisjes vendore me destinacion sigurimin e kushteve të përkohshme për jetesë të qytetarëve, si dhe për shpenzime të tjera, duhet të përbëhet nga:</w:t>
      </w:r>
    </w:p>
    <w:p w14:paraId="556880A5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a)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kërkesa e argumentuar nga kryetari i bashkisë, ku të përfshihet destinacioni i përdorimit të fondit, shoqëruar me preventivat dhe projektet, sipas rastit;</w:t>
      </w:r>
    </w:p>
    <w:p w14:paraId="556880A6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b)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miratimi i kërkesës nga prefekti i qarkut, duke dhënë dhe argumente shtesë për nevojën e mbështetjes financiare.</w:t>
      </w:r>
    </w:p>
    <w:p w14:paraId="556880A7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6.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Dokumentacioni i hartuar sipas pikës 5, të këtij vendimi, dërgohet nga prefekti i qarkut pranë AKMC-së, e cila shqyrton kërkesën dhe kthen përgjigje brenda 2 ditësh nga marrja e kërkesës.</w:t>
      </w:r>
    </w:p>
    <w:p w14:paraId="556880A8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7.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Për akordimin e fondeve me destinacion marrjen e masave parandaluese mbrojtëse, të përgjigjes, të rehabilitimit dhe të rimëkëmbjes</w:t>
      </w:r>
      <w:r w:rsidRPr="006A75A8">
        <w:rPr>
          <w:rFonts w:ascii="Garamond" w:eastAsiaTheme="minorHAnsi" w:hAnsi="Garamond" w:cs="Times New Roman"/>
          <w:i/>
          <w:iCs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për infrastrukturën publike në përgjegjësi të njësive të vetëqeverisjes vendore, duhet të hartohet dokumentacioni, i cili përbëhet nga:</w:t>
      </w:r>
    </w:p>
    <w:p w14:paraId="556880A9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a)</w:t>
      </w:r>
      <w:r w:rsidRPr="00E25324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kërkesa e njësisë së vetëqeverisjes vendore për fonde shtesë, drejtuar prefektit të qarkut;</w:t>
      </w:r>
    </w:p>
    <w:p w14:paraId="556880AA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b)</w:t>
      </w:r>
      <w:r w:rsidRPr="00E25324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vendimi i këshillit bashkiak, ku të përcaktohet destinacioni i përdorimit të fondit të kërkuar për emergjencën civile;</w:t>
      </w:r>
    </w:p>
    <w:p w14:paraId="556880AB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c)</w:t>
      </w:r>
      <w:r w:rsidRPr="00E25324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projekti i zbatimit i shoqëruar me dokumentacionet përkatëse, i cili, sipas rastit, mund të hartohet nga subjekte shtetërore dhe/ose private të licencuara;</w:t>
      </w:r>
    </w:p>
    <w:p w14:paraId="556880AC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ç) konfirmimi nga prefekti i qarkut i ligjshmërisë së vendimit të këshillit bashkiak, i shoqëruar me argumente të tjera shtesë, për mbështetjen financiare;</w:t>
      </w:r>
    </w:p>
    <w:p w14:paraId="556880AD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lastRenderedPageBreak/>
        <w:t>d) kërkesa e argumentuar nga prefekti i qarkut, drejtuar AKMC-së, për nevojën dhe domosdoshmërinë e ndërhyrjes në objektet e dëmtuara.</w:t>
      </w:r>
    </w:p>
    <w:p w14:paraId="556880AE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8.</w:t>
      </w:r>
      <w:r w:rsidRPr="00E25324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>Dokumentacioni i hartuar sipas pikës 7, të këtij vendimi, dërgohet nga prefekti i qarkut pranë AKMC-së, e cila shqyrton kërkesën dhe kthen përgjigje brenda 45 ditësh nga marrja e kërkesës.</w:t>
      </w:r>
    </w:p>
    <w:p w14:paraId="556880AF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9.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Fondet e akorduara njësive të vetëqeverisjes vendore administrohen nga këto të fundit, sipas destinacionit të përcaktuar në urdhrin e nxjerrë nga AKMC-ja, për këtë qëllim.</w:t>
      </w:r>
    </w:p>
    <w:p w14:paraId="556880B0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10.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Prefekti i qarkut siguron dhe kontrollon zbatimin e urdhrit të nxjerrë nga AKMC-ja për akordimin e fondit njësisë së vetëqeverisjes vendore, si dhe mënyrën e administrimit të tij, sipas destinacionit të përcaktuar.</w:t>
      </w:r>
    </w:p>
    <w:p w14:paraId="556880B1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11.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AKMC-ja për fondet e akorduara njësive të vetëqeverisjes vendore për parandalimin, rehabilitimin ndaj fatkeqësive, në infrastrukturën e dëmtuar, si dhe në veprimtari të tjera në fushën e mbrojtjes civile, ushtron kompetencat për inspektim, sipas legjislacionit në fuqi.</w:t>
      </w:r>
    </w:p>
    <w:p w14:paraId="556880B2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12.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Ngarkohen</w:t>
      </w:r>
      <w:r w:rsidRPr="006A75A8">
        <w:rPr>
          <w:rFonts w:ascii="Garamond" w:eastAsiaTheme="minorHAnsi" w:hAnsi="Garamond" w:cs="Times New Roman"/>
          <w:color w:val="000000"/>
          <w:sz w:val="24"/>
          <w:szCs w:val="24"/>
          <w:lang w:eastAsia="en-US"/>
        </w:rPr>
        <w:t xml:space="preserve"> ministri përgjegjës për mbrojtjen civile, Agjencia Kombëtare e Mbrojtjes Civile, prefekti i qarkut dhe njësitë e vetëqeverisjes vendore për zbatimin e këtij vendimi. </w:t>
      </w:r>
    </w:p>
    <w:p w14:paraId="556880B3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Ky vendim h</w:t>
      </w:r>
      <w:r w:rsidRPr="00E25324">
        <w:rPr>
          <w:rFonts w:ascii="Garamond" w:eastAsiaTheme="minorHAnsi" w:hAnsi="Garamond" w:cs="Times New Roman"/>
          <w:sz w:val="24"/>
          <w:szCs w:val="24"/>
          <w:lang w:eastAsia="en-US"/>
        </w:rPr>
        <w:t>yn në fuqi pas botimit në Fletoren Zyrtare</w:t>
      </w:r>
      <w:r w:rsidRPr="006A75A8">
        <w:rPr>
          <w:rFonts w:ascii="Garamond" w:eastAsiaTheme="minorHAnsi" w:hAnsi="Garamond" w:cs="Times New Roman"/>
          <w:sz w:val="24"/>
          <w:szCs w:val="24"/>
          <w:lang w:eastAsia="en-US"/>
        </w:rPr>
        <w:t>.</w:t>
      </w:r>
    </w:p>
    <w:p w14:paraId="556880B4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 w:cs="Times New Roman"/>
          <w:sz w:val="24"/>
          <w:szCs w:val="24"/>
          <w:lang w:eastAsia="en-US"/>
        </w:rPr>
      </w:pPr>
    </w:p>
    <w:p w14:paraId="556880B5" w14:textId="77777777" w:rsidR="006A75A8" w:rsidRPr="006A75A8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right"/>
        <w:rPr>
          <w:rFonts w:ascii="Garamond" w:eastAsiaTheme="minorHAnsi" w:hAnsi="Garamond" w:cs="Times New Roman"/>
          <w:bCs/>
          <w:sz w:val="24"/>
          <w:szCs w:val="24"/>
          <w:lang w:eastAsia="en-US"/>
        </w:rPr>
      </w:pPr>
      <w:r w:rsidRPr="00E25324">
        <w:rPr>
          <w:rFonts w:ascii="Garamond" w:eastAsiaTheme="minorHAnsi" w:hAnsi="Garamond" w:cs="Times New Roman"/>
          <w:bCs/>
          <w:sz w:val="24"/>
          <w:szCs w:val="24"/>
          <w:lang w:eastAsia="en-US"/>
        </w:rPr>
        <w:t>KRYEMINISTËR</w:t>
      </w:r>
    </w:p>
    <w:p w14:paraId="556880B6" w14:textId="77777777" w:rsidR="00C43552" w:rsidRPr="00E25324" w:rsidRDefault="006A75A8" w:rsidP="006A75A8">
      <w:pPr>
        <w:autoSpaceDE w:val="0"/>
        <w:autoSpaceDN w:val="0"/>
        <w:adjustRightInd w:val="0"/>
        <w:spacing w:before="0" w:beforeAutospacing="0"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E25324">
        <w:rPr>
          <w:rFonts w:ascii="Garamond" w:eastAsiaTheme="minorHAnsi" w:hAnsi="Garamond" w:cs="Times New Roman"/>
          <w:b/>
          <w:bCs/>
          <w:sz w:val="24"/>
          <w:szCs w:val="24"/>
          <w:lang w:eastAsia="en-US"/>
        </w:rPr>
        <w:t>Edi Rama</w:t>
      </w:r>
    </w:p>
    <w:sectPr w:rsidR="00C43552" w:rsidRPr="00E25324" w:rsidSect="005B6DB5">
      <w:footerReference w:type="default" r:id="rId13"/>
      <w:pgSz w:w="11906" w:h="16838" w:code="9"/>
      <w:pgMar w:top="1440" w:right="1440" w:bottom="900" w:left="144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963FE" w14:textId="77777777" w:rsidR="00D71853" w:rsidRDefault="00D71853" w:rsidP="005F68A1">
      <w:pPr>
        <w:spacing w:before="0" w:after="0" w:line="240" w:lineRule="auto"/>
      </w:pPr>
      <w:r>
        <w:separator/>
      </w:r>
    </w:p>
  </w:endnote>
  <w:endnote w:type="continuationSeparator" w:id="0">
    <w:p w14:paraId="78066C0C" w14:textId="77777777" w:rsidR="00D71853" w:rsidRDefault="00D71853" w:rsidP="005F68A1">
      <w:pPr>
        <w:spacing w:before="0" w:after="0" w:line="240" w:lineRule="auto"/>
      </w:pPr>
      <w:r>
        <w:continuationSeparator/>
      </w:r>
    </w:p>
  </w:endnote>
  <w:endnote w:type="continuationNotice" w:id="1">
    <w:p w14:paraId="308BB6B9" w14:textId="77777777" w:rsidR="00DD60A7" w:rsidRDefault="00DD60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0514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556880BB" w14:textId="77777777" w:rsidR="00D71853" w:rsidRPr="00680959" w:rsidRDefault="00D71853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680959">
          <w:rPr>
            <w:rFonts w:ascii="Times New Roman" w:hAnsi="Times New Roman" w:cs="Times New Roman"/>
            <w:sz w:val="24"/>
          </w:rPr>
          <w:fldChar w:fldCharType="begin"/>
        </w:r>
        <w:r w:rsidRPr="0068095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80959">
          <w:rPr>
            <w:rFonts w:ascii="Times New Roman" w:hAnsi="Times New Roman" w:cs="Times New Roman"/>
            <w:sz w:val="24"/>
          </w:rPr>
          <w:fldChar w:fldCharType="separate"/>
        </w:r>
        <w:r w:rsidR="00DD60A7">
          <w:rPr>
            <w:rFonts w:ascii="Times New Roman" w:hAnsi="Times New Roman" w:cs="Times New Roman"/>
            <w:noProof/>
            <w:sz w:val="24"/>
          </w:rPr>
          <w:t>1</w:t>
        </w:r>
        <w:r w:rsidRPr="00680959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56880BC" w14:textId="77777777" w:rsidR="00D71853" w:rsidRDefault="00D718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C78D3" w14:textId="77777777" w:rsidR="00D71853" w:rsidRDefault="00D71853" w:rsidP="005F68A1">
      <w:pPr>
        <w:spacing w:before="0" w:after="0" w:line="240" w:lineRule="auto"/>
      </w:pPr>
      <w:r>
        <w:separator/>
      </w:r>
    </w:p>
  </w:footnote>
  <w:footnote w:type="continuationSeparator" w:id="0">
    <w:p w14:paraId="65D7114C" w14:textId="77777777" w:rsidR="00D71853" w:rsidRDefault="00D71853" w:rsidP="005F68A1">
      <w:pPr>
        <w:spacing w:before="0" w:after="0" w:line="240" w:lineRule="auto"/>
      </w:pPr>
      <w:r>
        <w:continuationSeparator/>
      </w:r>
    </w:p>
  </w:footnote>
  <w:footnote w:type="continuationNotice" w:id="1">
    <w:p w14:paraId="30662FED" w14:textId="77777777" w:rsidR="00DD60A7" w:rsidRDefault="00DD60A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7254053"/>
    <w:multiLevelType w:val="multilevel"/>
    <w:tmpl w:val="D8C0F5D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>
    <w:nsid w:val="05913527"/>
    <w:multiLevelType w:val="hybridMultilevel"/>
    <w:tmpl w:val="C15EE6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40CF3"/>
    <w:multiLevelType w:val="hybridMultilevel"/>
    <w:tmpl w:val="DDCC5B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20887"/>
    <w:multiLevelType w:val="hybridMultilevel"/>
    <w:tmpl w:val="B0A665BC"/>
    <w:lvl w:ilvl="0" w:tplc="3AE0269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1640A"/>
    <w:multiLevelType w:val="hybridMultilevel"/>
    <w:tmpl w:val="1E44A15C"/>
    <w:lvl w:ilvl="0" w:tplc="0409001B">
      <w:start w:val="1"/>
      <w:numFmt w:val="lowerRoman"/>
      <w:lvlText w:val="%1."/>
      <w:lvlJc w:val="righ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60D8159B"/>
    <w:multiLevelType w:val="hybridMultilevel"/>
    <w:tmpl w:val="3C829E8A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73E5A"/>
    <w:multiLevelType w:val="hybridMultilevel"/>
    <w:tmpl w:val="576A09D4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1C15C91"/>
    <w:multiLevelType w:val="hybridMultilevel"/>
    <w:tmpl w:val="CA302F1C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7D614CA7"/>
    <w:multiLevelType w:val="hybridMultilevel"/>
    <w:tmpl w:val="D7F46A68"/>
    <w:lvl w:ilvl="0" w:tplc="BDECA81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05" w:hanging="360"/>
      </w:pPr>
    </w:lvl>
    <w:lvl w:ilvl="2" w:tplc="041C001B" w:tentative="1">
      <w:start w:val="1"/>
      <w:numFmt w:val="lowerRoman"/>
      <w:lvlText w:val="%3."/>
      <w:lvlJc w:val="right"/>
      <w:pPr>
        <w:ind w:left="2225" w:hanging="180"/>
      </w:pPr>
    </w:lvl>
    <w:lvl w:ilvl="3" w:tplc="041C000F" w:tentative="1">
      <w:start w:val="1"/>
      <w:numFmt w:val="decimal"/>
      <w:lvlText w:val="%4."/>
      <w:lvlJc w:val="left"/>
      <w:pPr>
        <w:ind w:left="2945" w:hanging="360"/>
      </w:pPr>
    </w:lvl>
    <w:lvl w:ilvl="4" w:tplc="041C0019" w:tentative="1">
      <w:start w:val="1"/>
      <w:numFmt w:val="lowerLetter"/>
      <w:lvlText w:val="%5."/>
      <w:lvlJc w:val="left"/>
      <w:pPr>
        <w:ind w:left="3665" w:hanging="360"/>
      </w:pPr>
    </w:lvl>
    <w:lvl w:ilvl="5" w:tplc="041C001B" w:tentative="1">
      <w:start w:val="1"/>
      <w:numFmt w:val="lowerRoman"/>
      <w:lvlText w:val="%6."/>
      <w:lvlJc w:val="right"/>
      <w:pPr>
        <w:ind w:left="4385" w:hanging="180"/>
      </w:pPr>
    </w:lvl>
    <w:lvl w:ilvl="6" w:tplc="041C000F" w:tentative="1">
      <w:start w:val="1"/>
      <w:numFmt w:val="decimal"/>
      <w:lvlText w:val="%7."/>
      <w:lvlJc w:val="left"/>
      <w:pPr>
        <w:ind w:left="5105" w:hanging="360"/>
      </w:pPr>
    </w:lvl>
    <w:lvl w:ilvl="7" w:tplc="041C0019" w:tentative="1">
      <w:start w:val="1"/>
      <w:numFmt w:val="lowerLetter"/>
      <w:lvlText w:val="%8."/>
      <w:lvlJc w:val="left"/>
      <w:pPr>
        <w:ind w:left="5825" w:hanging="360"/>
      </w:pPr>
    </w:lvl>
    <w:lvl w:ilvl="8" w:tplc="041C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1F"/>
    <w:rsid w:val="000515FD"/>
    <w:rsid w:val="00083B7D"/>
    <w:rsid w:val="000A18AB"/>
    <w:rsid w:val="000A7683"/>
    <w:rsid w:val="000B0F1B"/>
    <w:rsid w:val="000D6CB6"/>
    <w:rsid w:val="000E6DD5"/>
    <w:rsid w:val="00105575"/>
    <w:rsid w:val="001117EF"/>
    <w:rsid w:val="00117421"/>
    <w:rsid w:val="001349FE"/>
    <w:rsid w:val="00167FD3"/>
    <w:rsid w:val="00185993"/>
    <w:rsid w:val="0019415D"/>
    <w:rsid w:val="001A7214"/>
    <w:rsid w:val="00205800"/>
    <w:rsid w:val="002061C0"/>
    <w:rsid w:val="00211C6E"/>
    <w:rsid w:val="0021756B"/>
    <w:rsid w:val="0025624B"/>
    <w:rsid w:val="002D191B"/>
    <w:rsid w:val="002D1FB2"/>
    <w:rsid w:val="002F2F69"/>
    <w:rsid w:val="003045A5"/>
    <w:rsid w:val="00315A66"/>
    <w:rsid w:val="00361BA9"/>
    <w:rsid w:val="003B298C"/>
    <w:rsid w:val="003B62BD"/>
    <w:rsid w:val="003D209E"/>
    <w:rsid w:val="003F5808"/>
    <w:rsid w:val="00453DDB"/>
    <w:rsid w:val="004603F5"/>
    <w:rsid w:val="004E5CF4"/>
    <w:rsid w:val="004F3D3B"/>
    <w:rsid w:val="004F79FF"/>
    <w:rsid w:val="00503F39"/>
    <w:rsid w:val="00515996"/>
    <w:rsid w:val="00516CA6"/>
    <w:rsid w:val="00523AC6"/>
    <w:rsid w:val="00523FCB"/>
    <w:rsid w:val="00525E2C"/>
    <w:rsid w:val="00530E96"/>
    <w:rsid w:val="00561039"/>
    <w:rsid w:val="005B6DB5"/>
    <w:rsid w:val="005C3A10"/>
    <w:rsid w:val="005F12F1"/>
    <w:rsid w:val="005F68A1"/>
    <w:rsid w:val="0061041F"/>
    <w:rsid w:val="006629AF"/>
    <w:rsid w:val="00680959"/>
    <w:rsid w:val="0068189C"/>
    <w:rsid w:val="006958A7"/>
    <w:rsid w:val="006A75A8"/>
    <w:rsid w:val="006D52B3"/>
    <w:rsid w:val="00712C10"/>
    <w:rsid w:val="007A6301"/>
    <w:rsid w:val="007D73E9"/>
    <w:rsid w:val="007D7671"/>
    <w:rsid w:val="007F082D"/>
    <w:rsid w:val="0080634E"/>
    <w:rsid w:val="00820103"/>
    <w:rsid w:val="00844BA5"/>
    <w:rsid w:val="008A1419"/>
    <w:rsid w:val="008A1B64"/>
    <w:rsid w:val="008A5564"/>
    <w:rsid w:val="008C7959"/>
    <w:rsid w:val="008D0521"/>
    <w:rsid w:val="00903979"/>
    <w:rsid w:val="009309C2"/>
    <w:rsid w:val="00947724"/>
    <w:rsid w:val="00960CD4"/>
    <w:rsid w:val="009E696C"/>
    <w:rsid w:val="00A01BC7"/>
    <w:rsid w:val="00A24CBA"/>
    <w:rsid w:val="00A6512D"/>
    <w:rsid w:val="00A746C1"/>
    <w:rsid w:val="00A94747"/>
    <w:rsid w:val="00A976A5"/>
    <w:rsid w:val="00AA4856"/>
    <w:rsid w:val="00AE29E5"/>
    <w:rsid w:val="00B731A1"/>
    <w:rsid w:val="00BC1D09"/>
    <w:rsid w:val="00BF2E6B"/>
    <w:rsid w:val="00C04131"/>
    <w:rsid w:val="00C43552"/>
    <w:rsid w:val="00C57D7C"/>
    <w:rsid w:val="00C744F2"/>
    <w:rsid w:val="00CA12CA"/>
    <w:rsid w:val="00CC2D74"/>
    <w:rsid w:val="00CF17DE"/>
    <w:rsid w:val="00D14A66"/>
    <w:rsid w:val="00D43EE9"/>
    <w:rsid w:val="00D53E44"/>
    <w:rsid w:val="00D71853"/>
    <w:rsid w:val="00D72CFE"/>
    <w:rsid w:val="00DB6CCE"/>
    <w:rsid w:val="00DD1D56"/>
    <w:rsid w:val="00DD60A7"/>
    <w:rsid w:val="00E1714E"/>
    <w:rsid w:val="00E25324"/>
    <w:rsid w:val="00E31384"/>
    <w:rsid w:val="00E31D32"/>
    <w:rsid w:val="00E41C7B"/>
    <w:rsid w:val="00E43E45"/>
    <w:rsid w:val="00E52834"/>
    <w:rsid w:val="00E53CFC"/>
    <w:rsid w:val="00E7640A"/>
    <w:rsid w:val="00E866F0"/>
    <w:rsid w:val="00E902C8"/>
    <w:rsid w:val="00EA3D43"/>
    <w:rsid w:val="00EA6E21"/>
    <w:rsid w:val="00EB5B18"/>
    <w:rsid w:val="00ED77AF"/>
    <w:rsid w:val="00F14A7C"/>
    <w:rsid w:val="00F607D3"/>
    <w:rsid w:val="00F66609"/>
    <w:rsid w:val="00F75614"/>
    <w:rsid w:val="00FF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688092"/>
  <w15:docId w15:val="{7549B743-744A-48DA-8BE8-9B4418AE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01"/>
    <w:pPr>
      <w:spacing w:before="100" w:beforeAutospacing="1" w:after="200" w:line="273" w:lineRule="auto"/>
    </w:pPr>
    <w:rPr>
      <w:rFonts w:ascii="Calibri" w:eastAsia="Times New Roman" w:hAnsi="Calibri" w:cs="Calibri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7C"/>
    <w:pPr>
      <w:ind w:left="720"/>
      <w:contextualSpacing/>
    </w:pPr>
  </w:style>
  <w:style w:type="paragraph" w:styleId="NoSpacing">
    <w:name w:val="No Spacing"/>
    <w:uiPriority w:val="1"/>
    <w:qFormat/>
    <w:rsid w:val="00FF2DE9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EA6E21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7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756B"/>
    <w:rPr>
      <w:rFonts w:ascii="Calibri" w:eastAsia="Times New Roman" w:hAnsi="Calibri" w:cs="Calibri"/>
      <w:sz w:val="20"/>
      <w:szCs w:val="20"/>
      <w:lang w:eastAsia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21756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56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56B"/>
    <w:rPr>
      <w:rFonts w:ascii="Segoe UI" w:eastAsia="Times New Roman" w:hAnsi="Segoe UI" w:cs="Segoe UI"/>
      <w:sz w:val="18"/>
      <w:szCs w:val="18"/>
      <w:lang w:eastAsia="sq-AL"/>
    </w:rPr>
  </w:style>
  <w:style w:type="paragraph" w:styleId="Header">
    <w:name w:val="header"/>
    <w:basedOn w:val="Normal"/>
    <w:link w:val="HeaderChar"/>
    <w:uiPriority w:val="99"/>
    <w:unhideWhenUsed/>
    <w:rsid w:val="005F68A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A1"/>
    <w:rPr>
      <w:rFonts w:ascii="Calibri" w:eastAsia="Times New Roman" w:hAnsi="Calibri" w:cs="Calibri"/>
      <w:lang w:eastAsia="sq-AL"/>
    </w:rPr>
  </w:style>
  <w:style w:type="paragraph" w:styleId="Footer">
    <w:name w:val="footer"/>
    <w:basedOn w:val="Normal"/>
    <w:link w:val="FooterChar"/>
    <w:uiPriority w:val="99"/>
    <w:unhideWhenUsed/>
    <w:rsid w:val="005F68A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A1"/>
    <w:rPr>
      <w:rFonts w:ascii="Calibri" w:eastAsia="Times New Roman" w:hAnsi="Calibri" w:cs="Calibri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</Nr_x002e__x0020_akti>
    <Data_x0020_e_x0020_Krijimit xmlns="0e656187-b300-4fb0-8bf4-3a50f872073c">2023-02-02T14:57:30Z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2023-02-01T23:00:00Z</Date_x0020_protokolli>
    <Titulli xmlns="0e656187-b300-4fb0-8bf4-3a50f872073c">Për përcaktimin e kritereve dhe procedurave të akordimit të fondeve për marrjen e masave parandaluese dhe rehabilituese ndaj fatkeqësive, në infrastrukturën e dëmtuar, si edhe në veprimtari të tjera në fushën e mbrojtjes civile</Titulli>
    <Modifikuesi xmlns="0e656187-b300-4fb0-8bf4-3a50f872073c">nevila.samarxhi</Modifikuesi>
    <Nr_x002e__x0020_prot_x0020_QBZ xmlns="0e656187-b300-4fb0-8bf4-3a50f872073c">191</Nr_x002e__x0020_prot_x0020_QBZ>
    <Data_x0020_e_x0020_Modifikimit xmlns="0e656187-b300-4fb0-8bf4-3a50f872073c">2023-02-02T15:03:31Z</Data_x0020_e_x0020_Modifikimit>
    <Dekretuar xmlns="0e656187-b300-4fb0-8bf4-3a50f872073c">false</Dekretuar>
    <Data xmlns="0e656187-b300-4fb0-8bf4-3a50f872073c">2023-01-31T23:00:00Z</Data>
    <Nr_x002e__x0020_protokolli_x0020_i_x0020_aktit xmlns="0e656187-b300-4fb0-8bf4-3a50f872073c">249/1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2A5D8CE7C64CAA9F5FB7433B29CD0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2A5D8CE7C64CAA9F5FB7433B29CD0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5D8BF-0AA9-4B63-A26D-34FBA97FFFEA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170A46-87DB-40B5-A160-5BBE8DE10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37F53-72D7-4E2E-A5E3-C3DF6E10E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530C22B-E138-4B20-8D46-39CF3DBC07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AE895A-DF8E-4848-97A6-5038510AD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FEEB311-CD5C-415D-B325-EBA48A12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Robert Hysenllari</dc:creator>
  <cp:lastModifiedBy>Jorina Kryeziu</cp:lastModifiedBy>
  <cp:revision>4</cp:revision>
  <cp:lastPrinted>2023-02-01T09:33:00Z</cp:lastPrinted>
  <dcterms:created xsi:type="dcterms:W3CDTF">2023-02-02T12:08:00Z</dcterms:created>
  <dcterms:modified xsi:type="dcterms:W3CDTF">2023-02-02T15:12:00Z</dcterms:modified>
</cp:coreProperties>
</file>